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B0DBE" w14:textId="55DDBF8A" w:rsidR="0065306A" w:rsidRPr="00E76A09" w:rsidRDefault="008A73EB" w:rsidP="00643327">
      <w:pPr>
        <w:jc w:val="center"/>
        <w:rPr>
          <w:b/>
          <w:sz w:val="32"/>
          <w:szCs w:val="32"/>
        </w:rPr>
      </w:pPr>
      <w:r w:rsidRPr="00E76A09">
        <w:rPr>
          <w:b/>
          <w:sz w:val="32"/>
          <w:szCs w:val="32"/>
        </w:rPr>
        <w:t xml:space="preserve">Business Case </w:t>
      </w:r>
      <w:r w:rsidR="00F578AE" w:rsidRPr="00E76A09">
        <w:rPr>
          <w:b/>
          <w:sz w:val="32"/>
          <w:szCs w:val="32"/>
        </w:rPr>
        <w:t>Summary Sheet</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91"/>
        <w:gridCol w:w="2430"/>
        <w:gridCol w:w="4267"/>
      </w:tblGrid>
      <w:tr w:rsidR="00F578AE" w:rsidRPr="00E76A09" w14:paraId="763B0DC6" w14:textId="77777777" w:rsidTr="036C8FE3">
        <w:trPr>
          <w:trHeight w:val="508"/>
        </w:trPr>
        <w:tc>
          <w:tcPr>
            <w:tcW w:w="10420" w:type="dxa"/>
            <w:gridSpan w:val="3"/>
          </w:tcPr>
          <w:p w14:paraId="763B0DC5" w14:textId="66ED3AE5" w:rsidR="00D447B5" w:rsidRPr="00E76A09" w:rsidRDefault="3D1FD6BF" w:rsidP="00531269">
            <w:pPr>
              <w:spacing w:after="0"/>
              <w:rPr>
                <w:b/>
                <w:sz w:val="22"/>
                <w:szCs w:val="22"/>
              </w:rPr>
            </w:pPr>
            <w:r w:rsidRPr="00E76A09">
              <w:rPr>
                <w:b/>
                <w:bCs/>
                <w:sz w:val="22"/>
                <w:szCs w:val="22"/>
              </w:rPr>
              <w:t xml:space="preserve">Title:  </w:t>
            </w:r>
            <w:r w:rsidR="009B2CD6" w:rsidRPr="00E76A09">
              <w:rPr>
                <w:b/>
                <w:bCs/>
                <w:sz w:val="22"/>
                <w:szCs w:val="22"/>
              </w:rPr>
              <w:t>Accelerating Innovative Monitoring for Forests (A</w:t>
            </w:r>
            <w:r w:rsidR="00283EA5">
              <w:rPr>
                <w:b/>
                <w:bCs/>
                <w:sz w:val="22"/>
                <w:szCs w:val="22"/>
              </w:rPr>
              <w:t>IM</w:t>
            </w:r>
            <w:r w:rsidR="009B2CD6" w:rsidRPr="00E76A09">
              <w:rPr>
                <w:b/>
                <w:bCs/>
                <w:sz w:val="22"/>
                <w:szCs w:val="22"/>
              </w:rPr>
              <w:t>4Forests) Extension</w:t>
            </w:r>
          </w:p>
        </w:tc>
      </w:tr>
      <w:tr w:rsidR="00BF59D0" w:rsidRPr="00E76A09" w14:paraId="763B0DCB" w14:textId="77777777" w:rsidTr="036C8FE3">
        <w:trPr>
          <w:trHeight w:val="413"/>
        </w:trPr>
        <w:tc>
          <w:tcPr>
            <w:tcW w:w="10420" w:type="dxa"/>
            <w:gridSpan w:val="3"/>
          </w:tcPr>
          <w:p w14:paraId="763B0DC7" w14:textId="6E153B96" w:rsidR="00BF59D0" w:rsidRPr="00E76A09" w:rsidRDefault="00BF59D0" w:rsidP="005B5FBF">
            <w:pPr>
              <w:rPr>
                <w:b/>
                <w:sz w:val="22"/>
                <w:szCs w:val="22"/>
              </w:rPr>
            </w:pPr>
            <w:r w:rsidRPr="00E76A09">
              <w:rPr>
                <w:b/>
                <w:sz w:val="22"/>
                <w:szCs w:val="22"/>
              </w:rPr>
              <w:t>Pro</w:t>
            </w:r>
            <w:r w:rsidR="005723A3" w:rsidRPr="00E76A09">
              <w:rPr>
                <w:b/>
                <w:sz w:val="22"/>
                <w:szCs w:val="22"/>
              </w:rPr>
              <w:t>gramme</w:t>
            </w:r>
            <w:r w:rsidRPr="00E76A09">
              <w:rPr>
                <w:b/>
                <w:sz w:val="22"/>
                <w:szCs w:val="22"/>
              </w:rPr>
              <w:t xml:space="preserve"> Purpose:</w:t>
            </w:r>
            <w:r w:rsidR="009B2CD6" w:rsidRPr="00E76A09">
              <w:rPr>
                <w:b/>
                <w:sz w:val="22"/>
                <w:szCs w:val="22"/>
              </w:rPr>
              <w:t xml:space="preserve"> </w:t>
            </w:r>
          </w:p>
          <w:p w14:paraId="042CE9F4" w14:textId="4018101A" w:rsidR="00E008D4" w:rsidRPr="00E76A09" w:rsidRDefault="00E008D4" w:rsidP="00E008D4">
            <w:pPr>
              <w:pStyle w:val="paragraph"/>
              <w:spacing w:before="0" w:beforeAutospacing="0" w:after="0" w:afterAutospacing="0"/>
              <w:textAlignment w:val="baseline"/>
              <w:rPr>
                <w:rFonts w:ascii="Aptos" w:hAnsi="Aptos" w:cs="Segoe UI"/>
                <w:sz w:val="22"/>
                <w:szCs w:val="22"/>
              </w:rPr>
            </w:pPr>
            <w:r w:rsidRPr="00E76A09">
              <w:rPr>
                <w:rStyle w:val="normaltextrun"/>
                <w:rFonts w:ascii="Aptos" w:hAnsi="Aptos" w:cs="Segoe UI"/>
                <w:sz w:val="22"/>
                <w:szCs w:val="22"/>
              </w:rPr>
              <w:t xml:space="preserve">To deliver the Government’s vision for a world free from poverty on a liveable planet, we must protect and restore forest landscapes whilst delivering sustainable development and an inclusive rural transformation. To do this, forest countries need to have robust, effective and integrated systems to track, monitor and respond to deforestation, forest degradation and other land-use changes. </w:t>
            </w:r>
            <w:r w:rsidR="00FA10A0" w:rsidRPr="00E76A09">
              <w:rPr>
                <w:rStyle w:val="normaltextrun"/>
                <w:rFonts w:ascii="Aptos" w:hAnsi="Aptos" w:cs="Segoe UI"/>
                <w:sz w:val="22"/>
                <w:szCs w:val="22"/>
              </w:rPr>
              <w:t>R</w:t>
            </w:r>
            <w:r w:rsidRPr="00E76A09">
              <w:rPr>
                <w:rStyle w:val="normaltextrun"/>
                <w:rFonts w:ascii="Aptos" w:hAnsi="Aptos" w:cs="Segoe UI"/>
                <w:sz w:val="22"/>
                <w:szCs w:val="22"/>
              </w:rPr>
              <w:t>egular and accurate monitoring of forest cover, forest cover change and drivers of change provide the necessary information to support policies and management practices to protect and sustainably manage forests</w:t>
            </w:r>
            <w:r w:rsidR="00FA10A0" w:rsidRPr="00E76A09">
              <w:rPr>
                <w:rStyle w:val="normaltextrun"/>
                <w:rFonts w:ascii="Aptos" w:hAnsi="Aptos" w:cs="Segoe UI"/>
                <w:sz w:val="22"/>
                <w:szCs w:val="22"/>
              </w:rPr>
              <w:t>: “</w:t>
            </w:r>
            <w:r w:rsidR="00FA10A0" w:rsidRPr="00E76A09">
              <w:rPr>
                <w:rStyle w:val="normaltextrun"/>
                <w:rFonts w:ascii="Aptos" w:hAnsi="Aptos" w:cs="Segoe UI"/>
                <w:i/>
                <w:iCs/>
                <w:sz w:val="22"/>
                <w:szCs w:val="22"/>
              </w:rPr>
              <w:t>If you can’t measure it, you can’t manage it</w:t>
            </w:r>
            <w:r w:rsidR="00FA10A0" w:rsidRPr="00E76A09">
              <w:rPr>
                <w:rStyle w:val="normaltextrun"/>
                <w:rFonts w:ascii="Aptos" w:hAnsi="Aptos" w:cs="Segoe UI"/>
                <w:sz w:val="22"/>
                <w:szCs w:val="22"/>
              </w:rPr>
              <w:t>”.</w:t>
            </w:r>
            <w:r w:rsidRPr="00E76A09">
              <w:rPr>
                <w:rStyle w:val="eop"/>
                <w:rFonts w:ascii="Aptos" w:hAnsi="Aptos" w:cs="Segoe UI"/>
                <w:sz w:val="22"/>
                <w:szCs w:val="22"/>
              </w:rPr>
              <w:t> </w:t>
            </w:r>
          </w:p>
          <w:p w14:paraId="4A17DBB4" w14:textId="77777777" w:rsidR="00E008D4" w:rsidRPr="00E76A09" w:rsidRDefault="00E008D4" w:rsidP="00E008D4">
            <w:pPr>
              <w:pStyle w:val="paragraph"/>
              <w:spacing w:before="0" w:beforeAutospacing="0" w:after="0" w:afterAutospacing="0"/>
              <w:textAlignment w:val="baseline"/>
              <w:rPr>
                <w:rFonts w:ascii="Aptos" w:hAnsi="Aptos" w:cs="Segoe UI"/>
                <w:sz w:val="22"/>
                <w:szCs w:val="22"/>
              </w:rPr>
            </w:pPr>
            <w:r w:rsidRPr="00E76A09">
              <w:rPr>
                <w:rStyle w:val="eop"/>
                <w:rFonts w:ascii="Aptos" w:hAnsi="Aptos" w:cs="Segoe UI"/>
                <w:sz w:val="22"/>
                <w:szCs w:val="22"/>
              </w:rPr>
              <w:t> </w:t>
            </w:r>
          </w:p>
          <w:p w14:paraId="17F05E2F" w14:textId="343BE8E3" w:rsidR="00A055C4" w:rsidRPr="00E76A09" w:rsidRDefault="00E008D4" w:rsidP="357E57C4">
            <w:pPr>
              <w:pStyle w:val="paragraph"/>
              <w:spacing w:before="0" w:beforeAutospacing="0" w:after="0" w:afterAutospacing="0"/>
              <w:textAlignment w:val="baseline"/>
              <w:rPr>
                <w:rStyle w:val="eop"/>
                <w:rFonts w:ascii="Aptos" w:hAnsi="Aptos"/>
                <w:sz w:val="22"/>
                <w:szCs w:val="22"/>
              </w:rPr>
            </w:pPr>
            <w:r w:rsidRPr="357E57C4">
              <w:rPr>
                <w:rStyle w:val="normaltextrun"/>
                <w:rFonts w:ascii="Aptos" w:hAnsi="Aptos" w:cs="Segoe UI"/>
                <w:sz w:val="22"/>
                <w:szCs w:val="22"/>
              </w:rPr>
              <w:t xml:space="preserve">This business case proposes </w:t>
            </w:r>
            <w:r w:rsidR="00A055C4" w:rsidRPr="357E57C4">
              <w:rPr>
                <w:rStyle w:val="normaltextrun"/>
                <w:rFonts w:ascii="Aptos" w:hAnsi="Aptos" w:cs="Segoe UI"/>
                <w:sz w:val="22"/>
                <w:szCs w:val="22"/>
              </w:rPr>
              <w:t xml:space="preserve">up to an additional £20.9m </w:t>
            </w:r>
            <w:r w:rsidR="00881BC8" w:rsidRPr="357E57C4">
              <w:rPr>
                <w:rStyle w:val="normaltextrun"/>
                <w:rFonts w:ascii="Aptos" w:hAnsi="Aptos" w:cs="Segoe UI"/>
                <w:sz w:val="22"/>
                <w:szCs w:val="22"/>
              </w:rPr>
              <w:t xml:space="preserve">of funding for the existing </w:t>
            </w:r>
            <w:r w:rsidR="009C4FCA" w:rsidRPr="357E57C4">
              <w:rPr>
                <w:rStyle w:val="normaltextrun"/>
                <w:rFonts w:ascii="Aptos" w:hAnsi="Aptos" w:cs="Segoe UI"/>
                <w:sz w:val="22"/>
                <w:szCs w:val="22"/>
              </w:rPr>
              <w:t xml:space="preserve">£31.5m </w:t>
            </w:r>
            <w:r w:rsidRPr="357E57C4">
              <w:rPr>
                <w:rStyle w:val="normaltextrun"/>
                <w:rFonts w:ascii="Aptos" w:hAnsi="Aptos" w:cs="Segoe UI"/>
                <w:sz w:val="22"/>
                <w:szCs w:val="22"/>
              </w:rPr>
              <w:t>Accelerating Innovative Monitoring for Forests (AIM4Forests) programme, delivered by the UN’s Food and Agriculture Organisation</w:t>
            </w:r>
            <w:r w:rsidR="009B07E4" w:rsidRPr="357E57C4">
              <w:rPr>
                <w:rStyle w:val="normaltextrun"/>
                <w:rFonts w:ascii="Aptos" w:hAnsi="Aptos" w:cs="Segoe UI"/>
                <w:sz w:val="22"/>
                <w:szCs w:val="22"/>
              </w:rPr>
              <w:t xml:space="preserve"> (FAO)</w:t>
            </w:r>
            <w:r w:rsidRPr="357E57C4">
              <w:rPr>
                <w:rStyle w:val="normaltextrun"/>
                <w:rFonts w:ascii="Aptos" w:hAnsi="Aptos" w:cs="Segoe UI"/>
                <w:sz w:val="22"/>
                <w:szCs w:val="22"/>
              </w:rPr>
              <w:t>.</w:t>
            </w:r>
            <w:r w:rsidR="0063582F" w:rsidRPr="357E57C4">
              <w:rPr>
                <w:rStyle w:val="normaltextrun"/>
                <w:rFonts w:ascii="Aptos" w:hAnsi="Aptos" w:cs="Segoe UI"/>
                <w:sz w:val="22"/>
                <w:szCs w:val="22"/>
              </w:rPr>
              <w:t xml:space="preserve"> Of this, </w:t>
            </w:r>
            <w:r w:rsidR="1897908F" w:rsidRPr="357E57C4">
              <w:rPr>
                <w:rStyle w:val="eop"/>
                <w:rFonts w:ascii="Aptos" w:hAnsi="Aptos" w:cs="Segoe UI"/>
                <w:sz w:val="22"/>
                <w:szCs w:val="22"/>
              </w:rPr>
              <w:t>£1</w:t>
            </w:r>
            <w:r w:rsidR="00226472">
              <w:rPr>
                <w:rStyle w:val="eop"/>
                <w:rFonts w:ascii="Aptos" w:hAnsi="Aptos" w:cs="Segoe UI"/>
                <w:sz w:val="22"/>
                <w:szCs w:val="22"/>
              </w:rPr>
              <w:t>6</w:t>
            </w:r>
            <w:r w:rsidR="1897908F" w:rsidRPr="357E57C4">
              <w:rPr>
                <w:rStyle w:val="eop"/>
                <w:rFonts w:ascii="Aptos" w:hAnsi="Aptos" w:cs="Segoe UI"/>
                <w:sz w:val="22"/>
                <w:szCs w:val="22"/>
              </w:rPr>
              <w:t>.9m will be spent this financial year (FY 25/26). The remaining £</w:t>
            </w:r>
            <w:r w:rsidR="00226472">
              <w:rPr>
                <w:rStyle w:val="eop"/>
                <w:rFonts w:ascii="Aptos" w:hAnsi="Aptos" w:cs="Segoe UI"/>
                <w:sz w:val="22"/>
                <w:szCs w:val="22"/>
              </w:rPr>
              <w:t>4</w:t>
            </w:r>
            <w:r w:rsidR="1897908F" w:rsidRPr="357E57C4">
              <w:rPr>
                <w:rStyle w:val="eop"/>
                <w:rFonts w:ascii="Aptos" w:hAnsi="Aptos" w:cs="Segoe UI"/>
                <w:sz w:val="22"/>
                <w:szCs w:val="22"/>
              </w:rPr>
              <w:t xml:space="preserve">m (all RDEL) is currently unprofiled – see Financial Case.  </w:t>
            </w:r>
            <w:r w:rsidR="009C4FCA" w:rsidRPr="357E57C4">
              <w:rPr>
                <w:rStyle w:val="eop"/>
                <w:rFonts w:ascii="Aptos" w:hAnsi="Aptos" w:cs="Segoe UI"/>
                <w:sz w:val="22"/>
                <w:szCs w:val="22"/>
              </w:rPr>
              <w:t>T</w:t>
            </w:r>
            <w:r w:rsidR="009C4FCA" w:rsidRPr="357E57C4">
              <w:rPr>
                <w:rStyle w:val="eop"/>
                <w:rFonts w:ascii="Aptos" w:hAnsi="Aptos"/>
                <w:sz w:val="22"/>
                <w:szCs w:val="22"/>
              </w:rPr>
              <w:t xml:space="preserve">he business case also seeks </w:t>
            </w:r>
            <w:r w:rsidR="00A055C4" w:rsidRPr="357E57C4">
              <w:rPr>
                <w:rFonts w:ascii="Aptos" w:hAnsi="Aptos"/>
                <w:sz w:val="22"/>
                <w:szCs w:val="22"/>
              </w:rPr>
              <w:t>to extend the length of the programme by an additional 2 years</w:t>
            </w:r>
            <w:r w:rsidR="00A15859" w:rsidRPr="357E57C4">
              <w:rPr>
                <w:rFonts w:ascii="Aptos" w:hAnsi="Aptos"/>
                <w:sz w:val="22"/>
                <w:szCs w:val="22"/>
              </w:rPr>
              <w:t xml:space="preserve"> and to expand the scope to include an additional objective on sustainable commodity production</w:t>
            </w:r>
            <w:r w:rsidR="00A055C4" w:rsidRPr="357E57C4">
              <w:rPr>
                <w:rFonts w:ascii="Aptos" w:hAnsi="Aptos"/>
                <w:sz w:val="22"/>
                <w:szCs w:val="22"/>
              </w:rPr>
              <w:t xml:space="preserve">. </w:t>
            </w:r>
          </w:p>
          <w:p w14:paraId="427C6893" w14:textId="77777777" w:rsidR="00A055C4" w:rsidRPr="00E76A09" w:rsidRDefault="00A055C4" w:rsidP="00E008D4">
            <w:pPr>
              <w:pStyle w:val="paragraph"/>
              <w:spacing w:before="0" w:beforeAutospacing="0" w:after="0" w:afterAutospacing="0"/>
              <w:textAlignment w:val="baseline"/>
              <w:rPr>
                <w:rFonts w:ascii="Aptos" w:hAnsi="Aptos" w:cs="Segoe UI"/>
                <w:sz w:val="22"/>
                <w:szCs w:val="22"/>
              </w:rPr>
            </w:pPr>
          </w:p>
          <w:p w14:paraId="342224E4" w14:textId="07A0E704" w:rsidR="00E008D4" w:rsidRPr="00E76A09" w:rsidRDefault="00E008D4" w:rsidP="00E008D4">
            <w:pPr>
              <w:pStyle w:val="paragraph"/>
              <w:spacing w:before="0" w:beforeAutospacing="0" w:after="0" w:afterAutospacing="0"/>
              <w:textAlignment w:val="baseline"/>
              <w:rPr>
                <w:rFonts w:ascii="Segoe UI" w:hAnsi="Segoe UI" w:cs="Segoe UI"/>
                <w:sz w:val="18"/>
                <w:szCs w:val="18"/>
              </w:rPr>
            </w:pPr>
            <w:r w:rsidRPr="00E76A09">
              <w:rPr>
                <w:rStyle w:val="normaltextrun"/>
                <w:rFonts w:ascii="Aptos" w:hAnsi="Aptos" w:cs="Segoe UI"/>
                <w:sz w:val="22"/>
                <w:szCs w:val="22"/>
              </w:rPr>
              <w:t xml:space="preserve">AIM4Forests supports forest monitoring by leveraging modern monitoring technologies and technical innovation to inform actions to reduce deforestation and restore ecosystems, and </w:t>
            </w:r>
            <w:r w:rsidR="00923C53" w:rsidRPr="00E76A09">
              <w:rPr>
                <w:rStyle w:val="normaltextrun"/>
                <w:rFonts w:ascii="Aptos" w:hAnsi="Aptos" w:cs="Segoe UI"/>
                <w:sz w:val="22"/>
                <w:szCs w:val="22"/>
              </w:rPr>
              <w:t>by</w:t>
            </w:r>
            <w:r w:rsidRPr="00E76A09">
              <w:rPr>
                <w:rStyle w:val="normaltextrun"/>
                <w:rFonts w:ascii="Aptos" w:hAnsi="Aptos" w:cs="Segoe UI"/>
                <w:sz w:val="22"/>
                <w:szCs w:val="22"/>
              </w:rPr>
              <w:t xml:space="preserve"> transferring capacity to countries and their communities. It is a well-performing programme, scoring A+ in its last two annual reviews, and is currently due to end in December 2028. </w:t>
            </w:r>
            <w:r w:rsidRPr="00E76A09">
              <w:rPr>
                <w:rStyle w:val="eop"/>
                <w:rFonts w:ascii="Aptos" w:hAnsi="Aptos" w:cs="Segoe UI"/>
                <w:sz w:val="22"/>
                <w:szCs w:val="22"/>
              </w:rPr>
              <w:t> </w:t>
            </w:r>
          </w:p>
          <w:p w14:paraId="1CEE1B24" w14:textId="77777777" w:rsidR="00E008D4" w:rsidRPr="00E76A09" w:rsidRDefault="00E008D4" w:rsidP="00E008D4">
            <w:pPr>
              <w:pStyle w:val="paragraph"/>
              <w:spacing w:before="0" w:beforeAutospacing="0" w:after="0" w:afterAutospacing="0"/>
              <w:textAlignment w:val="baseline"/>
              <w:rPr>
                <w:rFonts w:ascii="Segoe UI" w:hAnsi="Segoe UI" w:cs="Segoe UI"/>
                <w:sz w:val="18"/>
                <w:szCs w:val="18"/>
              </w:rPr>
            </w:pPr>
            <w:r w:rsidRPr="00E76A09">
              <w:rPr>
                <w:rStyle w:val="eop"/>
                <w:rFonts w:ascii="Aptos" w:hAnsi="Aptos" w:cs="Segoe UI"/>
                <w:sz w:val="22"/>
                <w:szCs w:val="22"/>
              </w:rPr>
              <w:t> </w:t>
            </w:r>
          </w:p>
          <w:p w14:paraId="763B0DCA" w14:textId="14E18FE8" w:rsidR="00D447B5" w:rsidRPr="00E76A09" w:rsidRDefault="00E008D4" w:rsidP="00E008D4">
            <w:pPr>
              <w:pStyle w:val="paragraph"/>
              <w:spacing w:before="0" w:beforeAutospacing="0" w:after="0" w:afterAutospacing="0"/>
              <w:textAlignment w:val="baseline"/>
              <w:rPr>
                <w:rFonts w:ascii="Segoe UI" w:hAnsi="Segoe UI" w:cs="Segoe UI"/>
                <w:sz w:val="18"/>
                <w:szCs w:val="18"/>
              </w:rPr>
            </w:pPr>
            <w:r w:rsidRPr="00E76A09">
              <w:rPr>
                <w:rStyle w:val="normaltextrun"/>
                <w:rFonts w:ascii="Aptos" w:hAnsi="Aptos" w:cs="Segoe UI"/>
                <w:sz w:val="22"/>
                <w:szCs w:val="22"/>
              </w:rPr>
              <w:t>This cost and time extension follows a clear recommendation from the AIM4Forests mid-term review to respond to demand from forest countries and will support the outcomes of other UK forest programme investments. </w:t>
            </w:r>
            <w:r w:rsidRPr="00E76A09">
              <w:rPr>
                <w:rStyle w:val="eop"/>
                <w:rFonts w:ascii="Aptos" w:hAnsi="Aptos" w:cs="Segoe UI"/>
                <w:sz w:val="22"/>
                <w:szCs w:val="22"/>
              </w:rPr>
              <w:t> </w:t>
            </w:r>
          </w:p>
        </w:tc>
      </w:tr>
      <w:tr w:rsidR="00F578AE" w:rsidRPr="00E76A09" w14:paraId="763B0DCE" w14:textId="77777777" w:rsidTr="036C8FE3">
        <w:trPr>
          <w:trHeight w:val="413"/>
        </w:trPr>
        <w:tc>
          <w:tcPr>
            <w:tcW w:w="6062" w:type="dxa"/>
            <w:gridSpan w:val="2"/>
          </w:tcPr>
          <w:p w14:paraId="763B0DCC" w14:textId="4579F522" w:rsidR="00F578AE" w:rsidRPr="00E76A09" w:rsidRDefault="00F578AE" w:rsidP="005B5FBF">
            <w:pPr>
              <w:rPr>
                <w:bCs/>
                <w:sz w:val="22"/>
                <w:szCs w:val="22"/>
              </w:rPr>
            </w:pPr>
            <w:r w:rsidRPr="00E76A09">
              <w:rPr>
                <w:b/>
                <w:sz w:val="22"/>
                <w:szCs w:val="22"/>
              </w:rPr>
              <w:t xml:space="preserve">Programme Value: </w:t>
            </w:r>
            <w:r w:rsidR="006D29D3" w:rsidRPr="00E76A09">
              <w:rPr>
                <w:bCs/>
                <w:sz w:val="22"/>
                <w:szCs w:val="22"/>
              </w:rPr>
              <w:t xml:space="preserve">£20.9m extension </w:t>
            </w:r>
          </w:p>
        </w:tc>
        <w:tc>
          <w:tcPr>
            <w:tcW w:w="4358" w:type="dxa"/>
          </w:tcPr>
          <w:p w14:paraId="763B0DCD" w14:textId="7CFE2EDA" w:rsidR="00F578AE" w:rsidRPr="00E76A09" w:rsidRDefault="00BF59D0" w:rsidP="005B5FBF">
            <w:pPr>
              <w:rPr>
                <w:bCs/>
                <w:sz w:val="22"/>
                <w:szCs w:val="22"/>
              </w:rPr>
            </w:pPr>
            <w:r w:rsidRPr="00E76A09">
              <w:rPr>
                <w:b/>
                <w:sz w:val="22"/>
                <w:szCs w:val="22"/>
              </w:rPr>
              <w:t>Country/Region:</w:t>
            </w:r>
            <w:r w:rsidR="006D29D3" w:rsidRPr="00E76A09">
              <w:rPr>
                <w:b/>
                <w:sz w:val="22"/>
                <w:szCs w:val="22"/>
              </w:rPr>
              <w:t xml:space="preserve"> </w:t>
            </w:r>
            <w:r w:rsidR="006D29D3" w:rsidRPr="00E76A09">
              <w:rPr>
                <w:bCs/>
                <w:sz w:val="22"/>
                <w:szCs w:val="22"/>
              </w:rPr>
              <w:t xml:space="preserve">Global </w:t>
            </w:r>
          </w:p>
        </w:tc>
      </w:tr>
      <w:tr w:rsidR="00BF59D0" w:rsidRPr="00E76A09" w14:paraId="763B0DD0" w14:textId="77777777" w:rsidTr="036C8FE3">
        <w:trPr>
          <w:trHeight w:val="413"/>
        </w:trPr>
        <w:tc>
          <w:tcPr>
            <w:tcW w:w="10420" w:type="dxa"/>
            <w:gridSpan w:val="3"/>
          </w:tcPr>
          <w:p w14:paraId="763B0DCF" w14:textId="2C055F5B" w:rsidR="00BF59D0" w:rsidRPr="00E76A09" w:rsidRDefault="00BF59D0" w:rsidP="6CA4E93B">
            <w:pPr>
              <w:rPr>
                <w:sz w:val="22"/>
                <w:szCs w:val="22"/>
              </w:rPr>
            </w:pPr>
            <w:r w:rsidRPr="036C8FE3">
              <w:rPr>
                <w:b/>
                <w:bCs/>
                <w:sz w:val="22"/>
                <w:szCs w:val="22"/>
              </w:rPr>
              <w:t>Senior Responsible Owner:</w:t>
            </w:r>
            <w:r w:rsidR="006D29D3" w:rsidRPr="036C8FE3">
              <w:rPr>
                <w:b/>
                <w:bCs/>
                <w:sz w:val="22"/>
                <w:szCs w:val="22"/>
              </w:rPr>
              <w:t xml:space="preserve"> </w:t>
            </w:r>
          </w:p>
        </w:tc>
      </w:tr>
      <w:tr w:rsidR="00F578AE" w:rsidRPr="00E76A09" w14:paraId="763B0DD5" w14:textId="77777777" w:rsidTr="036C8FE3">
        <w:trPr>
          <w:trHeight w:val="945"/>
        </w:trPr>
        <w:tc>
          <w:tcPr>
            <w:tcW w:w="3570" w:type="dxa"/>
          </w:tcPr>
          <w:p w14:paraId="763B0DD2" w14:textId="59B2D02E" w:rsidR="00F578AE" w:rsidRPr="00E76A09" w:rsidRDefault="00F578AE" w:rsidP="005B5FBF">
            <w:pPr>
              <w:rPr>
                <w:sz w:val="22"/>
                <w:szCs w:val="22"/>
              </w:rPr>
            </w:pPr>
            <w:r w:rsidRPr="00E76A09">
              <w:rPr>
                <w:b/>
                <w:sz w:val="22"/>
                <w:szCs w:val="22"/>
              </w:rPr>
              <w:t>Pro</w:t>
            </w:r>
            <w:r w:rsidR="005723A3" w:rsidRPr="00E76A09">
              <w:rPr>
                <w:b/>
                <w:sz w:val="22"/>
                <w:szCs w:val="22"/>
              </w:rPr>
              <w:t>gramme</w:t>
            </w:r>
            <w:r w:rsidRPr="00E76A09">
              <w:rPr>
                <w:b/>
                <w:sz w:val="22"/>
                <w:szCs w:val="22"/>
              </w:rPr>
              <w:t xml:space="preserve"> Code: </w:t>
            </w:r>
            <w:r w:rsidR="00A70C98" w:rsidRPr="00E76A09">
              <w:rPr>
                <w:bCs/>
                <w:sz w:val="22"/>
                <w:szCs w:val="22"/>
              </w:rPr>
              <w:t>GB-GOV-13-ICF-0048-AIM for Forests</w:t>
            </w:r>
          </w:p>
        </w:tc>
        <w:tc>
          <w:tcPr>
            <w:tcW w:w="2492" w:type="dxa"/>
          </w:tcPr>
          <w:p w14:paraId="763B0DD3" w14:textId="01A5C2FD" w:rsidR="00F578AE" w:rsidRPr="00E76A09" w:rsidRDefault="00F578AE" w:rsidP="005B5FBF">
            <w:pPr>
              <w:rPr>
                <w:bCs/>
                <w:sz w:val="22"/>
                <w:szCs w:val="22"/>
              </w:rPr>
            </w:pPr>
            <w:r w:rsidRPr="00E76A09">
              <w:rPr>
                <w:b/>
                <w:sz w:val="22"/>
                <w:szCs w:val="22"/>
              </w:rPr>
              <w:t>Start Date:</w:t>
            </w:r>
            <w:r w:rsidR="00A70C98" w:rsidRPr="00E76A09">
              <w:rPr>
                <w:b/>
                <w:sz w:val="22"/>
                <w:szCs w:val="22"/>
              </w:rPr>
              <w:t xml:space="preserve"> </w:t>
            </w:r>
            <w:r w:rsidR="00A70C98" w:rsidRPr="00E76A09">
              <w:rPr>
                <w:bCs/>
                <w:sz w:val="22"/>
                <w:szCs w:val="22"/>
              </w:rPr>
              <w:t>April 2023</w:t>
            </w:r>
          </w:p>
        </w:tc>
        <w:tc>
          <w:tcPr>
            <w:tcW w:w="4358" w:type="dxa"/>
          </w:tcPr>
          <w:p w14:paraId="763B0DD4" w14:textId="48B282A1" w:rsidR="00F578AE" w:rsidRPr="00E76A09" w:rsidRDefault="00F578AE" w:rsidP="005B5FBF">
            <w:pPr>
              <w:rPr>
                <w:bCs/>
                <w:sz w:val="22"/>
                <w:szCs w:val="22"/>
              </w:rPr>
            </w:pPr>
            <w:r w:rsidRPr="00E76A09">
              <w:rPr>
                <w:b/>
                <w:sz w:val="22"/>
                <w:szCs w:val="22"/>
              </w:rPr>
              <w:t>End Date:</w:t>
            </w:r>
            <w:r w:rsidR="00A70C98" w:rsidRPr="00E76A09">
              <w:rPr>
                <w:b/>
                <w:sz w:val="22"/>
                <w:szCs w:val="22"/>
              </w:rPr>
              <w:t xml:space="preserve"> </w:t>
            </w:r>
            <w:r w:rsidR="00A70C98" w:rsidRPr="00E76A09">
              <w:rPr>
                <w:bCs/>
                <w:sz w:val="22"/>
                <w:szCs w:val="22"/>
              </w:rPr>
              <w:t xml:space="preserve">December 2030 </w:t>
            </w:r>
          </w:p>
        </w:tc>
      </w:tr>
    </w:tbl>
    <w:p w14:paraId="34AF27A1" w14:textId="5D93E2F5" w:rsidR="00A778EC" w:rsidRPr="00E76A09" w:rsidRDefault="00420018">
      <w:pPr>
        <w:rPr>
          <w:b/>
          <w:bCs/>
          <w:sz w:val="22"/>
          <w:szCs w:val="22"/>
        </w:rPr>
      </w:pPr>
      <w:r w:rsidRPr="00E76A09">
        <w:rPr>
          <w:b/>
          <w:bCs/>
          <w:sz w:val="22"/>
          <w:szCs w:val="22"/>
        </w:rPr>
        <w:br w:type="page"/>
      </w:r>
    </w:p>
    <w:p w14:paraId="0FD70177" w14:textId="77777777" w:rsidR="000F479B" w:rsidRPr="00E76A09" w:rsidRDefault="000F479B" w:rsidP="000F479B">
      <w:pPr>
        <w:pStyle w:val="paragraph"/>
        <w:pBdr>
          <w:top w:val="single" w:sz="24" w:space="0" w:color="4472C4"/>
          <w:left w:val="single" w:sz="24" w:space="0" w:color="4472C4"/>
          <w:bottom w:val="single" w:sz="24" w:space="0" w:color="4472C4"/>
          <w:right w:val="single" w:sz="24" w:space="0" w:color="4472C4"/>
        </w:pBdr>
        <w:shd w:val="clear" w:color="auto" w:fill="4472C4"/>
        <w:spacing w:before="0" w:beforeAutospacing="0" w:after="0" w:afterAutospacing="0"/>
        <w:textAlignment w:val="baseline"/>
        <w:rPr>
          <w:rFonts w:ascii="Segoe UI" w:hAnsi="Segoe UI" w:cs="Segoe UI"/>
          <w:color w:val="FFFFFF"/>
          <w:sz w:val="18"/>
          <w:szCs w:val="18"/>
        </w:rPr>
      </w:pPr>
      <w:r w:rsidRPr="00E76A09">
        <w:rPr>
          <w:rStyle w:val="normaltextrun"/>
          <w:rFonts w:ascii="Aptos" w:hAnsi="Aptos" w:cs="Segoe UI"/>
          <w:color w:val="FFFFFF"/>
          <w:sz w:val="20"/>
          <w:szCs w:val="20"/>
          <w:shd w:val="clear" w:color="auto" w:fill="4472C4"/>
        </w:rPr>
        <w:lastRenderedPageBreak/>
        <w:t>ACRONYMS AND ABBREVIATIONS </w:t>
      </w:r>
      <w:r w:rsidRPr="00E76A09">
        <w:rPr>
          <w:rStyle w:val="eop"/>
          <w:rFonts w:ascii="Aptos" w:hAnsi="Aptos" w:cs="Segoe UI"/>
          <w:color w:val="FFFFFF"/>
          <w:sz w:val="20"/>
          <w:szCs w:val="20"/>
        </w:rPr>
        <w:t> </w:t>
      </w:r>
    </w:p>
    <w:p w14:paraId="465FFA50" w14:textId="77777777" w:rsidR="000F479B" w:rsidRPr="00E76A09" w:rsidRDefault="000F479B" w:rsidP="000F479B">
      <w:pPr>
        <w:pStyle w:val="paragraph"/>
        <w:spacing w:before="0" w:beforeAutospacing="0" w:after="0" w:afterAutospacing="0"/>
        <w:textAlignment w:val="baseline"/>
        <w:rPr>
          <w:rFonts w:ascii="Segoe UI" w:hAnsi="Segoe UI" w:cs="Segoe UI"/>
          <w:sz w:val="18"/>
          <w:szCs w:val="18"/>
        </w:rPr>
      </w:pPr>
      <w:r w:rsidRPr="00E76A09">
        <w:rPr>
          <w:rStyle w:val="eop"/>
          <w:rFonts w:ascii="Aptos" w:hAnsi="Aptos" w:cs="Segoe UI"/>
          <w:sz w:val="22"/>
          <w:szCs w:val="22"/>
        </w:rPr>
        <w:t> </w:t>
      </w:r>
    </w:p>
    <w:p w14:paraId="6B129EDC" w14:textId="77777777" w:rsidR="000F479B" w:rsidRPr="00E76A09" w:rsidRDefault="000F479B" w:rsidP="005F1FB6">
      <w:pPr>
        <w:pStyle w:val="paragraph"/>
        <w:numPr>
          <w:ilvl w:val="0"/>
          <w:numId w:val="46"/>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AIM4Forests: Accelerating Innovative Monitoring for Forests </w:t>
      </w:r>
      <w:r w:rsidRPr="00E76A09">
        <w:rPr>
          <w:rStyle w:val="eop"/>
          <w:rFonts w:ascii="Aptos" w:hAnsi="Aptos" w:cs="Segoe UI"/>
          <w:sz w:val="22"/>
          <w:szCs w:val="22"/>
        </w:rPr>
        <w:t> </w:t>
      </w:r>
    </w:p>
    <w:p w14:paraId="446548EB" w14:textId="77777777" w:rsidR="000F479B" w:rsidRPr="00E76A09" w:rsidRDefault="000F479B" w:rsidP="005F1FB6">
      <w:pPr>
        <w:pStyle w:val="paragraph"/>
        <w:numPr>
          <w:ilvl w:val="0"/>
          <w:numId w:val="47"/>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ART: Architecture for REDD+ Transactions </w:t>
      </w:r>
      <w:r w:rsidRPr="00E76A09">
        <w:rPr>
          <w:rStyle w:val="eop"/>
          <w:rFonts w:ascii="Aptos" w:hAnsi="Aptos" w:cs="Segoe UI"/>
          <w:sz w:val="22"/>
          <w:szCs w:val="22"/>
        </w:rPr>
        <w:t> </w:t>
      </w:r>
    </w:p>
    <w:p w14:paraId="7CAB47E5" w14:textId="77777777" w:rsidR="000F479B" w:rsidRPr="00E76A09" w:rsidRDefault="000F479B" w:rsidP="005F1FB6">
      <w:pPr>
        <w:pStyle w:val="paragraph"/>
        <w:numPr>
          <w:ilvl w:val="0"/>
          <w:numId w:val="48"/>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CBD: Convention on Biological Diversity </w:t>
      </w:r>
      <w:r w:rsidRPr="00E76A09">
        <w:rPr>
          <w:rStyle w:val="eop"/>
          <w:rFonts w:ascii="Aptos" w:hAnsi="Aptos" w:cs="Segoe UI"/>
          <w:sz w:val="22"/>
          <w:szCs w:val="22"/>
        </w:rPr>
        <w:t> </w:t>
      </w:r>
    </w:p>
    <w:p w14:paraId="51F204F1" w14:textId="77777777" w:rsidR="000F479B" w:rsidRPr="00E76A09" w:rsidRDefault="000F479B" w:rsidP="005F1FB6">
      <w:pPr>
        <w:pStyle w:val="paragraph"/>
        <w:numPr>
          <w:ilvl w:val="0"/>
          <w:numId w:val="49"/>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CDEL: Capital Departmental Expenditure Limits </w:t>
      </w:r>
      <w:r w:rsidRPr="00E76A09">
        <w:rPr>
          <w:rStyle w:val="eop"/>
          <w:rFonts w:ascii="Aptos" w:hAnsi="Aptos" w:cs="Segoe UI"/>
          <w:sz w:val="22"/>
          <w:szCs w:val="22"/>
        </w:rPr>
        <w:t> </w:t>
      </w:r>
    </w:p>
    <w:p w14:paraId="4CB468FE" w14:textId="77777777" w:rsidR="000F479B" w:rsidRPr="00E76A09" w:rsidRDefault="000F479B" w:rsidP="005F1FB6">
      <w:pPr>
        <w:pStyle w:val="paragraph"/>
        <w:numPr>
          <w:ilvl w:val="0"/>
          <w:numId w:val="50"/>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CLP: Country-led planning </w:t>
      </w:r>
      <w:r w:rsidRPr="00E76A09">
        <w:rPr>
          <w:rStyle w:val="eop"/>
          <w:rFonts w:ascii="Aptos" w:hAnsi="Aptos" w:cs="Segoe UI"/>
          <w:sz w:val="22"/>
          <w:szCs w:val="22"/>
        </w:rPr>
        <w:t> </w:t>
      </w:r>
    </w:p>
    <w:p w14:paraId="402CB124" w14:textId="77777777" w:rsidR="000F479B" w:rsidRPr="00E76A09" w:rsidRDefault="000F479B" w:rsidP="005F1FB6">
      <w:pPr>
        <w:pStyle w:val="paragraph"/>
        <w:numPr>
          <w:ilvl w:val="0"/>
          <w:numId w:val="51"/>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CORSIA: Carbon Offsetting and Reduction Scheme for International Aviation </w:t>
      </w:r>
      <w:r w:rsidRPr="00E76A09">
        <w:rPr>
          <w:rStyle w:val="eop"/>
          <w:rFonts w:ascii="Aptos" w:hAnsi="Aptos" w:cs="Segoe UI"/>
          <w:sz w:val="22"/>
          <w:szCs w:val="22"/>
        </w:rPr>
        <w:t> </w:t>
      </w:r>
    </w:p>
    <w:p w14:paraId="0D9475E4" w14:textId="77777777" w:rsidR="000F479B" w:rsidRPr="00E76A09" w:rsidRDefault="000F479B" w:rsidP="005F1FB6">
      <w:pPr>
        <w:pStyle w:val="paragraph"/>
        <w:numPr>
          <w:ilvl w:val="0"/>
          <w:numId w:val="52"/>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EUDR: European Union Deforestation Regulation</w:t>
      </w:r>
      <w:r w:rsidRPr="00E76A09">
        <w:rPr>
          <w:rStyle w:val="eop"/>
          <w:rFonts w:ascii="Aptos" w:hAnsi="Aptos" w:cs="Segoe UI"/>
          <w:sz w:val="22"/>
          <w:szCs w:val="22"/>
        </w:rPr>
        <w:t> </w:t>
      </w:r>
    </w:p>
    <w:p w14:paraId="137B6E11" w14:textId="77777777" w:rsidR="000F479B" w:rsidRPr="00E76A09" w:rsidRDefault="000F479B" w:rsidP="005F1FB6">
      <w:pPr>
        <w:pStyle w:val="paragraph"/>
        <w:numPr>
          <w:ilvl w:val="0"/>
          <w:numId w:val="53"/>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FAO: Food and Agriculture Organisation of the United Nations </w:t>
      </w:r>
      <w:r w:rsidRPr="00E76A09">
        <w:rPr>
          <w:rStyle w:val="eop"/>
          <w:rFonts w:ascii="Aptos" w:hAnsi="Aptos" w:cs="Segoe UI"/>
          <w:sz w:val="22"/>
          <w:szCs w:val="22"/>
        </w:rPr>
        <w:t> </w:t>
      </w:r>
    </w:p>
    <w:p w14:paraId="013A4B89" w14:textId="77777777" w:rsidR="000F479B" w:rsidRPr="00E76A09" w:rsidRDefault="000F479B" w:rsidP="005F1FB6">
      <w:pPr>
        <w:pStyle w:val="paragraph"/>
        <w:numPr>
          <w:ilvl w:val="0"/>
          <w:numId w:val="54"/>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GFOI: Global Forests Observation Initiative </w:t>
      </w:r>
      <w:r w:rsidRPr="00E76A09">
        <w:rPr>
          <w:rStyle w:val="eop"/>
          <w:rFonts w:ascii="Aptos" w:hAnsi="Aptos" w:cs="Segoe UI"/>
          <w:sz w:val="22"/>
          <w:szCs w:val="22"/>
        </w:rPr>
        <w:t> </w:t>
      </w:r>
    </w:p>
    <w:p w14:paraId="34707394" w14:textId="77777777" w:rsidR="000F479B" w:rsidRPr="00E76A09" w:rsidRDefault="000F479B" w:rsidP="005F1FB6">
      <w:pPr>
        <w:pStyle w:val="paragraph"/>
        <w:numPr>
          <w:ilvl w:val="0"/>
          <w:numId w:val="55"/>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GHG: Greenhouse gas emissions </w:t>
      </w:r>
      <w:r w:rsidRPr="00E76A09">
        <w:rPr>
          <w:rStyle w:val="eop"/>
          <w:rFonts w:ascii="Aptos" w:hAnsi="Aptos" w:cs="Segoe UI"/>
          <w:sz w:val="22"/>
          <w:szCs w:val="22"/>
        </w:rPr>
        <w:t> </w:t>
      </w:r>
    </w:p>
    <w:p w14:paraId="590EC012" w14:textId="77777777" w:rsidR="000F479B" w:rsidRPr="00E76A09" w:rsidRDefault="000F479B" w:rsidP="005F1FB6">
      <w:pPr>
        <w:pStyle w:val="paragraph"/>
        <w:numPr>
          <w:ilvl w:val="0"/>
          <w:numId w:val="56"/>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HMG: His Majesty’s Government </w:t>
      </w:r>
      <w:r w:rsidRPr="00E76A09">
        <w:rPr>
          <w:rStyle w:val="eop"/>
          <w:rFonts w:ascii="Aptos" w:hAnsi="Aptos" w:cs="Segoe UI"/>
          <w:sz w:val="22"/>
          <w:szCs w:val="22"/>
        </w:rPr>
        <w:t> </w:t>
      </w:r>
    </w:p>
    <w:p w14:paraId="25EB4693" w14:textId="77777777" w:rsidR="000F479B" w:rsidRPr="00E76A09" w:rsidRDefault="000F479B" w:rsidP="005F1FB6">
      <w:pPr>
        <w:pStyle w:val="paragraph"/>
        <w:numPr>
          <w:ilvl w:val="0"/>
          <w:numId w:val="57"/>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ICF: International Climate Finance </w:t>
      </w:r>
      <w:r w:rsidRPr="00E76A09">
        <w:rPr>
          <w:rStyle w:val="eop"/>
          <w:rFonts w:ascii="Aptos" w:hAnsi="Aptos" w:cs="Segoe UI"/>
          <w:sz w:val="22"/>
          <w:szCs w:val="22"/>
        </w:rPr>
        <w:t> </w:t>
      </w:r>
    </w:p>
    <w:p w14:paraId="4DFF30E5" w14:textId="77777777" w:rsidR="000F479B" w:rsidRPr="00E76A09" w:rsidRDefault="000F479B" w:rsidP="005F1FB6">
      <w:pPr>
        <w:pStyle w:val="paragraph"/>
        <w:numPr>
          <w:ilvl w:val="0"/>
          <w:numId w:val="58"/>
        </w:numPr>
        <w:spacing w:before="0" w:beforeAutospacing="0" w:after="0" w:afterAutospacing="0"/>
        <w:ind w:left="284" w:firstLine="0"/>
        <w:textAlignment w:val="baseline"/>
        <w:rPr>
          <w:rFonts w:ascii="Aptos" w:hAnsi="Aptos" w:cs="Segoe UI"/>
          <w:sz w:val="22"/>
          <w:szCs w:val="22"/>
        </w:rPr>
      </w:pPr>
      <w:proofErr w:type="spellStart"/>
      <w:r w:rsidRPr="00E76A09">
        <w:rPr>
          <w:rStyle w:val="normaltextrun"/>
          <w:rFonts w:ascii="Aptos" w:hAnsi="Aptos" w:cs="Segoe UI"/>
          <w:sz w:val="22"/>
          <w:szCs w:val="22"/>
        </w:rPr>
        <w:t>IPs&amp;LCs</w:t>
      </w:r>
      <w:proofErr w:type="spellEnd"/>
      <w:r w:rsidRPr="00E76A09">
        <w:rPr>
          <w:rStyle w:val="normaltextrun"/>
          <w:rFonts w:ascii="Aptos" w:hAnsi="Aptos" w:cs="Segoe UI"/>
          <w:sz w:val="22"/>
          <w:szCs w:val="22"/>
        </w:rPr>
        <w:t>: Indigenous peoples and local communities </w:t>
      </w:r>
      <w:r w:rsidRPr="00E76A09">
        <w:rPr>
          <w:rStyle w:val="eop"/>
          <w:rFonts w:ascii="Aptos" w:hAnsi="Aptos" w:cs="Segoe UI"/>
          <w:sz w:val="22"/>
          <w:szCs w:val="22"/>
        </w:rPr>
        <w:t> </w:t>
      </w:r>
    </w:p>
    <w:p w14:paraId="5203A392" w14:textId="77777777" w:rsidR="000F479B" w:rsidRPr="00E76A09" w:rsidRDefault="000F479B" w:rsidP="005F1FB6">
      <w:pPr>
        <w:pStyle w:val="paragraph"/>
        <w:numPr>
          <w:ilvl w:val="0"/>
          <w:numId w:val="59"/>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KMGBF: Kunming-Montreal Global Biodiversity Framework </w:t>
      </w:r>
      <w:r w:rsidRPr="00E76A09">
        <w:rPr>
          <w:rStyle w:val="eop"/>
          <w:rFonts w:ascii="Aptos" w:hAnsi="Aptos" w:cs="Segoe UI"/>
          <w:sz w:val="22"/>
          <w:szCs w:val="22"/>
        </w:rPr>
        <w:t> </w:t>
      </w:r>
    </w:p>
    <w:p w14:paraId="70A704D5" w14:textId="77777777" w:rsidR="000F479B" w:rsidRPr="00E76A09" w:rsidRDefault="000F479B" w:rsidP="005F1FB6">
      <w:pPr>
        <w:pStyle w:val="paragraph"/>
        <w:numPr>
          <w:ilvl w:val="0"/>
          <w:numId w:val="60"/>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MPTF: The United Nations Multi-Partner Trust Fund Office </w:t>
      </w:r>
      <w:r w:rsidRPr="00E76A09">
        <w:rPr>
          <w:rStyle w:val="eop"/>
          <w:rFonts w:ascii="Aptos" w:hAnsi="Aptos" w:cs="Segoe UI"/>
          <w:sz w:val="22"/>
          <w:szCs w:val="22"/>
        </w:rPr>
        <w:t> </w:t>
      </w:r>
    </w:p>
    <w:p w14:paraId="527155B1" w14:textId="77777777" w:rsidR="000F479B" w:rsidRPr="00E76A09" w:rsidRDefault="000F479B" w:rsidP="005F1FB6">
      <w:pPr>
        <w:pStyle w:val="paragraph"/>
        <w:numPr>
          <w:ilvl w:val="0"/>
          <w:numId w:val="61"/>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MRV: Measurement, reporting and verification </w:t>
      </w:r>
      <w:r w:rsidRPr="00E76A09">
        <w:rPr>
          <w:rStyle w:val="eop"/>
          <w:rFonts w:ascii="Aptos" w:hAnsi="Aptos" w:cs="Segoe UI"/>
          <w:sz w:val="22"/>
          <w:szCs w:val="22"/>
        </w:rPr>
        <w:t> </w:t>
      </w:r>
    </w:p>
    <w:p w14:paraId="60F139F2" w14:textId="77777777" w:rsidR="000F479B" w:rsidRPr="00E76A09" w:rsidRDefault="000F479B" w:rsidP="005F1FB6">
      <w:pPr>
        <w:pStyle w:val="paragraph"/>
        <w:numPr>
          <w:ilvl w:val="0"/>
          <w:numId w:val="62"/>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NDC: National determined contributions </w:t>
      </w:r>
      <w:r w:rsidRPr="00E76A09">
        <w:rPr>
          <w:rStyle w:val="eop"/>
          <w:rFonts w:ascii="Aptos" w:hAnsi="Aptos" w:cs="Segoe UI"/>
          <w:sz w:val="22"/>
          <w:szCs w:val="22"/>
        </w:rPr>
        <w:t> </w:t>
      </w:r>
    </w:p>
    <w:p w14:paraId="2148E02B" w14:textId="77777777" w:rsidR="000F479B" w:rsidRPr="00E76A09" w:rsidRDefault="000F479B" w:rsidP="005F1FB6">
      <w:pPr>
        <w:pStyle w:val="paragraph"/>
        <w:numPr>
          <w:ilvl w:val="0"/>
          <w:numId w:val="63"/>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NFMS: National Forest Monitoring Systems </w:t>
      </w:r>
      <w:r w:rsidRPr="00E76A09">
        <w:rPr>
          <w:rStyle w:val="eop"/>
          <w:rFonts w:ascii="Aptos" w:hAnsi="Aptos" w:cs="Segoe UI"/>
          <w:sz w:val="22"/>
          <w:szCs w:val="22"/>
        </w:rPr>
        <w:t> </w:t>
      </w:r>
    </w:p>
    <w:p w14:paraId="03CC90A4" w14:textId="77777777" w:rsidR="000F479B" w:rsidRPr="00E76A09" w:rsidRDefault="000F479B" w:rsidP="005F1FB6">
      <w:pPr>
        <w:pStyle w:val="paragraph"/>
        <w:numPr>
          <w:ilvl w:val="0"/>
          <w:numId w:val="64"/>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PN: Promissory note </w:t>
      </w:r>
      <w:r w:rsidRPr="00E76A09">
        <w:rPr>
          <w:rStyle w:val="eop"/>
          <w:rFonts w:ascii="Aptos" w:hAnsi="Aptos" w:cs="Segoe UI"/>
          <w:sz w:val="22"/>
          <w:szCs w:val="22"/>
        </w:rPr>
        <w:t> </w:t>
      </w:r>
    </w:p>
    <w:p w14:paraId="59D58DD6" w14:textId="77777777" w:rsidR="000F479B" w:rsidRPr="00E76A09" w:rsidRDefault="000F479B" w:rsidP="005F1FB6">
      <w:pPr>
        <w:pStyle w:val="paragraph"/>
        <w:numPr>
          <w:ilvl w:val="0"/>
          <w:numId w:val="65"/>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RBP: Results-based payments (can also be known as results-based finance) </w:t>
      </w:r>
      <w:r w:rsidRPr="00E76A09">
        <w:rPr>
          <w:rStyle w:val="eop"/>
          <w:rFonts w:ascii="Aptos" w:hAnsi="Aptos" w:cs="Segoe UI"/>
          <w:sz w:val="22"/>
          <w:szCs w:val="22"/>
        </w:rPr>
        <w:t> </w:t>
      </w:r>
    </w:p>
    <w:p w14:paraId="70AF35AA" w14:textId="77777777" w:rsidR="000F479B" w:rsidRPr="00E76A09" w:rsidRDefault="000F479B" w:rsidP="005F1FB6">
      <w:pPr>
        <w:pStyle w:val="paragraph"/>
        <w:numPr>
          <w:ilvl w:val="0"/>
          <w:numId w:val="66"/>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RDEL: Resource Departmental Expenditure Limits </w:t>
      </w:r>
      <w:r w:rsidRPr="00E76A09">
        <w:rPr>
          <w:rStyle w:val="eop"/>
          <w:rFonts w:ascii="Aptos" w:hAnsi="Aptos" w:cs="Segoe UI"/>
          <w:sz w:val="22"/>
          <w:szCs w:val="22"/>
        </w:rPr>
        <w:t> </w:t>
      </w:r>
    </w:p>
    <w:p w14:paraId="0CAA9C51" w14:textId="4870F241" w:rsidR="000F479B" w:rsidRPr="00E76A09" w:rsidRDefault="000F479B" w:rsidP="005F1FB6">
      <w:pPr>
        <w:pStyle w:val="paragraph"/>
        <w:numPr>
          <w:ilvl w:val="0"/>
          <w:numId w:val="67"/>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REDD+: Reducing Emissions from Deforestation and forest Degradation </w:t>
      </w:r>
      <w:r w:rsidRPr="00E76A09">
        <w:rPr>
          <w:rStyle w:val="eop"/>
          <w:rFonts w:ascii="Aptos" w:hAnsi="Aptos" w:cs="Segoe UI"/>
          <w:sz w:val="22"/>
          <w:szCs w:val="22"/>
        </w:rPr>
        <w:t> </w:t>
      </w:r>
    </w:p>
    <w:p w14:paraId="083B9616" w14:textId="77777777" w:rsidR="000F479B" w:rsidRPr="00E76A09" w:rsidRDefault="000F479B" w:rsidP="005F1FB6">
      <w:pPr>
        <w:pStyle w:val="paragraph"/>
        <w:numPr>
          <w:ilvl w:val="0"/>
          <w:numId w:val="68"/>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SCALE: Scaling Climate Action by Lowering Emissions </w:t>
      </w:r>
      <w:r w:rsidRPr="00E76A09">
        <w:rPr>
          <w:rStyle w:val="eop"/>
          <w:rFonts w:ascii="Aptos" w:hAnsi="Aptos" w:cs="Segoe UI"/>
          <w:sz w:val="22"/>
          <w:szCs w:val="22"/>
        </w:rPr>
        <w:t> </w:t>
      </w:r>
    </w:p>
    <w:p w14:paraId="70F9887B" w14:textId="77777777" w:rsidR="000F479B" w:rsidRPr="00E76A09" w:rsidRDefault="000F479B" w:rsidP="005F1FB6">
      <w:pPr>
        <w:pStyle w:val="paragraph"/>
        <w:numPr>
          <w:ilvl w:val="0"/>
          <w:numId w:val="69"/>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TFFF: Tropical Forests Forever Facility </w:t>
      </w:r>
      <w:r w:rsidRPr="00E76A09">
        <w:rPr>
          <w:rStyle w:val="eop"/>
          <w:rFonts w:ascii="Aptos" w:hAnsi="Aptos" w:cs="Segoe UI"/>
          <w:sz w:val="22"/>
          <w:szCs w:val="22"/>
        </w:rPr>
        <w:t> </w:t>
      </w:r>
    </w:p>
    <w:p w14:paraId="2FF5C342" w14:textId="77777777" w:rsidR="000F479B" w:rsidRPr="00E76A09" w:rsidRDefault="000F479B" w:rsidP="005F1FB6">
      <w:pPr>
        <w:pStyle w:val="paragraph"/>
        <w:numPr>
          <w:ilvl w:val="0"/>
          <w:numId w:val="70"/>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TREES: The REDD+ Environmental Excellence Standard </w:t>
      </w:r>
      <w:r w:rsidRPr="00E76A09">
        <w:rPr>
          <w:rStyle w:val="eop"/>
          <w:rFonts w:ascii="Aptos" w:hAnsi="Aptos" w:cs="Segoe UI"/>
          <w:sz w:val="22"/>
          <w:szCs w:val="22"/>
        </w:rPr>
        <w:t> </w:t>
      </w:r>
    </w:p>
    <w:p w14:paraId="02507619" w14:textId="77777777" w:rsidR="000F479B" w:rsidRPr="00E76A09" w:rsidRDefault="000F479B" w:rsidP="005F1FB6">
      <w:pPr>
        <w:pStyle w:val="paragraph"/>
        <w:numPr>
          <w:ilvl w:val="0"/>
          <w:numId w:val="71"/>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UNDP: United Nations Development Programme</w:t>
      </w:r>
      <w:r w:rsidRPr="00E76A09">
        <w:rPr>
          <w:rStyle w:val="eop"/>
          <w:rFonts w:ascii="Aptos" w:hAnsi="Aptos" w:cs="Segoe UI"/>
          <w:sz w:val="22"/>
          <w:szCs w:val="22"/>
        </w:rPr>
        <w:t> </w:t>
      </w:r>
    </w:p>
    <w:p w14:paraId="63CF5C9F" w14:textId="77777777" w:rsidR="000F479B" w:rsidRPr="00E76A09" w:rsidRDefault="000F479B" w:rsidP="005F1FB6">
      <w:pPr>
        <w:pStyle w:val="paragraph"/>
        <w:numPr>
          <w:ilvl w:val="0"/>
          <w:numId w:val="72"/>
        </w:numPr>
        <w:spacing w:before="0" w:beforeAutospacing="0" w:after="0" w:afterAutospacing="0"/>
        <w:ind w:left="284" w:firstLine="0"/>
        <w:textAlignment w:val="baseline"/>
        <w:rPr>
          <w:rFonts w:ascii="Aptos" w:hAnsi="Aptos" w:cs="Segoe UI"/>
          <w:sz w:val="22"/>
          <w:szCs w:val="22"/>
        </w:rPr>
      </w:pPr>
      <w:r w:rsidRPr="00E76A09">
        <w:rPr>
          <w:rStyle w:val="normaltextrun"/>
          <w:rFonts w:ascii="Aptos" w:hAnsi="Aptos" w:cs="Segoe UI"/>
          <w:sz w:val="22"/>
          <w:szCs w:val="22"/>
        </w:rPr>
        <w:t>UNFCCC: United Nations Convention on Climate Change </w:t>
      </w:r>
      <w:r w:rsidRPr="00E76A09">
        <w:rPr>
          <w:rStyle w:val="eop"/>
          <w:rFonts w:ascii="Aptos" w:hAnsi="Aptos" w:cs="Segoe UI"/>
          <w:sz w:val="22"/>
          <w:szCs w:val="22"/>
        </w:rPr>
        <w:t> </w:t>
      </w:r>
    </w:p>
    <w:p w14:paraId="25211ACE" w14:textId="77777777" w:rsidR="000F479B" w:rsidRPr="00E76A09" w:rsidRDefault="000F479B" w:rsidP="000F479B">
      <w:pPr>
        <w:pStyle w:val="paragraph"/>
        <w:spacing w:before="0" w:beforeAutospacing="0" w:after="0" w:afterAutospacing="0"/>
        <w:ind w:left="284"/>
        <w:textAlignment w:val="baseline"/>
        <w:rPr>
          <w:rFonts w:ascii="Segoe UI" w:hAnsi="Segoe UI" w:cs="Segoe UI"/>
          <w:sz w:val="18"/>
          <w:szCs w:val="18"/>
        </w:rPr>
      </w:pPr>
      <w:r w:rsidRPr="00E76A09">
        <w:rPr>
          <w:rStyle w:val="eop"/>
          <w:rFonts w:ascii="Arial" w:hAnsi="Arial" w:cs="Arial"/>
        </w:rPr>
        <w:t> </w:t>
      </w:r>
    </w:p>
    <w:p w14:paraId="613030DF" w14:textId="7C3C69AE" w:rsidR="0008253D" w:rsidRPr="00E76A09" w:rsidRDefault="0008253D" w:rsidP="006B6ECE">
      <w:pPr>
        <w:ind w:left="360"/>
        <w:rPr>
          <w:b/>
          <w:bCs/>
          <w:i/>
          <w:iCs/>
          <w:sz w:val="22"/>
          <w:szCs w:val="22"/>
          <w:u w:val="single"/>
        </w:rPr>
      </w:pPr>
      <w:r w:rsidRPr="00E76A09">
        <w:rPr>
          <w:b/>
          <w:bCs/>
          <w:i/>
          <w:iCs/>
          <w:sz w:val="22"/>
          <w:szCs w:val="22"/>
          <w:u w:val="single"/>
        </w:rPr>
        <w:br w:type="page"/>
      </w:r>
    </w:p>
    <w:p w14:paraId="763B0DE0" w14:textId="6D36A038" w:rsidR="00F578AE" w:rsidRPr="00E76A09" w:rsidRDefault="00F578AE" w:rsidP="004258E7">
      <w:pPr>
        <w:pStyle w:val="BCSectionTitles"/>
      </w:pPr>
      <w:r w:rsidRPr="00E76A09">
        <w:lastRenderedPageBreak/>
        <w:t xml:space="preserve">Intervention Summary </w:t>
      </w:r>
      <w:r w:rsidR="003D510B" w:rsidRPr="00E76A09">
        <w:tab/>
      </w:r>
    </w:p>
    <w:p w14:paraId="02015113" w14:textId="44FB78BB" w:rsidR="002F7848" w:rsidRPr="00E76A09" w:rsidRDefault="002F7848" w:rsidP="004258E7">
      <w:pPr>
        <w:spacing w:before="0" w:after="0" w:line="240" w:lineRule="auto"/>
        <w:jc w:val="both"/>
        <w:rPr>
          <w:b/>
          <w:i/>
          <w:iCs/>
          <w:sz w:val="22"/>
          <w:szCs w:val="22"/>
        </w:rPr>
      </w:pPr>
      <w:r w:rsidRPr="00E76A09">
        <w:rPr>
          <w:b/>
          <w:i/>
          <w:iCs/>
          <w:sz w:val="22"/>
          <w:szCs w:val="22"/>
        </w:rPr>
        <w:t xml:space="preserve">Approval sought </w:t>
      </w:r>
    </w:p>
    <w:p w14:paraId="63A2530A" w14:textId="63DE1661" w:rsidR="002F7848" w:rsidRPr="00E76A09" w:rsidRDefault="002F7848" w:rsidP="3C4B190A">
      <w:pPr>
        <w:spacing w:before="0" w:after="0" w:line="240" w:lineRule="auto"/>
        <w:jc w:val="both"/>
        <w:rPr>
          <w:sz w:val="22"/>
          <w:szCs w:val="22"/>
        </w:rPr>
      </w:pPr>
      <w:r w:rsidRPr="00E76A09">
        <w:rPr>
          <w:sz w:val="22"/>
          <w:szCs w:val="22"/>
        </w:rPr>
        <w:t>DESNZ is seeking</w:t>
      </w:r>
      <w:r w:rsidR="2676E68E" w:rsidRPr="00E76A09">
        <w:rPr>
          <w:sz w:val="22"/>
          <w:szCs w:val="22"/>
        </w:rPr>
        <w:t xml:space="preserve"> up to</w:t>
      </w:r>
      <w:r w:rsidRPr="00E76A09">
        <w:rPr>
          <w:sz w:val="22"/>
          <w:szCs w:val="22"/>
        </w:rPr>
        <w:t xml:space="preserve"> an additional £20.9</w:t>
      </w:r>
      <w:r w:rsidR="00FD5EF9" w:rsidRPr="00E76A09">
        <w:rPr>
          <w:sz w:val="22"/>
          <w:szCs w:val="22"/>
        </w:rPr>
        <w:t>m</w:t>
      </w:r>
      <w:r w:rsidR="12B09F89" w:rsidRPr="00E76A09">
        <w:rPr>
          <w:sz w:val="22"/>
          <w:szCs w:val="22"/>
        </w:rPr>
        <w:t xml:space="preserve"> (£10m RDEL, £10.9m CDEL)</w:t>
      </w:r>
      <w:r w:rsidR="00FD5EF9" w:rsidRPr="00E76A09">
        <w:rPr>
          <w:sz w:val="22"/>
          <w:szCs w:val="22"/>
        </w:rPr>
        <w:t xml:space="preserve"> of funding for the Accelerating Innovative Monitoring for Forests (AIM4Forests) programme, and to extend the length of the programme by an additional </w:t>
      </w:r>
      <w:r w:rsidR="001730C7" w:rsidRPr="00E76A09">
        <w:rPr>
          <w:sz w:val="22"/>
          <w:szCs w:val="22"/>
        </w:rPr>
        <w:t xml:space="preserve">2 years. </w:t>
      </w:r>
      <w:r w:rsidR="00FC6117" w:rsidRPr="00E76A09">
        <w:rPr>
          <w:sz w:val="22"/>
          <w:szCs w:val="22"/>
        </w:rPr>
        <w:t>£1</w:t>
      </w:r>
      <w:r w:rsidR="00BD6DBB">
        <w:rPr>
          <w:sz w:val="22"/>
          <w:szCs w:val="22"/>
        </w:rPr>
        <w:t>6</w:t>
      </w:r>
      <w:r w:rsidR="00FC6117" w:rsidRPr="00E76A09">
        <w:rPr>
          <w:sz w:val="22"/>
          <w:szCs w:val="22"/>
        </w:rPr>
        <w:t xml:space="preserve">.9m </w:t>
      </w:r>
      <w:r w:rsidR="001730C7" w:rsidRPr="00E76A09">
        <w:rPr>
          <w:sz w:val="22"/>
          <w:szCs w:val="22"/>
        </w:rPr>
        <w:t xml:space="preserve">of this contribution will be spent within this financial year (FY 25/26). </w:t>
      </w:r>
      <w:r w:rsidR="00FC6117" w:rsidRPr="00E76A09">
        <w:rPr>
          <w:sz w:val="22"/>
          <w:szCs w:val="22"/>
        </w:rPr>
        <w:t>The remaining £</w:t>
      </w:r>
      <w:r w:rsidR="00BD6DBB">
        <w:rPr>
          <w:sz w:val="22"/>
          <w:szCs w:val="22"/>
        </w:rPr>
        <w:t>4</w:t>
      </w:r>
      <w:r w:rsidR="00FC6117" w:rsidRPr="00E76A09">
        <w:rPr>
          <w:sz w:val="22"/>
          <w:szCs w:val="22"/>
        </w:rPr>
        <w:t>m</w:t>
      </w:r>
      <w:r w:rsidR="49725834" w:rsidRPr="00E76A09">
        <w:rPr>
          <w:sz w:val="22"/>
          <w:szCs w:val="22"/>
        </w:rPr>
        <w:t xml:space="preserve"> (all RDEL)</w:t>
      </w:r>
      <w:r w:rsidR="00FC6117" w:rsidRPr="00E76A09">
        <w:rPr>
          <w:sz w:val="22"/>
          <w:szCs w:val="22"/>
        </w:rPr>
        <w:t xml:space="preserve"> is currently unprofiled</w:t>
      </w:r>
      <w:r w:rsidR="146AF20C" w:rsidRPr="00E76A09">
        <w:rPr>
          <w:sz w:val="22"/>
          <w:szCs w:val="22"/>
        </w:rPr>
        <w:t xml:space="preserve"> – see Financial Case</w:t>
      </w:r>
      <w:r w:rsidR="00FC6117" w:rsidRPr="00E76A09">
        <w:rPr>
          <w:sz w:val="22"/>
          <w:szCs w:val="22"/>
        </w:rPr>
        <w:t>.</w:t>
      </w:r>
    </w:p>
    <w:p w14:paraId="3C689652" w14:textId="77777777" w:rsidR="001730C7" w:rsidRPr="00E76A09" w:rsidRDefault="001730C7" w:rsidP="004258E7">
      <w:pPr>
        <w:spacing w:before="0" w:after="0" w:line="240" w:lineRule="auto"/>
        <w:jc w:val="both"/>
        <w:rPr>
          <w:bCs/>
          <w:sz w:val="22"/>
          <w:szCs w:val="22"/>
        </w:rPr>
      </w:pPr>
    </w:p>
    <w:p w14:paraId="3D20B17D" w14:textId="16022C83" w:rsidR="001730C7" w:rsidRPr="00E76A09" w:rsidRDefault="001730C7" w:rsidP="004258E7">
      <w:pPr>
        <w:spacing w:before="0" w:after="0" w:line="240" w:lineRule="auto"/>
        <w:jc w:val="both"/>
        <w:rPr>
          <w:b/>
          <w:i/>
          <w:iCs/>
          <w:sz w:val="22"/>
          <w:szCs w:val="22"/>
        </w:rPr>
      </w:pPr>
      <w:r w:rsidRPr="00E76A09">
        <w:rPr>
          <w:b/>
          <w:i/>
          <w:iCs/>
          <w:sz w:val="22"/>
          <w:szCs w:val="22"/>
        </w:rPr>
        <w:t>Programme activities</w:t>
      </w:r>
    </w:p>
    <w:p w14:paraId="42213E62" w14:textId="4A62C192" w:rsidR="00CC1929" w:rsidRPr="00E76A09" w:rsidRDefault="438D6744" w:rsidP="0F404369">
      <w:pPr>
        <w:spacing w:before="0" w:after="0" w:line="240" w:lineRule="auto"/>
        <w:jc w:val="both"/>
        <w:rPr>
          <w:sz w:val="22"/>
          <w:szCs w:val="22"/>
        </w:rPr>
      </w:pPr>
      <w:r w:rsidRPr="230412B9">
        <w:rPr>
          <w:sz w:val="22"/>
          <w:szCs w:val="22"/>
        </w:rPr>
        <w:t>The Accelerating Innovative Monitoring for Forests (AIM4Forests) Programme was launched by the UK in April 2023, in partnership with The Food and Agriculture Organisation of the United Nations (FAO). The programme is delivered through the FAO’s Forest Monitoring and Data Platforms team, in collaboration with the UN-REDD Programme and the Global Forest Observations Initiative (GFOI). AIM4Forests is a global programme that supports and improves countries’ National Forest Monitoring Systems (NFMS) and</w:t>
      </w:r>
      <w:r w:rsidR="1A49DAB4" w:rsidRPr="230412B9">
        <w:rPr>
          <w:sz w:val="22"/>
          <w:szCs w:val="22"/>
        </w:rPr>
        <w:t xml:space="preserve"> M</w:t>
      </w:r>
      <w:r w:rsidR="38AA4331" w:rsidRPr="230412B9">
        <w:rPr>
          <w:sz w:val="22"/>
          <w:szCs w:val="22"/>
        </w:rPr>
        <w:t>easurement</w:t>
      </w:r>
      <w:r w:rsidR="1A49DAB4" w:rsidRPr="230412B9">
        <w:rPr>
          <w:sz w:val="22"/>
          <w:szCs w:val="22"/>
        </w:rPr>
        <w:t xml:space="preserve">, Reporting and Verification </w:t>
      </w:r>
      <w:r w:rsidR="5A60589A" w:rsidRPr="230412B9">
        <w:rPr>
          <w:sz w:val="22"/>
          <w:szCs w:val="22"/>
        </w:rPr>
        <w:t>(</w:t>
      </w:r>
      <w:r w:rsidRPr="230412B9">
        <w:rPr>
          <w:sz w:val="22"/>
          <w:szCs w:val="22"/>
        </w:rPr>
        <w:t>MRV</w:t>
      </w:r>
      <w:r w:rsidR="0C14035A" w:rsidRPr="230412B9">
        <w:rPr>
          <w:sz w:val="22"/>
          <w:szCs w:val="22"/>
        </w:rPr>
        <w:t>)</w:t>
      </w:r>
      <w:r w:rsidRPr="230412B9">
        <w:rPr>
          <w:sz w:val="22"/>
          <w:szCs w:val="22"/>
        </w:rPr>
        <w:t>. The main goals of AIM4Forests include: </w:t>
      </w:r>
    </w:p>
    <w:p w14:paraId="10631B95" w14:textId="7AA77E59" w:rsidR="00CC1929" w:rsidRPr="00E76A09" w:rsidRDefault="00CC1929" w:rsidP="357E57C4">
      <w:pPr>
        <w:numPr>
          <w:ilvl w:val="0"/>
          <w:numId w:val="73"/>
        </w:numPr>
        <w:spacing w:before="0" w:after="0" w:line="240" w:lineRule="auto"/>
        <w:jc w:val="both"/>
        <w:rPr>
          <w:sz w:val="22"/>
          <w:szCs w:val="22"/>
        </w:rPr>
      </w:pPr>
      <w:r w:rsidRPr="357E57C4">
        <w:rPr>
          <w:sz w:val="22"/>
          <w:szCs w:val="22"/>
        </w:rPr>
        <w:t xml:space="preserve">Addressing the remaining technical and institutional gaps to embed </w:t>
      </w:r>
      <w:r w:rsidR="00CD5F9D" w:rsidRPr="357E57C4">
        <w:rPr>
          <w:sz w:val="22"/>
          <w:szCs w:val="22"/>
        </w:rPr>
        <w:t xml:space="preserve">fit-for-purpose </w:t>
      </w:r>
      <w:r w:rsidRPr="357E57C4">
        <w:rPr>
          <w:sz w:val="22"/>
          <w:szCs w:val="22"/>
        </w:rPr>
        <w:t>national forest monitoring systems into national institutions  </w:t>
      </w:r>
    </w:p>
    <w:p w14:paraId="4525DEC6" w14:textId="43C2F3B8" w:rsidR="00CC1929" w:rsidRPr="00E76A09" w:rsidRDefault="00CC1929" w:rsidP="005F1FB6">
      <w:pPr>
        <w:numPr>
          <w:ilvl w:val="0"/>
          <w:numId w:val="74"/>
        </w:numPr>
        <w:spacing w:before="0" w:after="0" w:line="240" w:lineRule="auto"/>
        <w:jc w:val="both"/>
        <w:rPr>
          <w:bCs/>
          <w:sz w:val="22"/>
          <w:szCs w:val="22"/>
        </w:rPr>
      </w:pPr>
      <w:r w:rsidRPr="00E76A09">
        <w:rPr>
          <w:bCs/>
          <w:sz w:val="22"/>
          <w:szCs w:val="22"/>
        </w:rPr>
        <w:t>Accelerating the alignment, innovation, and deployment of high-integrity datasets to overcome REDD+ MRV methodological challenges, as well as other data and reporting needs around transparent commodity value chains and ecosystem restoration</w:t>
      </w:r>
      <w:r w:rsidR="0B6C0DF9" w:rsidRPr="00E76A09">
        <w:rPr>
          <w:sz w:val="22"/>
          <w:szCs w:val="22"/>
        </w:rPr>
        <w:t xml:space="preserve"> (including Target 2 of the Kunming-Montreal Global Biodiversity Framework)</w:t>
      </w:r>
      <w:r w:rsidRPr="00E76A09">
        <w:rPr>
          <w:sz w:val="22"/>
          <w:szCs w:val="22"/>
        </w:rPr>
        <w:t>;</w:t>
      </w:r>
      <w:r w:rsidRPr="00E76A09">
        <w:rPr>
          <w:bCs/>
          <w:sz w:val="22"/>
          <w:szCs w:val="22"/>
        </w:rPr>
        <w:t xml:space="preserve"> and  </w:t>
      </w:r>
    </w:p>
    <w:p w14:paraId="58E01BE2" w14:textId="77777777" w:rsidR="00CC1929" w:rsidRPr="00E76A09" w:rsidRDefault="00CC1929" w:rsidP="005F1FB6">
      <w:pPr>
        <w:numPr>
          <w:ilvl w:val="0"/>
          <w:numId w:val="75"/>
        </w:numPr>
        <w:spacing w:before="0" w:after="0" w:line="240" w:lineRule="auto"/>
        <w:jc w:val="both"/>
        <w:rPr>
          <w:bCs/>
          <w:sz w:val="22"/>
          <w:szCs w:val="22"/>
        </w:rPr>
      </w:pPr>
      <w:r w:rsidRPr="00E76A09">
        <w:rPr>
          <w:bCs/>
          <w:sz w:val="22"/>
          <w:szCs w:val="22"/>
        </w:rPr>
        <w:t>Enhancing the participation of indigenous peoples and local communities (IPs &amp; LCs) in forest monitoring.  </w:t>
      </w:r>
    </w:p>
    <w:p w14:paraId="289A91A8" w14:textId="77777777" w:rsidR="00CC1929" w:rsidRPr="00E76A09" w:rsidRDefault="00CC1929" w:rsidP="00CC1929">
      <w:pPr>
        <w:spacing w:before="0" w:after="0" w:line="240" w:lineRule="auto"/>
        <w:ind w:left="360"/>
        <w:jc w:val="both"/>
        <w:rPr>
          <w:bCs/>
          <w:sz w:val="22"/>
          <w:szCs w:val="22"/>
        </w:rPr>
      </w:pPr>
      <w:r w:rsidRPr="00E76A09">
        <w:rPr>
          <w:bCs/>
          <w:sz w:val="22"/>
          <w:szCs w:val="22"/>
        </w:rPr>
        <w:t> </w:t>
      </w:r>
    </w:p>
    <w:p w14:paraId="4CD2AABB" w14:textId="7FA1D8C8" w:rsidR="00CC1929" w:rsidRPr="00E76A09" w:rsidRDefault="00CC1929" w:rsidP="004258E7">
      <w:pPr>
        <w:spacing w:before="0" w:after="0" w:line="240" w:lineRule="auto"/>
        <w:jc w:val="both"/>
        <w:rPr>
          <w:bCs/>
          <w:sz w:val="22"/>
          <w:szCs w:val="22"/>
        </w:rPr>
      </w:pPr>
      <w:r w:rsidRPr="00E76A09">
        <w:rPr>
          <w:bCs/>
          <w:sz w:val="22"/>
          <w:szCs w:val="22"/>
        </w:rPr>
        <w:t>The programme intends to eventually work with 20 countries across Africa, Asia and the Pacific, and Latin America and the Caribbean to institutionalize their NFMS and provide high-integrity MRV through modern monitoring technologies, novel learning approaches, and innovation.</w:t>
      </w:r>
      <w:r w:rsidR="007A0C1E" w:rsidRPr="00E76A09">
        <w:rPr>
          <w:rStyle w:val="FootnoteReference"/>
          <w:bCs/>
          <w:sz w:val="22"/>
          <w:szCs w:val="22"/>
        </w:rPr>
        <w:footnoteReference w:id="2"/>
      </w:r>
      <w:r w:rsidRPr="00E76A09">
        <w:rPr>
          <w:bCs/>
          <w:sz w:val="22"/>
          <w:szCs w:val="22"/>
        </w:rPr>
        <w:t> </w:t>
      </w:r>
      <w:r w:rsidR="002421C4" w:rsidRPr="002421C4">
        <w:rPr>
          <w:bCs/>
          <w:sz w:val="22"/>
          <w:szCs w:val="22"/>
        </w:rPr>
        <w:t>The programme routinely looks for opportunities to work with UK-based organisations, where they are best placed to support with programme objectives. For example, this has included close engagement with the UK Centre for Ecology and Hydrology (UKCEH) who are largely implementing work focused on building peat-emit a database on peatland emission factors.</w:t>
      </w:r>
    </w:p>
    <w:p w14:paraId="48EC9376" w14:textId="77777777" w:rsidR="00CC1929" w:rsidRPr="00E76A09" w:rsidRDefault="00CC1929" w:rsidP="004258E7">
      <w:pPr>
        <w:spacing w:before="0" w:after="0" w:line="240" w:lineRule="auto"/>
        <w:jc w:val="both"/>
        <w:rPr>
          <w:bCs/>
          <w:sz w:val="22"/>
          <w:szCs w:val="22"/>
        </w:rPr>
      </w:pPr>
      <w:r w:rsidRPr="00E76A09">
        <w:rPr>
          <w:bCs/>
          <w:sz w:val="22"/>
          <w:szCs w:val="22"/>
        </w:rPr>
        <w:t>  </w:t>
      </w:r>
    </w:p>
    <w:p w14:paraId="36E1F34E" w14:textId="2A3F432E" w:rsidR="00CC1929" w:rsidRPr="00E76A09" w:rsidRDefault="00CC1929" w:rsidP="004258E7">
      <w:pPr>
        <w:spacing w:before="0" w:after="0" w:line="240" w:lineRule="auto"/>
        <w:jc w:val="both"/>
        <w:rPr>
          <w:bCs/>
          <w:sz w:val="22"/>
          <w:szCs w:val="22"/>
        </w:rPr>
      </w:pPr>
      <w:r w:rsidRPr="00E76A09">
        <w:rPr>
          <w:bCs/>
          <w:sz w:val="22"/>
          <w:szCs w:val="22"/>
        </w:rPr>
        <w:t xml:space="preserve">AIM4Forests sets out to achieve an overarching impact of long-term, transformational sustainable land-use management and reduction in deforestation, alongside Greenhouse Gas (GHG) emission reductions from the forest and land-use sector, in line with Paris Agreement &amp; Sustainable Development Goals. The programme provides support to countries through </w:t>
      </w:r>
      <w:proofErr w:type="gramStart"/>
      <w:r w:rsidRPr="00E76A09">
        <w:rPr>
          <w:bCs/>
          <w:sz w:val="22"/>
          <w:szCs w:val="22"/>
        </w:rPr>
        <w:t>a number of</w:t>
      </w:r>
      <w:proofErr w:type="gramEnd"/>
      <w:r w:rsidRPr="00E76A09">
        <w:rPr>
          <w:bCs/>
          <w:sz w:val="22"/>
          <w:szCs w:val="22"/>
        </w:rPr>
        <w:t xml:space="preserve"> activities, </w:t>
      </w:r>
      <w:r w:rsidR="001F6958" w:rsidRPr="00E76A09">
        <w:rPr>
          <w:bCs/>
          <w:sz w:val="22"/>
          <w:szCs w:val="22"/>
        </w:rPr>
        <w:t>under</w:t>
      </w:r>
      <w:r w:rsidRPr="00E76A09">
        <w:rPr>
          <w:bCs/>
          <w:sz w:val="22"/>
          <w:szCs w:val="22"/>
        </w:rPr>
        <w:t xml:space="preserve"> the following six outputs:   </w:t>
      </w:r>
    </w:p>
    <w:p w14:paraId="153FBE39" w14:textId="7D1B76E6" w:rsidR="00CC1929" w:rsidRPr="00E76A09" w:rsidRDefault="00CC1929" w:rsidP="005F1FB6">
      <w:pPr>
        <w:numPr>
          <w:ilvl w:val="0"/>
          <w:numId w:val="76"/>
        </w:numPr>
        <w:spacing w:before="0" w:after="0" w:line="240" w:lineRule="auto"/>
        <w:jc w:val="both"/>
        <w:rPr>
          <w:bCs/>
          <w:sz w:val="22"/>
          <w:szCs w:val="22"/>
        </w:rPr>
      </w:pPr>
      <w:r w:rsidRPr="00E76A09">
        <w:rPr>
          <w:bCs/>
          <w:sz w:val="22"/>
          <w:szCs w:val="22"/>
        </w:rPr>
        <w:t>Technical innovation is advanced and tools and open access learning programmes developed to accelerate NFMS and high-integrity MRV     </w:t>
      </w:r>
    </w:p>
    <w:p w14:paraId="49713DBD" w14:textId="73DAC273" w:rsidR="00CC1929" w:rsidRPr="00E76A09" w:rsidRDefault="00CC1929" w:rsidP="005F1FB6">
      <w:pPr>
        <w:numPr>
          <w:ilvl w:val="0"/>
          <w:numId w:val="77"/>
        </w:numPr>
        <w:spacing w:before="0" w:after="0" w:line="240" w:lineRule="auto"/>
        <w:jc w:val="both"/>
        <w:rPr>
          <w:bCs/>
          <w:sz w:val="22"/>
          <w:szCs w:val="22"/>
        </w:rPr>
      </w:pPr>
      <w:r w:rsidRPr="00E76A09">
        <w:rPr>
          <w:bCs/>
          <w:sz w:val="22"/>
          <w:szCs w:val="22"/>
        </w:rPr>
        <w:t>Methodological challenges are overcome to improve harmonisation and enable generation of high-quality forest data    </w:t>
      </w:r>
    </w:p>
    <w:p w14:paraId="185A5BDF" w14:textId="35793942" w:rsidR="00CC1929" w:rsidRPr="00E76A09" w:rsidRDefault="00CC1929" w:rsidP="005F1FB6">
      <w:pPr>
        <w:numPr>
          <w:ilvl w:val="0"/>
          <w:numId w:val="78"/>
        </w:numPr>
        <w:spacing w:before="0" w:after="0" w:line="240" w:lineRule="auto"/>
        <w:jc w:val="both"/>
        <w:rPr>
          <w:bCs/>
          <w:sz w:val="22"/>
          <w:szCs w:val="22"/>
        </w:rPr>
      </w:pPr>
      <w:r w:rsidRPr="00E76A09">
        <w:rPr>
          <w:bCs/>
          <w:sz w:val="22"/>
          <w:szCs w:val="22"/>
        </w:rPr>
        <w:t xml:space="preserve">Targeted engagement and the bespoke materials enable the participation of indigenous peoples and local communities </w:t>
      </w:r>
      <w:proofErr w:type="spellStart"/>
      <w:r w:rsidRPr="00E76A09">
        <w:rPr>
          <w:bCs/>
          <w:sz w:val="22"/>
          <w:szCs w:val="22"/>
        </w:rPr>
        <w:t>IPs&amp;LCs</w:t>
      </w:r>
      <w:proofErr w:type="spellEnd"/>
      <w:r w:rsidRPr="00E76A09">
        <w:rPr>
          <w:bCs/>
          <w:sz w:val="22"/>
          <w:szCs w:val="22"/>
        </w:rPr>
        <w:t xml:space="preserve"> in forest monitoring and emerging carbon standards forest data   </w:t>
      </w:r>
    </w:p>
    <w:p w14:paraId="5D83362D" w14:textId="5FAEC94F" w:rsidR="00CC1929" w:rsidRPr="00E76A09" w:rsidRDefault="00CC1929" w:rsidP="005F1FB6">
      <w:pPr>
        <w:numPr>
          <w:ilvl w:val="0"/>
          <w:numId w:val="79"/>
        </w:numPr>
        <w:spacing w:before="0" w:after="0" w:line="240" w:lineRule="auto"/>
        <w:jc w:val="both"/>
        <w:rPr>
          <w:bCs/>
          <w:sz w:val="22"/>
          <w:szCs w:val="22"/>
        </w:rPr>
      </w:pPr>
      <w:r w:rsidRPr="00E76A09">
        <w:rPr>
          <w:bCs/>
          <w:sz w:val="22"/>
          <w:szCs w:val="22"/>
        </w:rPr>
        <w:t>An end-to-end Country-Led Planning (CLP) process is designed and delivered </w:t>
      </w:r>
      <w:r w:rsidR="76A5B392" w:rsidRPr="00E76A09">
        <w:rPr>
          <w:sz w:val="22"/>
          <w:szCs w:val="22"/>
        </w:rPr>
        <w:t>to support countries to embed their NFMS and MRV procedures in national institutions (delivered by GFOI)</w:t>
      </w:r>
    </w:p>
    <w:p w14:paraId="0DC25715" w14:textId="52E47B7D" w:rsidR="00CC1929" w:rsidRPr="00E76A09" w:rsidRDefault="00CC1929" w:rsidP="005F1FB6">
      <w:pPr>
        <w:numPr>
          <w:ilvl w:val="0"/>
          <w:numId w:val="80"/>
        </w:numPr>
        <w:spacing w:before="0" w:after="0" w:line="240" w:lineRule="auto"/>
        <w:jc w:val="both"/>
        <w:rPr>
          <w:bCs/>
          <w:sz w:val="22"/>
          <w:szCs w:val="22"/>
        </w:rPr>
      </w:pPr>
      <w:r w:rsidRPr="00E76A09">
        <w:rPr>
          <w:bCs/>
          <w:sz w:val="22"/>
          <w:szCs w:val="22"/>
        </w:rPr>
        <w:t>Technical gaps with forest country NFMS and MRV systems are addressed; and    </w:t>
      </w:r>
    </w:p>
    <w:p w14:paraId="73938855" w14:textId="36BDBB2B" w:rsidR="00CC1929" w:rsidRPr="00E76A09" w:rsidRDefault="42A9AA06" w:rsidP="583ABEC1">
      <w:pPr>
        <w:numPr>
          <w:ilvl w:val="0"/>
          <w:numId w:val="81"/>
        </w:numPr>
        <w:spacing w:before="0" w:after="0" w:line="240" w:lineRule="auto"/>
        <w:jc w:val="both"/>
        <w:rPr>
          <w:sz w:val="22"/>
          <w:szCs w:val="22"/>
        </w:rPr>
      </w:pPr>
      <w:r w:rsidRPr="00E76A09">
        <w:rPr>
          <w:sz w:val="22"/>
          <w:szCs w:val="22"/>
        </w:rPr>
        <w:t>Monitoring for nature restoration is advanced through a global dataset, ensuring transparent monitoring and KMGBF reporting and thereby enabling the implementation of restoration commitments.</w:t>
      </w:r>
      <w:r w:rsidR="00CC1929" w:rsidRPr="00E76A09">
        <w:rPr>
          <w:rStyle w:val="FootnoteReference"/>
          <w:sz w:val="22"/>
          <w:szCs w:val="22"/>
        </w:rPr>
        <w:footnoteReference w:id="3"/>
      </w:r>
      <w:r w:rsidRPr="00E76A09">
        <w:rPr>
          <w:sz w:val="22"/>
          <w:szCs w:val="22"/>
        </w:rPr>
        <w:t> </w:t>
      </w:r>
    </w:p>
    <w:p w14:paraId="4205A2B7" w14:textId="77777777" w:rsidR="00C525C6" w:rsidRPr="00E76A09" w:rsidRDefault="00C525C6" w:rsidP="004258E7">
      <w:pPr>
        <w:spacing w:before="0" w:after="0" w:line="240" w:lineRule="auto"/>
        <w:jc w:val="both"/>
        <w:rPr>
          <w:sz w:val="22"/>
          <w:szCs w:val="22"/>
        </w:rPr>
      </w:pPr>
    </w:p>
    <w:p w14:paraId="3655FA8D" w14:textId="75E0CA35" w:rsidR="00144A2F" w:rsidRPr="00E76A09" w:rsidRDefault="00144A2F" w:rsidP="004258E7">
      <w:pPr>
        <w:spacing w:before="0" w:after="0" w:line="240" w:lineRule="auto"/>
        <w:jc w:val="both"/>
        <w:rPr>
          <w:b/>
          <w:i/>
          <w:iCs/>
          <w:sz w:val="22"/>
          <w:szCs w:val="22"/>
        </w:rPr>
      </w:pPr>
      <w:r w:rsidRPr="00E76A09">
        <w:rPr>
          <w:b/>
          <w:i/>
          <w:iCs/>
          <w:sz w:val="22"/>
          <w:szCs w:val="22"/>
        </w:rPr>
        <w:t xml:space="preserve">Rationale for extension </w:t>
      </w:r>
    </w:p>
    <w:p w14:paraId="1A53A40F" w14:textId="7845CE98" w:rsidR="00CE3C9A" w:rsidRPr="00E76A09" w:rsidRDefault="00CB5CC9" w:rsidP="318C5B58">
      <w:pPr>
        <w:spacing w:before="0" w:after="0" w:line="240" w:lineRule="auto"/>
        <w:jc w:val="both"/>
        <w:rPr>
          <w:sz w:val="22"/>
          <w:szCs w:val="22"/>
        </w:rPr>
      </w:pPr>
      <w:r w:rsidRPr="357E57C4">
        <w:rPr>
          <w:sz w:val="22"/>
          <w:szCs w:val="22"/>
        </w:rPr>
        <w:t xml:space="preserve">There have been increasing requests </w:t>
      </w:r>
      <w:r w:rsidR="00640225" w:rsidRPr="357E57C4">
        <w:rPr>
          <w:sz w:val="22"/>
          <w:szCs w:val="22"/>
        </w:rPr>
        <w:t xml:space="preserve">from forest countries </w:t>
      </w:r>
      <w:r w:rsidRPr="357E57C4">
        <w:rPr>
          <w:sz w:val="22"/>
          <w:szCs w:val="22"/>
        </w:rPr>
        <w:t xml:space="preserve">for </w:t>
      </w:r>
      <w:r w:rsidR="00640225" w:rsidRPr="357E57C4">
        <w:rPr>
          <w:sz w:val="22"/>
          <w:szCs w:val="22"/>
        </w:rPr>
        <w:t xml:space="preserve">greater provision of </w:t>
      </w:r>
      <w:r w:rsidRPr="357E57C4">
        <w:rPr>
          <w:sz w:val="22"/>
          <w:szCs w:val="22"/>
        </w:rPr>
        <w:t xml:space="preserve">in-country assistance </w:t>
      </w:r>
      <w:r w:rsidR="3288C84C" w:rsidRPr="357E57C4">
        <w:rPr>
          <w:sz w:val="22"/>
          <w:szCs w:val="22"/>
        </w:rPr>
        <w:t xml:space="preserve">as the international context in which the programme operates has evolved and new demands have emerged. For example, growing demands for </w:t>
      </w:r>
      <w:r w:rsidR="1B4A474B" w:rsidRPr="357E57C4">
        <w:rPr>
          <w:sz w:val="22"/>
          <w:szCs w:val="22"/>
        </w:rPr>
        <w:t xml:space="preserve">REDD+/ </w:t>
      </w:r>
      <w:r w:rsidR="3288C84C" w:rsidRPr="357E57C4">
        <w:rPr>
          <w:sz w:val="22"/>
          <w:szCs w:val="22"/>
        </w:rPr>
        <w:t>UNFCCC reporting, new opportun</w:t>
      </w:r>
      <w:r w:rsidR="47AAD83C" w:rsidRPr="357E57C4">
        <w:rPr>
          <w:sz w:val="22"/>
          <w:szCs w:val="22"/>
        </w:rPr>
        <w:t>i</w:t>
      </w:r>
      <w:r w:rsidR="3288C84C" w:rsidRPr="357E57C4">
        <w:rPr>
          <w:sz w:val="22"/>
          <w:szCs w:val="22"/>
        </w:rPr>
        <w:t xml:space="preserve">ties for forest countries </w:t>
      </w:r>
      <w:r w:rsidR="48C494EE" w:rsidRPr="357E57C4">
        <w:rPr>
          <w:sz w:val="22"/>
          <w:szCs w:val="22"/>
        </w:rPr>
        <w:t xml:space="preserve">to access forest carbon market opportunities </w:t>
      </w:r>
      <w:r w:rsidR="3288C84C" w:rsidRPr="357E57C4">
        <w:rPr>
          <w:sz w:val="22"/>
          <w:szCs w:val="22"/>
        </w:rPr>
        <w:t>under Article 6 of the P</w:t>
      </w:r>
      <w:r w:rsidR="433BA5FF" w:rsidRPr="357E57C4">
        <w:rPr>
          <w:sz w:val="22"/>
          <w:szCs w:val="22"/>
        </w:rPr>
        <w:t>aris Agreement</w:t>
      </w:r>
      <w:r w:rsidR="7587D7AF" w:rsidRPr="357E57C4">
        <w:rPr>
          <w:sz w:val="22"/>
          <w:szCs w:val="22"/>
        </w:rPr>
        <w:t xml:space="preserve"> which require MRV support</w:t>
      </w:r>
      <w:r w:rsidR="433BA5FF" w:rsidRPr="357E57C4">
        <w:rPr>
          <w:sz w:val="22"/>
          <w:szCs w:val="22"/>
        </w:rPr>
        <w:t xml:space="preserve">, and new reporting requirements under the </w:t>
      </w:r>
      <w:r w:rsidR="1B59B378" w:rsidRPr="357E57C4">
        <w:rPr>
          <w:sz w:val="22"/>
          <w:szCs w:val="22"/>
        </w:rPr>
        <w:t>Kunming-Montreal Global Biodiversity Framework</w:t>
      </w:r>
      <w:r w:rsidR="321C3258" w:rsidRPr="357E57C4">
        <w:rPr>
          <w:sz w:val="22"/>
          <w:szCs w:val="22"/>
        </w:rPr>
        <w:t xml:space="preserve"> </w:t>
      </w:r>
      <w:r w:rsidR="00DA4BFF">
        <w:rPr>
          <w:sz w:val="22"/>
          <w:szCs w:val="22"/>
        </w:rPr>
        <w:t xml:space="preserve">(KMGBF) </w:t>
      </w:r>
      <w:r w:rsidR="321C3258" w:rsidRPr="357E57C4">
        <w:rPr>
          <w:sz w:val="22"/>
          <w:szCs w:val="22"/>
        </w:rPr>
        <w:t>for nature restoration</w:t>
      </w:r>
      <w:r w:rsidR="1B59B378" w:rsidRPr="357E57C4">
        <w:rPr>
          <w:sz w:val="22"/>
          <w:szCs w:val="22"/>
        </w:rPr>
        <w:t>.</w:t>
      </w:r>
      <w:r w:rsidR="3288C84C" w:rsidRPr="357E57C4">
        <w:rPr>
          <w:sz w:val="22"/>
          <w:szCs w:val="22"/>
        </w:rPr>
        <w:t xml:space="preserve"> </w:t>
      </w:r>
      <w:r w:rsidRPr="357E57C4">
        <w:rPr>
          <w:sz w:val="22"/>
          <w:szCs w:val="22"/>
        </w:rPr>
        <w:t xml:space="preserve">AIM4Forests </w:t>
      </w:r>
      <w:r w:rsidR="0BD17DBB" w:rsidRPr="357E57C4">
        <w:rPr>
          <w:sz w:val="22"/>
          <w:szCs w:val="22"/>
        </w:rPr>
        <w:t>has already begun</w:t>
      </w:r>
      <w:r w:rsidRPr="357E57C4">
        <w:rPr>
          <w:sz w:val="22"/>
          <w:szCs w:val="22"/>
        </w:rPr>
        <w:t xml:space="preserve"> to support countries in a variety of ways </w:t>
      </w:r>
      <w:r w:rsidR="6C4E8319" w:rsidRPr="357E57C4">
        <w:rPr>
          <w:sz w:val="22"/>
          <w:szCs w:val="22"/>
        </w:rPr>
        <w:t>to meet</w:t>
      </w:r>
      <w:r w:rsidRPr="357E57C4">
        <w:rPr>
          <w:sz w:val="22"/>
          <w:szCs w:val="22"/>
        </w:rPr>
        <w:t xml:space="preserve"> </w:t>
      </w:r>
      <w:r w:rsidR="642C6EE5" w:rsidRPr="357E57C4">
        <w:rPr>
          <w:sz w:val="22"/>
          <w:szCs w:val="22"/>
        </w:rPr>
        <w:t xml:space="preserve">these varied and growing demands, </w:t>
      </w:r>
      <w:r w:rsidR="00505FD1" w:rsidRPr="357E57C4">
        <w:rPr>
          <w:sz w:val="22"/>
          <w:szCs w:val="22"/>
        </w:rPr>
        <w:t xml:space="preserve">but </w:t>
      </w:r>
      <w:r w:rsidR="642C6EE5" w:rsidRPr="357E57C4">
        <w:rPr>
          <w:sz w:val="22"/>
          <w:szCs w:val="22"/>
        </w:rPr>
        <w:t>this is placing a strain on an already limited budget.</w:t>
      </w:r>
      <w:r w:rsidRPr="357E57C4">
        <w:rPr>
          <w:sz w:val="22"/>
          <w:szCs w:val="22"/>
        </w:rPr>
        <w:t xml:space="preserve"> </w:t>
      </w:r>
      <w:r w:rsidR="00505FD1" w:rsidRPr="357E57C4">
        <w:rPr>
          <w:sz w:val="22"/>
          <w:szCs w:val="22"/>
        </w:rPr>
        <w:t xml:space="preserve">We also anticipate yet further demand should the Brazilians successfully launch the Tropical Forests Forever Facility, a new financial mechanism which rewards tropical forest countries for maintaining forest cover. </w:t>
      </w:r>
      <w:r w:rsidRPr="357E57C4">
        <w:rPr>
          <w:sz w:val="22"/>
          <w:szCs w:val="22"/>
        </w:rPr>
        <w:t xml:space="preserve">   </w:t>
      </w:r>
    </w:p>
    <w:p w14:paraId="574B5930" w14:textId="71763FBE" w:rsidR="00CE3C9A" w:rsidRPr="00E76A09" w:rsidRDefault="00CE3C9A" w:rsidP="318C5B58">
      <w:pPr>
        <w:spacing w:before="0" w:after="0" w:line="240" w:lineRule="auto"/>
        <w:jc w:val="both"/>
        <w:rPr>
          <w:sz w:val="22"/>
          <w:szCs w:val="22"/>
        </w:rPr>
      </w:pPr>
    </w:p>
    <w:p w14:paraId="39173184" w14:textId="2DD3D4FF" w:rsidR="00E82D3B" w:rsidRPr="00E76A09" w:rsidRDefault="00882E56" w:rsidP="318C5B58">
      <w:pPr>
        <w:spacing w:before="0" w:after="0" w:line="240" w:lineRule="auto"/>
        <w:jc w:val="both"/>
        <w:rPr>
          <w:sz w:val="22"/>
          <w:szCs w:val="22"/>
        </w:rPr>
      </w:pPr>
      <w:r w:rsidRPr="00E76A09">
        <w:rPr>
          <w:sz w:val="22"/>
          <w:szCs w:val="22"/>
        </w:rPr>
        <w:t>I</w:t>
      </w:r>
      <w:r w:rsidR="00CB5CC9" w:rsidRPr="00E76A09">
        <w:rPr>
          <w:sz w:val="22"/>
          <w:szCs w:val="22"/>
        </w:rPr>
        <w:t xml:space="preserve">t has become clear that the funding </w:t>
      </w:r>
      <w:r w:rsidR="00BE0640" w:rsidRPr="00E76A09">
        <w:rPr>
          <w:sz w:val="22"/>
          <w:szCs w:val="22"/>
        </w:rPr>
        <w:t xml:space="preserve">allocated </w:t>
      </w:r>
      <w:r w:rsidR="00CB5CC9" w:rsidRPr="00E76A09">
        <w:rPr>
          <w:sz w:val="22"/>
          <w:szCs w:val="22"/>
        </w:rPr>
        <w:t xml:space="preserve">for </w:t>
      </w:r>
      <w:r w:rsidR="33E2CADE" w:rsidRPr="00E76A09">
        <w:rPr>
          <w:sz w:val="22"/>
          <w:szCs w:val="22"/>
        </w:rPr>
        <w:t xml:space="preserve">the in-country </w:t>
      </w:r>
      <w:r w:rsidR="00CB5CC9" w:rsidRPr="00E76A09">
        <w:rPr>
          <w:sz w:val="22"/>
          <w:szCs w:val="22"/>
        </w:rPr>
        <w:t xml:space="preserve">technical assistance </w:t>
      </w:r>
      <w:r w:rsidR="0B16A643" w:rsidRPr="00E76A09">
        <w:rPr>
          <w:sz w:val="22"/>
          <w:szCs w:val="22"/>
        </w:rPr>
        <w:t>(</w:t>
      </w:r>
      <w:r w:rsidR="00CB5CC9" w:rsidRPr="00E76A09">
        <w:rPr>
          <w:sz w:val="22"/>
          <w:szCs w:val="22"/>
        </w:rPr>
        <w:t xml:space="preserve">to </w:t>
      </w:r>
      <w:r w:rsidR="14212AB5" w:rsidRPr="00E76A09">
        <w:rPr>
          <w:sz w:val="22"/>
          <w:szCs w:val="22"/>
        </w:rPr>
        <w:t>address</w:t>
      </w:r>
      <w:r w:rsidR="33E2CADE" w:rsidRPr="00E76A09">
        <w:rPr>
          <w:sz w:val="22"/>
          <w:szCs w:val="22"/>
        </w:rPr>
        <w:t xml:space="preserve"> technical</w:t>
      </w:r>
      <w:r w:rsidR="00CB5CC9" w:rsidRPr="00E76A09">
        <w:rPr>
          <w:sz w:val="22"/>
          <w:szCs w:val="22"/>
        </w:rPr>
        <w:t xml:space="preserve"> gaps in </w:t>
      </w:r>
      <w:r w:rsidR="33E2CADE" w:rsidRPr="00E76A09">
        <w:rPr>
          <w:sz w:val="22"/>
          <w:szCs w:val="22"/>
        </w:rPr>
        <w:t xml:space="preserve">forest country </w:t>
      </w:r>
      <w:r w:rsidR="00CB5CC9" w:rsidRPr="00E76A09">
        <w:rPr>
          <w:sz w:val="22"/>
          <w:szCs w:val="22"/>
        </w:rPr>
        <w:t xml:space="preserve">NFMS and MRV systems) </w:t>
      </w:r>
      <w:r w:rsidR="33E2CADE" w:rsidRPr="00E76A09">
        <w:rPr>
          <w:sz w:val="22"/>
          <w:szCs w:val="22"/>
        </w:rPr>
        <w:t>provided by the</w:t>
      </w:r>
      <w:r w:rsidR="00CB5CC9" w:rsidRPr="00E76A09">
        <w:rPr>
          <w:sz w:val="22"/>
          <w:szCs w:val="22"/>
        </w:rPr>
        <w:t xml:space="preserve"> </w:t>
      </w:r>
      <w:r w:rsidR="33E2CADE" w:rsidRPr="00E76A09">
        <w:rPr>
          <w:sz w:val="22"/>
          <w:szCs w:val="22"/>
        </w:rPr>
        <w:t xml:space="preserve">programme </w:t>
      </w:r>
      <w:r w:rsidR="00CB5CC9" w:rsidRPr="00E76A09">
        <w:rPr>
          <w:sz w:val="22"/>
          <w:szCs w:val="22"/>
        </w:rPr>
        <w:t>is not sufficient</w:t>
      </w:r>
      <w:r w:rsidR="00134597" w:rsidRPr="00E76A09">
        <w:rPr>
          <w:sz w:val="22"/>
          <w:szCs w:val="22"/>
        </w:rPr>
        <w:t>.</w:t>
      </w:r>
      <w:r w:rsidR="00CB5CC9" w:rsidRPr="00E76A09">
        <w:rPr>
          <w:sz w:val="22"/>
          <w:szCs w:val="22"/>
        </w:rPr>
        <w:t xml:space="preserve"> </w:t>
      </w:r>
      <w:r w:rsidR="00134597" w:rsidRPr="00E76A09">
        <w:rPr>
          <w:sz w:val="22"/>
          <w:szCs w:val="22"/>
        </w:rPr>
        <w:t>T</w:t>
      </w:r>
      <w:r w:rsidR="00CB5CC9" w:rsidRPr="00E76A09">
        <w:rPr>
          <w:sz w:val="22"/>
          <w:szCs w:val="22"/>
        </w:rPr>
        <w:t xml:space="preserve">his </w:t>
      </w:r>
      <w:r w:rsidR="00134597" w:rsidRPr="00E76A09">
        <w:rPr>
          <w:sz w:val="22"/>
          <w:szCs w:val="22"/>
        </w:rPr>
        <w:t xml:space="preserve">risk </w:t>
      </w:r>
      <w:r w:rsidR="00CB5CC9" w:rsidRPr="00E76A09">
        <w:rPr>
          <w:sz w:val="22"/>
          <w:szCs w:val="22"/>
        </w:rPr>
        <w:t xml:space="preserve">was noted </w:t>
      </w:r>
      <w:r w:rsidR="002D47CD" w:rsidRPr="00E76A09">
        <w:rPr>
          <w:sz w:val="22"/>
          <w:szCs w:val="22"/>
        </w:rPr>
        <w:t xml:space="preserve">as possible </w:t>
      </w:r>
      <w:r w:rsidR="00CB5CC9" w:rsidRPr="00E76A09">
        <w:rPr>
          <w:sz w:val="22"/>
          <w:szCs w:val="22"/>
        </w:rPr>
        <w:t xml:space="preserve">in the original business case. Based on current </w:t>
      </w:r>
      <w:r w:rsidR="00C35949" w:rsidRPr="00E76A09">
        <w:rPr>
          <w:sz w:val="22"/>
          <w:szCs w:val="22"/>
        </w:rPr>
        <w:t>dema</w:t>
      </w:r>
      <w:r w:rsidR="009E4D45" w:rsidRPr="00E76A09">
        <w:rPr>
          <w:sz w:val="22"/>
          <w:szCs w:val="22"/>
        </w:rPr>
        <w:t>nd</w:t>
      </w:r>
      <w:r w:rsidR="00B447FE" w:rsidRPr="00E76A09">
        <w:rPr>
          <w:sz w:val="22"/>
          <w:szCs w:val="22"/>
        </w:rPr>
        <w:t xml:space="preserve"> profile,</w:t>
      </w:r>
      <w:r w:rsidR="00CB5CC9" w:rsidRPr="00E76A09">
        <w:rPr>
          <w:sz w:val="22"/>
          <w:szCs w:val="22"/>
        </w:rPr>
        <w:t xml:space="preserve"> this funding </w:t>
      </w:r>
      <w:r w:rsidR="00B447FE" w:rsidRPr="00E76A09">
        <w:rPr>
          <w:sz w:val="22"/>
          <w:szCs w:val="22"/>
        </w:rPr>
        <w:t xml:space="preserve">for </w:t>
      </w:r>
      <w:r w:rsidR="00CB5CC9" w:rsidRPr="00E76A09">
        <w:rPr>
          <w:sz w:val="22"/>
          <w:szCs w:val="22"/>
        </w:rPr>
        <w:t xml:space="preserve">in-country work </w:t>
      </w:r>
      <w:r w:rsidR="00B447FE" w:rsidRPr="00E76A09">
        <w:rPr>
          <w:sz w:val="22"/>
          <w:szCs w:val="22"/>
        </w:rPr>
        <w:t xml:space="preserve">will </w:t>
      </w:r>
      <w:r w:rsidR="00CB5CC9" w:rsidRPr="00E76A09">
        <w:rPr>
          <w:sz w:val="22"/>
          <w:szCs w:val="22"/>
        </w:rPr>
        <w:t xml:space="preserve">run out in 2026, two years before the </w:t>
      </w:r>
      <w:r w:rsidR="0030272E" w:rsidRPr="00E76A09">
        <w:rPr>
          <w:sz w:val="22"/>
          <w:szCs w:val="22"/>
        </w:rPr>
        <w:t xml:space="preserve">current </w:t>
      </w:r>
      <w:r w:rsidR="00CB5CC9" w:rsidRPr="00E76A09">
        <w:rPr>
          <w:sz w:val="22"/>
          <w:szCs w:val="22"/>
        </w:rPr>
        <w:t xml:space="preserve">programme end-date. </w:t>
      </w:r>
      <w:r w:rsidR="000910AE">
        <w:rPr>
          <w:sz w:val="22"/>
          <w:szCs w:val="22"/>
        </w:rPr>
        <w:t>‘</w:t>
      </w:r>
      <w:r w:rsidR="00CB5CC9" w:rsidRPr="00E76A09">
        <w:rPr>
          <w:sz w:val="22"/>
          <w:szCs w:val="22"/>
        </w:rPr>
        <w:t>Output 5</w:t>
      </w:r>
      <w:r w:rsidR="000910AE">
        <w:rPr>
          <w:sz w:val="22"/>
          <w:szCs w:val="22"/>
        </w:rPr>
        <w:t>’</w:t>
      </w:r>
      <w:r w:rsidR="00CB5CC9" w:rsidRPr="00E76A09">
        <w:rPr>
          <w:sz w:val="22"/>
          <w:szCs w:val="22"/>
        </w:rPr>
        <w:t xml:space="preserve"> covers </w:t>
      </w:r>
      <w:proofErr w:type="gramStart"/>
      <w:r w:rsidR="00CB5CC9" w:rsidRPr="00E76A09">
        <w:rPr>
          <w:sz w:val="22"/>
          <w:szCs w:val="22"/>
        </w:rPr>
        <w:t>the majority of</w:t>
      </w:r>
      <w:proofErr w:type="gramEnd"/>
      <w:r w:rsidR="00CB5CC9" w:rsidRPr="00E76A09">
        <w:rPr>
          <w:sz w:val="22"/>
          <w:szCs w:val="22"/>
        </w:rPr>
        <w:t xml:space="preserve"> the critical in-country work carried out under </w:t>
      </w:r>
      <w:proofErr w:type="gramStart"/>
      <w:r w:rsidR="00CB5CC9" w:rsidRPr="00E76A09">
        <w:rPr>
          <w:sz w:val="22"/>
          <w:szCs w:val="22"/>
        </w:rPr>
        <w:t>AIM4Forests</w:t>
      </w:r>
      <w:r w:rsidR="00494364" w:rsidRPr="00E76A09">
        <w:rPr>
          <w:sz w:val="22"/>
          <w:szCs w:val="22"/>
        </w:rPr>
        <w:t>,</w:t>
      </w:r>
      <w:r w:rsidR="00CB5CC9" w:rsidRPr="00E76A09">
        <w:rPr>
          <w:sz w:val="22"/>
          <w:szCs w:val="22"/>
        </w:rPr>
        <w:t xml:space="preserve"> </w:t>
      </w:r>
      <w:r w:rsidR="008B4F43" w:rsidRPr="00E76A09">
        <w:rPr>
          <w:sz w:val="22"/>
          <w:szCs w:val="22"/>
        </w:rPr>
        <w:t>and</w:t>
      </w:r>
      <w:proofErr w:type="gramEnd"/>
      <w:r w:rsidR="00CB5CC9" w:rsidRPr="00E76A09">
        <w:rPr>
          <w:sz w:val="22"/>
          <w:szCs w:val="22"/>
        </w:rPr>
        <w:t xml:space="preserve"> is essential to the success of the programme in meeting its long-term goals. This expected budget shortfall will need to be addressed in the next financial year to ensure robust management of the programme, either through reallocation of existing funds or through an increased budget and timeline. </w:t>
      </w:r>
    </w:p>
    <w:p w14:paraId="10A6FA35" w14:textId="613D0393" w:rsidR="00E82D3B" w:rsidRPr="00E76A09" w:rsidRDefault="00E82D3B" w:rsidP="318C5B58">
      <w:pPr>
        <w:spacing w:before="0" w:after="0" w:line="240" w:lineRule="auto"/>
        <w:jc w:val="both"/>
        <w:rPr>
          <w:sz w:val="22"/>
          <w:szCs w:val="22"/>
        </w:rPr>
      </w:pPr>
    </w:p>
    <w:p w14:paraId="57790960" w14:textId="79110BEC" w:rsidR="00CB5CC9" w:rsidRPr="00E76A09" w:rsidRDefault="00CB5CC9" w:rsidP="318C5B58">
      <w:pPr>
        <w:spacing w:before="0" w:after="0" w:line="240" w:lineRule="auto"/>
        <w:jc w:val="both"/>
        <w:rPr>
          <w:sz w:val="22"/>
          <w:szCs w:val="22"/>
        </w:rPr>
      </w:pPr>
      <w:r w:rsidRPr="00E76A09">
        <w:rPr>
          <w:sz w:val="22"/>
          <w:szCs w:val="22"/>
        </w:rPr>
        <w:t>There is also increasing global demand for other forest monitoring support, for example around transparent commodity value chains</w:t>
      </w:r>
      <w:r w:rsidR="38306A8D" w:rsidRPr="00E76A09">
        <w:rPr>
          <w:sz w:val="22"/>
          <w:szCs w:val="22"/>
        </w:rPr>
        <w:t xml:space="preserve"> to ensure the production of sustainable and deforestation-free commodities</w:t>
      </w:r>
      <w:r w:rsidRPr="00E76A09">
        <w:rPr>
          <w:sz w:val="22"/>
          <w:szCs w:val="22"/>
        </w:rPr>
        <w:t>. This means that there are additional demands associated to other parts of the programme that could then benefit from an expansion, requiring additional funding.  </w:t>
      </w:r>
    </w:p>
    <w:p w14:paraId="4D20CD8C" w14:textId="77777777" w:rsidR="00CB5CC9" w:rsidRPr="00E76A09" w:rsidRDefault="00CB5CC9" w:rsidP="004258E7">
      <w:pPr>
        <w:spacing w:before="0" w:after="0" w:line="240" w:lineRule="auto"/>
        <w:jc w:val="both"/>
        <w:rPr>
          <w:bCs/>
          <w:sz w:val="22"/>
          <w:szCs w:val="22"/>
        </w:rPr>
      </w:pPr>
    </w:p>
    <w:p w14:paraId="59698310" w14:textId="5C5602F3" w:rsidR="00CB5CC9" w:rsidRPr="00E76A09" w:rsidRDefault="00CB5CC9" w:rsidP="004258E7">
      <w:pPr>
        <w:spacing w:before="0" w:after="0" w:line="240" w:lineRule="auto"/>
        <w:jc w:val="both"/>
        <w:rPr>
          <w:bCs/>
          <w:sz w:val="22"/>
          <w:szCs w:val="22"/>
        </w:rPr>
      </w:pPr>
      <w:r w:rsidRPr="00E76A09">
        <w:rPr>
          <w:bCs/>
          <w:sz w:val="22"/>
          <w:szCs w:val="22"/>
        </w:rPr>
        <w:t>In addition, AIM4Forests is due to end in 2028</w:t>
      </w:r>
      <w:r w:rsidR="3DFEF31E" w:rsidRPr="00E76A09">
        <w:rPr>
          <w:sz w:val="22"/>
          <w:szCs w:val="22"/>
        </w:rPr>
        <w:t>, and the programme would benefit from an extension to the term of the programme.</w:t>
      </w:r>
      <w:r w:rsidRPr="00E76A09">
        <w:rPr>
          <w:bCs/>
          <w:sz w:val="22"/>
          <w:szCs w:val="22"/>
        </w:rPr>
        <w:t xml:space="preserve"> Extending the programme by two years would increase the impact of the programme and ensure better alignment with key upcoming international policy processes such the </w:t>
      </w:r>
      <w:r w:rsidRPr="00E76A09">
        <w:rPr>
          <w:sz w:val="22"/>
          <w:szCs w:val="22"/>
        </w:rPr>
        <w:t>KMG</w:t>
      </w:r>
      <w:r w:rsidR="0445B377" w:rsidRPr="00E76A09">
        <w:rPr>
          <w:sz w:val="22"/>
          <w:szCs w:val="22"/>
        </w:rPr>
        <w:t>B</w:t>
      </w:r>
      <w:r w:rsidRPr="00E76A09">
        <w:rPr>
          <w:sz w:val="22"/>
          <w:szCs w:val="22"/>
        </w:rPr>
        <w:t>F</w:t>
      </w:r>
      <w:r w:rsidRPr="00E76A09">
        <w:rPr>
          <w:bCs/>
          <w:sz w:val="22"/>
          <w:szCs w:val="22"/>
        </w:rPr>
        <w:t xml:space="preserve"> and the UNFCCC National Determined Contributions (NDCs), providing more opportunity to ensure transformational, long-lasting change.  There are costs associated with extending the activities under AIM4Forests for a further two years, and additional budget would be required. </w:t>
      </w:r>
    </w:p>
    <w:p w14:paraId="44A23287" w14:textId="77777777" w:rsidR="00144A2F" w:rsidRPr="00E76A09" w:rsidRDefault="00144A2F" w:rsidP="004258E7">
      <w:pPr>
        <w:spacing w:before="0" w:after="0" w:line="240" w:lineRule="auto"/>
        <w:jc w:val="both"/>
        <w:rPr>
          <w:bCs/>
          <w:sz w:val="22"/>
          <w:szCs w:val="22"/>
        </w:rPr>
      </w:pPr>
    </w:p>
    <w:p w14:paraId="60FBA248" w14:textId="0474CF58" w:rsidR="00D47AAB" w:rsidRPr="00E76A09" w:rsidRDefault="5B2C07EA" w:rsidP="5717C481">
      <w:pPr>
        <w:spacing w:before="0" w:after="0" w:line="240" w:lineRule="auto"/>
        <w:jc w:val="both"/>
        <w:rPr>
          <w:b/>
          <w:i/>
          <w:iCs/>
          <w:sz w:val="22"/>
          <w:szCs w:val="22"/>
        </w:rPr>
      </w:pPr>
      <w:r w:rsidRPr="00E76A09">
        <w:rPr>
          <w:b/>
          <w:i/>
          <w:iCs/>
          <w:sz w:val="22"/>
          <w:szCs w:val="22"/>
        </w:rPr>
        <w:t xml:space="preserve">Expected results </w:t>
      </w:r>
    </w:p>
    <w:p w14:paraId="0BA5CF66" w14:textId="4D07C538" w:rsidR="00B66697" w:rsidRPr="00E76A09" w:rsidRDefault="5D41CD60" w:rsidP="0AF4FB7A">
      <w:pPr>
        <w:spacing w:before="240" w:after="240" w:line="240" w:lineRule="auto"/>
        <w:jc w:val="both"/>
        <w:rPr>
          <w:rFonts w:ascii="Calibri" w:eastAsia="Calibri" w:hAnsi="Calibri" w:cs="Calibri"/>
          <w:sz w:val="22"/>
          <w:szCs w:val="22"/>
        </w:rPr>
      </w:pPr>
      <w:r w:rsidRPr="00E76A09">
        <w:rPr>
          <w:rFonts w:ascii="Calibri" w:eastAsia="Calibri" w:hAnsi="Calibri" w:cs="Calibri"/>
          <w:sz w:val="22"/>
          <w:szCs w:val="22"/>
        </w:rPr>
        <w:t>The £20.9m</w:t>
      </w:r>
      <w:r w:rsidR="363E51CB" w:rsidRPr="00E76A09">
        <w:rPr>
          <w:rStyle w:val="FootnoteReference"/>
          <w:rFonts w:ascii="Calibri" w:eastAsia="Calibri" w:hAnsi="Calibri" w:cs="Calibri"/>
          <w:sz w:val="22"/>
          <w:szCs w:val="22"/>
        </w:rPr>
        <w:footnoteReference w:id="4"/>
      </w:r>
      <w:r w:rsidRPr="00E76A09">
        <w:rPr>
          <w:rFonts w:ascii="Calibri" w:eastAsia="Calibri" w:hAnsi="Calibri" w:cs="Calibri"/>
          <w:sz w:val="22"/>
          <w:szCs w:val="22"/>
        </w:rPr>
        <w:t xml:space="preserve"> extension will allow AIM4Forests to maintain momentum and deliver a stronger package of results to 2030. Key expected results include:</w:t>
      </w:r>
    </w:p>
    <w:p w14:paraId="79AA55F0" w14:textId="3867B03B" w:rsidR="00B66697" w:rsidRPr="00E76A09" w:rsidRDefault="363E51CB" w:rsidP="5717C481">
      <w:pPr>
        <w:pStyle w:val="ListParagraph"/>
        <w:numPr>
          <w:ilvl w:val="0"/>
          <w:numId w:val="2"/>
        </w:numPr>
        <w:spacing w:before="240" w:after="240" w:line="240" w:lineRule="auto"/>
        <w:jc w:val="both"/>
        <w:rPr>
          <w:rFonts w:ascii="Calibri" w:eastAsia="Calibri" w:hAnsi="Calibri" w:cs="Calibri"/>
          <w:sz w:val="22"/>
          <w:szCs w:val="22"/>
        </w:rPr>
      </w:pPr>
      <w:r w:rsidRPr="00E76A09">
        <w:rPr>
          <w:rFonts w:ascii="Calibri" w:eastAsia="Calibri" w:hAnsi="Calibri" w:cs="Calibri"/>
          <w:b/>
          <w:bCs/>
          <w:sz w:val="22"/>
          <w:szCs w:val="22"/>
        </w:rPr>
        <w:t>Sustained in-country technical assistance (Output 5):</w:t>
      </w:r>
      <w:r w:rsidRPr="00E76A09">
        <w:rPr>
          <w:rFonts w:ascii="Calibri" w:eastAsia="Calibri" w:hAnsi="Calibri" w:cs="Calibri"/>
          <w:sz w:val="22"/>
          <w:szCs w:val="22"/>
        </w:rPr>
        <w:t xml:space="preserve"> Bridging the funding shortfall to avoid a cliff-edge in 2026, enabling continued NFMS institutionalisation, MRV support for REDD+/Article 6, and technical delivery for KMGBF/NDC reporting.</w:t>
      </w:r>
    </w:p>
    <w:p w14:paraId="319B99D8" w14:textId="52B01209" w:rsidR="00B66697" w:rsidRPr="00E76A09" w:rsidRDefault="363E51CB" w:rsidP="5717C481">
      <w:pPr>
        <w:pStyle w:val="ListParagraph"/>
        <w:numPr>
          <w:ilvl w:val="0"/>
          <w:numId w:val="2"/>
        </w:numPr>
        <w:spacing w:before="240" w:after="240" w:line="240" w:lineRule="auto"/>
        <w:jc w:val="both"/>
        <w:rPr>
          <w:rFonts w:ascii="Calibri" w:eastAsia="Calibri" w:hAnsi="Calibri" w:cs="Calibri"/>
          <w:sz w:val="22"/>
          <w:szCs w:val="22"/>
        </w:rPr>
      </w:pPr>
      <w:r w:rsidRPr="00E76A09">
        <w:rPr>
          <w:rFonts w:ascii="Calibri" w:eastAsia="Calibri" w:hAnsi="Calibri" w:cs="Calibri"/>
          <w:b/>
          <w:bCs/>
          <w:sz w:val="22"/>
          <w:szCs w:val="22"/>
        </w:rPr>
        <w:t>Transparent commodity supply chains (AIM4Commodities):</w:t>
      </w:r>
      <w:r w:rsidRPr="00E76A09">
        <w:rPr>
          <w:rFonts w:ascii="Calibri" w:eastAsia="Calibri" w:hAnsi="Calibri" w:cs="Calibri"/>
          <w:sz w:val="22"/>
          <w:szCs w:val="22"/>
        </w:rPr>
        <w:t xml:space="preserve"> Development of core data systems and roll-out in </w:t>
      </w:r>
      <w:r w:rsidR="30F9BA24" w:rsidRPr="00E76A09">
        <w:rPr>
          <w:rFonts w:ascii="Calibri" w:eastAsia="Calibri" w:hAnsi="Calibri" w:cs="Calibri"/>
          <w:sz w:val="22"/>
          <w:szCs w:val="22"/>
        </w:rPr>
        <w:t>an additional</w:t>
      </w:r>
      <w:r w:rsidRPr="00E76A09">
        <w:rPr>
          <w:rFonts w:ascii="Calibri" w:eastAsia="Calibri" w:hAnsi="Calibri" w:cs="Calibri"/>
          <w:sz w:val="22"/>
          <w:szCs w:val="22"/>
        </w:rPr>
        <w:t xml:space="preserve"> 4–8 priority countries, alongside global e-learning, </w:t>
      </w:r>
      <w:r w:rsidR="00A220BB">
        <w:rPr>
          <w:rFonts w:ascii="Calibri" w:eastAsia="Calibri" w:hAnsi="Calibri" w:cs="Calibri"/>
          <w:sz w:val="22"/>
          <w:szCs w:val="22"/>
        </w:rPr>
        <w:t xml:space="preserve">including </w:t>
      </w:r>
      <w:r w:rsidRPr="00E76A09">
        <w:rPr>
          <w:rFonts w:ascii="Calibri" w:eastAsia="Calibri" w:hAnsi="Calibri" w:cs="Calibri"/>
          <w:sz w:val="22"/>
          <w:szCs w:val="22"/>
        </w:rPr>
        <w:t>directly supporting compliance with the EU Deforestation Regulation and similar consumer-side requirements.</w:t>
      </w:r>
    </w:p>
    <w:p w14:paraId="73065A16" w14:textId="5A93EF60" w:rsidR="00B66697" w:rsidRPr="00E76A09" w:rsidRDefault="363E51CB" w:rsidP="5717C481">
      <w:pPr>
        <w:pStyle w:val="ListParagraph"/>
        <w:numPr>
          <w:ilvl w:val="0"/>
          <w:numId w:val="2"/>
        </w:numPr>
        <w:spacing w:before="240" w:after="240" w:line="240" w:lineRule="auto"/>
        <w:jc w:val="both"/>
        <w:rPr>
          <w:rFonts w:ascii="Calibri" w:eastAsia="Calibri" w:hAnsi="Calibri" w:cs="Calibri"/>
          <w:sz w:val="22"/>
          <w:szCs w:val="22"/>
        </w:rPr>
      </w:pPr>
      <w:r w:rsidRPr="00E76A09">
        <w:rPr>
          <w:rFonts w:ascii="Calibri" w:eastAsia="Calibri" w:hAnsi="Calibri" w:cs="Calibri"/>
          <w:b/>
          <w:bCs/>
          <w:sz w:val="22"/>
          <w:szCs w:val="22"/>
        </w:rPr>
        <w:t>Enhanced global datasets for restoration and biodiversity:</w:t>
      </w:r>
      <w:r w:rsidRPr="00E76A09">
        <w:rPr>
          <w:rFonts w:ascii="Calibri" w:eastAsia="Calibri" w:hAnsi="Calibri" w:cs="Calibri"/>
          <w:sz w:val="22"/>
          <w:szCs w:val="22"/>
        </w:rPr>
        <w:t xml:space="preserve"> Expanded monitoring tools to track KMGBF Target 2 (restoration) and ecosystem services, increasing transparency and accountability</w:t>
      </w:r>
      <w:r w:rsidR="5B8552E9" w:rsidRPr="00E76A09">
        <w:rPr>
          <w:rFonts w:ascii="Calibri" w:eastAsia="Calibri" w:hAnsi="Calibri" w:cs="Calibri"/>
          <w:sz w:val="22"/>
          <w:szCs w:val="22"/>
        </w:rPr>
        <w:t xml:space="preserve"> and increasing number of countries receiving support on nature restoration monitoring (40 by 2030)</w:t>
      </w:r>
      <w:r w:rsidRPr="00E76A09">
        <w:rPr>
          <w:rFonts w:ascii="Calibri" w:eastAsia="Calibri" w:hAnsi="Calibri" w:cs="Calibri"/>
          <w:sz w:val="22"/>
          <w:szCs w:val="22"/>
        </w:rPr>
        <w:t>.</w:t>
      </w:r>
    </w:p>
    <w:p w14:paraId="7539AFFF" w14:textId="1A15415B" w:rsidR="00B66697" w:rsidRPr="00E76A09" w:rsidRDefault="270A7518" w:rsidP="5717C481">
      <w:pPr>
        <w:pStyle w:val="ListParagraph"/>
        <w:numPr>
          <w:ilvl w:val="0"/>
          <w:numId w:val="2"/>
        </w:numPr>
        <w:spacing w:before="240" w:after="240" w:line="240" w:lineRule="auto"/>
        <w:jc w:val="both"/>
        <w:rPr>
          <w:rFonts w:ascii="Calibri" w:eastAsia="Calibri" w:hAnsi="Calibri" w:cs="Calibri"/>
          <w:sz w:val="22"/>
          <w:szCs w:val="22"/>
        </w:rPr>
      </w:pPr>
      <w:r w:rsidRPr="00E76A09">
        <w:rPr>
          <w:rFonts w:ascii="Calibri" w:eastAsia="Calibri" w:hAnsi="Calibri" w:cs="Calibri"/>
          <w:b/>
          <w:bCs/>
          <w:sz w:val="22"/>
          <w:szCs w:val="22"/>
        </w:rPr>
        <w:lastRenderedPageBreak/>
        <w:t>Strengthened participation</w:t>
      </w:r>
      <w:r w:rsidR="69988C03" w:rsidRPr="00E76A09">
        <w:rPr>
          <w:rFonts w:ascii="Calibri" w:eastAsia="Calibri" w:hAnsi="Calibri" w:cs="Calibri"/>
          <w:b/>
          <w:bCs/>
          <w:sz w:val="22"/>
          <w:szCs w:val="22"/>
        </w:rPr>
        <w:t xml:space="preserve"> of individuals and organisations (TA KPI 2)</w:t>
      </w:r>
      <w:r w:rsidR="2778CA90" w:rsidRPr="00E76A09">
        <w:rPr>
          <w:rFonts w:ascii="Calibri" w:eastAsia="Calibri" w:hAnsi="Calibri" w:cs="Calibri"/>
          <w:b/>
          <w:bCs/>
          <w:sz w:val="22"/>
          <w:szCs w:val="22"/>
        </w:rPr>
        <w:t>, including</w:t>
      </w:r>
      <w:r w:rsidRPr="00E76A09">
        <w:rPr>
          <w:rFonts w:ascii="Calibri" w:eastAsia="Calibri" w:hAnsi="Calibri" w:cs="Calibri"/>
          <w:b/>
          <w:bCs/>
          <w:sz w:val="22"/>
          <w:szCs w:val="22"/>
        </w:rPr>
        <w:t xml:space="preserve"> IPLC</w:t>
      </w:r>
      <w:r w:rsidR="059F12F0" w:rsidRPr="00E76A09">
        <w:rPr>
          <w:rFonts w:ascii="Calibri" w:eastAsia="Calibri" w:hAnsi="Calibri" w:cs="Calibri"/>
          <w:b/>
          <w:bCs/>
          <w:sz w:val="22"/>
          <w:szCs w:val="22"/>
        </w:rPr>
        <w:t>s</w:t>
      </w:r>
      <w:r w:rsidR="0A71C769" w:rsidRPr="00E76A09">
        <w:rPr>
          <w:rFonts w:ascii="Calibri" w:eastAsia="Calibri" w:hAnsi="Calibri" w:cs="Calibri"/>
          <w:b/>
          <w:bCs/>
          <w:sz w:val="22"/>
          <w:szCs w:val="22"/>
        </w:rPr>
        <w:t>, women</w:t>
      </w:r>
      <w:r w:rsidR="059F12F0" w:rsidRPr="00E76A09">
        <w:rPr>
          <w:rFonts w:ascii="Calibri" w:eastAsia="Calibri" w:hAnsi="Calibri" w:cs="Calibri"/>
          <w:b/>
          <w:bCs/>
          <w:sz w:val="22"/>
          <w:szCs w:val="22"/>
        </w:rPr>
        <w:t xml:space="preserve"> and smallholders</w:t>
      </w:r>
      <w:r w:rsidRPr="00E76A09">
        <w:rPr>
          <w:rFonts w:ascii="Calibri" w:eastAsia="Calibri" w:hAnsi="Calibri" w:cs="Calibri"/>
          <w:b/>
          <w:bCs/>
          <w:sz w:val="22"/>
          <w:szCs w:val="22"/>
        </w:rPr>
        <w:t>:</w:t>
      </w:r>
      <w:r w:rsidRPr="00E76A09">
        <w:rPr>
          <w:rFonts w:ascii="Calibri" w:eastAsia="Calibri" w:hAnsi="Calibri" w:cs="Calibri"/>
          <w:sz w:val="22"/>
          <w:szCs w:val="22"/>
        </w:rPr>
        <w:t xml:space="preserve"> Continued adaptation of tools (SEPAL, WHISP)</w:t>
      </w:r>
      <w:r w:rsidR="363E51CB" w:rsidRPr="00E76A09">
        <w:rPr>
          <w:rStyle w:val="FootnoteReference"/>
          <w:rFonts w:ascii="Calibri" w:eastAsia="Calibri" w:hAnsi="Calibri" w:cs="Calibri"/>
          <w:sz w:val="22"/>
          <w:szCs w:val="22"/>
        </w:rPr>
        <w:footnoteReference w:id="5"/>
      </w:r>
      <w:r w:rsidRPr="00E76A09">
        <w:rPr>
          <w:rFonts w:ascii="Calibri" w:eastAsia="Calibri" w:hAnsi="Calibri" w:cs="Calibri"/>
          <w:sz w:val="22"/>
          <w:szCs w:val="22"/>
        </w:rPr>
        <w:t xml:space="preserve"> and learning programmes to enable participation of </w:t>
      </w:r>
      <w:r w:rsidR="07D21707" w:rsidRPr="00E76A09">
        <w:rPr>
          <w:rFonts w:ascii="Calibri" w:eastAsia="Calibri" w:hAnsi="Calibri" w:cs="Calibri"/>
          <w:sz w:val="22"/>
          <w:szCs w:val="22"/>
        </w:rPr>
        <w:t>a target of 8000 individuals to 2030 (including</w:t>
      </w:r>
      <w:r w:rsidR="54A46CA6" w:rsidRPr="00E76A09">
        <w:rPr>
          <w:rFonts w:ascii="Calibri" w:eastAsia="Calibri" w:hAnsi="Calibri" w:cs="Calibri"/>
          <w:sz w:val="22"/>
          <w:szCs w:val="22"/>
        </w:rPr>
        <w:t xml:space="preserve"> at least 40%</w:t>
      </w:r>
      <w:r w:rsidR="07D21707" w:rsidRPr="00E76A09">
        <w:rPr>
          <w:rFonts w:ascii="Calibri" w:eastAsia="Calibri" w:hAnsi="Calibri" w:cs="Calibri"/>
          <w:sz w:val="22"/>
          <w:szCs w:val="22"/>
        </w:rPr>
        <w:t xml:space="preserve"> </w:t>
      </w:r>
      <w:r w:rsidRPr="00E76A09">
        <w:rPr>
          <w:rFonts w:ascii="Calibri" w:eastAsia="Calibri" w:hAnsi="Calibri" w:cs="Calibri"/>
          <w:sz w:val="22"/>
          <w:szCs w:val="22"/>
        </w:rPr>
        <w:t>indigenous peoples</w:t>
      </w:r>
      <w:r w:rsidR="249E9ED9" w:rsidRPr="00E76A09">
        <w:rPr>
          <w:rFonts w:ascii="Calibri" w:eastAsia="Calibri" w:hAnsi="Calibri" w:cs="Calibri"/>
          <w:sz w:val="22"/>
          <w:szCs w:val="22"/>
        </w:rPr>
        <w:t>/local communities/smallholders</w:t>
      </w:r>
      <w:r w:rsidRPr="00E76A09">
        <w:rPr>
          <w:rFonts w:ascii="Calibri" w:eastAsia="Calibri" w:hAnsi="Calibri" w:cs="Calibri"/>
          <w:sz w:val="22"/>
          <w:szCs w:val="22"/>
        </w:rPr>
        <w:t>,</w:t>
      </w:r>
      <w:r w:rsidR="0D14C440" w:rsidRPr="00E76A09">
        <w:rPr>
          <w:rFonts w:ascii="Calibri" w:eastAsia="Calibri" w:hAnsi="Calibri" w:cs="Calibri"/>
          <w:sz w:val="22"/>
          <w:szCs w:val="22"/>
        </w:rPr>
        <w:t xml:space="preserve"> and 50%</w:t>
      </w:r>
      <w:r w:rsidRPr="00E76A09">
        <w:rPr>
          <w:rFonts w:ascii="Calibri" w:eastAsia="Calibri" w:hAnsi="Calibri" w:cs="Calibri"/>
          <w:sz w:val="22"/>
          <w:szCs w:val="22"/>
        </w:rPr>
        <w:t xml:space="preserve"> women</w:t>
      </w:r>
      <w:r w:rsidR="3A2B2D3F" w:rsidRPr="00E76A09">
        <w:rPr>
          <w:rFonts w:ascii="Calibri" w:eastAsia="Calibri" w:hAnsi="Calibri" w:cs="Calibri"/>
          <w:sz w:val="22"/>
          <w:szCs w:val="22"/>
        </w:rPr>
        <w:t>)</w:t>
      </w:r>
      <w:r w:rsidR="097EC90A" w:rsidRPr="00E76A09">
        <w:rPr>
          <w:rFonts w:ascii="Calibri" w:eastAsia="Calibri" w:hAnsi="Calibri" w:cs="Calibri"/>
          <w:sz w:val="22"/>
          <w:szCs w:val="22"/>
        </w:rPr>
        <w:t>.</w:t>
      </w:r>
    </w:p>
    <w:p w14:paraId="7F13D311" w14:textId="2E7C192C" w:rsidR="00B66697" w:rsidRPr="00E76A09" w:rsidRDefault="363E51CB" w:rsidP="5717C481">
      <w:pPr>
        <w:pStyle w:val="ListParagraph"/>
        <w:numPr>
          <w:ilvl w:val="0"/>
          <w:numId w:val="2"/>
        </w:numPr>
        <w:spacing w:before="240" w:after="240" w:line="240" w:lineRule="auto"/>
        <w:jc w:val="both"/>
        <w:rPr>
          <w:rFonts w:ascii="Calibri" w:eastAsia="Calibri" w:hAnsi="Calibri" w:cs="Calibri"/>
          <w:sz w:val="22"/>
          <w:szCs w:val="22"/>
        </w:rPr>
      </w:pPr>
      <w:r w:rsidRPr="00E76A09">
        <w:rPr>
          <w:rFonts w:ascii="Calibri" w:eastAsia="Calibri" w:hAnsi="Calibri" w:cs="Calibri"/>
          <w:b/>
          <w:bCs/>
          <w:sz w:val="22"/>
          <w:szCs w:val="22"/>
        </w:rPr>
        <w:t>Carbon benefits:</w:t>
      </w:r>
      <w:r w:rsidRPr="00E76A09">
        <w:rPr>
          <w:rFonts w:ascii="Calibri" w:eastAsia="Calibri" w:hAnsi="Calibri" w:cs="Calibri"/>
          <w:sz w:val="22"/>
          <w:szCs w:val="22"/>
        </w:rPr>
        <w:t xml:space="preserve"> Using the ICF TA KPI 5</w:t>
      </w:r>
      <w:r w:rsidR="7D56FBE9" w:rsidRPr="00E76A09">
        <w:rPr>
          <w:rFonts w:ascii="Calibri" w:eastAsia="Calibri" w:hAnsi="Calibri" w:cs="Calibri"/>
          <w:sz w:val="22"/>
          <w:szCs w:val="22"/>
        </w:rPr>
        <w:t xml:space="preserve"> (Volume of emissions reductions avoided/supported by International Climate Finance technical assistance)</w:t>
      </w:r>
      <w:r w:rsidRPr="00E76A09">
        <w:rPr>
          <w:rFonts w:ascii="Calibri" w:eastAsia="Calibri" w:hAnsi="Calibri" w:cs="Calibri"/>
          <w:sz w:val="22"/>
          <w:szCs w:val="22"/>
        </w:rPr>
        <w:t xml:space="preserve"> contribution methodology, the extension is forecast to support over </w:t>
      </w:r>
      <w:r w:rsidRPr="00E76A09">
        <w:rPr>
          <w:rFonts w:ascii="Calibri" w:eastAsia="Calibri" w:hAnsi="Calibri" w:cs="Calibri"/>
          <w:b/>
          <w:bCs/>
          <w:sz w:val="22"/>
          <w:szCs w:val="22"/>
        </w:rPr>
        <w:t xml:space="preserve">150 </w:t>
      </w:r>
      <w:proofErr w:type="spellStart"/>
      <w:r w:rsidRPr="00E76A09">
        <w:rPr>
          <w:rFonts w:ascii="Calibri" w:eastAsia="Calibri" w:hAnsi="Calibri" w:cs="Calibri"/>
          <w:b/>
          <w:bCs/>
          <w:sz w:val="22"/>
          <w:szCs w:val="22"/>
        </w:rPr>
        <w:t>MtCO₂e</w:t>
      </w:r>
      <w:proofErr w:type="spellEnd"/>
      <w:r w:rsidRPr="00E76A09">
        <w:rPr>
          <w:rFonts w:ascii="Calibri" w:eastAsia="Calibri" w:hAnsi="Calibri" w:cs="Calibri"/>
          <w:b/>
          <w:bCs/>
          <w:sz w:val="22"/>
          <w:szCs w:val="22"/>
        </w:rPr>
        <w:t xml:space="preserve"> verified credits by 2034</w:t>
      </w:r>
      <w:r w:rsidRPr="00E76A09">
        <w:rPr>
          <w:rFonts w:ascii="Calibri" w:eastAsia="Calibri" w:hAnsi="Calibri" w:cs="Calibri"/>
          <w:sz w:val="22"/>
          <w:szCs w:val="22"/>
        </w:rPr>
        <w:t>, exceeding the conservative break-even threshold of 144 Mt. Broader biodiversity, governance and equity benefits sit on top of this.</w:t>
      </w:r>
    </w:p>
    <w:p w14:paraId="5A9CCEEB" w14:textId="301D9652" w:rsidR="00B66697" w:rsidRPr="00E76A09" w:rsidRDefault="363E51CB" w:rsidP="5717C481">
      <w:pPr>
        <w:spacing w:before="240" w:after="240" w:line="240" w:lineRule="auto"/>
        <w:jc w:val="both"/>
      </w:pPr>
      <w:r w:rsidRPr="00E76A09">
        <w:rPr>
          <w:rFonts w:ascii="Calibri" w:eastAsia="Calibri" w:hAnsi="Calibri" w:cs="Calibri"/>
          <w:sz w:val="22"/>
          <w:szCs w:val="22"/>
        </w:rPr>
        <w:t xml:space="preserve">By extending to 2030, the programme will also align delivery with international milestones, ensuring that UK support has maximum strategic impact </w:t>
      </w:r>
      <w:proofErr w:type="gramStart"/>
      <w:r w:rsidRPr="00E76A09">
        <w:rPr>
          <w:rFonts w:ascii="Calibri" w:eastAsia="Calibri" w:hAnsi="Calibri" w:cs="Calibri"/>
          <w:sz w:val="22"/>
          <w:szCs w:val="22"/>
        </w:rPr>
        <w:t>at the moment</w:t>
      </w:r>
      <w:proofErr w:type="gramEnd"/>
      <w:r w:rsidRPr="00E76A09">
        <w:rPr>
          <w:rFonts w:ascii="Calibri" w:eastAsia="Calibri" w:hAnsi="Calibri" w:cs="Calibri"/>
          <w:sz w:val="22"/>
          <w:szCs w:val="22"/>
        </w:rPr>
        <w:t xml:space="preserve"> when partner countries are required to report progress on the KMGBF and submit new NDCs.</w:t>
      </w:r>
    </w:p>
    <w:p w14:paraId="6401A600" w14:textId="543E6474" w:rsidR="00F0303C" w:rsidRPr="00E76A09" w:rsidRDefault="00B66697" w:rsidP="004258E7">
      <w:pPr>
        <w:spacing w:before="0" w:after="0" w:line="240" w:lineRule="auto"/>
        <w:jc w:val="both"/>
        <w:rPr>
          <w:b/>
          <w:i/>
          <w:iCs/>
          <w:sz w:val="22"/>
          <w:szCs w:val="22"/>
        </w:rPr>
      </w:pPr>
      <w:r w:rsidRPr="00E76A09">
        <w:rPr>
          <w:b/>
          <w:i/>
          <w:iCs/>
          <w:sz w:val="22"/>
          <w:szCs w:val="22"/>
        </w:rPr>
        <w:t>Strate</w:t>
      </w:r>
      <w:r w:rsidR="00F0303C" w:rsidRPr="00E76A09">
        <w:rPr>
          <w:b/>
          <w:i/>
          <w:iCs/>
          <w:sz w:val="22"/>
          <w:szCs w:val="22"/>
        </w:rPr>
        <w:t xml:space="preserve">gic fit </w:t>
      </w:r>
    </w:p>
    <w:p w14:paraId="7FE60340" w14:textId="1E2C0928" w:rsidR="4EC0D5D3" w:rsidRPr="00E76A09" w:rsidRDefault="0B3CE7F4" w:rsidP="004258E7">
      <w:pPr>
        <w:spacing w:before="0" w:after="0" w:line="240" w:lineRule="auto"/>
        <w:jc w:val="both"/>
        <w:rPr>
          <w:sz w:val="22"/>
          <w:szCs w:val="22"/>
        </w:rPr>
      </w:pPr>
      <w:r w:rsidRPr="00E76A09">
        <w:rPr>
          <w:sz w:val="22"/>
          <w:szCs w:val="22"/>
        </w:rPr>
        <w:t xml:space="preserve">The proposal is strongly aligned with HMG, DESNZ and ICF objectives. The programme fits well with UK ODA and Climate Finance objectives, with a clear link to reducing emissions, enabling more effective sustainable land management, enhancing and sustaining livelihoods of forest-dependent communities, increasing ambition, and advancing towards transformational change. </w:t>
      </w:r>
    </w:p>
    <w:p w14:paraId="4F324273" w14:textId="760DE09E" w:rsidR="4EC0D5D3" w:rsidRPr="00E76A09" w:rsidRDefault="0B3CE7F4" w:rsidP="004258E7">
      <w:pPr>
        <w:spacing w:before="0" w:after="0" w:line="240" w:lineRule="auto"/>
        <w:jc w:val="both"/>
      </w:pPr>
      <w:r w:rsidRPr="00E76A09">
        <w:rPr>
          <w:sz w:val="22"/>
          <w:szCs w:val="22"/>
        </w:rPr>
        <w:t xml:space="preserve"> </w:t>
      </w:r>
    </w:p>
    <w:p w14:paraId="268FBB06" w14:textId="608DCDB7" w:rsidR="4EC0D5D3" w:rsidRPr="00E76A09" w:rsidRDefault="0B3CE7F4" w:rsidP="004258E7">
      <w:pPr>
        <w:spacing w:before="0" w:after="0" w:line="240" w:lineRule="auto"/>
        <w:jc w:val="both"/>
      </w:pPr>
      <w:r w:rsidRPr="57AB4C69">
        <w:rPr>
          <w:sz w:val="22"/>
          <w:szCs w:val="22"/>
        </w:rPr>
        <w:t xml:space="preserve">In addition to the fit with broader UK priorities, support for </w:t>
      </w:r>
      <w:r w:rsidR="3D8AA71F" w:rsidRPr="57AB4C69">
        <w:rPr>
          <w:sz w:val="22"/>
          <w:szCs w:val="22"/>
        </w:rPr>
        <w:t xml:space="preserve">forest monitoring and </w:t>
      </w:r>
      <w:r w:rsidRPr="57AB4C69">
        <w:rPr>
          <w:sz w:val="22"/>
          <w:szCs w:val="22"/>
        </w:rPr>
        <w:t>MRV also sits firmly within UK ICF priorities. Over 2021-2026, the UK has committed £3 billion International Climate Finance for nature, of which £1.5 billion is specifically for protecting and restoring international forests and supporting forest livelihoods. Effective</w:t>
      </w:r>
      <w:r w:rsidR="7847B6AF" w:rsidRPr="57AB4C69">
        <w:rPr>
          <w:sz w:val="22"/>
          <w:szCs w:val="22"/>
        </w:rPr>
        <w:t xml:space="preserve"> forest monitoring and</w:t>
      </w:r>
      <w:r w:rsidRPr="57AB4C69">
        <w:rPr>
          <w:sz w:val="22"/>
          <w:szCs w:val="22"/>
        </w:rPr>
        <w:t xml:space="preserve"> MRV systems for forest carbon emissions directly support forest countries in their efforts towards climate mitigation, to translate national data into meaningful, informed actions on reducing deforestation, forest degradation and other land-use management.</w:t>
      </w:r>
    </w:p>
    <w:p w14:paraId="746AB7D8" w14:textId="77777777" w:rsidR="00520455" w:rsidRPr="00E76A09" w:rsidRDefault="00520455" w:rsidP="004258E7">
      <w:pPr>
        <w:spacing w:before="0" w:after="0" w:line="240" w:lineRule="auto"/>
        <w:jc w:val="both"/>
        <w:rPr>
          <w:bCs/>
          <w:sz w:val="22"/>
          <w:szCs w:val="22"/>
        </w:rPr>
      </w:pPr>
    </w:p>
    <w:p w14:paraId="12B297D6" w14:textId="394D8630" w:rsidR="00F0303C" w:rsidRPr="00E76A09" w:rsidRDefault="00F0303C" w:rsidP="004258E7">
      <w:pPr>
        <w:spacing w:before="0" w:after="0" w:line="240" w:lineRule="auto"/>
        <w:jc w:val="both"/>
        <w:rPr>
          <w:b/>
          <w:i/>
          <w:iCs/>
          <w:sz w:val="22"/>
          <w:szCs w:val="22"/>
        </w:rPr>
      </w:pPr>
      <w:r w:rsidRPr="00E76A09">
        <w:rPr>
          <w:b/>
          <w:i/>
          <w:iCs/>
          <w:sz w:val="22"/>
          <w:szCs w:val="22"/>
        </w:rPr>
        <w:t xml:space="preserve">Key risks </w:t>
      </w:r>
    </w:p>
    <w:p w14:paraId="7A64D145" w14:textId="310FB748" w:rsidR="003E010D" w:rsidRPr="00E76A09" w:rsidRDefault="32BB9FDC" w:rsidP="004258E7">
      <w:pPr>
        <w:spacing w:before="0" w:after="0" w:line="240" w:lineRule="auto"/>
        <w:jc w:val="both"/>
        <w:rPr>
          <w:sz w:val="22"/>
          <w:szCs w:val="22"/>
        </w:rPr>
      </w:pPr>
      <w:r w:rsidRPr="00E76A09">
        <w:rPr>
          <w:sz w:val="22"/>
          <w:szCs w:val="22"/>
        </w:rPr>
        <w:t>The programme’s risk profile is Moderate</w:t>
      </w:r>
      <w:r w:rsidR="30986367" w:rsidRPr="00E76A09">
        <w:rPr>
          <w:sz w:val="22"/>
          <w:szCs w:val="22"/>
        </w:rPr>
        <w:t>, and</w:t>
      </w:r>
      <w:r w:rsidR="45E7A8E2" w:rsidRPr="00E76A09">
        <w:rPr>
          <w:sz w:val="22"/>
          <w:szCs w:val="22"/>
        </w:rPr>
        <w:t xml:space="preserve"> </w:t>
      </w:r>
      <w:r w:rsidR="152CED5E" w:rsidRPr="00E76A09">
        <w:rPr>
          <w:sz w:val="22"/>
          <w:szCs w:val="22"/>
        </w:rPr>
        <w:t>t</w:t>
      </w:r>
      <w:r w:rsidR="45E7A8E2" w:rsidRPr="00E76A09">
        <w:rPr>
          <w:sz w:val="22"/>
          <w:szCs w:val="22"/>
        </w:rPr>
        <w:t xml:space="preserve">his is in line with DESNZ Risk Appetite. </w:t>
      </w:r>
      <w:r w:rsidR="2CB88242" w:rsidRPr="00E76A09">
        <w:rPr>
          <w:sz w:val="22"/>
          <w:szCs w:val="22"/>
        </w:rPr>
        <w:t xml:space="preserve">This </w:t>
      </w:r>
      <w:r w:rsidR="0B99CD3F" w:rsidRPr="00E76A09">
        <w:rPr>
          <w:sz w:val="22"/>
          <w:szCs w:val="22"/>
        </w:rPr>
        <w:t xml:space="preserve">recognises that while there are some risks associated with this proposal, it is an extension to an already well-performing programme that has been delivered to a high standard by FAO. </w:t>
      </w:r>
      <w:r w:rsidR="2CB88242" w:rsidRPr="00E76A09">
        <w:rPr>
          <w:sz w:val="22"/>
          <w:szCs w:val="22"/>
        </w:rPr>
        <w:t xml:space="preserve">The main programme risks have been assessed, and mitigation plans identified. </w:t>
      </w:r>
      <w:r w:rsidR="247A395A" w:rsidRPr="00E76A09">
        <w:rPr>
          <w:sz w:val="22"/>
          <w:szCs w:val="22"/>
        </w:rPr>
        <w:t>Key risks of this extension include</w:t>
      </w:r>
      <w:r w:rsidR="65892F51" w:rsidRPr="00E76A09">
        <w:rPr>
          <w:sz w:val="22"/>
          <w:szCs w:val="22"/>
        </w:rPr>
        <w:t xml:space="preserve">: </w:t>
      </w:r>
    </w:p>
    <w:p w14:paraId="62E78E54" w14:textId="2A3AA4CA" w:rsidR="37F95FE1" w:rsidRPr="00E76A09" w:rsidRDefault="79514A9D" w:rsidP="37F95FE1">
      <w:pPr>
        <w:pStyle w:val="ListParagraph"/>
        <w:numPr>
          <w:ilvl w:val="1"/>
          <w:numId w:val="80"/>
        </w:numPr>
        <w:spacing w:before="0" w:after="0" w:line="240" w:lineRule="auto"/>
        <w:ind w:left="851"/>
        <w:jc w:val="both"/>
        <w:rPr>
          <w:sz w:val="22"/>
          <w:szCs w:val="22"/>
        </w:rPr>
      </w:pPr>
      <w:r w:rsidRPr="57AB4C69">
        <w:rPr>
          <w:sz w:val="22"/>
          <w:szCs w:val="22"/>
        </w:rPr>
        <w:t xml:space="preserve">constrained RDEL budgets which have </w:t>
      </w:r>
      <w:r w:rsidR="00974CF5" w:rsidRPr="57AB4C69">
        <w:rPr>
          <w:sz w:val="22"/>
          <w:szCs w:val="22"/>
        </w:rPr>
        <w:t xml:space="preserve">reduced the proposed spend unless further budget can be </w:t>
      </w:r>
      <w:proofErr w:type="gramStart"/>
      <w:r w:rsidR="00974CF5" w:rsidRPr="57AB4C69">
        <w:rPr>
          <w:sz w:val="22"/>
          <w:szCs w:val="22"/>
        </w:rPr>
        <w:t>identified</w:t>
      </w:r>
      <w:r w:rsidRPr="57AB4C69">
        <w:rPr>
          <w:sz w:val="22"/>
          <w:szCs w:val="22"/>
        </w:rPr>
        <w:t>;</w:t>
      </w:r>
      <w:proofErr w:type="gramEnd"/>
      <w:r w:rsidRPr="57AB4C69">
        <w:rPr>
          <w:sz w:val="22"/>
          <w:szCs w:val="22"/>
        </w:rPr>
        <w:t xml:space="preserve"> </w:t>
      </w:r>
    </w:p>
    <w:p w14:paraId="61720B7B" w14:textId="6F2F6544" w:rsidR="003E010D" w:rsidRPr="00E76A09" w:rsidRDefault="694D3E63" w:rsidP="003E010D">
      <w:pPr>
        <w:pStyle w:val="ListParagraph"/>
        <w:numPr>
          <w:ilvl w:val="1"/>
          <w:numId w:val="80"/>
        </w:numPr>
        <w:spacing w:before="0" w:after="0" w:line="240" w:lineRule="auto"/>
        <w:ind w:left="851"/>
        <w:jc w:val="both"/>
        <w:rPr>
          <w:sz w:val="22"/>
          <w:szCs w:val="22"/>
        </w:rPr>
      </w:pPr>
      <w:r w:rsidRPr="00E76A09">
        <w:rPr>
          <w:sz w:val="22"/>
          <w:szCs w:val="22"/>
        </w:rPr>
        <w:t xml:space="preserve">delivery delays or performance issues that mean funding is not effectively </w:t>
      </w:r>
      <w:proofErr w:type="gramStart"/>
      <w:r w:rsidRPr="00E76A09">
        <w:rPr>
          <w:sz w:val="22"/>
          <w:szCs w:val="22"/>
        </w:rPr>
        <w:t>utilised;</w:t>
      </w:r>
      <w:proofErr w:type="gramEnd"/>
    </w:p>
    <w:p w14:paraId="2FA9EB6F" w14:textId="77777777" w:rsidR="003E010D" w:rsidRPr="00E76A09" w:rsidRDefault="694D3E63" w:rsidP="003E010D">
      <w:pPr>
        <w:pStyle w:val="ListParagraph"/>
        <w:numPr>
          <w:ilvl w:val="1"/>
          <w:numId w:val="80"/>
        </w:numPr>
        <w:spacing w:before="0" w:after="0" w:line="240" w:lineRule="auto"/>
        <w:ind w:left="851"/>
        <w:jc w:val="both"/>
        <w:rPr>
          <w:sz w:val="22"/>
          <w:szCs w:val="22"/>
        </w:rPr>
      </w:pPr>
      <w:r w:rsidRPr="00E76A09">
        <w:rPr>
          <w:sz w:val="22"/>
          <w:szCs w:val="22"/>
        </w:rPr>
        <w:t>changes in the political and econom</w:t>
      </w:r>
      <w:r w:rsidR="2244BA8A" w:rsidRPr="00E76A09">
        <w:rPr>
          <w:sz w:val="22"/>
          <w:szCs w:val="22"/>
        </w:rPr>
        <w:t xml:space="preserve">ic environment in forest countries which reduces </w:t>
      </w:r>
      <w:r w:rsidR="576301C8" w:rsidRPr="00E76A09">
        <w:rPr>
          <w:sz w:val="22"/>
          <w:szCs w:val="22"/>
        </w:rPr>
        <w:t>appetite</w:t>
      </w:r>
      <w:r w:rsidR="2244BA8A" w:rsidRPr="00E76A09">
        <w:rPr>
          <w:sz w:val="22"/>
          <w:szCs w:val="22"/>
        </w:rPr>
        <w:t xml:space="preserve"> for forest protection and forest </w:t>
      </w:r>
      <w:proofErr w:type="gramStart"/>
      <w:r w:rsidR="2244BA8A" w:rsidRPr="00E76A09">
        <w:rPr>
          <w:sz w:val="22"/>
          <w:szCs w:val="22"/>
        </w:rPr>
        <w:t>monitoring;</w:t>
      </w:r>
      <w:proofErr w:type="gramEnd"/>
    </w:p>
    <w:p w14:paraId="5B4E2982" w14:textId="77777777" w:rsidR="003E010D" w:rsidRPr="00E76A09" w:rsidRDefault="2244BA8A" w:rsidP="003E010D">
      <w:pPr>
        <w:pStyle w:val="ListParagraph"/>
        <w:numPr>
          <w:ilvl w:val="1"/>
          <w:numId w:val="80"/>
        </w:numPr>
        <w:spacing w:before="0" w:after="0" w:line="240" w:lineRule="auto"/>
        <w:ind w:left="851"/>
        <w:jc w:val="both"/>
        <w:rPr>
          <w:sz w:val="22"/>
          <w:szCs w:val="22"/>
        </w:rPr>
      </w:pPr>
      <w:r w:rsidRPr="00E76A09">
        <w:rPr>
          <w:sz w:val="22"/>
          <w:szCs w:val="22"/>
        </w:rPr>
        <w:t xml:space="preserve">products </w:t>
      </w:r>
      <w:r w:rsidR="0E56DA32" w:rsidRPr="00E76A09">
        <w:rPr>
          <w:sz w:val="22"/>
          <w:szCs w:val="22"/>
        </w:rPr>
        <w:t>developed</w:t>
      </w:r>
      <w:r w:rsidRPr="00E76A09">
        <w:rPr>
          <w:sz w:val="22"/>
          <w:szCs w:val="22"/>
        </w:rPr>
        <w:t xml:space="preserve"> </w:t>
      </w:r>
      <w:r w:rsidR="23E1351F" w:rsidRPr="00E76A09">
        <w:rPr>
          <w:sz w:val="22"/>
          <w:szCs w:val="22"/>
        </w:rPr>
        <w:t xml:space="preserve">that are of mediocre quality or are less relevant to the priorities of country stakeholders; and </w:t>
      </w:r>
    </w:p>
    <w:p w14:paraId="3B7D0951" w14:textId="7E416531" w:rsidR="00D47AAB" w:rsidRPr="00E76A09" w:rsidRDefault="23E1351F" w:rsidP="003E010D">
      <w:pPr>
        <w:pStyle w:val="ListParagraph"/>
        <w:numPr>
          <w:ilvl w:val="1"/>
          <w:numId w:val="80"/>
        </w:numPr>
        <w:spacing w:before="0" w:after="0" w:line="240" w:lineRule="auto"/>
        <w:ind w:left="851"/>
        <w:jc w:val="both"/>
        <w:rPr>
          <w:sz w:val="22"/>
          <w:szCs w:val="22"/>
        </w:rPr>
      </w:pPr>
      <w:r w:rsidRPr="00E76A09">
        <w:rPr>
          <w:sz w:val="22"/>
          <w:szCs w:val="22"/>
        </w:rPr>
        <w:t xml:space="preserve">consumer-side regulation on deforestation-free commodity production fails to deliver positive results. </w:t>
      </w:r>
    </w:p>
    <w:p w14:paraId="43A7E4D1" w14:textId="2EBE24F9" w:rsidR="63FEDD55" w:rsidRPr="00E76A09" w:rsidRDefault="63FEDD55" w:rsidP="004258E7">
      <w:pPr>
        <w:spacing w:before="0" w:after="0" w:line="240" w:lineRule="auto"/>
        <w:jc w:val="both"/>
        <w:rPr>
          <w:sz w:val="22"/>
          <w:szCs w:val="22"/>
        </w:rPr>
      </w:pPr>
    </w:p>
    <w:p w14:paraId="6565A733" w14:textId="5B13D0FC" w:rsidR="0008253D" w:rsidRPr="00E76A09" w:rsidRDefault="69648FF4" w:rsidP="00721A93">
      <w:pPr>
        <w:spacing w:before="0" w:after="0" w:line="240" w:lineRule="auto"/>
        <w:jc w:val="both"/>
        <w:rPr>
          <w:sz w:val="22"/>
          <w:szCs w:val="22"/>
        </w:rPr>
      </w:pPr>
      <w:r w:rsidRPr="00E76A09">
        <w:rPr>
          <w:sz w:val="22"/>
          <w:szCs w:val="22"/>
        </w:rPr>
        <w:t>The programme will mitigate these risks b</w:t>
      </w:r>
      <w:r w:rsidR="4F750DE5" w:rsidRPr="00E76A09">
        <w:rPr>
          <w:sz w:val="22"/>
          <w:szCs w:val="22"/>
        </w:rPr>
        <w:t>y</w:t>
      </w:r>
      <w:r w:rsidRPr="00E76A09">
        <w:rPr>
          <w:sz w:val="22"/>
          <w:szCs w:val="22"/>
        </w:rPr>
        <w:t xml:space="preserve">: using the existing delivery partner that has demonstrated strong capability and experience in delivering the AIM4Forests programme (as recognised in the previous annual reviews and the </w:t>
      </w:r>
      <w:r w:rsidR="70F81737" w:rsidRPr="00E76A09">
        <w:rPr>
          <w:sz w:val="22"/>
          <w:szCs w:val="22"/>
        </w:rPr>
        <w:t>recently completed</w:t>
      </w:r>
      <w:r w:rsidRPr="00E76A09">
        <w:rPr>
          <w:sz w:val="22"/>
          <w:szCs w:val="22"/>
        </w:rPr>
        <w:t xml:space="preserve"> mid-term review), </w:t>
      </w:r>
      <w:r w:rsidR="4DF8807B" w:rsidRPr="00E76A09">
        <w:rPr>
          <w:sz w:val="22"/>
          <w:szCs w:val="22"/>
        </w:rPr>
        <w:t>ensuring continued engagement with colleagues at Post, appropriate termination clauses within the Standard Administrative Agreement, and continued reportin</w:t>
      </w:r>
      <w:r w:rsidR="47AE3E7F" w:rsidRPr="00E76A09">
        <w:rPr>
          <w:sz w:val="22"/>
          <w:szCs w:val="22"/>
        </w:rPr>
        <w:t xml:space="preserve">g and information sharing from the delivery partner. </w:t>
      </w:r>
    </w:p>
    <w:p w14:paraId="2392A46B" w14:textId="30400DFC" w:rsidR="003036A3" w:rsidRPr="00E76A09" w:rsidRDefault="00F102C1" w:rsidP="00F102C1">
      <w:pPr>
        <w:rPr>
          <w:sz w:val="22"/>
          <w:szCs w:val="22"/>
        </w:rPr>
      </w:pPr>
      <w:r w:rsidRPr="00E76A09">
        <w:rPr>
          <w:sz w:val="22"/>
          <w:szCs w:val="22"/>
        </w:rPr>
        <w:br w:type="page"/>
      </w:r>
    </w:p>
    <w:sdt>
      <w:sdtPr>
        <w:rPr>
          <w:caps w:val="0"/>
          <w:color w:val="auto"/>
          <w:spacing w:val="0"/>
          <w:sz w:val="20"/>
          <w:szCs w:val="20"/>
        </w:rPr>
        <w:id w:val="1133600273"/>
        <w:docPartObj>
          <w:docPartGallery w:val="Table of Contents"/>
          <w:docPartUnique/>
        </w:docPartObj>
      </w:sdtPr>
      <w:sdtEndPr/>
      <w:sdtContent>
        <w:p w14:paraId="52AD7BC3" w14:textId="1C578A69" w:rsidR="00A43803" w:rsidRPr="00E76A09" w:rsidRDefault="00A43803" w:rsidP="006B6ECE">
          <w:pPr>
            <w:pStyle w:val="TOCHeading"/>
            <w:ind w:left="360"/>
          </w:pPr>
          <w:r>
            <w:t>Contents</w:t>
          </w:r>
        </w:p>
        <w:p w14:paraId="65EE51E4" w14:textId="6C4EDE90" w:rsidR="0038632D" w:rsidRPr="003D2A81" w:rsidRDefault="13C20318" w:rsidP="003D2A81">
          <w:pPr>
            <w:pStyle w:val="TOC1"/>
            <w:tabs>
              <w:tab w:val="clear" w:pos="10194"/>
              <w:tab w:val="left" w:pos="390"/>
              <w:tab w:val="right" w:leader="dot" w:pos="10185"/>
            </w:tabs>
            <w:ind w:left="360"/>
            <w:rPr>
              <w:rStyle w:val="Hyperlink"/>
              <w:noProof/>
              <w:kern w:val="2"/>
              <w14:ligatures w14:val="standardContextual"/>
            </w:rPr>
          </w:pPr>
          <w:r>
            <w:fldChar w:fldCharType="begin"/>
          </w:r>
          <w:r w:rsidR="7629368A">
            <w:instrText>TOC \o "1-3" \z \u \h</w:instrText>
          </w:r>
          <w:r>
            <w:fldChar w:fldCharType="separate"/>
          </w:r>
          <w:hyperlink w:anchor="_Toc965205176">
            <w:r w:rsidRPr="57AB4C69">
              <w:rPr>
                <w:rStyle w:val="Hyperlink"/>
                <w:noProof/>
              </w:rPr>
              <w:t>1.</w:t>
            </w:r>
            <w:r w:rsidR="7629368A">
              <w:rPr>
                <w:noProof/>
              </w:rPr>
              <w:tab/>
            </w:r>
            <w:r w:rsidRPr="57AB4C69">
              <w:rPr>
                <w:rStyle w:val="Hyperlink"/>
                <w:noProof/>
              </w:rPr>
              <w:t>Strategic Case</w:t>
            </w:r>
            <w:r w:rsidR="7629368A">
              <w:rPr>
                <w:noProof/>
              </w:rPr>
              <w:tab/>
            </w:r>
            <w:r w:rsidR="7629368A">
              <w:rPr>
                <w:noProof/>
              </w:rPr>
              <w:fldChar w:fldCharType="begin"/>
            </w:r>
            <w:r w:rsidR="7629368A">
              <w:rPr>
                <w:noProof/>
              </w:rPr>
              <w:instrText>PAGEREF _Toc965205176 \h</w:instrText>
            </w:r>
            <w:r w:rsidR="7629368A">
              <w:rPr>
                <w:noProof/>
              </w:rPr>
            </w:r>
            <w:r w:rsidR="7629368A">
              <w:rPr>
                <w:noProof/>
              </w:rPr>
              <w:fldChar w:fldCharType="separate"/>
            </w:r>
            <w:r w:rsidR="00037734">
              <w:rPr>
                <w:noProof/>
              </w:rPr>
              <w:t>8</w:t>
            </w:r>
            <w:r w:rsidR="7629368A">
              <w:rPr>
                <w:noProof/>
              </w:rPr>
              <w:fldChar w:fldCharType="end"/>
            </w:r>
          </w:hyperlink>
        </w:p>
        <w:p w14:paraId="02C882FB" w14:textId="44E7BC9B" w:rsidR="0038632D" w:rsidRPr="003D2A81" w:rsidRDefault="13C20318" w:rsidP="003D2A81">
          <w:pPr>
            <w:pStyle w:val="TOC1"/>
            <w:tabs>
              <w:tab w:val="clear" w:pos="10194"/>
              <w:tab w:val="left" w:pos="390"/>
              <w:tab w:val="right" w:leader="dot" w:pos="10185"/>
            </w:tabs>
            <w:ind w:left="360"/>
            <w:rPr>
              <w:rStyle w:val="Hyperlink"/>
              <w:noProof/>
              <w:kern w:val="2"/>
              <w14:ligatures w14:val="standardContextual"/>
            </w:rPr>
          </w:pPr>
          <w:hyperlink w:anchor="_Toc1310467786">
            <w:r w:rsidRPr="57AB4C69">
              <w:rPr>
                <w:rStyle w:val="Hyperlink"/>
                <w:noProof/>
              </w:rPr>
              <w:t>2.</w:t>
            </w:r>
            <w:r>
              <w:rPr>
                <w:noProof/>
              </w:rPr>
              <w:tab/>
            </w:r>
            <w:r w:rsidRPr="57AB4C69">
              <w:rPr>
                <w:rStyle w:val="Hyperlink"/>
                <w:noProof/>
              </w:rPr>
              <w:t>ECONOMIC CASE</w:t>
            </w:r>
            <w:r>
              <w:rPr>
                <w:noProof/>
              </w:rPr>
              <w:tab/>
            </w:r>
            <w:r>
              <w:rPr>
                <w:noProof/>
              </w:rPr>
              <w:fldChar w:fldCharType="begin"/>
            </w:r>
            <w:r>
              <w:rPr>
                <w:noProof/>
              </w:rPr>
              <w:instrText>PAGEREF _Toc1310467786 \h</w:instrText>
            </w:r>
            <w:r>
              <w:rPr>
                <w:noProof/>
              </w:rPr>
            </w:r>
            <w:r>
              <w:rPr>
                <w:noProof/>
              </w:rPr>
              <w:fldChar w:fldCharType="separate"/>
            </w:r>
            <w:r w:rsidR="00037734">
              <w:rPr>
                <w:noProof/>
              </w:rPr>
              <w:t>25</w:t>
            </w:r>
            <w:r>
              <w:rPr>
                <w:noProof/>
              </w:rPr>
              <w:fldChar w:fldCharType="end"/>
            </w:r>
          </w:hyperlink>
        </w:p>
        <w:p w14:paraId="615580EB" w14:textId="26ABE721" w:rsidR="0038632D" w:rsidRPr="003D2A81" w:rsidRDefault="13C20318" w:rsidP="003D2A81">
          <w:pPr>
            <w:pStyle w:val="TOC1"/>
            <w:tabs>
              <w:tab w:val="clear" w:pos="10194"/>
              <w:tab w:val="left" w:pos="390"/>
              <w:tab w:val="right" w:leader="dot" w:pos="10185"/>
            </w:tabs>
            <w:ind w:left="360"/>
            <w:rPr>
              <w:rStyle w:val="Hyperlink"/>
              <w:noProof/>
              <w:kern w:val="2"/>
              <w14:ligatures w14:val="standardContextual"/>
            </w:rPr>
          </w:pPr>
          <w:hyperlink w:anchor="_Toc997935380">
            <w:r w:rsidRPr="57AB4C69">
              <w:rPr>
                <w:rStyle w:val="Hyperlink"/>
                <w:noProof/>
              </w:rPr>
              <w:t>3.</w:t>
            </w:r>
            <w:r>
              <w:rPr>
                <w:noProof/>
              </w:rPr>
              <w:tab/>
            </w:r>
            <w:r w:rsidRPr="57AB4C69">
              <w:rPr>
                <w:rStyle w:val="Hyperlink"/>
                <w:noProof/>
              </w:rPr>
              <w:t>Commercial Case</w:t>
            </w:r>
            <w:r>
              <w:rPr>
                <w:noProof/>
              </w:rPr>
              <w:tab/>
            </w:r>
            <w:r>
              <w:rPr>
                <w:noProof/>
              </w:rPr>
              <w:fldChar w:fldCharType="begin"/>
            </w:r>
            <w:r>
              <w:rPr>
                <w:noProof/>
              </w:rPr>
              <w:instrText>PAGEREF _Toc997935380 \h</w:instrText>
            </w:r>
            <w:r>
              <w:rPr>
                <w:noProof/>
              </w:rPr>
            </w:r>
            <w:r>
              <w:rPr>
                <w:noProof/>
              </w:rPr>
              <w:fldChar w:fldCharType="separate"/>
            </w:r>
            <w:r w:rsidR="00037734">
              <w:rPr>
                <w:noProof/>
              </w:rPr>
              <w:t>31</w:t>
            </w:r>
            <w:r>
              <w:rPr>
                <w:noProof/>
              </w:rPr>
              <w:fldChar w:fldCharType="end"/>
            </w:r>
          </w:hyperlink>
        </w:p>
        <w:p w14:paraId="283F97E2" w14:textId="7566514B" w:rsidR="0038632D" w:rsidRPr="003D2A81" w:rsidRDefault="13C20318" w:rsidP="003D2A81">
          <w:pPr>
            <w:pStyle w:val="TOC1"/>
            <w:tabs>
              <w:tab w:val="clear" w:pos="10194"/>
              <w:tab w:val="left" w:pos="390"/>
              <w:tab w:val="right" w:leader="dot" w:pos="10185"/>
            </w:tabs>
            <w:ind w:left="360"/>
            <w:rPr>
              <w:rStyle w:val="Hyperlink"/>
              <w:noProof/>
              <w:kern w:val="2"/>
              <w14:ligatures w14:val="standardContextual"/>
            </w:rPr>
          </w:pPr>
          <w:hyperlink w:anchor="_Toc184658183">
            <w:r w:rsidRPr="57AB4C69">
              <w:rPr>
                <w:rStyle w:val="Hyperlink"/>
                <w:noProof/>
              </w:rPr>
              <w:t>4.</w:t>
            </w:r>
            <w:r>
              <w:rPr>
                <w:noProof/>
              </w:rPr>
              <w:tab/>
            </w:r>
            <w:r w:rsidRPr="57AB4C69">
              <w:rPr>
                <w:rStyle w:val="Hyperlink"/>
                <w:noProof/>
              </w:rPr>
              <w:t>Financial Case</w:t>
            </w:r>
            <w:r>
              <w:rPr>
                <w:noProof/>
              </w:rPr>
              <w:tab/>
            </w:r>
            <w:r>
              <w:rPr>
                <w:noProof/>
              </w:rPr>
              <w:fldChar w:fldCharType="begin"/>
            </w:r>
            <w:r>
              <w:rPr>
                <w:noProof/>
              </w:rPr>
              <w:instrText>PAGEREF _Toc184658183 \h</w:instrText>
            </w:r>
            <w:r>
              <w:rPr>
                <w:noProof/>
              </w:rPr>
            </w:r>
            <w:r>
              <w:rPr>
                <w:noProof/>
              </w:rPr>
              <w:fldChar w:fldCharType="separate"/>
            </w:r>
            <w:r w:rsidR="00037734">
              <w:rPr>
                <w:noProof/>
              </w:rPr>
              <w:t>35</w:t>
            </w:r>
            <w:r>
              <w:rPr>
                <w:noProof/>
              </w:rPr>
              <w:fldChar w:fldCharType="end"/>
            </w:r>
          </w:hyperlink>
        </w:p>
        <w:p w14:paraId="2AB281C9" w14:textId="01D08AC1" w:rsidR="0038632D" w:rsidRPr="003D2A81" w:rsidRDefault="13C20318" w:rsidP="003D2A81">
          <w:pPr>
            <w:pStyle w:val="TOC1"/>
            <w:tabs>
              <w:tab w:val="clear" w:pos="10194"/>
              <w:tab w:val="left" w:pos="390"/>
              <w:tab w:val="right" w:leader="dot" w:pos="10185"/>
            </w:tabs>
            <w:ind w:left="360"/>
            <w:rPr>
              <w:rStyle w:val="Hyperlink"/>
              <w:noProof/>
              <w:kern w:val="2"/>
              <w14:ligatures w14:val="standardContextual"/>
            </w:rPr>
          </w:pPr>
          <w:hyperlink w:anchor="_Toc597635309">
            <w:r w:rsidRPr="541F9AB9">
              <w:rPr>
                <w:rStyle w:val="Hyperlink"/>
                <w:noProof/>
              </w:rPr>
              <w:t>5.</w:t>
            </w:r>
            <w:r>
              <w:rPr>
                <w:noProof/>
              </w:rPr>
              <w:tab/>
            </w:r>
            <w:r w:rsidRPr="541F9AB9">
              <w:rPr>
                <w:rStyle w:val="Hyperlink"/>
                <w:noProof/>
              </w:rPr>
              <w:t>Management Case</w:t>
            </w:r>
            <w:r>
              <w:rPr>
                <w:noProof/>
              </w:rPr>
              <w:tab/>
            </w:r>
            <w:r>
              <w:rPr>
                <w:noProof/>
              </w:rPr>
              <w:fldChar w:fldCharType="begin"/>
            </w:r>
            <w:r>
              <w:rPr>
                <w:noProof/>
              </w:rPr>
              <w:instrText>PAGEREF _Toc597635309 \h</w:instrText>
            </w:r>
            <w:r>
              <w:rPr>
                <w:noProof/>
              </w:rPr>
            </w:r>
            <w:r>
              <w:rPr>
                <w:noProof/>
              </w:rPr>
              <w:fldChar w:fldCharType="separate"/>
            </w:r>
            <w:r w:rsidR="00037734">
              <w:rPr>
                <w:noProof/>
              </w:rPr>
              <w:t>38</w:t>
            </w:r>
            <w:r>
              <w:rPr>
                <w:noProof/>
              </w:rPr>
              <w:fldChar w:fldCharType="end"/>
            </w:r>
          </w:hyperlink>
        </w:p>
        <w:p w14:paraId="1D29B6D7" w14:textId="3FEEE139" w:rsidR="0038632D" w:rsidRPr="003D2A81" w:rsidRDefault="13C20318" w:rsidP="003D2A81">
          <w:pPr>
            <w:pStyle w:val="TOC1"/>
            <w:tabs>
              <w:tab w:val="clear" w:pos="10194"/>
              <w:tab w:val="right" w:leader="dot" w:pos="10185"/>
            </w:tabs>
            <w:ind w:left="360"/>
            <w:rPr>
              <w:rStyle w:val="Hyperlink"/>
              <w:kern w:val="2"/>
              <w14:ligatures w14:val="standardContextual"/>
            </w:rPr>
          </w:pPr>
          <w:hyperlink w:anchor="_Toc1352281507">
            <w:r w:rsidRPr="541F9AB9">
              <w:rPr>
                <w:rStyle w:val="Hyperlink"/>
                <w:noProof/>
              </w:rPr>
              <w:t>Annexes</w:t>
            </w:r>
            <w:r>
              <w:rPr>
                <w:noProof/>
              </w:rPr>
              <w:tab/>
            </w:r>
            <w:r>
              <w:rPr>
                <w:noProof/>
              </w:rPr>
              <w:fldChar w:fldCharType="begin"/>
            </w:r>
            <w:r>
              <w:rPr>
                <w:noProof/>
              </w:rPr>
              <w:instrText>PAGEREF _Toc1352281507 \h</w:instrText>
            </w:r>
            <w:r>
              <w:rPr>
                <w:noProof/>
              </w:rPr>
            </w:r>
            <w:r>
              <w:rPr>
                <w:noProof/>
              </w:rPr>
              <w:fldChar w:fldCharType="separate"/>
            </w:r>
            <w:r w:rsidR="00037734">
              <w:rPr>
                <w:noProof/>
              </w:rPr>
              <w:t>44</w:t>
            </w:r>
            <w:r>
              <w:rPr>
                <w:noProof/>
              </w:rPr>
              <w:fldChar w:fldCharType="end"/>
            </w:r>
          </w:hyperlink>
          <w:r>
            <w:fldChar w:fldCharType="end"/>
          </w:r>
        </w:p>
      </w:sdtContent>
    </w:sdt>
    <w:p w14:paraId="062FEB01" w14:textId="1B335CA7" w:rsidR="00A43803" w:rsidRPr="00E76A09" w:rsidRDefault="00A43803" w:rsidP="006B6ECE">
      <w:pPr>
        <w:ind w:left="360"/>
      </w:pPr>
    </w:p>
    <w:p w14:paraId="763B0E14" w14:textId="105B2995" w:rsidR="008A73EB" w:rsidRPr="00E76A09" w:rsidRDefault="008A73EB" w:rsidP="006B6ECE">
      <w:pPr>
        <w:ind w:left="360"/>
        <w:rPr>
          <w:sz w:val="22"/>
          <w:szCs w:val="22"/>
        </w:rPr>
      </w:pPr>
      <w:r w:rsidRPr="00E76A09">
        <w:rPr>
          <w:sz w:val="22"/>
          <w:szCs w:val="22"/>
        </w:rPr>
        <w:br w:type="page"/>
      </w:r>
    </w:p>
    <w:p w14:paraId="12B5CF58" w14:textId="2CA62072" w:rsidR="00CD7062" w:rsidRPr="00E76A09" w:rsidRDefault="462485DF" w:rsidP="13C20318">
      <w:pPr>
        <w:pStyle w:val="Heading1"/>
        <w:numPr>
          <w:ilvl w:val="0"/>
          <w:numId w:val="3"/>
        </w:numPr>
        <w:ind w:left="426"/>
      </w:pPr>
      <w:bookmarkStart w:id="0" w:name="_Toc965205176"/>
      <w:r>
        <w:lastRenderedPageBreak/>
        <w:t>Strategic Case</w:t>
      </w:r>
      <w:bookmarkEnd w:id="0"/>
    </w:p>
    <w:p w14:paraId="65EFDDB0" w14:textId="256F6937" w:rsidR="0008253D" w:rsidRPr="00E76A09" w:rsidRDefault="00F77054" w:rsidP="008A7A8B">
      <w:pPr>
        <w:tabs>
          <w:tab w:val="right" w:leader="dot" w:pos="9710"/>
        </w:tabs>
        <w:spacing w:after="0" w:line="240" w:lineRule="auto"/>
        <w:rPr>
          <w:b/>
          <w:bCs/>
          <w:i/>
          <w:iCs/>
          <w:sz w:val="24"/>
          <w:szCs w:val="24"/>
        </w:rPr>
      </w:pPr>
      <w:r w:rsidRPr="00E76A09">
        <w:rPr>
          <w:b/>
          <w:bCs/>
          <w:i/>
          <w:iCs/>
          <w:sz w:val="24"/>
          <w:szCs w:val="24"/>
        </w:rPr>
        <w:t xml:space="preserve">1.1 </w:t>
      </w:r>
      <w:r w:rsidR="0008253D" w:rsidRPr="00E76A09">
        <w:rPr>
          <w:b/>
          <w:bCs/>
          <w:i/>
          <w:iCs/>
          <w:sz w:val="24"/>
          <w:szCs w:val="24"/>
        </w:rPr>
        <w:t>Strategic Assessment</w:t>
      </w:r>
    </w:p>
    <w:p w14:paraId="3E1888C5" w14:textId="0D0889DB" w:rsidR="0008253D" w:rsidRPr="00E76A09" w:rsidRDefault="000A739B" w:rsidP="004258E7">
      <w:pPr>
        <w:tabs>
          <w:tab w:val="right" w:leader="dot" w:pos="9710"/>
        </w:tabs>
        <w:spacing w:after="0" w:line="240" w:lineRule="auto"/>
        <w:rPr>
          <w:b/>
          <w:bCs/>
          <w:sz w:val="22"/>
          <w:szCs w:val="22"/>
        </w:rPr>
      </w:pPr>
      <w:r w:rsidRPr="00E76A09">
        <w:rPr>
          <w:b/>
          <w:bCs/>
          <w:sz w:val="22"/>
          <w:szCs w:val="22"/>
        </w:rPr>
        <w:t xml:space="preserve">1.1.1 </w:t>
      </w:r>
      <w:r w:rsidR="0008253D" w:rsidRPr="00E76A09">
        <w:rPr>
          <w:b/>
          <w:bCs/>
          <w:sz w:val="22"/>
          <w:szCs w:val="22"/>
        </w:rPr>
        <w:t>Background</w:t>
      </w:r>
      <w:r w:rsidR="00F77054" w:rsidRPr="00E76A09">
        <w:rPr>
          <w:b/>
          <w:bCs/>
          <w:sz w:val="22"/>
          <w:szCs w:val="22"/>
        </w:rPr>
        <w:t xml:space="preserve">: Why is forest monitoring so important </w:t>
      </w:r>
    </w:p>
    <w:p w14:paraId="46876EA4" w14:textId="255FE133" w:rsidR="00142A31" w:rsidRPr="00E76A09" w:rsidRDefault="008A7A8B" w:rsidP="00230C6E">
      <w:pPr>
        <w:tabs>
          <w:tab w:val="right" w:leader="dot" w:pos="9710"/>
        </w:tabs>
        <w:spacing w:before="0" w:after="0" w:line="240" w:lineRule="auto"/>
        <w:rPr>
          <w:sz w:val="22"/>
          <w:szCs w:val="22"/>
        </w:rPr>
      </w:pPr>
      <w:r w:rsidRPr="00E76A09">
        <w:rPr>
          <w:sz w:val="22"/>
          <w:szCs w:val="22"/>
        </w:rPr>
        <w:t>Forests are fundamental to realising the government’s vision for a world free from poverty</w:t>
      </w:r>
      <w:r w:rsidR="0059236E" w:rsidRPr="00E76A09">
        <w:rPr>
          <w:sz w:val="22"/>
          <w:szCs w:val="22"/>
        </w:rPr>
        <w:t xml:space="preserve"> on a liveable plan</w:t>
      </w:r>
      <w:r w:rsidR="00280998" w:rsidRPr="00E76A09">
        <w:rPr>
          <w:sz w:val="22"/>
          <w:szCs w:val="22"/>
        </w:rPr>
        <w:t>e</w:t>
      </w:r>
      <w:r w:rsidR="0059236E" w:rsidRPr="00E76A09">
        <w:rPr>
          <w:sz w:val="22"/>
          <w:szCs w:val="22"/>
        </w:rPr>
        <w:t>t</w:t>
      </w:r>
      <w:r w:rsidR="00F102C1" w:rsidRPr="00E76A09">
        <w:rPr>
          <w:sz w:val="22"/>
          <w:szCs w:val="22"/>
        </w:rPr>
        <w:t>.</w:t>
      </w:r>
      <w:r w:rsidR="0059236E" w:rsidRPr="00E76A09">
        <w:rPr>
          <w:sz w:val="22"/>
          <w:szCs w:val="22"/>
        </w:rPr>
        <w:t xml:space="preserve"> Continued deforestation increases the risk of </w:t>
      </w:r>
      <w:r w:rsidR="00DA4B31" w:rsidRPr="00E76A09">
        <w:rPr>
          <w:sz w:val="22"/>
          <w:szCs w:val="22"/>
        </w:rPr>
        <w:t>catastrophic climate change, threatens food security and prices by disrupting rainfall and agricultural output, and amplifies natural disasters. Forests store nearly a century’s worth of fossil fuel emissions and absorb nearly a third of human emissions each year, potentially holding back at least half a degree of warming. In addition, they are essential for the survival of many communities and over 1 billion pe</w:t>
      </w:r>
      <w:r w:rsidR="0008217E" w:rsidRPr="00E76A09">
        <w:rPr>
          <w:sz w:val="22"/>
          <w:szCs w:val="22"/>
        </w:rPr>
        <w:t xml:space="preserve">ople rely on forests for essentials and livelihoods, including many of the world’s poorest people. Forests bolster food, energy, water, and health security worldwide, and play a vital role in global economic resilience. </w:t>
      </w:r>
    </w:p>
    <w:p w14:paraId="7815002C" w14:textId="77777777" w:rsidR="00230C6E" w:rsidRPr="00E76A09" w:rsidRDefault="00230C6E" w:rsidP="00230C6E">
      <w:pPr>
        <w:tabs>
          <w:tab w:val="right" w:leader="dot" w:pos="9710"/>
        </w:tabs>
        <w:spacing w:before="0" w:after="0" w:line="240" w:lineRule="auto"/>
        <w:rPr>
          <w:sz w:val="22"/>
          <w:szCs w:val="22"/>
        </w:rPr>
      </w:pPr>
    </w:p>
    <w:p w14:paraId="0B9C0AF3" w14:textId="7D08357F" w:rsidR="055A47D1" w:rsidRPr="00E76A09" w:rsidRDefault="055A47D1" w:rsidP="00230C6E">
      <w:pPr>
        <w:spacing w:before="0" w:after="0" w:line="240" w:lineRule="auto"/>
        <w:jc w:val="both"/>
        <w:rPr>
          <w:sz w:val="22"/>
          <w:szCs w:val="22"/>
        </w:rPr>
      </w:pPr>
      <w:r w:rsidRPr="57AB4C69">
        <w:rPr>
          <w:sz w:val="22"/>
          <w:szCs w:val="22"/>
        </w:rPr>
        <w:t xml:space="preserve">Robust and accurate forest and land-use data is critical for countries to inform action on reducing deforestation, support evidence-based domestic forest policy, and access climate finance. There is no pathway to 1.5 degrees that does not include massively reducing deforestation, particularly in tropical rainforests. One of the principal drivers behind efforts to reduce deforestation is the United Nations Convention on Climate Change (UNFCCC) </w:t>
      </w:r>
      <w:r w:rsidRPr="57AB4C69">
        <w:rPr>
          <w:sz w:val="22"/>
          <w:szCs w:val="22"/>
          <w:u w:val="single"/>
        </w:rPr>
        <w:t>R</w:t>
      </w:r>
      <w:r w:rsidRPr="57AB4C69">
        <w:rPr>
          <w:sz w:val="22"/>
          <w:szCs w:val="22"/>
        </w:rPr>
        <w:t xml:space="preserve">educing </w:t>
      </w:r>
      <w:r w:rsidRPr="57AB4C69">
        <w:rPr>
          <w:sz w:val="22"/>
          <w:szCs w:val="22"/>
          <w:u w:val="single"/>
        </w:rPr>
        <w:t>E</w:t>
      </w:r>
      <w:r w:rsidRPr="57AB4C69">
        <w:rPr>
          <w:sz w:val="22"/>
          <w:szCs w:val="22"/>
        </w:rPr>
        <w:t xml:space="preserve">missions from </w:t>
      </w:r>
      <w:r w:rsidRPr="57AB4C69">
        <w:rPr>
          <w:sz w:val="22"/>
          <w:szCs w:val="22"/>
          <w:u w:val="single"/>
        </w:rPr>
        <w:t>D</w:t>
      </w:r>
      <w:r w:rsidRPr="57AB4C69">
        <w:rPr>
          <w:sz w:val="22"/>
          <w:szCs w:val="22"/>
        </w:rPr>
        <w:t xml:space="preserve">eforestation and forest </w:t>
      </w:r>
      <w:r w:rsidRPr="57AB4C69">
        <w:rPr>
          <w:sz w:val="22"/>
          <w:szCs w:val="22"/>
          <w:u w:val="single"/>
        </w:rPr>
        <w:t>D</w:t>
      </w:r>
      <w:r w:rsidRPr="57AB4C69">
        <w:rPr>
          <w:sz w:val="22"/>
          <w:szCs w:val="22"/>
        </w:rPr>
        <w:t xml:space="preserve">egradation (REDD+) mechanism. </w:t>
      </w:r>
      <w:r w:rsidR="4AB4136B" w:rsidRPr="57AB4C69">
        <w:rPr>
          <w:sz w:val="22"/>
          <w:szCs w:val="22"/>
        </w:rPr>
        <w:t xml:space="preserve">REDD+ facilitates essential financial flows from developed countries and private markets to support efforts in reducing deforestation. This creates economic incentives for people to engage in activities that preserve or restore forests. Results-based payments (RBP) under REDD+ are financial incentives provided to developing countries for verified emissions reductions and are often important financial flows for countries and communities. </w:t>
      </w:r>
      <w:r w:rsidRPr="57AB4C69">
        <w:rPr>
          <w:sz w:val="22"/>
          <w:szCs w:val="22"/>
        </w:rPr>
        <w:t xml:space="preserve">However, </w:t>
      </w:r>
      <w:proofErr w:type="gramStart"/>
      <w:r w:rsidRPr="57AB4C69">
        <w:rPr>
          <w:sz w:val="22"/>
          <w:szCs w:val="22"/>
        </w:rPr>
        <w:t>in order to</w:t>
      </w:r>
      <w:proofErr w:type="gramEnd"/>
      <w:r w:rsidRPr="57AB4C69">
        <w:rPr>
          <w:sz w:val="22"/>
          <w:szCs w:val="22"/>
        </w:rPr>
        <w:t xml:space="preserve"> realise and reward these benefits there needs to be robust, effective, and integrated systems for a country to track, monitor, and respond to deforestation, forest degradation, and other land-use changes. </w:t>
      </w:r>
      <w:r w:rsidR="79D7E1D0" w:rsidRPr="57AB4C69">
        <w:rPr>
          <w:sz w:val="22"/>
          <w:szCs w:val="22"/>
        </w:rPr>
        <w:t xml:space="preserve"> </w:t>
      </w:r>
      <w:r w:rsidRPr="57AB4C69">
        <w:rPr>
          <w:sz w:val="22"/>
          <w:szCs w:val="22"/>
        </w:rPr>
        <w:t>Robust systems for Measurement, Reporting and Verification (MRV) are an explicit UNFCCC requirement, essential for carbon credit verification</w:t>
      </w:r>
      <w:r w:rsidR="2F4B6893" w:rsidRPr="57AB4C69">
        <w:rPr>
          <w:sz w:val="22"/>
          <w:szCs w:val="22"/>
        </w:rPr>
        <w:t>,</w:t>
      </w:r>
      <w:r w:rsidRPr="57AB4C69">
        <w:rPr>
          <w:sz w:val="22"/>
          <w:szCs w:val="22"/>
        </w:rPr>
        <w:t xml:space="preserve"> </w:t>
      </w:r>
      <w:r w:rsidR="2F4B6893" w:rsidRPr="57AB4C69">
        <w:rPr>
          <w:sz w:val="22"/>
          <w:szCs w:val="22"/>
        </w:rPr>
        <w:t xml:space="preserve">ability to </w:t>
      </w:r>
      <w:r w:rsidR="7B8FFA24" w:rsidRPr="57AB4C69">
        <w:rPr>
          <w:sz w:val="22"/>
          <w:szCs w:val="22"/>
        </w:rPr>
        <w:t>receive</w:t>
      </w:r>
      <w:r w:rsidR="2F4B6893" w:rsidRPr="57AB4C69">
        <w:rPr>
          <w:sz w:val="22"/>
          <w:szCs w:val="22"/>
        </w:rPr>
        <w:t xml:space="preserve"> </w:t>
      </w:r>
      <w:r w:rsidR="57A14E5C" w:rsidRPr="57AB4C69">
        <w:rPr>
          <w:sz w:val="22"/>
          <w:szCs w:val="22"/>
        </w:rPr>
        <w:t>RBP</w:t>
      </w:r>
      <w:r w:rsidR="2F4B6893" w:rsidRPr="57AB4C69">
        <w:rPr>
          <w:sz w:val="22"/>
          <w:szCs w:val="22"/>
        </w:rPr>
        <w:t>,</w:t>
      </w:r>
      <w:r w:rsidRPr="57AB4C69">
        <w:rPr>
          <w:sz w:val="22"/>
          <w:szCs w:val="22"/>
        </w:rPr>
        <w:t xml:space="preserve"> and a critical underpinning to the success of REDD+. </w:t>
      </w:r>
      <w:r w:rsidR="1A21B22C" w:rsidRPr="57AB4C69">
        <w:rPr>
          <w:sz w:val="22"/>
          <w:szCs w:val="22"/>
        </w:rPr>
        <w:t xml:space="preserve"> Without adequate and robust MRV systems, forest countries </w:t>
      </w:r>
      <w:proofErr w:type="gramStart"/>
      <w:r w:rsidR="1A21B22C" w:rsidRPr="57AB4C69">
        <w:rPr>
          <w:sz w:val="22"/>
          <w:szCs w:val="22"/>
        </w:rPr>
        <w:t>are not able to</w:t>
      </w:r>
      <w:proofErr w:type="gramEnd"/>
      <w:r w:rsidR="1A21B22C" w:rsidRPr="57AB4C69">
        <w:rPr>
          <w:sz w:val="22"/>
          <w:szCs w:val="22"/>
        </w:rPr>
        <w:t xml:space="preserve"> implement REDD+, and as such cannot benefit from any results-based payments.</w:t>
      </w:r>
    </w:p>
    <w:p w14:paraId="76BA4AFD" w14:textId="65CF51B8" w:rsidR="008A7A8B" w:rsidRPr="00E76A09" w:rsidRDefault="0008217E" w:rsidP="004258E7">
      <w:pPr>
        <w:tabs>
          <w:tab w:val="right" w:leader="dot" w:pos="9710"/>
        </w:tabs>
        <w:spacing w:after="0" w:line="240" w:lineRule="auto"/>
        <w:rPr>
          <w:sz w:val="22"/>
          <w:szCs w:val="22"/>
        </w:rPr>
      </w:pPr>
      <w:r w:rsidRPr="57AB4C69">
        <w:rPr>
          <w:sz w:val="22"/>
          <w:szCs w:val="22"/>
        </w:rPr>
        <w:t>Forest monitoring</w:t>
      </w:r>
      <w:r w:rsidR="00750D6B" w:rsidRPr="57AB4C69">
        <w:rPr>
          <w:sz w:val="22"/>
          <w:szCs w:val="22"/>
        </w:rPr>
        <w:t xml:space="preserve"> and reporting are essential </w:t>
      </w:r>
      <w:r w:rsidR="0041327D" w:rsidRPr="57AB4C69">
        <w:rPr>
          <w:sz w:val="22"/>
          <w:szCs w:val="22"/>
        </w:rPr>
        <w:t xml:space="preserve">prerequisites </w:t>
      </w:r>
      <w:r w:rsidR="00750D6B" w:rsidRPr="57AB4C69">
        <w:rPr>
          <w:sz w:val="22"/>
          <w:szCs w:val="22"/>
        </w:rPr>
        <w:t>for forest countries to: (a) report against their international climate commitments including NDCs; (b) access finance from multilateral donor funding initiatives; (c) contribute critical data and evidence-based learning to inform national decision-making and policy-making to protect, conserve and sustainably manage forests and improve forest livelihoods, and (d) continue to develop and enhance improved practices for reducing deforestation and forest degradation, and sustain and enhancing livelihoods for forest dependent communities.   </w:t>
      </w:r>
    </w:p>
    <w:p w14:paraId="20362359" w14:textId="6AABFD87" w:rsidR="418E867C" w:rsidRPr="00E76A09" w:rsidRDefault="187F7BBB" w:rsidP="004258E7">
      <w:pPr>
        <w:tabs>
          <w:tab w:val="right" w:leader="dot" w:pos="9710"/>
        </w:tabs>
        <w:spacing w:after="0" w:line="240" w:lineRule="auto"/>
        <w:rPr>
          <w:sz w:val="22"/>
          <w:szCs w:val="22"/>
        </w:rPr>
      </w:pPr>
      <w:r w:rsidRPr="00E76A09">
        <w:rPr>
          <w:sz w:val="22"/>
          <w:szCs w:val="22"/>
        </w:rPr>
        <w:t xml:space="preserve">There are also growing demands around forest monitoring for transparent commodity supply chains. Around 90% of deforestation is driven by land-use change </w:t>
      </w:r>
      <w:proofErr w:type="gramStart"/>
      <w:r w:rsidRPr="00E76A09">
        <w:rPr>
          <w:sz w:val="22"/>
          <w:szCs w:val="22"/>
        </w:rPr>
        <w:t>for the production of</w:t>
      </w:r>
      <w:proofErr w:type="gramEnd"/>
      <w:r w:rsidRPr="00E76A09">
        <w:rPr>
          <w:sz w:val="22"/>
          <w:szCs w:val="22"/>
        </w:rPr>
        <w:t xml:space="preserve"> forest-risk commodities including cattle, soy, palm oil, cocoa, rubber and coffee.</w:t>
      </w:r>
      <w:r w:rsidR="3B89BDDC" w:rsidRPr="00E76A09">
        <w:rPr>
          <w:rStyle w:val="FootnoteReference"/>
          <w:sz w:val="22"/>
          <w:szCs w:val="22"/>
        </w:rPr>
        <w:footnoteReference w:id="6"/>
      </w:r>
      <w:r w:rsidRPr="00E76A09">
        <w:rPr>
          <w:sz w:val="22"/>
          <w:szCs w:val="22"/>
        </w:rPr>
        <w:t xml:space="preserve"> However, commodity production can often be key sources of income for forest countries and their communities. Over the last two decades, consumers have become more aware of the environmental and social</w:t>
      </w:r>
      <w:r w:rsidR="61A52641" w:rsidRPr="00E76A09">
        <w:rPr>
          <w:sz w:val="22"/>
          <w:szCs w:val="22"/>
        </w:rPr>
        <w:t xml:space="preserve"> impacts of commodity production</w:t>
      </w:r>
      <w:r w:rsidR="5375A4A2" w:rsidRPr="00E76A09">
        <w:rPr>
          <w:sz w:val="22"/>
          <w:szCs w:val="22"/>
        </w:rPr>
        <w:t>, and we have seen the development of deforestation-free regulations and voluntary compliance mechanisms.</w:t>
      </w:r>
      <w:r w:rsidR="3B89BDDC" w:rsidRPr="00E76A09">
        <w:rPr>
          <w:rStyle w:val="FootnoteReference"/>
          <w:sz w:val="22"/>
          <w:szCs w:val="22"/>
        </w:rPr>
        <w:footnoteReference w:id="7"/>
      </w:r>
    </w:p>
    <w:p w14:paraId="0041185F" w14:textId="4F9488F6" w:rsidR="2D90AA04" w:rsidRPr="00E76A09" w:rsidRDefault="78312444" w:rsidP="004258E7">
      <w:pPr>
        <w:tabs>
          <w:tab w:val="right" w:leader="dot" w:pos="9710"/>
        </w:tabs>
        <w:spacing w:after="0" w:line="240" w:lineRule="auto"/>
        <w:rPr>
          <w:sz w:val="22"/>
          <w:szCs w:val="22"/>
        </w:rPr>
      </w:pPr>
      <w:r w:rsidRPr="00E76A09">
        <w:rPr>
          <w:sz w:val="22"/>
          <w:szCs w:val="22"/>
        </w:rPr>
        <w:t xml:space="preserve">Monitoring for ecosystem restoration is also a key component of the programme. Ecosystem restoration is a powerful nature-based solution to address biodiversity loss, climate change and land degradation. </w:t>
      </w:r>
      <w:r w:rsidR="1DE71E9A" w:rsidRPr="00E76A09">
        <w:rPr>
          <w:sz w:val="22"/>
          <w:szCs w:val="22"/>
        </w:rPr>
        <w:t>However</w:t>
      </w:r>
      <w:r w:rsidR="6E53955A" w:rsidRPr="00E76A09">
        <w:rPr>
          <w:sz w:val="22"/>
          <w:szCs w:val="22"/>
        </w:rPr>
        <w:t>,</w:t>
      </w:r>
      <w:r w:rsidR="1DE71E9A" w:rsidRPr="00E76A09">
        <w:rPr>
          <w:sz w:val="22"/>
          <w:szCs w:val="22"/>
        </w:rPr>
        <w:t xml:space="preserve"> estimates suggest that between 20 and 40 per cent of the global land area alone could be considered degraded, affecting the well-being of at least 3.2 billion people. Habitat degradation is the result of human-induced processes that result in a decline in biodiversity, ecosystem functions and services, and resilience and can occur in terrestrial, freshwater or marine and coastal ecosystems</w:t>
      </w:r>
      <w:r w:rsidR="58AEA1B2" w:rsidRPr="00E76A09">
        <w:rPr>
          <w:sz w:val="22"/>
          <w:szCs w:val="22"/>
        </w:rPr>
        <w:t>.</w:t>
      </w:r>
      <w:r w:rsidR="6490F627" w:rsidRPr="00E76A09">
        <w:rPr>
          <w:rStyle w:val="FootnoteReference"/>
          <w:sz w:val="22"/>
          <w:szCs w:val="22"/>
        </w:rPr>
        <w:footnoteReference w:id="8"/>
      </w:r>
      <w:r w:rsidR="1DE71E9A" w:rsidRPr="00E76A09">
        <w:rPr>
          <w:sz w:val="22"/>
          <w:szCs w:val="22"/>
        </w:rPr>
        <w:t xml:space="preserve"> </w:t>
      </w:r>
      <w:r w:rsidRPr="00E76A09">
        <w:rPr>
          <w:sz w:val="22"/>
          <w:szCs w:val="22"/>
        </w:rPr>
        <w:t xml:space="preserve">Globally, around 1 billion hectares of land have been committed for restoration, with the potential to contribute one-third of the total climate mitigation needed to </w:t>
      </w:r>
      <w:r w:rsidRPr="00E76A09">
        <w:rPr>
          <w:sz w:val="22"/>
          <w:szCs w:val="22"/>
        </w:rPr>
        <w:lastRenderedPageBreak/>
        <w:t>limit warming to below 2°C by 2030, while contributing to food security and livelihoods.</w:t>
      </w:r>
      <w:r w:rsidR="6490F627" w:rsidRPr="00E76A09">
        <w:rPr>
          <w:rStyle w:val="FootnoteReference"/>
          <w:sz w:val="22"/>
          <w:szCs w:val="22"/>
        </w:rPr>
        <w:footnoteReference w:id="9"/>
      </w:r>
      <w:r w:rsidR="0B7B0C53" w:rsidRPr="00E76A09">
        <w:rPr>
          <w:sz w:val="22"/>
          <w:szCs w:val="22"/>
        </w:rPr>
        <w:t xml:space="preserve"> Monitoring allows countries to track and report on their progress</w:t>
      </w:r>
      <w:r w:rsidR="58698FE5" w:rsidRPr="00E76A09">
        <w:rPr>
          <w:sz w:val="22"/>
          <w:szCs w:val="22"/>
        </w:rPr>
        <w:t>, allowing us to collectively move towards the goal set in the Kunming-Montreal Global Biodiversity Framework (KMGBF) to restore 30% of all degraded areas by 2030.</w:t>
      </w:r>
      <w:r w:rsidR="6490F627" w:rsidRPr="00E76A09">
        <w:rPr>
          <w:rStyle w:val="FootnoteReference"/>
          <w:sz w:val="22"/>
          <w:szCs w:val="22"/>
        </w:rPr>
        <w:footnoteReference w:id="10"/>
      </w:r>
    </w:p>
    <w:p w14:paraId="1E3F3866" w14:textId="77777777" w:rsidR="00DF0A3E" w:rsidRPr="00E76A09" w:rsidRDefault="00DF0A3E" w:rsidP="008A7A8B">
      <w:pPr>
        <w:tabs>
          <w:tab w:val="right" w:leader="dot" w:pos="9710"/>
        </w:tabs>
        <w:spacing w:before="0" w:after="0" w:line="240" w:lineRule="auto"/>
        <w:rPr>
          <w:b/>
          <w:bCs/>
          <w:i/>
          <w:iCs/>
          <w:sz w:val="22"/>
          <w:szCs w:val="22"/>
        </w:rPr>
      </w:pPr>
    </w:p>
    <w:p w14:paraId="0A84F6FA" w14:textId="31D26008" w:rsidR="00DF0A3E" w:rsidRPr="00E76A09" w:rsidRDefault="00846646" w:rsidP="00846646">
      <w:pPr>
        <w:tabs>
          <w:tab w:val="right" w:leader="dot" w:pos="9710"/>
        </w:tabs>
        <w:spacing w:before="0" w:after="0" w:line="240" w:lineRule="auto"/>
        <w:rPr>
          <w:b/>
          <w:bCs/>
          <w:i/>
          <w:iCs/>
          <w:sz w:val="24"/>
          <w:szCs w:val="24"/>
        </w:rPr>
      </w:pPr>
      <w:bookmarkStart w:id="1" w:name="_Hlk132634533"/>
      <w:r w:rsidRPr="00E76A09">
        <w:rPr>
          <w:b/>
          <w:bCs/>
          <w:i/>
          <w:iCs/>
          <w:sz w:val="24"/>
          <w:szCs w:val="24"/>
        </w:rPr>
        <w:t xml:space="preserve">1.2 </w:t>
      </w:r>
      <w:r w:rsidR="0008253D" w:rsidRPr="00E76A09">
        <w:rPr>
          <w:b/>
          <w:bCs/>
          <w:i/>
          <w:iCs/>
          <w:sz w:val="24"/>
          <w:szCs w:val="24"/>
        </w:rPr>
        <w:t>Current position</w:t>
      </w:r>
      <w:bookmarkStart w:id="2" w:name="_Hlk126311434"/>
    </w:p>
    <w:p w14:paraId="3724E1F3" w14:textId="77777777" w:rsidR="00BD6D3A" w:rsidRPr="00E76A09" w:rsidRDefault="00BD6D3A" w:rsidP="004258E7">
      <w:pPr>
        <w:tabs>
          <w:tab w:val="right" w:leader="dot" w:pos="9710"/>
        </w:tabs>
        <w:spacing w:after="0" w:line="240" w:lineRule="auto"/>
        <w:rPr>
          <w:sz w:val="22"/>
          <w:szCs w:val="22"/>
        </w:rPr>
      </w:pPr>
      <w:r w:rsidRPr="00E76A09">
        <w:rPr>
          <w:sz w:val="22"/>
          <w:szCs w:val="22"/>
        </w:rPr>
        <w:t>The AIM4Forests programme responds to the needs set out above, by supporting and improving countries’ National Forest Monitoring Systems (NFMS) and MRV. The main goals of AIM4Forests include:  </w:t>
      </w:r>
    </w:p>
    <w:p w14:paraId="1CFD0610" w14:textId="77777777" w:rsidR="00BD6D3A" w:rsidRPr="00E76A09" w:rsidRDefault="00BD6D3A" w:rsidP="005F1FB6">
      <w:pPr>
        <w:numPr>
          <w:ilvl w:val="0"/>
          <w:numId w:val="6"/>
        </w:numPr>
        <w:tabs>
          <w:tab w:val="right" w:leader="dot" w:pos="9710"/>
        </w:tabs>
        <w:spacing w:after="0" w:line="240" w:lineRule="auto"/>
        <w:rPr>
          <w:sz w:val="22"/>
          <w:szCs w:val="22"/>
        </w:rPr>
      </w:pPr>
      <w:r w:rsidRPr="00E76A09">
        <w:rPr>
          <w:sz w:val="22"/>
          <w:szCs w:val="22"/>
        </w:rPr>
        <w:t>Addressing the remaining technical and institutional gaps to embed national forest monitoring systems that are fit for purpose into national institutions  </w:t>
      </w:r>
    </w:p>
    <w:p w14:paraId="31DE6509" w14:textId="77777777" w:rsidR="00BD6D3A" w:rsidRPr="00E76A09" w:rsidRDefault="00BD6D3A" w:rsidP="005F1FB6">
      <w:pPr>
        <w:numPr>
          <w:ilvl w:val="0"/>
          <w:numId w:val="7"/>
        </w:numPr>
        <w:tabs>
          <w:tab w:val="right" w:leader="dot" w:pos="9710"/>
        </w:tabs>
        <w:spacing w:after="0" w:line="240" w:lineRule="auto"/>
        <w:rPr>
          <w:sz w:val="22"/>
          <w:szCs w:val="22"/>
        </w:rPr>
      </w:pPr>
      <w:r w:rsidRPr="00E76A09">
        <w:rPr>
          <w:sz w:val="22"/>
          <w:szCs w:val="22"/>
        </w:rPr>
        <w:t>Accelerating the alignment, innovation, and deployment of high-integrity datasets to overcome REDD+ MRV methodological challenges, as well as other data and reporting needs around transparent commodity value chains and ecosystem restoration; and </w:t>
      </w:r>
    </w:p>
    <w:p w14:paraId="3BD6E036" w14:textId="7B4279B8" w:rsidR="00BD6D3A" w:rsidRPr="00E76A09" w:rsidRDefault="00BD6D3A" w:rsidP="005F1FB6">
      <w:pPr>
        <w:numPr>
          <w:ilvl w:val="0"/>
          <w:numId w:val="8"/>
        </w:numPr>
        <w:tabs>
          <w:tab w:val="right" w:leader="dot" w:pos="9710"/>
        </w:tabs>
        <w:spacing w:after="0" w:line="240" w:lineRule="auto"/>
        <w:rPr>
          <w:sz w:val="22"/>
          <w:szCs w:val="22"/>
        </w:rPr>
      </w:pPr>
      <w:r w:rsidRPr="00E76A09">
        <w:rPr>
          <w:sz w:val="22"/>
          <w:szCs w:val="22"/>
        </w:rPr>
        <w:t>Enhancing the participation of indigenous peoples and local communities (IP</w:t>
      </w:r>
      <w:r w:rsidR="00C61093" w:rsidRPr="00E76A09">
        <w:rPr>
          <w:sz w:val="22"/>
          <w:szCs w:val="22"/>
        </w:rPr>
        <w:t>&amp;</w:t>
      </w:r>
      <w:r w:rsidRPr="00E76A09">
        <w:rPr>
          <w:sz w:val="22"/>
          <w:szCs w:val="22"/>
        </w:rPr>
        <w:t>LCs) in forest monitoring.  </w:t>
      </w:r>
    </w:p>
    <w:p w14:paraId="6CDB5E5C" w14:textId="7AF77A12" w:rsidR="50BA9049" w:rsidRPr="00E76A09" w:rsidRDefault="25EA1BD9" w:rsidP="7921D26F">
      <w:pPr>
        <w:tabs>
          <w:tab w:val="right" w:leader="dot" w:pos="9710"/>
        </w:tabs>
        <w:spacing w:after="0" w:line="240" w:lineRule="auto"/>
        <w:rPr>
          <w:sz w:val="22"/>
          <w:szCs w:val="22"/>
        </w:rPr>
      </w:pPr>
      <w:r w:rsidRPr="00E76A09">
        <w:rPr>
          <w:sz w:val="22"/>
          <w:szCs w:val="22"/>
        </w:rPr>
        <w:t xml:space="preserve">The original AIM4Forests business case undertook an assessment of existing support </w:t>
      </w:r>
      <w:r w:rsidR="004B10F4" w:rsidRPr="00E76A09">
        <w:rPr>
          <w:sz w:val="22"/>
          <w:szCs w:val="22"/>
        </w:rPr>
        <w:t>-</w:t>
      </w:r>
      <w:r w:rsidRPr="00E76A09">
        <w:rPr>
          <w:sz w:val="22"/>
          <w:szCs w:val="22"/>
        </w:rPr>
        <w:t xml:space="preserve"> with key lessons learned, gaps</w:t>
      </w:r>
      <w:r w:rsidR="004B10F4" w:rsidRPr="00E76A09">
        <w:rPr>
          <w:sz w:val="22"/>
          <w:szCs w:val="22"/>
        </w:rPr>
        <w:t>,</w:t>
      </w:r>
      <w:r w:rsidRPr="00E76A09">
        <w:rPr>
          <w:sz w:val="22"/>
          <w:szCs w:val="22"/>
        </w:rPr>
        <w:t xml:space="preserve"> and</w:t>
      </w:r>
      <w:r w:rsidR="00830FB4" w:rsidRPr="00E76A09">
        <w:rPr>
          <w:sz w:val="22"/>
          <w:szCs w:val="22"/>
        </w:rPr>
        <w:t xml:space="preserve"> the</w:t>
      </w:r>
      <w:r w:rsidRPr="00E76A09">
        <w:rPr>
          <w:sz w:val="22"/>
          <w:szCs w:val="22"/>
        </w:rPr>
        <w:t xml:space="preserve"> remaining steps in implementing effective monitoring and MRV</w:t>
      </w:r>
      <w:r w:rsidR="004B10F4" w:rsidRPr="00E76A09">
        <w:rPr>
          <w:sz w:val="22"/>
          <w:szCs w:val="22"/>
        </w:rPr>
        <w:t xml:space="preserve"> within</w:t>
      </w:r>
      <w:r w:rsidRPr="00E76A09">
        <w:rPr>
          <w:sz w:val="22"/>
          <w:szCs w:val="22"/>
        </w:rPr>
        <w:t xml:space="preserve"> forest countries</w:t>
      </w:r>
      <w:r w:rsidR="004B10F4" w:rsidRPr="00E76A09">
        <w:rPr>
          <w:sz w:val="22"/>
          <w:szCs w:val="22"/>
        </w:rPr>
        <w:t xml:space="preserve"> mapped</w:t>
      </w:r>
      <w:r w:rsidRPr="00E76A09">
        <w:rPr>
          <w:sz w:val="22"/>
          <w:szCs w:val="22"/>
        </w:rPr>
        <w:t>. It found that there continued to be a funding and delivery gap in support to scaling institutionalised fit-for-purpose systems for forest monitoring, measuring, reporting and verification that considers the whole system and integrates this for long-term sustainability.  This operationalising and institutionalisation is the gap that AIM4Forests seeks to address.</w:t>
      </w:r>
      <w:r w:rsidR="50BA9049" w:rsidRPr="00E76A09">
        <w:rPr>
          <w:rStyle w:val="FootnoteReference"/>
          <w:sz w:val="22"/>
          <w:szCs w:val="22"/>
        </w:rPr>
        <w:footnoteReference w:id="11"/>
      </w:r>
    </w:p>
    <w:p w14:paraId="72601629" w14:textId="77777777" w:rsidR="00CE5495" w:rsidRPr="00E76A09" w:rsidRDefault="4857C366" w:rsidP="004258E7">
      <w:pPr>
        <w:tabs>
          <w:tab w:val="right" w:leader="dot" w:pos="9710"/>
        </w:tabs>
        <w:spacing w:after="0" w:line="240" w:lineRule="auto"/>
        <w:rPr>
          <w:sz w:val="22"/>
          <w:szCs w:val="22"/>
        </w:rPr>
      </w:pPr>
      <w:r w:rsidRPr="00E76A09">
        <w:rPr>
          <w:sz w:val="22"/>
          <w:szCs w:val="22"/>
        </w:rPr>
        <w:t>The AIM4Forests mid-term review report highlighted that the main drivers of demand for AIM4Forests support have been the need to strengthen NFMSs and MRV for reporting climate mitigation progress to UNFCCC, accessing various results-based payments schemes and carbon markets, and strengthening NFMS for multiple uses.  </w:t>
      </w:r>
    </w:p>
    <w:p w14:paraId="4E8CD08B" w14:textId="2BF508D1" w:rsidR="00BD6D3A" w:rsidRPr="00E76A09" w:rsidRDefault="000A739B" w:rsidP="004258E7">
      <w:pPr>
        <w:tabs>
          <w:tab w:val="right" w:leader="dot" w:pos="9710"/>
        </w:tabs>
        <w:spacing w:after="0" w:line="240" w:lineRule="auto"/>
        <w:rPr>
          <w:b/>
          <w:bCs/>
          <w:sz w:val="22"/>
          <w:szCs w:val="22"/>
        </w:rPr>
      </w:pPr>
      <w:r w:rsidRPr="00E76A09">
        <w:rPr>
          <w:b/>
          <w:bCs/>
          <w:sz w:val="22"/>
          <w:szCs w:val="22"/>
        </w:rPr>
        <w:t xml:space="preserve">1.2.1 </w:t>
      </w:r>
      <w:r w:rsidR="00BD6D3A" w:rsidRPr="00E76A09">
        <w:rPr>
          <w:b/>
          <w:bCs/>
          <w:sz w:val="22"/>
          <w:szCs w:val="22"/>
        </w:rPr>
        <w:t>Performance of the programme to date  </w:t>
      </w:r>
    </w:p>
    <w:p w14:paraId="0B29459B" w14:textId="7B764F8E" w:rsidR="00BD6D3A" w:rsidRPr="00E76A09" w:rsidRDefault="330E82C2" w:rsidP="004258E7">
      <w:pPr>
        <w:tabs>
          <w:tab w:val="right" w:leader="dot" w:pos="9710"/>
        </w:tabs>
        <w:spacing w:before="0" w:after="0" w:line="240" w:lineRule="auto"/>
        <w:rPr>
          <w:sz w:val="22"/>
          <w:szCs w:val="22"/>
        </w:rPr>
      </w:pPr>
      <w:r w:rsidRPr="00E76A09">
        <w:rPr>
          <w:sz w:val="22"/>
          <w:szCs w:val="22"/>
        </w:rPr>
        <w:t>AIM4Forests is a well-performing programme, scoring an A+ on both its two previous annual reviews. Early findings indicate that the programme provides excellent value for money with a high potential for transformational impact over the programme lifetime.</w:t>
      </w:r>
      <w:r w:rsidR="004574D8" w:rsidRPr="00E76A09">
        <w:rPr>
          <w:rStyle w:val="FootnoteReference"/>
          <w:sz w:val="22"/>
          <w:szCs w:val="22"/>
        </w:rPr>
        <w:footnoteReference w:id="12"/>
      </w:r>
      <w:r w:rsidRPr="00E76A09">
        <w:rPr>
          <w:sz w:val="22"/>
          <w:szCs w:val="22"/>
        </w:rPr>
        <w:t> Two years into the implementation of the programme, a mid-term review was conducted.  Conclusion 1 of the mid-term review</w:t>
      </w:r>
      <w:r w:rsidR="7AD2D41E" w:rsidRPr="00E76A09">
        <w:rPr>
          <w:sz w:val="22"/>
          <w:szCs w:val="22"/>
        </w:rPr>
        <w:t xml:space="preserve"> (atta</w:t>
      </w:r>
      <w:r w:rsidR="6D6EC2A3" w:rsidRPr="00E76A09">
        <w:rPr>
          <w:sz w:val="22"/>
          <w:szCs w:val="22"/>
        </w:rPr>
        <w:t xml:space="preserve">ched at </w:t>
      </w:r>
      <w:r w:rsidR="6D6EC2A3" w:rsidRPr="00E76A09">
        <w:rPr>
          <w:b/>
          <w:bCs/>
          <w:sz w:val="22"/>
          <w:szCs w:val="22"/>
        </w:rPr>
        <w:t>Annex A</w:t>
      </w:r>
      <w:r w:rsidR="6D6EC2A3" w:rsidRPr="00E76A09">
        <w:rPr>
          <w:sz w:val="22"/>
          <w:szCs w:val="22"/>
        </w:rPr>
        <w:t>)</w:t>
      </w:r>
      <w:r w:rsidRPr="00E76A09">
        <w:rPr>
          <w:sz w:val="22"/>
          <w:szCs w:val="22"/>
        </w:rPr>
        <w:t xml:space="preserve"> found that “AIM4Forests is a highly relevant programme addressing global and country driven needs to strengthen and institutionalise forest monitoring for multiple purposes to provide both global public goods and concrete benefits to the countries and a range of stakeholders including IP&amp;LCs.”</w:t>
      </w:r>
      <w:r w:rsidR="0011774E" w:rsidRPr="00E76A09">
        <w:rPr>
          <w:rStyle w:val="FootnoteReference"/>
          <w:sz w:val="22"/>
          <w:szCs w:val="22"/>
        </w:rPr>
        <w:footnoteReference w:id="13"/>
      </w:r>
      <w:r w:rsidRPr="00E76A09">
        <w:rPr>
          <w:sz w:val="22"/>
          <w:szCs w:val="22"/>
        </w:rPr>
        <w:t>  </w:t>
      </w:r>
    </w:p>
    <w:p w14:paraId="49600E5F" w14:textId="2BAC1120" w:rsidR="00BD6D3A" w:rsidRPr="00E76A09" w:rsidRDefault="03B5A32F" w:rsidP="004258E7">
      <w:pPr>
        <w:tabs>
          <w:tab w:val="right" w:leader="dot" w:pos="9710"/>
        </w:tabs>
        <w:spacing w:after="0" w:line="240" w:lineRule="auto"/>
        <w:rPr>
          <w:sz w:val="22"/>
          <w:szCs w:val="22"/>
        </w:rPr>
      </w:pPr>
      <w:r w:rsidRPr="00E76A09">
        <w:rPr>
          <w:sz w:val="22"/>
          <w:szCs w:val="22"/>
        </w:rPr>
        <w:t xml:space="preserve">Across all its activities, </w:t>
      </w:r>
      <w:r w:rsidR="330E82C2" w:rsidRPr="00E76A09">
        <w:rPr>
          <w:sz w:val="22"/>
          <w:szCs w:val="22"/>
        </w:rPr>
        <w:t>AIM4Forests is currently working in 19 countries</w:t>
      </w:r>
      <w:r w:rsidR="0011774E" w:rsidRPr="00E76A09">
        <w:rPr>
          <w:rStyle w:val="FootnoteReference"/>
          <w:sz w:val="22"/>
          <w:szCs w:val="22"/>
        </w:rPr>
        <w:footnoteReference w:id="14"/>
      </w:r>
      <w:r w:rsidR="330E82C2" w:rsidRPr="00E76A09">
        <w:rPr>
          <w:sz w:val="22"/>
          <w:szCs w:val="22"/>
        </w:rPr>
        <w:t xml:space="preserve"> across Africa, Asia and the Pacific, and Latin America and the Caribbean, to advance their forest monitoring and provide high-integrity data for measuring, reporting</w:t>
      </w:r>
      <w:r w:rsidR="00B914C3" w:rsidRPr="00E76A09">
        <w:rPr>
          <w:sz w:val="22"/>
          <w:szCs w:val="22"/>
        </w:rPr>
        <w:t>,</w:t>
      </w:r>
      <w:r w:rsidR="330E82C2" w:rsidRPr="00E76A09">
        <w:rPr>
          <w:sz w:val="22"/>
          <w:szCs w:val="22"/>
        </w:rPr>
        <w:t xml:space="preserve"> and verification of mitigation results through modern monitoring technologies, novel learning approaches, and innovation. By the end of 2024, AIM4Forests supported the verification of 64m carbon credits,</w:t>
      </w:r>
      <w:r w:rsidR="00792E71" w:rsidRPr="00E76A09">
        <w:rPr>
          <w:rStyle w:val="FootnoteReference"/>
          <w:sz w:val="22"/>
          <w:szCs w:val="22"/>
        </w:rPr>
        <w:footnoteReference w:id="15"/>
      </w:r>
      <w:r w:rsidR="330E82C2" w:rsidRPr="00E76A09">
        <w:rPr>
          <w:sz w:val="22"/>
          <w:szCs w:val="22"/>
        </w:rPr>
        <w:t xml:space="preserve"> corresponding to 79m tonnes of emissions reductions</w:t>
      </w:r>
      <w:r w:rsidR="67A8CA78" w:rsidRPr="00E76A09">
        <w:rPr>
          <w:sz w:val="22"/>
          <w:szCs w:val="22"/>
        </w:rPr>
        <w:t xml:space="preserve"> (64m carbon credits for verification after there </w:t>
      </w:r>
      <w:r w:rsidR="67A8CA78" w:rsidRPr="00E76A09">
        <w:rPr>
          <w:sz w:val="22"/>
          <w:szCs w:val="22"/>
        </w:rPr>
        <w:lastRenderedPageBreak/>
        <w:t xml:space="preserve">have been deductions for elements such as </w:t>
      </w:r>
      <w:r w:rsidR="5955B876" w:rsidRPr="00E76A09">
        <w:rPr>
          <w:sz w:val="22"/>
          <w:szCs w:val="22"/>
        </w:rPr>
        <w:t>buffer pools, uncertainty, and permanence)</w:t>
      </w:r>
      <w:r w:rsidR="00BD6D3A" w:rsidRPr="00E76A09">
        <w:rPr>
          <w:sz w:val="22"/>
          <w:szCs w:val="22"/>
        </w:rPr>
        <w:t>.</w:t>
      </w:r>
      <w:r w:rsidR="330E82C2" w:rsidRPr="00E76A09">
        <w:rPr>
          <w:sz w:val="22"/>
          <w:szCs w:val="22"/>
          <w:vertAlign w:val="superscript"/>
        </w:rPr>
        <w:t xml:space="preserve"> </w:t>
      </w:r>
      <w:r w:rsidR="00792E71" w:rsidRPr="00E76A09">
        <w:rPr>
          <w:rStyle w:val="FootnoteReference"/>
          <w:sz w:val="22"/>
          <w:szCs w:val="22"/>
        </w:rPr>
        <w:footnoteReference w:id="16"/>
      </w:r>
      <w:r w:rsidR="330E82C2" w:rsidRPr="00E76A09">
        <w:rPr>
          <w:sz w:val="22"/>
          <w:szCs w:val="22"/>
        </w:rPr>
        <w:t> In addition, AIM4Forests has supported 3</w:t>
      </w:r>
      <w:r w:rsidR="4D7ACE21" w:rsidRPr="00E76A09">
        <w:rPr>
          <w:sz w:val="22"/>
          <w:szCs w:val="22"/>
        </w:rPr>
        <w:t>,</w:t>
      </w:r>
      <w:r w:rsidR="330E82C2" w:rsidRPr="00E76A09">
        <w:rPr>
          <w:sz w:val="22"/>
          <w:szCs w:val="22"/>
        </w:rPr>
        <w:t>508 individuals across a variety of activities relating to e-learning, and new tools and solutions.  </w:t>
      </w:r>
    </w:p>
    <w:p w14:paraId="05141BCC" w14:textId="5B5C6D19" w:rsidR="00BD6D3A" w:rsidRPr="00E76A09" w:rsidRDefault="330E82C2" w:rsidP="004258E7">
      <w:pPr>
        <w:tabs>
          <w:tab w:val="right" w:leader="dot" w:pos="9710"/>
        </w:tabs>
        <w:spacing w:after="0" w:line="240" w:lineRule="auto"/>
        <w:rPr>
          <w:sz w:val="22"/>
          <w:szCs w:val="22"/>
        </w:rPr>
      </w:pPr>
      <w:r w:rsidRPr="00E76A09">
        <w:rPr>
          <w:sz w:val="22"/>
          <w:szCs w:val="22"/>
        </w:rPr>
        <w:t xml:space="preserve">The programme is making important progress to ensuring the participation of </w:t>
      </w:r>
      <w:proofErr w:type="spellStart"/>
      <w:r w:rsidRPr="00E76A09">
        <w:rPr>
          <w:sz w:val="22"/>
          <w:szCs w:val="22"/>
        </w:rPr>
        <w:t>IPs</w:t>
      </w:r>
      <w:r w:rsidR="5959ACAB" w:rsidRPr="00E76A09">
        <w:rPr>
          <w:sz w:val="22"/>
          <w:szCs w:val="22"/>
        </w:rPr>
        <w:t>&amp;</w:t>
      </w:r>
      <w:r w:rsidRPr="00E76A09">
        <w:rPr>
          <w:sz w:val="22"/>
          <w:szCs w:val="22"/>
        </w:rPr>
        <w:t>LCs</w:t>
      </w:r>
      <w:proofErr w:type="spellEnd"/>
      <w:r w:rsidRPr="00E76A09">
        <w:rPr>
          <w:sz w:val="22"/>
          <w:szCs w:val="22"/>
        </w:rPr>
        <w:t xml:space="preserve">, women, and youth in forest monitoring. In 2024 (and early 2025), AIM4Forests made an important contribution towards anchoring Indigenous Peoples’ Forest stewardship in the Convention on Biological Diversity (CBD) process. </w:t>
      </w:r>
      <w:r w:rsidR="77EDDEA2" w:rsidRPr="00E76A09">
        <w:rPr>
          <w:sz w:val="22"/>
          <w:szCs w:val="22"/>
        </w:rPr>
        <w:t>In April 2025, we announced the new AIM4Nature workstream</w:t>
      </w:r>
      <w:r w:rsidR="1A005520" w:rsidRPr="00E76A09">
        <w:rPr>
          <w:sz w:val="22"/>
          <w:szCs w:val="22"/>
        </w:rPr>
        <w:t xml:space="preserve"> (along with an additional £7 million)</w:t>
      </w:r>
      <w:r w:rsidR="77EDDEA2" w:rsidRPr="00E76A09">
        <w:rPr>
          <w:sz w:val="22"/>
          <w:szCs w:val="22"/>
        </w:rPr>
        <w:t>, as part of the AIM4Forest programme, to support forest countries with monitoring for ecosystem restoration.</w:t>
      </w:r>
      <w:r w:rsidR="00BD6D3A" w:rsidRPr="00E76A09">
        <w:rPr>
          <w:rStyle w:val="FootnoteReference"/>
          <w:sz w:val="22"/>
          <w:szCs w:val="22"/>
        </w:rPr>
        <w:footnoteReference w:id="17"/>
      </w:r>
      <w:r w:rsidR="77EDDEA2" w:rsidRPr="00E76A09">
        <w:rPr>
          <w:sz w:val="22"/>
          <w:szCs w:val="22"/>
        </w:rPr>
        <w:t xml:space="preserve"> </w:t>
      </w:r>
      <w:r w:rsidRPr="00E76A09">
        <w:rPr>
          <w:sz w:val="22"/>
          <w:szCs w:val="22"/>
        </w:rPr>
        <w:t xml:space="preserve"> The recently agreed Target 22 headline indication of the Global Biodiversity Framework (KMGBF), now under FAO custodianship, marks an important milestone in the efforts to monitor land use change and strengthen participation and land tenure rights of Indigenous Peoples and local communities. This is a critical factor for achieving ecosystem restoration and conservation goals, such as Targets 2 and 3. In June 2025 (on World Environment Day), the programme announced 50 Young Forest Champions from across Ghana, Kenya, Peru, Uganda, and Zambia, who will receive support to help drive forest conservation and restoration in their countries.  </w:t>
      </w:r>
    </w:p>
    <w:p w14:paraId="6F7B06F2" w14:textId="77777777" w:rsidR="00BD6D3A" w:rsidRPr="00E76A09" w:rsidRDefault="00BD6D3A" w:rsidP="004258E7">
      <w:pPr>
        <w:tabs>
          <w:tab w:val="right" w:leader="dot" w:pos="9710"/>
        </w:tabs>
        <w:spacing w:after="0" w:line="240" w:lineRule="auto"/>
        <w:rPr>
          <w:sz w:val="22"/>
          <w:szCs w:val="22"/>
        </w:rPr>
      </w:pPr>
      <w:r w:rsidRPr="00E76A09">
        <w:rPr>
          <w:sz w:val="22"/>
          <w:szCs w:val="22"/>
        </w:rPr>
        <w:t>The programme has also made important contributions to raising the profile of forest monitoring. For example, on International Day of Forests 2024, AIM4Forests took centre stage in showcasing how technological innovation is transforming forest monitoring. A key highlight of the event was the launch of new solutions by FAO, Google, and partners to make forest data more accessible and actionable. </w:t>
      </w:r>
    </w:p>
    <w:p w14:paraId="5DC667B3" w14:textId="61F90F59" w:rsidR="00BD6D3A" w:rsidRPr="00E76A09" w:rsidRDefault="000A739B" w:rsidP="004258E7">
      <w:pPr>
        <w:tabs>
          <w:tab w:val="right" w:leader="dot" w:pos="9710"/>
        </w:tabs>
        <w:spacing w:after="0" w:line="240" w:lineRule="auto"/>
        <w:rPr>
          <w:b/>
          <w:bCs/>
          <w:sz w:val="22"/>
          <w:szCs w:val="22"/>
        </w:rPr>
      </w:pPr>
      <w:r w:rsidRPr="3B88E7E0">
        <w:rPr>
          <w:b/>
          <w:bCs/>
          <w:sz w:val="22"/>
          <w:szCs w:val="22"/>
        </w:rPr>
        <w:t xml:space="preserve">1.2.2 </w:t>
      </w:r>
      <w:r w:rsidR="00BD6D3A" w:rsidRPr="3B88E7E0">
        <w:rPr>
          <w:b/>
          <w:bCs/>
          <w:sz w:val="22"/>
          <w:szCs w:val="22"/>
        </w:rPr>
        <w:t>New demands for forest monitoring and MRV are emerging  </w:t>
      </w:r>
    </w:p>
    <w:p w14:paraId="216394DB" w14:textId="330B0A4A" w:rsidR="3B88E7E0" w:rsidRDefault="3B88E7E0" w:rsidP="3B88E7E0">
      <w:pPr>
        <w:tabs>
          <w:tab w:val="right" w:leader="dot" w:pos="9710"/>
        </w:tabs>
        <w:spacing w:before="0" w:after="0" w:line="240" w:lineRule="auto"/>
        <w:rPr>
          <w:sz w:val="22"/>
          <w:szCs w:val="22"/>
        </w:rPr>
      </w:pPr>
    </w:p>
    <w:p w14:paraId="74BA694F" w14:textId="38E377B5" w:rsidR="00065CD8" w:rsidRPr="00E76A09" w:rsidRDefault="00CB20D4" w:rsidP="004258E7">
      <w:pPr>
        <w:tabs>
          <w:tab w:val="right" w:leader="dot" w:pos="9710"/>
        </w:tabs>
        <w:spacing w:before="0" w:after="0" w:line="240" w:lineRule="auto"/>
        <w:rPr>
          <w:sz w:val="22"/>
          <w:szCs w:val="22"/>
        </w:rPr>
      </w:pPr>
      <w:r w:rsidRPr="004D2825">
        <w:rPr>
          <w:i/>
          <w:iCs/>
          <w:noProof/>
          <w:sz w:val="22"/>
          <w:szCs w:val="22"/>
        </w:rPr>
        <w:drawing>
          <wp:anchor distT="0" distB="0" distL="114300" distR="114300" simplePos="0" relativeHeight="251658240" behindDoc="1" locked="0" layoutInCell="1" allowOverlap="1" wp14:anchorId="5E049791" wp14:editId="610BCCCB">
            <wp:simplePos x="0" y="0"/>
            <wp:positionH relativeFrom="column">
              <wp:posOffset>22860</wp:posOffset>
            </wp:positionH>
            <wp:positionV relativeFrom="paragraph">
              <wp:posOffset>1097915</wp:posOffset>
            </wp:positionV>
            <wp:extent cx="5958840" cy="2552700"/>
            <wp:effectExtent l="0" t="0" r="3810" b="0"/>
            <wp:wrapTopAndBottom/>
            <wp:docPr id="1352080308" name="Picture 1" descr="A green and white do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80308" name="Picture 1" descr="A green and white dot lin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884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D3A" w:rsidRPr="00E76A09">
        <w:rPr>
          <w:sz w:val="22"/>
          <w:szCs w:val="22"/>
        </w:rPr>
        <w:t xml:space="preserve">AIM4Forests was implemented in 2023, and the original design of the programme focused </w:t>
      </w:r>
      <w:r w:rsidR="00273607" w:rsidRPr="00E76A09">
        <w:rPr>
          <w:sz w:val="22"/>
          <w:szCs w:val="22"/>
        </w:rPr>
        <w:t xml:space="preserve">fundamentally </w:t>
      </w:r>
      <w:r w:rsidR="00BD6D3A" w:rsidRPr="00E76A09">
        <w:rPr>
          <w:sz w:val="22"/>
          <w:szCs w:val="22"/>
        </w:rPr>
        <w:t>on forest monitoring as MRV of REDD+, and on forest data for decision making. While these are still important foundational components of the programme, the international context in which the programme operates has evolved and new demands have emerged.</w:t>
      </w:r>
      <w:r w:rsidR="00701311" w:rsidRPr="00E76A09">
        <w:rPr>
          <w:sz w:val="22"/>
          <w:szCs w:val="22"/>
        </w:rPr>
        <w:t xml:space="preserve"> The programme, as a result, has </w:t>
      </w:r>
      <w:r w:rsidR="00E42FD3" w:rsidRPr="00E76A09">
        <w:rPr>
          <w:sz w:val="22"/>
          <w:szCs w:val="22"/>
        </w:rPr>
        <w:t>adapted to meet such newer contexts.</w:t>
      </w:r>
      <w:r w:rsidR="00065CD8" w:rsidRPr="00E76A09">
        <w:rPr>
          <w:sz w:val="22"/>
          <w:szCs w:val="22"/>
        </w:rPr>
        <w:br/>
      </w:r>
      <w:r w:rsidR="00065CD8" w:rsidRPr="00E76A09">
        <w:rPr>
          <w:sz w:val="22"/>
          <w:szCs w:val="22"/>
        </w:rPr>
        <w:br/>
      </w:r>
      <w:r w:rsidR="00065CD8" w:rsidRPr="00E76A09">
        <w:rPr>
          <w:i/>
          <w:iCs/>
          <w:sz w:val="22"/>
          <w:szCs w:val="22"/>
        </w:rPr>
        <w:t>Figure 1: Emerging contexts/ demands for forest monitoring </w:t>
      </w:r>
      <w:r w:rsidR="00065CD8" w:rsidRPr="00E76A09">
        <w:rPr>
          <w:sz w:val="22"/>
          <w:szCs w:val="22"/>
        </w:rPr>
        <w:t> </w:t>
      </w:r>
    </w:p>
    <w:bookmarkEnd w:id="1"/>
    <w:p w14:paraId="259871AF" w14:textId="38D4057E" w:rsidR="0008253D" w:rsidRPr="00E76A09" w:rsidRDefault="0008253D" w:rsidP="50B2FEF5">
      <w:pPr>
        <w:tabs>
          <w:tab w:val="right" w:leader="dot" w:pos="9710"/>
        </w:tabs>
        <w:spacing w:after="0" w:line="240" w:lineRule="auto"/>
        <w:ind w:left="284"/>
        <w:rPr>
          <w:sz w:val="22"/>
          <w:szCs w:val="22"/>
        </w:rPr>
      </w:pPr>
    </w:p>
    <w:bookmarkEnd w:id="2"/>
    <w:p w14:paraId="13252BD3" w14:textId="77777777" w:rsidR="00DD7CA7" w:rsidRDefault="00DD7CA7" w:rsidP="004258E7">
      <w:pPr>
        <w:tabs>
          <w:tab w:val="right" w:leader="dot" w:pos="9710"/>
        </w:tabs>
        <w:spacing w:before="0" w:after="0" w:line="240" w:lineRule="auto"/>
        <w:rPr>
          <w:sz w:val="22"/>
          <w:szCs w:val="22"/>
          <w:u w:val="single"/>
        </w:rPr>
      </w:pPr>
    </w:p>
    <w:p w14:paraId="697E4638" w14:textId="6EBAE662" w:rsidR="000D4689" w:rsidRPr="00E76A09" w:rsidRDefault="000D4689" w:rsidP="004258E7">
      <w:pPr>
        <w:tabs>
          <w:tab w:val="right" w:leader="dot" w:pos="9710"/>
        </w:tabs>
        <w:spacing w:before="0" w:after="0" w:line="240" w:lineRule="auto"/>
        <w:rPr>
          <w:sz w:val="22"/>
          <w:szCs w:val="22"/>
          <w:u w:val="single"/>
        </w:rPr>
      </w:pPr>
      <w:r w:rsidRPr="00E76A09">
        <w:rPr>
          <w:sz w:val="22"/>
          <w:szCs w:val="22"/>
          <w:u w:val="single"/>
        </w:rPr>
        <w:t xml:space="preserve">Monitoring </w:t>
      </w:r>
      <w:r w:rsidR="00141489" w:rsidRPr="00E76A09">
        <w:rPr>
          <w:sz w:val="22"/>
          <w:szCs w:val="22"/>
          <w:u w:val="single"/>
        </w:rPr>
        <w:t xml:space="preserve">to support transparent commodity supply chains </w:t>
      </w:r>
    </w:p>
    <w:p w14:paraId="40CE3D48" w14:textId="145077C9" w:rsidR="004C3B9D" w:rsidRPr="00E76A09" w:rsidRDefault="004C3B9D" w:rsidP="004258E7">
      <w:pPr>
        <w:tabs>
          <w:tab w:val="right" w:leader="dot" w:pos="9710"/>
        </w:tabs>
        <w:spacing w:after="0" w:line="240" w:lineRule="auto"/>
        <w:rPr>
          <w:sz w:val="22"/>
          <w:szCs w:val="22"/>
        </w:rPr>
      </w:pPr>
      <w:r w:rsidRPr="00E76A09">
        <w:rPr>
          <w:sz w:val="22"/>
          <w:szCs w:val="22"/>
        </w:rPr>
        <w:lastRenderedPageBreak/>
        <w:t>Within the AIM4Forests country-level work and beyond, there are emerging international demands, including forest-risk commodity regulations.  The AIM4Forests mid-term review highlighted that the policy and legislative initiatives linked to deforestation free commodities are creating new demands for exporting countries’ forest monitoring systems and technology.  </w:t>
      </w:r>
      <w:r w:rsidR="515689DA" w:rsidRPr="00E76A09">
        <w:rPr>
          <w:sz w:val="22"/>
          <w:szCs w:val="22"/>
        </w:rPr>
        <w:t>As set out earlier</w:t>
      </w:r>
      <w:r w:rsidRPr="00E76A09">
        <w:rPr>
          <w:sz w:val="22"/>
          <w:szCs w:val="22"/>
        </w:rPr>
        <w:t xml:space="preserve">, commodity production </w:t>
      </w:r>
      <w:r w:rsidR="515689DA" w:rsidRPr="00E76A09">
        <w:rPr>
          <w:sz w:val="22"/>
          <w:szCs w:val="22"/>
        </w:rPr>
        <w:t xml:space="preserve">is one of the </w:t>
      </w:r>
      <w:r w:rsidRPr="00E76A09">
        <w:rPr>
          <w:sz w:val="22"/>
          <w:szCs w:val="22"/>
        </w:rPr>
        <w:t xml:space="preserve">key </w:t>
      </w:r>
      <w:r w:rsidR="515689DA" w:rsidRPr="00E76A09">
        <w:rPr>
          <w:sz w:val="22"/>
          <w:szCs w:val="22"/>
        </w:rPr>
        <w:t>drivers of deforestation, and</w:t>
      </w:r>
      <w:r w:rsidRPr="00E76A09">
        <w:rPr>
          <w:sz w:val="22"/>
          <w:szCs w:val="22"/>
        </w:rPr>
        <w:t xml:space="preserve"> </w:t>
      </w:r>
      <w:r w:rsidR="37C77012" w:rsidRPr="00E76A09">
        <w:rPr>
          <w:sz w:val="22"/>
          <w:szCs w:val="22"/>
        </w:rPr>
        <w:t>t</w:t>
      </w:r>
      <w:r w:rsidRPr="00E76A09">
        <w:rPr>
          <w:sz w:val="22"/>
          <w:szCs w:val="22"/>
        </w:rPr>
        <w:t xml:space="preserve">here is an urgent need to strengthen and operationalise existing forest monitoring solutions that address unsustainable commodity production.  These solutions need to be rolled out across key geographies in a way that provides protections for </w:t>
      </w:r>
      <w:r w:rsidR="00614EAF" w:rsidRPr="00E76A09">
        <w:rPr>
          <w:sz w:val="22"/>
          <w:szCs w:val="22"/>
        </w:rPr>
        <w:t xml:space="preserve">smallholders, </w:t>
      </w:r>
      <w:r w:rsidRPr="00E76A09">
        <w:rPr>
          <w:sz w:val="22"/>
          <w:szCs w:val="22"/>
        </w:rPr>
        <w:t xml:space="preserve">local communities, indigenous peoples and </w:t>
      </w:r>
      <w:r w:rsidR="00614EAF" w:rsidRPr="00E76A09">
        <w:rPr>
          <w:sz w:val="22"/>
          <w:szCs w:val="22"/>
        </w:rPr>
        <w:t xml:space="preserve">other often </w:t>
      </w:r>
      <w:r w:rsidRPr="00E76A09">
        <w:rPr>
          <w:sz w:val="22"/>
          <w:szCs w:val="22"/>
        </w:rPr>
        <w:t>marginalised groups. There have also been several international developments which have created further need for forest monitoring in relation to commodity production. This was highlighted in Finding 1 of the AIM4Forests mid-term review, which found that several developments, such as the adoption of the European Union Deforestation Regulation (EUDR), have created an important entry point for forest monitoring requiring new technological approaches and tools. The EUDR provides that any operator or trader who places any of the commodities covered by the regulations, on the EU market, or exports from it, must be able to prove that the products do not originate from recently deforested land or have contributed to forest degradation. A significant proportion of relevant UK companies will be affected by the EUDR, and there is an active discussion in the UK about similar domestic regulation.   </w:t>
      </w:r>
    </w:p>
    <w:p w14:paraId="4311BB8A" w14:textId="2C4318BC" w:rsidR="004C3B9D" w:rsidRPr="00E76A09" w:rsidRDefault="004C3B9D" w:rsidP="004258E7">
      <w:pPr>
        <w:tabs>
          <w:tab w:val="right" w:leader="dot" w:pos="9710"/>
        </w:tabs>
        <w:spacing w:before="0" w:after="0" w:line="240" w:lineRule="auto"/>
        <w:rPr>
          <w:sz w:val="22"/>
          <w:szCs w:val="22"/>
        </w:rPr>
      </w:pPr>
      <w:r w:rsidRPr="00E76A09">
        <w:rPr>
          <w:sz w:val="22"/>
          <w:szCs w:val="22"/>
        </w:rPr>
        <w:t> </w:t>
      </w:r>
    </w:p>
    <w:p w14:paraId="06BBB3E8" w14:textId="77777777" w:rsidR="0015303E" w:rsidRPr="00E76A09" w:rsidRDefault="0D9D2637" w:rsidP="004258E7">
      <w:pPr>
        <w:tabs>
          <w:tab w:val="right" w:leader="dot" w:pos="9710"/>
        </w:tabs>
        <w:spacing w:before="0" w:after="0" w:line="240" w:lineRule="auto"/>
        <w:rPr>
          <w:sz w:val="22"/>
          <w:szCs w:val="22"/>
        </w:rPr>
      </w:pPr>
      <w:r w:rsidRPr="00E76A09">
        <w:rPr>
          <w:sz w:val="22"/>
          <w:szCs w:val="22"/>
        </w:rPr>
        <w:t>Between 2023-2024, the AIM4Forests programme began some work on forest monitoring for transparent commodities. It enabled the development of key digital solutions to help smallholders, decision-makers, operators, and third-party verification actors assess the deforestation risk related to commodity production, using innovative forest monitoring.  It also funded key south-south exchanges, including both a regional and global workshop in 2024.</w:t>
      </w:r>
    </w:p>
    <w:p w14:paraId="6F8A764D" w14:textId="77777777" w:rsidR="0015303E" w:rsidRPr="00E76A09" w:rsidRDefault="0015303E" w:rsidP="004258E7">
      <w:pPr>
        <w:tabs>
          <w:tab w:val="right" w:leader="dot" w:pos="9710"/>
        </w:tabs>
        <w:spacing w:before="0" w:after="0" w:line="240" w:lineRule="auto"/>
        <w:rPr>
          <w:sz w:val="22"/>
          <w:szCs w:val="22"/>
        </w:rPr>
      </w:pPr>
    </w:p>
    <w:p w14:paraId="1A546272" w14:textId="2DE96B79" w:rsidR="004C3B9D" w:rsidRPr="00E76A09" w:rsidRDefault="004C3B9D" w:rsidP="004258E7">
      <w:pPr>
        <w:tabs>
          <w:tab w:val="right" w:leader="dot" w:pos="9710"/>
        </w:tabs>
        <w:spacing w:before="0" w:after="0" w:line="240" w:lineRule="auto"/>
        <w:rPr>
          <w:sz w:val="22"/>
          <w:szCs w:val="22"/>
        </w:rPr>
      </w:pPr>
      <w:r w:rsidRPr="00E76A09">
        <w:rPr>
          <w:sz w:val="22"/>
          <w:szCs w:val="22"/>
        </w:rPr>
        <w:t>Since late 2024, the German-funded AIM4Commodities project took responsibility to continue funding such work</w:t>
      </w:r>
      <w:r w:rsidR="0015303E" w:rsidRPr="00E76A09">
        <w:rPr>
          <w:sz w:val="22"/>
          <w:szCs w:val="22"/>
        </w:rPr>
        <w:t>, following an expression of interest from the German Government on these themes</w:t>
      </w:r>
      <w:r w:rsidRPr="00E76A09">
        <w:rPr>
          <w:sz w:val="22"/>
          <w:szCs w:val="22"/>
        </w:rPr>
        <w:t>. AIM4Commodities is also delivered by FAO and aims to enhance forest monitoring and promote transparent commodity value chains by developing open, inclusive and scalable solutions. This supports producers, companies, and regulators to ensure sustainable and deforestation-free value chains.  Due to the linkages between commodity production and deforestation, AIM4Commodities has still maintained links with AIM4Forests. For example, the country workplan for Vietnam for 2025 was a joint AIM4Forests and AIM4Commodities workplan with a single overarching objective to advance Vietnam’s forest monitoring.     </w:t>
      </w:r>
    </w:p>
    <w:p w14:paraId="32516391" w14:textId="77777777" w:rsidR="004C3B9D" w:rsidRPr="00E76A09" w:rsidRDefault="004C3B9D" w:rsidP="004258E7">
      <w:pPr>
        <w:tabs>
          <w:tab w:val="right" w:leader="dot" w:pos="9710"/>
        </w:tabs>
        <w:spacing w:before="0" w:after="0" w:line="240" w:lineRule="auto"/>
        <w:rPr>
          <w:sz w:val="22"/>
          <w:szCs w:val="22"/>
        </w:rPr>
      </w:pPr>
      <w:r w:rsidRPr="00E76A09">
        <w:rPr>
          <w:sz w:val="22"/>
          <w:szCs w:val="22"/>
        </w:rPr>
        <w:t>  </w:t>
      </w:r>
    </w:p>
    <w:p w14:paraId="6C5475AF" w14:textId="735E876D" w:rsidR="004C3B9D" w:rsidRPr="00E76A09" w:rsidRDefault="6EA181DA" w:rsidP="004258E7">
      <w:pPr>
        <w:tabs>
          <w:tab w:val="right" w:leader="dot" w:pos="9710"/>
        </w:tabs>
        <w:spacing w:before="0" w:after="0" w:line="240" w:lineRule="auto"/>
        <w:rPr>
          <w:sz w:val="22"/>
          <w:szCs w:val="22"/>
        </w:rPr>
      </w:pPr>
      <w:r w:rsidRPr="00E76A09">
        <w:rPr>
          <w:sz w:val="22"/>
          <w:szCs w:val="22"/>
        </w:rPr>
        <w:t xml:space="preserve">However, </w:t>
      </w:r>
      <w:r w:rsidR="1DAE71AD" w:rsidRPr="00E76A09">
        <w:rPr>
          <w:sz w:val="22"/>
          <w:szCs w:val="22"/>
        </w:rPr>
        <w:t xml:space="preserve">the longevity of German </w:t>
      </w:r>
      <w:r w:rsidRPr="00E76A09">
        <w:rPr>
          <w:sz w:val="22"/>
          <w:szCs w:val="22"/>
        </w:rPr>
        <w:t xml:space="preserve">funding for AIM4Commodities is </w:t>
      </w:r>
      <w:r w:rsidR="1DAE71AD" w:rsidRPr="00E76A09">
        <w:rPr>
          <w:sz w:val="22"/>
          <w:szCs w:val="22"/>
        </w:rPr>
        <w:t>highly uncertain</w:t>
      </w:r>
      <w:r w:rsidRPr="00E76A09">
        <w:rPr>
          <w:sz w:val="22"/>
          <w:szCs w:val="22"/>
        </w:rPr>
        <w:t xml:space="preserve">, creating </w:t>
      </w:r>
      <w:r w:rsidR="48E69947" w:rsidRPr="00E76A09">
        <w:rPr>
          <w:sz w:val="22"/>
          <w:szCs w:val="22"/>
        </w:rPr>
        <w:t xml:space="preserve">the risk </w:t>
      </w:r>
      <w:r w:rsidR="78C73636" w:rsidRPr="00E76A09">
        <w:rPr>
          <w:sz w:val="22"/>
          <w:szCs w:val="22"/>
        </w:rPr>
        <w:t>that gaps</w:t>
      </w:r>
      <w:r w:rsidR="46A0B9DF" w:rsidRPr="00E76A09">
        <w:rPr>
          <w:sz w:val="22"/>
          <w:szCs w:val="22"/>
        </w:rPr>
        <w:t xml:space="preserve"> emerge</w:t>
      </w:r>
      <w:r w:rsidRPr="00E76A09">
        <w:rPr>
          <w:sz w:val="22"/>
          <w:szCs w:val="22"/>
        </w:rPr>
        <w:t xml:space="preserve"> in the global landscape around forest monitoring to support transparent commodity value chains. This </w:t>
      </w:r>
      <w:r w:rsidR="6030C74B" w:rsidRPr="00E76A09">
        <w:rPr>
          <w:sz w:val="22"/>
          <w:szCs w:val="22"/>
        </w:rPr>
        <w:t>risk</w:t>
      </w:r>
      <w:r w:rsidRPr="00E76A09">
        <w:rPr>
          <w:sz w:val="22"/>
          <w:szCs w:val="22"/>
        </w:rPr>
        <w:t xml:space="preserve"> is further exacerbated by the previously US-funded Forest Data Partnership (</w:t>
      </w:r>
      <w:proofErr w:type="spellStart"/>
      <w:r w:rsidRPr="00E76A09">
        <w:rPr>
          <w:sz w:val="22"/>
          <w:szCs w:val="22"/>
        </w:rPr>
        <w:t>FDaP</w:t>
      </w:r>
      <w:proofErr w:type="spellEnd"/>
      <w:r w:rsidRPr="00E76A09">
        <w:rPr>
          <w:sz w:val="22"/>
          <w:szCs w:val="22"/>
        </w:rPr>
        <w:t xml:space="preserve">), which focused on similar themes, also ceasing funding in early 2025. </w:t>
      </w:r>
      <w:r w:rsidR="5BD1DF2E" w:rsidRPr="00E76A09">
        <w:rPr>
          <w:sz w:val="22"/>
          <w:szCs w:val="22"/>
        </w:rPr>
        <w:t>In addition, the funding that Germany ha</w:t>
      </w:r>
      <w:r w:rsidR="3A8C593F" w:rsidRPr="00E76A09">
        <w:rPr>
          <w:sz w:val="22"/>
          <w:szCs w:val="22"/>
        </w:rPr>
        <w:t>s</w:t>
      </w:r>
      <w:r w:rsidR="5BD1DF2E" w:rsidRPr="00E76A09">
        <w:rPr>
          <w:sz w:val="22"/>
          <w:szCs w:val="22"/>
        </w:rPr>
        <w:t xml:space="preserve"> provided for AIM4Commodities (1 million euros for the next year</w:t>
      </w:r>
      <w:r w:rsidR="5651B7FE" w:rsidRPr="00E76A09">
        <w:rPr>
          <w:sz w:val="22"/>
          <w:szCs w:val="22"/>
        </w:rPr>
        <w:t>, to end of 2026</w:t>
      </w:r>
      <w:r w:rsidR="5BD1DF2E" w:rsidRPr="00E76A09">
        <w:rPr>
          <w:sz w:val="22"/>
          <w:szCs w:val="22"/>
        </w:rPr>
        <w:t xml:space="preserve">) is limited, and demand from countries for this support </w:t>
      </w:r>
      <w:r w:rsidR="2E367DF4" w:rsidRPr="00E76A09">
        <w:rPr>
          <w:sz w:val="22"/>
          <w:szCs w:val="22"/>
        </w:rPr>
        <w:t xml:space="preserve">would exceed this budget. </w:t>
      </w:r>
    </w:p>
    <w:p w14:paraId="718A659C" w14:textId="2F2EA94A" w:rsidR="004C3B9D" w:rsidRPr="00E76A09" w:rsidRDefault="004C3B9D" w:rsidP="004258E7">
      <w:pPr>
        <w:tabs>
          <w:tab w:val="right" w:leader="dot" w:pos="9710"/>
        </w:tabs>
        <w:spacing w:before="0" w:after="0" w:line="240" w:lineRule="auto"/>
        <w:rPr>
          <w:sz w:val="22"/>
          <w:szCs w:val="22"/>
        </w:rPr>
      </w:pPr>
    </w:p>
    <w:p w14:paraId="77657555" w14:textId="7C2029AE" w:rsidR="004C3B9D" w:rsidRPr="00E76A09" w:rsidRDefault="004C3B9D" w:rsidP="004258E7">
      <w:pPr>
        <w:tabs>
          <w:tab w:val="right" w:leader="dot" w:pos="9710"/>
        </w:tabs>
        <w:spacing w:before="0" w:after="0" w:line="240" w:lineRule="auto"/>
        <w:rPr>
          <w:sz w:val="22"/>
          <w:szCs w:val="22"/>
        </w:rPr>
      </w:pPr>
      <w:r w:rsidRPr="00E76A09">
        <w:rPr>
          <w:sz w:val="22"/>
          <w:szCs w:val="22"/>
        </w:rPr>
        <w:t xml:space="preserve">To ensure that activities continue and that impact is achieved, the AIM4Forests extension request will include a focus on transparent commodity value chains, resulting in an additional ‘output’ area for the programme. </w:t>
      </w:r>
      <w:r w:rsidR="36C55CFE" w:rsidRPr="00E76A09">
        <w:rPr>
          <w:sz w:val="22"/>
          <w:szCs w:val="22"/>
        </w:rPr>
        <w:t>We are exploring opportunities to work in partnership with Germany</w:t>
      </w:r>
      <w:r w:rsidR="18207632" w:rsidRPr="00E76A09">
        <w:rPr>
          <w:sz w:val="22"/>
          <w:szCs w:val="22"/>
        </w:rPr>
        <w:t>, such as co-funding</w:t>
      </w:r>
      <w:r w:rsidR="36C55CFE" w:rsidRPr="00E76A09">
        <w:rPr>
          <w:sz w:val="22"/>
          <w:szCs w:val="22"/>
        </w:rPr>
        <w:t xml:space="preserve"> </w:t>
      </w:r>
      <w:r w:rsidR="3CC5FBD4" w:rsidRPr="00E76A09">
        <w:rPr>
          <w:sz w:val="22"/>
          <w:szCs w:val="22"/>
        </w:rPr>
        <w:t>arrangements,</w:t>
      </w:r>
      <w:r w:rsidR="36C55CFE" w:rsidRPr="00E76A09">
        <w:rPr>
          <w:sz w:val="22"/>
          <w:szCs w:val="22"/>
        </w:rPr>
        <w:t xml:space="preserve"> to support forest monitoring for sustainable commodities.</w:t>
      </w:r>
      <w:r w:rsidRPr="00E76A09">
        <w:rPr>
          <w:sz w:val="22"/>
          <w:szCs w:val="22"/>
        </w:rPr>
        <w:t xml:space="preserve"> </w:t>
      </w:r>
    </w:p>
    <w:p w14:paraId="04B6AA08" w14:textId="77777777" w:rsidR="00F67CD1" w:rsidRPr="00E76A09" w:rsidRDefault="00F67CD1" w:rsidP="004258E7">
      <w:pPr>
        <w:tabs>
          <w:tab w:val="right" w:leader="dot" w:pos="9710"/>
        </w:tabs>
        <w:spacing w:before="0" w:after="0" w:line="240" w:lineRule="auto"/>
        <w:rPr>
          <w:sz w:val="22"/>
          <w:szCs w:val="22"/>
        </w:rPr>
      </w:pPr>
    </w:p>
    <w:p w14:paraId="651C9F0E" w14:textId="58F79030" w:rsidR="00F67CD1" w:rsidRPr="00E76A09" w:rsidRDefault="00F67CD1" w:rsidP="004258E7">
      <w:pPr>
        <w:tabs>
          <w:tab w:val="right" w:leader="dot" w:pos="9710"/>
        </w:tabs>
        <w:spacing w:before="0" w:after="0" w:line="240" w:lineRule="auto"/>
        <w:rPr>
          <w:sz w:val="22"/>
          <w:szCs w:val="22"/>
          <w:u w:val="single"/>
        </w:rPr>
      </w:pPr>
      <w:r w:rsidRPr="00E76A09">
        <w:rPr>
          <w:sz w:val="22"/>
          <w:szCs w:val="22"/>
          <w:u w:val="single"/>
        </w:rPr>
        <w:t xml:space="preserve">Monitoring for nature restoration </w:t>
      </w:r>
    </w:p>
    <w:p w14:paraId="7CA2CE17" w14:textId="0B46189C" w:rsidR="00F67CD1" w:rsidRPr="00E76A09" w:rsidRDefault="4BCDA392" w:rsidP="004258E7">
      <w:pPr>
        <w:tabs>
          <w:tab w:val="right" w:leader="dot" w:pos="9710"/>
        </w:tabs>
        <w:spacing w:after="0" w:line="240" w:lineRule="auto"/>
        <w:rPr>
          <w:sz w:val="22"/>
          <w:szCs w:val="22"/>
        </w:rPr>
      </w:pPr>
      <w:r w:rsidRPr="00E76A09">
        <w:rPr>
          <w:rStyle w:val="normaltextrun"/>
          <w:rFonts w:ascii="Calibri" w:hAnsi="Calibri" w:cs="Calibri"/>
          <w:color w:val="000000"/>
          <w:sz w:val="22"/>
          <w:szCs w:val="22"/>
          <w:shd w:val="clear" w:color="auto" w:fill="FFFFFF"/>
        </w:rPr>
        <w:t>The adoption of the Kunming-Montreal Global Biodiversity Framework (KMGBF) has set restoration Target 2: to restore at least 30% of degraded areas under restoration by 2030, that needs to be monitored.</w:t>
      </w:r>
      <w:r w:rsidR="000A44A3" w:rsidRPr="00E76A09">
        <w:rPr>
          <w:rStyle w:val="FootnoteReference"/>
          <w:rFonts w:ascii="Calibri" w:hAnsi="Calibri" w:cs="Calibri"/>
          <w:color w:val="000000"/>
          <w:sz w:val="22"/>
          <w:szCs w:val="22"/>
          <w:shd w:val="clear" w:color="auto" w:fill="FFFFFF"/>
        </w:rPr>
        <w:footnoteReference w:id="18"/>
      </w:r>
      <w:r w:rsidRPr="00E76A09">
        <w:rPr>
          <w:rStyle w:val="normaltextrun"/>
          <w:rFonts w:ascii="Calibri" w:hAnsi="Calibri" w:cs="Calibri"/>
          <w:color w:val="000000"/>
          <w:sz w:val="22"/>
          <w:szCs w:val="22"/>
          <w:shd w:val="clear" w:color="auto" w:fill="FFFFFF"/>
        </w:rPr>
        <w:t xml:space="preserve"> Restoration is also vital for protecting standing forests, and delivers multiple benefits including carbon removals and storage, and water regulation. However, a 2024 capacity needs assessment survey by the Convention on Biological Diversity (CBD) Secretariat (CBD/COP/16/INF/4) found out that 100% of the 44 respondent countries requested </w:t>
      </w:r>
      <w:r w:rsidRPr="00E76A09">
        <w:rPr>
          <w:rStyle w:val="normaltextrun"/>
          <w:rFonts w:ascii="Calibri" w:hAnsi="Calibri" w:cs="Calibri"/>
          <w:color w:val="000000"/>
          <w:sz w:val="22"/>
          <w:szCs w:val="22"/>
          <w:shd w:val="clear" w:color="auto" w:fill="FFFFFF"/>
        </w:rPr>
        <w:lastRenderedPageBreak/>
        <w:t>capacity development for unpacking global methodologies in their national context, and that 80% of countries lack the capacity to report on restoration progress. This suggests an urgent need to accelerate innovative monitoring for nature restoration, supporting countries in monitoring and reporting on their restoration progress. In early 2025, AIM4Forests added an additional output on nature restoration which will use cutting-edge technology and data to bring transparency and accountability to global restoration commitments under the KMGBF. </w:t>
      </w:r>
      <w:r w:rsidRPr="00E76A09">
        <w:rPr>
          <w:rStyle w:val="eop"/>
          <w:rFonts w:ascii="Calibri" w:hAnsi="Calibri" w:cs="Calibri"/>
          <w:color w:val="000000"/>
          <w:sz w:val="22"/>
          <w:szCs w:val="22"/>
          <w:shd w:val="clear" w:color="auto" w:fill="FFFFFF"/>
        </w:rPr>
        <w:t> </w:t>
      </w:r>
    </w:p>
    <w:p w14:paraId="0A533EE9" w14:textId="218B02EE" w:rsidR="004C3B9D" w:rsidRPr="00E76A09" w:rsidRDefault="004C3B9D" w:rsidP="004258E7">
      <w:pPr>
        <w:tabs>
          <w:tab w:val="right" w:leader="dot" w:pos="9710"/>
        </w:tabs>
        <w:spacing w:before="0" w:after="0" w:line="240" w:lineRule="auto"/>
        <w:rPr>
          <w:sz w:val="22"/>
          <w:szCs w:val="22"/>
        </w:rPr>
      </w:pPr>
    </w:p>
    <w:p w14:paraId="218A9D31" w14:textId="7E98F497" w:rsidR="004C3B9D" w:rsidRPr="00E76A09" w:rsidRDefault="004C3B9D" w:rsidP="004258E7">
      <w:pPr>
        <w:tabs>
          <w:tab w:val="right" w:leader="dot" w:pos="9710"/>
        </w:tabs>
        <w:spacing w:before="0" w:after="0" w:line="240" w:lineRule="auto"/>
        <w:rPr>
          <w:sz w:val="22"/>
          <w:szCs w:val="22"/>
          <w:u w:val="single"/>
        </w:rPr>
      </w:pPr>
      <w:r w:rsidRPr="00E76A09">
        <w:rPr>
          <w:sz w:val="22"/>
          <w:szCs w:val="22"/>
          <w:u w:val="single"/>
        </w:rPr>
        <w:t xml:space="preserve">Accessing new and emerging forms of climate finance </w:t>
      </w:r>
    </w:p>
    <w:p w14:paraId="03303C0B" w14:textId="1E2DD740" w:rsidR="000863FB" w:rsidRPr="00E76A09" w:rsidRDefault="452DFFA3" w:rsidP="004258E7">
      <w:pPr>
        <w:tabs>
          <w:tab w:val="right" w:leader="dot" w:pos="9710"/>
        </w:tabs>
        <w:spacing w:after="0" w:line="240" w:lineRule="auto"/>
        <w:rPr>
          <w:sz w:val="22"/>
          <w:szCs w:val="22"/>
        </w:rPr>
      </w:pPr>
      <w:r w:rsidRPr="00E76A09">
        <w:rPr>
          <w:sz w:val="22"/>
          <w:szCs w:val="22"/>
        </w:rPr>
        <w:t>There are also new and emerging mechanisms through which countries can access climate finance</w:t>
      </w:r>
      <w:r w:rsidR="006607FF" w:rsidRPr="00E76A09">
        <w:rPr>
          <w:sz w:val="22"/>
          <w:szCs w:val="22"/>
        </w:rPr>
        <w:t>, all of which will require MRV</w:t>
      </w:r>
      <w:r w:rsidRPr="00E76A09">
        <w:rPr>
          <w:sz w:val="22"/>
          <w:szCs w:val="22"/>
        </w:rPr>
        <w:t>.</w:t>
      </w:r>
      <w:r w:rsidR="07CFC3E6" w:rsidRPr="00E76A09">
        <w:rPr>
          <w:sz w:val="22"/>
          <w:szCs w:val="22"/>
        </w:rPr>
        <w:t xml:space="preserve"> AIM4Forests can evolve the country-level work under Output 5 to support countries towards emerging climate finance opportunities, and the model for which support is provided is adaptable and flexible depending on country priorities and needs. </w:t>
      </w:r>
      <w:r w:rsidRPr="00E76A09">
        <w:rPr>
          <w:sz w:val="22"/>
          <w:szCs w:val="22"/>
        </w:rPr>
        <w:t xml:space="preserve"> In late 2024, at COP29 in Baku there was agreement on the rulebook for Article 6 of the Paris Agreement. Article 6 enables international cooperation to tackle climate change and to unlock financial support for developing countries.</w:t>
      </w:r>
      <w:r w:rsidR="00EA723C" w:rsidRPr="00E76A09">
        <w:rPr>
          <w:rStyle w:val="FootnoteReference"/>
          <w:sz w:val="22"/>
          <w:szCs w:val="22"/>
        </w:rPr>
        <w:footnoteReference w:id="19"/>
      </w:r>
      <w:r w:rsidRPr="00E76A09">
        <w:rPr>
          <w:sz w:val="22"/>
          <w:szCs w:val="22"/>
        </w:rPr>
        <w:t xml:space="preserve"> AIM4Forests has already begun supporting countries to access forest carbon market opportunities under Article 6.2 of the Paris Agreement. For example, in 2025 AIM4Forests supported an assessment of Papua New Guinea’s readiness for forest monitoring and reporting for Article 6s with a view to enabling Papua New Guinea’s ART-TREES programme to participate in Article 6. AIM4Forests c</w:t>
      </w:r>
      <w:r w:rsidR="2B20A213" w:rsidRPr="00E76A09">
        <w:rPr>
          <w:sz w:val="22"/>
          <w:szCs w:val="22"/>
        </w:rPr>
        <w:t>ould</w:t>
      </w:r>
      <w:r w:rsidRPr="00E76A09">
        <w:rPr>
          <w:sz w:val="22"/>
          <w:szCs w:val="22"/>
        </w:rPr>
        <w:t xml:space="preserve"> provide </w:t>
      </w:r>
      <w:r w:rsidR="2B20A213" w:rsidRPr="00E76A09">
        <w:rPr>
          <w:sz w:val="22"/>
          <w:szCs w:val="22"/>
        </w:rPr>
        <w:t>further</w:t>
      </w:r>
      <w:r w:rsidRPr="00E76A09">
        <w:rPr>
          <w:sz w:val="22"/>
          <w:szCs w:val="22"/>
        </w:rPr>
        <w:t xml:space="preserve"> support for countries for their Article 6.2 initial reports, the updating of NDCs, and the development of relevant national MRV processes.  </w:t>
      </w:r>
    </w:p>
    <w:p w14:paraId="6954682C" w14:textId="64FA383B" w:rsidR="00F67CD1" w:rsidRPr="00E76A09" w:rsidRDefault="0A994923" w:rsidP="004258E7">
      <w:pPr>
        <w:tabs>
          <w:tab w:val="right" w:leader="dot" w:pos="9710"/>
        </w:tabs>
        <w:spacing w:after="0" w:line="240" w:lineRule="auto"/>
        <w:rPr>
          <w:sz w:val="22"/>
          <w:szCs w:val="22"/>
        </w:rPr>
      </w:pPr>
      <w:r w:rsidRPr="00E76A09">
        <w:rPr>
          <w:sz w:val="22"/>
          <w:szCs w:val="22"/>
        </w:rPr>
        <w:t xml:space="preserve">AIM4Forests </w:t>
      </w:r>
      <w:r w:rsidR="2571FE87" w:rsidRPr="00E76A09">
        <w:rPr>
          <w:sz w:val="22"/>
          <w:szCs w:val="22"/>
        </w:rPr>
        <w:t xml:space="preserve">is also supporting the </w:t>
      </w:r>
      <w:r w:rsidR="2B20A213" w:rsidRPr="00E76A09">
        <w:rPr>
          <w:sz w:val="22"/>
          <w:szCs w:val="22"/>
        </w:rPr>
        <w:t>new</w:t>
      </w:r>
      <w:r w:rsidR="2571FE87" w:rsidRPr="00E76A09">
        <w:rPr>
          <w:sz w:val="22"/>
          <w:szCs w:val="22"/>
        </w:rPr>
        <w:t xml:space="preserve"> Tropical Forests Forever F</w:t>
      </w:r>
      <w:r w:rsidR="04D3BA6A" w:rsidRPr="134D0B4F">
        <w:rPr>
          <w:sz w:val="22"/>
          <w:szCs w:val="22"/>
        </w:rPr>
        <w:t>acility</w:t>
      </w:r>
      <w:r w:rsidR="2571FE87" w:rsidRPr="134D0B4F">
        <w:rPr>
          <w:sz w:val="22"/>
          <w:szCs w:val="22"/>
        </w:rPr>
        <w:t xml:space="preserve"> (TFFF), both directly and indirectly. </w:t>
      </w:r>
      <w:r w:rsidR="638FE71B" w:rsidRPr="134D0B4F">
        <w:rPr>
          <w:sz w:val="22"/>
          <w:szCs w:val="22"/>
        </w:rPr>
        <w:t>TFFF is a proposed blended-finance mechanism which would allow countries to rec</w:t>
      </w:r>
      <w:r w:rsidR="3D59FD72" w:rsidRPr="134D0B4F">
        <w:rPr>
          <w:sz w:val="22"/>
          <w:szCs w:val="22"/>
        </w:rPr>
        <w:t>eive payments proportional to their conserved areas of tropic and subtropical moist forests. Deduction would apply for every hectare deforested or degraded.</w:t>
      </w:r>
      <w:r w:rsidRPr="134D0B4F">
        <w:rPr>
          <w:rStyle w:val="FootnoteReference"/>
          <w:sz w:val="22"/>
          <w:szCs w:val="22"/>
        </w:rPr>
        <w:footnoteReference w:id="20"/>
      </w:r>
      <w:r w:rsidR="2571FE87" w:rsidRPr="134D0B4F">
        <w:rPr>
          <w:sz w:val="22"/>
          <w:szCs w:val="22"/>
        </w:rPr>
        <w:t xml:space="preserve"> </w:t>
      </w:r>
      <w:r w:rsidRPr="134D0B4F">
        <w:rPr>
          <w:sz w:val="22"/>
          <w:szCs w:val="22"/>
        </w:rPr>
        <w:t>AIM4Forests is supporting the design of the TFFF, by conduct</w:t>
      </w:r>
      <w:r w:rsidR="2571FE87" w:rsidRPr="134D0B4F">
        <w:rPr>
          <w:sz w:val="22"/>
          <w:szCs w:val="22"/>
        </w:rPr>
        <w:t>ing</w:t>
      </w:r>
      <w:r w:rsidRPr="134D0B4F">
        <w:rPr>
          <w:sz w:val="22"/>
          <w:szCs w:val="22"/>
        </w:rPr>
        <w:t xml:space="preserve"> a technical assessment of forest monitoring systems across tropical countries. After the TFFF is operational, AIM4Forests could </w:t>
      </w:r>
      <w:r w:rsidR="2B20A213" w:rsidRPr="134D0B4F">
        <w:rPr>
          <w:sz w:val="22"/>
          <w:szCs w:val="22"/>
        </w:rPr>
        <w:t>further</w:t>
      </w:r>
      <w:r w:rsidRPr="134D0B4F">
        <w:rPr>
          <w:sz w:val="22"/>
          <w:szCs w:val="22"/>
        </w:rPr>
        <w:t xml:space="preserve"> support countries to participate in the TFFF</w:t>
      </w:r>
      <w:r w:rsidR="581C8FF2" w:rsidRPr="134D0B4F">
        <w:rPr>
          <w:sz w:val="22"/>
          <w:szCs w:val="22"/>
        </w:rPr>
        <w:t xml:space="preserve"> </w:t>
      </w:r>
      <w:r w:rsidRPr="134D0B4F">
        <w:rPr>
          <w:sz w:val="22"/>
          <w:szCs w:val="22"/>
        </w:rPr>
        <w:t>through assisting in the monitoring of forest cover, and submissions of reports for review, verifications, and other technical assistance.</w:t>
      </w:r>
      <w:r w:rsidR="581C8FF2" w:rsidRPr="134D0B4F">
        <w:rPr>
          <w:sz w:val="22"/>
          <w:szCs w:val="22"/>
        </w:rPr>
        <w:t xml:space="preserve"> </w:t>
      </w:r>
      <w:r w:rsidR="452DFFA3" w:rsidRPr="134D0B4F">
        <w:rPr>
          <w:sz w:val="22"/>
          <w:szCs w:val="22"/>
        </w:rPr>
        <w:t>This may include supporting countries to participate in the TFFF, including in the submissions of reports for review, verifications, and other technical assistance.   </w:t>
      </w:r>
    </w:p>
    <w:p w14:paraId="1F80FDDB" w14:textId="77777777" w:rsidR="004C3B9D" w:rsidRPr="00E76A09" w:rsidRDefault="004C3B9D" w:rsidP="004C3B9D">
      <w:pPr>
        <w:tabs>
          <w:tab w:val="right" w:leader="dot" w:pos="9710"/>
        </w:tabs>
        <w:spacing w:before="0" w:after="0" w:line="240" w:lineRule="auto"/>
        <w:ind w:left="284"/>
        <w:rPr>
          <w:sz w:val="22"/>
          <w:szCs w:val="22"/>
        </w:rPr>
      </w:pPr>
    </w:p>
    <w:p w14:paraId="62EC2136" w14:textId="79B774F7" w:rsidR="00141489" w:rsidRPr="00E76A09" w:rsidRDefault="000A739B" w:rsidP="004258E7">
      <w:pPr>
        <w:tabs>
          <w:tab w:val="right" w:leader="dot" w:pos="9710"/>
        </w:tabs>
        <w:spacing w:before="0" w:after="0" w:line="240" w:lineRule="auto"/>
        <w:rPr>
          <w:b/>
          <w:bCs/>
          <w:sz w:val="22"/>
          <w:szCs w:val="22"/>
        </w:rPr>
      </w:pPr>
      <w:r w:rsidRPr="00E76A09">
        <w:rPr>
          <w:b/>
          <w:bCs/>
          <w:sz w:val="22"/>
          <w:szCs w:val="22"/>
        </w:rPr>
        <w:t xml:space="preserve">1.2.3 </w:t>
      </w:r>
      <w:r w:rsidR="00D36813" w:rsidRPr="00E76A09">
        <w:rPr>
          <w:b/>
          <w:bCs/>
          <w:sz w:val="22"/>
          <w:szCs w:val="22"/>
        </w:rPr>
        <w:t xml:space="preserve">The programme is facing a </w:t>
      </w:r>
      <w:r w:rsidR="15A4D986" w:rsidRPr="00E76A09">
        <w:rPr>
          <w:b/>
          <w:bCs/>
          <w:sz w:val="22"/>
          <w:szCs w:val="22"/>
        </w:rPr>
        <w:t>budget</w:t>
      </w:r>
      <w:r w:rsidR="00D36813" w:rsidRPr="00E76A09">
        <w:rPr>
          <w:b/>
          <w:bCs/>
          <w:sz w:val="22"/>
          <w:szCs w:val="22"/>
        </w:rPr>
        <w:t xml:space="preserve"> shortfall </w:t>
      </w:r>
    </w:p>
    <w:p w14:paraId="72EF3860" w14:textId="77777777" w:rsidR="00DA216D" w:rsidRPr="00E76A09" w:rsidRDefault="00DA216D" w:rsidP="004258E7">
      <w:pPr>
        <w:tabs>
          <w:tab w:val="right" w:leader="dot" w:pos="9710"/>
        </w:tabs>
        <w:spacing w:after="0" w:line="240" w:lineRule="auto"/>
        <w:rPr>
          <w:sz w:val="22"/>
          <w:szCs w:val="22"/>
        </w:rPr>
      </w:pPr>
      <w:r w:rsidRPr="00E76A09">
        <w:rPr>
          <w:sz w:val="22"/>
          <w:szCs w:val="22"/>
        </w:rPr>
        <w:t>The AIM4Forests programme is currently facing a budget shortfall for one of its most critical outputs. Output 5 covers the technical assistance that AIM4Forests delivers at a country level and includes activities to support forest monitoring such as:   </w:t>
      </w:r>
    </w:p>
    <w:p w14:paraId="5E52A499" w14:textId="77777777" w:rsidR="00DA216D" w:rsidRPr="00E76A09" w:rsidRDefault="00DA216D" w:rsidP="005F1FB6">
      <w:pPr>
        <w:numPr>
          <w:ilvl w:val="0"/>
          <w:numId w:val="9"/>
        </w:numPr>
        <w:tabs>
          <w:tab w:val="right" w:leader="dot" w:pos="9710"/>
        </w:tabs>
        <w:spacing w:before="0" w:after="0" w:line="240" w:lineRule="auto"/>
        <w:rPr>
          <w:sz w:val="22"/>
          <w:szCs w:val="22"/>
        </w:rPr>
      </w:pPr>
      <w:r w:rsidRPr="00E76A09">
        <w:rPr>
          <w:sz w:val="22"/>
          <w:szCs w:val="22"/>
        </w:rPr>
        <w:t>Developing capacity building trajectories, based on integrated capacity assessments   </w:t>
      </w:r>
    </w:p>
    <w:p w14:paraId="238166D0" w14:textId="77777777" w:rsidR="00DA216D" w:rsidRPr="00E76A09" w:rsidRDefault="00DA216D" w:rsidP="005F1FB6">
      <w:pPr>
        <w:numPr>
          <w:ilvl w:val="0"/>
          <w:numId w:val="10"/>
        </w:numPr>
        <w:tabs>
          <w:tab w:val="right" w:leader="dot" w:pos="9710"/>
        </w:tabs>
        <w:spacing w:before="0" w:after="0" w:line="240" w:lineRule="auto"/>
        <w:rPr>
          <w:sz w:val="22"/>
          <w:szCs w:val="22"/>
        </w:rPr>
      </w:pPr>
      <w:r w:rsidRPr="00E76A09">
        <w:rPr>
          <w:sz w:val="22"/>
          <w:szCs w:val="22"/>
        </w:rPr>
        <w:t>Developing technical assistance country workplans and deploying technical assistance on forest monitoring, primarily for data-driven resource management and on MRV to access climate finance; and   </w:t>
      </w:r>
    </w:p>
    <w:p w14:paraId="3651FC40" w14:textId="77777777" w:rsidR="00DA216D" w:rsidRPr="00E76A09" w:rsidRDefault="00DA216D" w:rsidP="005F1FB6">
      <w:pPr>
        <w:numPr>
          <w:ilvl w:val="0"/>
          <w:numId w:val="11"/>
        </w:numPr>
        <w:tabs>
          <w:tab w:val="right" w:leader="dot" w:pos="9710"/>
        </w:tabs>
        <w:spacing w:before="0" w:after="0" w:line="240" w:lineRule="auto"/>
        <w:rPr>
          <w:sz w:val="22"/>
          <w:szCs w:val="22"/>
        </w:rPr>
      </w:pPr>
      <w:r w:rsidRPr="00E76A09">
        <w:rPr>
          <w:sz w:val="22"/>
          <w:szCs w:val="22"/>
        </w:rPr>
        <w:t>Promoting and supporting south-south exchange among countries on forest monitoring.   </w:t>
      </w:r>
    </w:p>
    <w:p w14:paraId="0246F00E" w14:textId="77777777" w:rsidR="00DA216D" w:rsidRPr="00E76A09" w:rsidRDefault="00DA216D" w:rsidP="00DA216D">
      <w:pPr>
        <w:tabs>
          <w:tab w:val="right" w:leader="dot" w:pos="9710"/>
        </w:tabs>
        <w:spacing w:before="0" w:after="0" w:line="240" w:lineRule="auto"/>
        <w:ind w:left="284"/>
        <w:rPr>
          <w:sz w:val="22"/>
          <w:szCs w:val="22"/>
        </w:rPr>
      </w:pPr>
      <w:r w:rsidRPr="00E76A09">
        <w:rPr>
          <w:sz w:val="22"/>
          <w:szCs w:val="22"/>
        </w:rPr>
        <w:t>  </w:t>
      </w:r>
    </w:p>
    <w:p w14:paraId="76740387" w14:textId="2CD28485" w:rsidR="00DA216D" w:rsidRPr="00E76A09" w:rsidRDefault="3F2F5EE5" w:rsidP="004258E7">
      <w:pPr>
        <w:tabs>
          <w:tab w:val="right" w:leader="dot" w:pos="9710"/>
        </w:tabs>
        <w:spacing w:before="0" w:after="0" w:line="240" w:lineRule="auto"/>
        <w:rPr>
          <w:sz w:val="22"/>
          <w:szCs w:val="22"/>
        </w:rPr>
      </w:pPr>
      <w:r w:rsidRPr="00E76A09">
        <w:rPr>
          <w:sz w:val="22"/>
          <w:szCs w:val="22"/>
        </w:rPr>
        <w:t>While AIM4Forests at country level was predominately focused on MRV to access climate finance, as well as forest information to better enable better resource management, emerging priorities on elements such as nature restoration and transparent commodities have expanded this focus for some countries. The importance of the country level work is highlighted in the mid-term review. Finding 5 of the mid-term review stated that the support under Output 5 (Technical gaps with forest country NFMS and MRV systems are addressed) was seen as highly relevant, despite the small volume of support, because of the programme’s perceived agility and flexibility to provide technical assistance to address critical needs/ gaps to strengthen NFMS.</w:t>
      </w:r>
      <w:r w:rsidR="005E0AF3" w:rsidRPr="00E76A09">
        <w:rPr>
          <w:rStyle w:val="FootnoteReference"/>
          <w:sz w:val="22"/>
          <w:szCs w:val="22"/>
        </w:rPr>
        <w:footnoteReference w:id="21"/>
      </w:r>
      <w:r w:rsidRPr="00E76A09">
        <w:rPr>
          <w:sz w:val="22"/>
          <w:szCs w:val="22"/>
        </w:rPr>
        <w:t>  </w:t>
      </w:r>
    </w:p>
    <w:p w14:paraId="5BB845F5" w14:textId="77777777" w:rsidR="00DA216D" w:rsidRPr="00E76A09" w:rsidRDefault="00DA216D" w:rsidP="004258E7">
      <w:pPr>
        <w:tabs>
          <w:tab w:val="right" w:leader="dot" w:pos="9710"/>
        </w:tabs>
        <w:spacing w:before="0" w:after="0" w:line="240" w:lineRule="auto"/>
        <w:rPr>
          <w:sz w:val="22"/>
          <w:szCs w:val="22"/>
        </w:rPr>
      </w:pPr>
      <w:r w:rsidRPr="00E76A09">
        <w:rPr>
          <w:sz w:val="22"/>
          <w:szCs w:val="22"/>
        </w:rPr>
        <w:t>  </w:t>
      </w:r>
    </w:p>
    <w:p w14:paraId="4760B8C5" w14:textId="42EA7D6D" w:rsidR="00DA216D" w:rsidRPr="00E76A09" w:rsidRDefault="00DA216D" w:rsidP="004258E7">
      <w:pPr>
        <w:tabs>
          <w:tab w:val="right" w:leader="dot" w:pos="9710"/>
        </w:tabs>
        <w:spacing w:before="0" w:after="0" w:line="240" w:lineRule="auto"/>
        <w:rPr>
          <w:sz w:val="22"/>
          <w:szCs w:val="22"/>
        </w:rPr>
      </w:pPr>
      <w:r w:rsidRPr="00E76A09">
        <w:rPr>
          <w:sz w:val="22"/>
          <w:szCs w:val="22"/>
        </w:rPr>
        <w:lastRenderedPageBreak/>
        <w:t>Under AIM4Forests, most countries received targeted inputs. Country workplans are developed in collaboration with countries</w:t>
      </w:r>
      <w:r w:rsidR="00454915" w:rsidRPr="00E76A09">
        <w:rPr>
          <w:sz w:val="22"/>
          <w:szCs w:val="22"/>
        </w:rPr>
        <w:t>,</w:t>
      </w:r>
      <w:r w:rsidRPr="00E76A09">
        <w:rPr>
          <w:sz w:val="22"/>
          <w:szCs w:val="22"/>
        </w:rPr>
        <w:t xml:space="preserve"> in response to their needs</w:t>
      </w:r>
      <w:r w:rsidR="00454915" w:rsidRPr="00E76A09">
        <w:rPr>
          <w:sz w:val="22"/>
          <w:szCs w:val="22"/>
        </w:rPr>
        <w:t>, and considering future sustainability</w:t>
      </w:r>
      <w:r w:rsidRPr="00E76A09">
        <w:rPr>
          <w:sz w:val="22"/>
          <w:szCs w:val="22"/>
        </w:rPr>
        <w:t>. The budgets for the in-country work for these countries average around approximately $100,000 USD per year, which was set according to previous ambitions, on supporting 20 countries with a relatively small budget available for direct in country support. Although there is a limited budget per country, the programme has been able to achieve impact in those countries by maximising the funding, including by connecting to larger initiatives. For example, in the Democratic Republic of Congo one report on nesting arrangements was co-funded together with the US Forest Service. Similarly, in Viet</w:t>
      </w:r>
      <w:r w:rsidR="00E7008D" w:rsidRPr="00E76A09">
        <w:rPr>
          <w:sz w:val="22"/>
          <w:szCs w:val="22"/>
        </w:rPr>
        <w:t>n</w:t>
      </w:r>
      <w:r w:rsidRPr="00E76A09">
        <w:rPr>
          <w:sz w:val="22"/>
          <w:szCs w:val="22"/>
        </w:rPr>
        <w:t>am, it was possible to co-fund development of a monitoring report for carbon credits to advance activities.   </w:t>
      </w:r>
    </w:p>
    <w:p w14:paraId="649D4591" w14:textId="77777777" w:rsidR="00DA216D" w:rsidRPr="00E76A09" w:rsidRDefault="00DA216D" w:rsidP="004258E7">
      <w:pPr>
        <w:tabs>
          <w:tab w:val="right" w:leader="dot" w:pos="9710"/>
        </w:tabs>
        <w:spacing w:before="0" w:after="0" w:line="240" w:lineRule="auto"/>
        <w:rPr>
          <w:sz w:val="22"/>
          <w:szCs w:val="22"/>
        </w:rPr>
      </w:pPr>
      <w:r w:rsidRPr="00E76A09">
        <w:rPr>
          <w:sz w:val="22"/>
          <w:szCs w:val="22"/>
        </w:rPr>
        <w:t>  </w:t>
      </w:r>
    </w:p>
    <w:p w14:paraId="0082AA04" w14:textId="43B7C4D7" w:rsidR="00DA216D" w:rsidRPr="00E76A09" w:rsidRDefault="00DA216D" w:rsidP="004258E7">
      <w:pPr>
        <w:tabs>
          <w:tab w:val="right" w:leader="dot" w:pos="9710"/>
        </w:tabs>
        <w:spacing w:before="0" w:after="0" w:line="240" w:lineRule="auto"/>
        <w:rPr>
          <w:sz w:val="22"/>
          <w:szCs w:val="22"/>
        </w:rPr>
      </w:pPr>
      <w:r w:rsidRPr="00E76A09">
        <w:rPr>
          <w:sz w:val="22"/>
          <w:szCs w:val="22"/>
        </w:rPr>
        <w:t>For some countries, such as Brazil, the technical assistance delivered by AIM4Forests has multiple objectives. For those countries, the average budget is higher at approximately $250,000 USD per year. This is because the workplans for those countries can be extensive</w:t>
      </w:r>
      <w:r w:rsidR="00E45987" w:rsidRPr="00E76A09">
        <w:rPr>
          <w:sz w:val="22"/>
          <w:szCs w:val="22"/>
        </w:rPr>
        <w:t xml:space="preserve"> and cover various branches of work</w:t>
      </w:r>
      <w:r w:rsidRPr="00E76A09">
        <w:rPr>
          <w:sz w:val="22"/>
          <w:szCs w:val="22"/>
        </w:rPr>
        <w:t>. For example, in Brazil, AIM4Forests maintains a dedicated project coordinator who works in tandem with several FAO specialists to support several work streams such as a national roundtable on nature restoration, to help develop an updated vision for the national forest inventory, and to facilitate a stakeholder dialogue on MRV priorities, and forest monitoring for better resource management.   </w:t>
      </w:r>
    </w:p>
    <w:p w14:paraId="2FC102DE" w14:textId="77777777" w:rsidR="00DA216D" w:rsidRPr="00E76A09" w:rsidRDefault="00DA216D" w:rsidP="004258E7">
      <w:pPr>
        <w:tabs>
          <w:tab w:val="right" w:leader="dot" w:pos="9710"/>
        </w:tabs>
        <w:spacing w:before="0" w:after="0" w:line="240" w:lineRule="auto"/>
        <w:rPr>
          <w:sz w:val="22"/>
          <w:szCs w:val="22"/>
        </w:rPr>
      </w:pPr>
      <w:r w:rsidRPr="00E76A09">
        <w:rPr>
          <w:sz w:val="22"/>
          <w:szCs w:val="22"/>
        </w:rPr>
        <w:t>  </w:t>
      </w:r>
    </w:p>
    <w:p w14:paraId="1A97C6F5" w14:textId="3BAA2A66" w:rsidR="00DA216D" w:rsidRPr="00E76A09" w:rsidRDefault="3F2F5EE5" w:rsidP="004258E7">
      <w:pPr>
        <w:tabs>
          <w:tab w:val="right" w:leader="dot" w:pos="9710"/>
        </w:tabs>
        <w:spacing w:before="0" w:after="0" w:line="240" w:lineRule="auto"/>
        <w:rPr>
          <w:sz w:val="22"/>
          <w:szCs w:val="22"/>
        </w:rPr>
      </w:pPr>
      <w:r w:rsidRPr="00E76A09">
        <w:rPr>
          <w:sz w:val="22"/>
          <w:szCs w:val="22"/>
        </w:rPr>
        <w:t xml:space="preserve">However, despite the importance of the country-level technical assistance, funding for this output amounts to less than 20% of the overall programme budget allocation. This balance between global and country work was designed as part of the initial programme development, largely due to a constraint on the availability of funding for RDEL at original Business Case stage. The original AIM4Forests Business Case noted “budgeting constraints” at that time and recommended “considering a future uplift in RDEL funding to AIM for Forests later”, subject to availability of finance and through performance assessment. </w:t>
      </w:r>
      <w:r w:rsidR="002069A2" w:rsidRPr="00E76A09">
        <w:rPr>
          <w:rStyle w:val="FootnoteReference"/>
          <w:sz w:val="22"/>
          <w:szCs w:val="22"/>
        </w:rPr>
        <w:footnoteReference w:id="22"/>
      </w:r>
    </w:p>
    <w:p w14:paraId="73089440" w14:textId="77777777" w:rsidR="00D36813" w:rsidRPr="00E76A09" w:rsidRDefault="00D36813" w:rsidP="004258E7">
      <w:pPr>
        <w:tabs>
          <w:tab w:val="right" w:leader="dot" w:pos="9710"/>
        </w:tabs>
        <w:spacing w:before="0" w:after="0" w:line="240" w:lineRule="auto"/>
        <w:rPr>
          <w:sz w:val="22"/>
          <w:szCs w:val="22"/>
        </w:rPr>
      </w:pPr>
    </w:p>
    <w:p w14:paraId="2E1A3AF8" w14:textId="18F1E144" w:rsidR="00141489" w:rsidRPr="00E76A09" w:rsidRDefault="00185937" w:rsidP="004258E7">
      <w:pPr>
        <w:tabs>
          <w:tab w:val="right" w:leader="dot" w:pos="9710"/>
        </w:tabs>
        <w:spacing w:before="0" w:after="0" w:line="240" w:lineRule="auto"/>
        <w:rPr>
          <w:sz w:val="22"/>
          <w:szCs w:val="22"/>
        </w:rPr>
      </w:pPr>
      <w:r w:rsidRPr="00E76A09">
        <w:rPr>
          <w:sz w:val="22"/>
          <w:szCs w:val="22"/>
        </w:rPr>
        <w:t xml:space="preserve">Due to increasing country requests for technical assistance, there is significant demand </w:t>
      </w:r>
      <w:r w:rsidR="000E7CF4" w:rsidRPr="00E76A09">
        <w:rPr>
          <w:sz w:val="22"/>
          <w:szCs w:val="22"/>
        </w:rPr>
        <w:t>on the programme budget for in-country technical assistance</w:t>
      </w:r>
      <w:r w:rsidRPr="00E76A09">
        <w:rPr>
          <w:sz w:val="22"/>
          <w:szCs w:val="22"/>
        </w:rPr>
        <w:t xml:space="preserve">. Based on current estimations, budget on </w:t>
      </w:r>
      <w:r w:rsidR="00C328EE" w:rsidRPr="00E76A09">
        <w:rPr>
          <w:sz w:val="22"/>
          <w:szCs w:val="22"/>
        </w:rPr>
        <w:t xml:space="preserve">this output </w:t>
      </w:r>
      <w:r w:rsidRPr="00E76A09">
        <w:rPr>
          <w:sz w:val="22"/>
          <w:szCs w:val="22"/>
        </w:rPr>
        <w:t>will run out in 2026. This budget shortfall was highlighted in the mid-term review, which included a recommendation to increase the budget and human resources for in-country work under Output 5. Further funding would allow the programme to address this shortfall and maximise the country-level technical assistance for the duration of the programme. This would be imperative for the overarching impact and success of the programme.   </w:t>
      </w:r>
    </w:p>
    <w:p w14:paraId="2BFC9287" w14:textId="77777777" w:rsidR="000D4689" w:rsidRPr="00E76A09" w:rsidRDefault="000D4689" w:rsidP="004258E7">
      <w:pPr>
        <w:tabs>
          <w:tab w:val="left" w:pos="1134"/>
          <w:tab w:val="right" w:leader="dot" w:pos="9710"/>
        </w:tabs>
        <w:spacing w:before="0" w:after="0" w:line="240" w:lineRule="auto"/>
        <w:rPr>
          <w:sz w:val="22"/>
          <w:szCs w:val="22"/>
        </w:rPr>
      </w:pPr>
    </w:p>
    <w:p w14:paraId="3F52358D" w14:textId="673AA767" w:rsidR="00185937" w:rsidRPr="00E76A09" w:rsidRDefault="000A739B" w:rsidP="004258E7">
      <w:pPr>
        <w:tabs>
          <w:tab w:val="left" w:pos="1134"/>
          <w:tab w:val="right" w:leader="dot" w:pos="9710"/>
        </w:tabs>
        <w:spacing w:before="0" w:after="0" w:line="240" w:lineRule="auto"/>
        <w:rPr>
          <w:b/>
          <w:bCs/>
          <w:sz w:val="22"/>
          <w:szCs w:val="22"/>
        </w:rPr>
      </w:pPr>
      <w:r w:rsidRPr="00E76A09">
        <w:rPr>
          <w:b/>
          <w:bCs/>
          <w:sz w:val="22"/>
          <w:szCs w:val="22"/>
        </w:rPr>
        <w:t xml:space="preserve">1.2.4 </w:t>
      </w:r>
      <w:r w:rsidR="00185937" w:rsidRPr="00E76A09">
        <w:rPr>
          <w:b/>
          <w:bCs/>
          <w:sz w:val="22"/>
          <w:szCs w:val="22"/>
        </w:rPr>
        <w:t>The programme would benefit from a</w:t>
      </w:r>
      <w:r w:rsidR="003325B3" w:rsidRPr="00E76A09">
        <w:rPr>
          <w:b/>
          <w:bCs/>
          <w:sz w:val="22"/>
          <w:szCs w:val="22"/>
        </w:rPr>
        <w:t>n</w:t>
      </w:r>
      <w:r w:rsidR="00185937" w:rsidRPr="00E76A09">
        <w:rPr>
          <w:b/>
          <w:bCs/>
          <w:sz w:val="22"/>
          <w:szCs w:val="22"/>
        </w:rPr>
        <w:t xml:space="preserve"> extension to the term of the programme </w:t>
      </w:r>
    </w:p>
    <w:p w14:paraId="3611869E" w14:textId="4A1D9CCA" w:rsidR="1C2AEB32" w:rsidRPr="00E76A09" w:rsidRDefault="000F6482" w:rsidP="004258E7">
      <w:pPr>
        <w:tabs>
          <w:tab w:val="left" w:pos="1134"/>
          <w:tab w:val="right" w:leader="dot" w:pos="9710"/>
        </w:tabs>
        <w:spacing w:after="0" w:line="240" w:lineRule="auto"/>
        <w:rPr>
          <w:sz w:val="22"/>
          <w:szCs w:val="22"/>
        </w:rPr>
      </w:pPr>
      <w:r w:rsidRPr="00E76A09">
        <w:rPr>
          <w:sz w:val="22"/>
          <w:szCs w:val="22"/>
        </w:rPr>
        <w:t xml:space="preserve">The original AIM4Forests business case set out a five-year programme due to end in December 2028. However, </w:t>
      </w:r>
      <w:proofErr w:type="gramStart"/>
      <w:r w:rsidRPr="00E76A09">
        <w:rPr>
          <w:sz w:val="22"/>
          <w:szCs w:val="22"/>
        </w:rPr>
        <w:t>a number of</w:t>
      </w:r>
      <w:proofErr w:type="gramEnd"/>
      <w:r w:rsidRPr="00E76A09">
        <w:rPr>
          <w:sz w:val="22"/>
          <w:szCs w:val="22"/>
        </w:rPr>
        <w:t xml:space="preserve"> key international processes that AIM4Forests currently supports countries with end after 2028. For example, UNFCCC NDCs are due in 2030, the second national reports of the KMGBF are due in 2029, and the EUDR review in 2030. Extending AIM4Forests to allow continued support up until those key milestones will maximise the programme benefits for recipient countries</w:t>
      </w:r>
      <w:r w:rsidR="00D44D46" w:rsidRPr="00E76A09">
        <w:rPr>
          <w:sz w:val="22"/>
          <w:szCs w:val="22"/>
        </w:rPr>
        <w:t xml:space="preserve"> and replicability of functions</w:t>
      </w:r>
      <w:r w:rsidRPr="00E76A09">
        <w:rPr>
          <w:sz w:val="22"/>
          <w:szCs w:val="22"/>
        </w:rPr>
        <w:t>.  </w:t>
      </w:r>
      <w:r w:rsidR="3FA8EC83" w:rsidRPr="00E76A09">
        <w:rPr>
          <w:sz w:val="22"/>
          <w:szCs w:val="22"/>
        </w:rPr>
        <w:t>It would also allow the programme to increase the ambition for the workstream on monitoring for ecosystem restoration (which was added to the programme in early 2025). Extending the term of the programme, would allow for a significant increase in the countries supported</w:t>
      </w:r>
      <w:r w:rsidR="35B77F39" w:rsidRPr="00E76A09">
        <w:rPr>
          <w:sz w:val="22"/>
          <w:szCs w:val="22"/>
        </w:rPr>
        <w:t>,</w:t>
      </w:r>
      <w:r w:rsidR="368323D3" w:rsidRPr="00E76A09">
        <w:rPr>
          <w:sz w:val="22"/>
          <w:szCs w:val="22"/>
        </w:rPr>
        <w:t xml:space="preserve"> </w:t>
      </w:r>
      <w:r w:rsidR="35B77F39" w:rsidRPr="00E76A09">
        <w:rPr>
          <w:sz w:val="22"/>
          <w:szCs w:val="22"/>
        </w:rPr>
        <w:t xml:space="preserve">by the programme, with monitoring for ecosystem restoration. </w:t>
      </w:r>
      <w:r w:rsidR="368323D3" w:rsidRPr="00E76A09">
        <w:rPr>
          <w:sz w:val="22"/>
          <w:szCs w:val="22"/>
        </w:rPr>
        <w:t xml:space="preserve"> </w:t>
      </w:r>
    </w:p>
    <w:p w14:paraId="50A5A850" w14:textId="77777777" w:rsidR="00C328EE" w:rsidRPr="00E76A09" w:rsidRDefault="00C328EE" w:rsidP="004258E7">
      <w:pPr>
        <w:tabs>
          <w:tab w:val="left" w:pos="1134"/>
          <w:tab w:val="right" w:leader="dot" w:pos="9710"/>
        </w:tabs>
        <w:spacing w:after="0" w:line="240" w:lineRule="auto"/>
        <w:rPr>
          <w:sz w:val="22"/>
          <w:szCs w:val="22"/>
        </w:rPr>
      </w:pPr>
    </w:p>
    <w:p w14:paraId="41C2D6A4" w14:textId="3B4F1BBD" w:rsidR="000F6482" w:rsidRPr="00E76A09" w:rsidRDefault="23F29186" w:rsidP="004258E7">
      <w:pPr>
        <w:tabs>
          <w:tab w:val="left" w:pos="1134"/>
          <w:tab w:val="right" w:leader="dot" w:pos="9710"/>
        </w:tabs>
        <w:spacing w:before="0" w:after="0" w:line="240" w:lineRule="auto"/>
        <w:rPr>
          <w:sz w:val="22"/>
          <w:szCs w:val="22"/>
        </w:rPr>
      </w:pPr>
      <w:r w:rsidRPr="00E76A09">
        <w:rPr>
          <w:sz w:val="22"/>
          <w:szCs w:val="22"/>
        </w:rPr>
        <w:t xml:space="preserve">The AIM4Forests mid-term review also acknowledges the complexity of the programme and the ambitious outcome and impact objectives, and Recommendation 2 of the mid-term review, states that we should consider extending the programme by 1- 2 years. This recommendation was </w:t>
      </w:r>
      <w:proofErr w:type="gramStart"/>
      <w:r w:rsidRPr="00E76A09">
        <w:rPr>
          <w:sz w:val="22"/>
          <w:szCs w:val="22"/>
        </w:rPr>
        <w:t>due to the fact that</w:t>
      </w:r>
      <w:proofErr w:type="gramEnd"/>
      <w:r w:rsidRPr="00E76A09">
        <w:rPr>
          <w:sz w:val="22"/>
          <w:szCs w:val="22"/>
        </w:rPr>
        <w:t xml:space="preserve"> “the original timeline was not realistic given the high-level of ambition set for the programme, and the need to sequence the work to enable </w:t>
      </w:r>
      <w:r w:rsidRPr="00E76A09">
        <w:rPr>
          <w:sz w:val="22"/>
          <w:szCs w:val="22"/>
        </w:rPr>
        <w:lastRenderedPageBreak/>
        <w:t>a participatory process, enhance country leadership and ownership, and improve the information basis for planning and effective implementation.”</w:t>
      </w:r>
      <w:r w:rsidR="00766DD1" w:rsidRPr="00E76A09">
        <w:rPr>
          <w:rStyle w:val="FootnoteReference"/>
          <w:sz w:val="22"/>
          <w:szCs w:val="22"/>
        </w:rPr>
        <w:footnoteReference w:id="23"/>
      </w:r>
    </w:p>
    <w:p w14:paraId="591EF9E5" w14:textId="77777777" w:rsidR="00185937" w:rsidRPr="00E76A09" w:rsidRDefault="00185937" w:rsidP="000D4689">
      <w:pPr>
        <w:tabs>
          <w:tab w:val="right" w:leader="dot" w:pos="9710"/>
        </w:tabs>
        <w:spacing w:before="0" w:after="0" w:line="240" w:lineRule="auto"/>
        <w:ind w:left="284"/>
        <w:rPr>
          <w:sz w:val="22"/>
          <w:szCs w:val="22"/>
        </w:rPr>
      </w:pPr>
    </w:p>
    <w:p w14:paraId="66404746" w14:textId="42BCCFA6" w:rsidR="000D4689" w:rsidRPr="00E76A09" w:rsidRDefault="001C0307" w:rsidP="004258E7">
      <w:pPr>
        <w:pStyle w:val="Style1"/>
        <w:ind w:left="426"/>
        <w:rPr>
          <w:sz w:val="24"/>
          <w:szCs w:val="24"/>
        </w:rPr>
      </w:pPr>
      <w:r w:rsidRPr="00E76A09">
        <w:rPr>
          <w:sz w:val="24"/>
          <w:szCs w:val="24"/>
        </w:rPr>
        <w:t xml:space="preserve">Rationale for intervention </w:t>
      </w:r>
    </w:p>
    <w:p w14:paraId="05B801DD" w14:textId="77777777" w:rsidR="005D4A6C" w:rsidRPr="00E76A09" w:rsidRDefault="005D4A6C" w:rsidP="004258E7">
      <w:pPr>
        <w:pStyle w:val="ListParagraph"/>
        <w:tabs>
          <w:tab w:val="right" w:leader="dot" w:pos="9710"/>
        </w:tabs>
        <w:spacing w:after="0"/>
        <w:ind w:left="0"/>
        <w:contextualSpacing w:val="0"/>
        <w:rPr>
          <w:sz w:val="22"/>
          <w:szCs w:val="22"/>
        </w:rPr>
      </w:pPr>
      <w:r w:rsidRPr="00E76A09">
        <w:rPr>
          <w:sz w:val="22"/>
          <w:szCs w:val="22"/>
        </w:rPr>
        <w:t>To address the issues set out above, and to ensure the continued impact of the programme, we propose to:  </w:t>
      </w:r>
    </w:p>
    <w:p w14:paraId="1542AD27" w14:textId="77777777" w:rsidR="005D4A6C" w:rsidRPr="00E76A09" w:rsidRDefault="00614249" w:rsidP="005F1FB6">
      <w:pPr>
        <w:pStyle w:val="ListParagraph"/>
        <w:numPr>
          <w:ilvl w:val="0"/>
          <w:numId w:val="12"/>
        </w:numPr>
        <w:tabs>
          <w:tab w:val="right" w:leader="dot" w:pos="9710"/>
        </w:tabs>
        <w:rPr>
          <w:sz w:val="22"/>
          <w:szCs w:val="22"/>
        </w:rPr>
      </w:pPr>
      <w:r w:rsidRPr="00E76A09">
        <w:rPr>
          <w:sz w:val="22"/>
          <w:szCs w:val="22"/>
        </w:rPr>
        <w:t>Extend the term of the programme by 2 years to 2030.  </w:t>
      </w:r>
      <w:r w:rsidR="005D4A6C" w:rsidRPr="00E76A09">
        <w:rPr>
          <w:sz w:val="22"/>
          <w:szCs w:val="22"/>
        </w:rPr>
        <w:t> </w:t>
      </w:r>
    </w:p>
    <w:p w14:paraId="5003FE7B" w14:textId="77777777" w:rsidR="008641FB" w:rsidRPr="00E76A09" w:rsidRDefault="005D4A6C" w:rsidP="005F1FB6">
      <w:pPr>
        <w:pStyle w:val="ListParagraph"/>
        <w:numPr>
          <w:ilvl w:val="0"/>
          <w:numId w:val="12"/>
        </w:numPr>
        <w:tabs>
          <w:tab w:val="right" w:leader="dot" w:pos="9710"/>
        </w:tabs>
        <w:rPr>
          <w:sz w:val="22"/>
          <w:szCs w:val="22"/>
        </w:rPr>
      </w:pPr>
      <w:r w:rsidRPr="00E76A09">
        <w:rPr>
          <w:sz w:val="22"/>
          <w:szCs w:val="22"/>
        </w:rPr>
        <w:t xml:space="preserve">Expand the scope of the programme to reinclude activities under ‘AIM4Commodities’ as a new output area; </w:t>
      </w:r>
      <w:r w:rsidR="008641FB" w:rsidRPr="00E76A09">
        <w:rPr>
          <w:sz w:val="22"/>
          <w:szCs w:val="22"/>
        </w:rPr>
        <w:t>and</w:t>
      </w:r>
    </w:p>
    <w:p w14:paraId="5D94BA4D" w14:textId="48058015" w:rsidR="005D4A6C" w:rsidRPr="00E76A09" w:rsidRDefault="005D4A6C" w:rsidP="008641FB">
      <w:pPr>
        <w:pStyle w:val="ListParagraph"/>
        <w:numPr>
          <w:ilvl w:val="0"/>
          <w:numId w:val="12"/>
        </w:numPr>
        <w:tabs>
          <w:tab w:val="right" w:leader="dot" w:pos="9710"/>
        </w:tabs>
        <w:rPr>
          <w:sz w:val="22"/>
          <w:szCs w:val="22"/>
        </w:rPr>
      </w:pPr>
      <w:r w:rsidRPr="00E76A09">
        <w:rPr>
          <w:sz w:val="22"/>
          <w:szCs w:val="22"/>
        </w:rPr>
        <w:t xml:space="preserve">Increase funding by £20.9m – </w:t>
      </w:r>
      <w:r w:rsidR="008641FB" w:rsidRPr="00E76A09">
        <w:rPr>
          <w:sz w:val="22"/>
          <w:szCs w:val="22"/>
        </w:rPr>
        <w:t xml:space="preserve">bringing </w:t>
      </w:r>
      <w:r w:rsidRPr="00E76A09">
        <w:rPr>
          <w:sz w:val="22"/>
          <w:szCs w:val="22"/>
        </w:rPr>
        <w:t xml:space="preserve">the total programme value would </w:t>
      </w:r>
      <w:r w:rsidR="008641FB" w:rsidRPr="00E76A09">
        <w:rPr>
          <w:sz w:val="22"/>
          <w:szCs w:val="22"/>
        </w:rPr>
        <w:t>to</w:t>
      </w:r>
      <w:r w:rsidRPr="00E76A09">
        <w:rPr>
          <w:sz w:val="22"/>
          <w:szCs w:val="22"/>
        </w:rPr>
        <w:t xml:space="preserve"> £52.4m</w:t>
      </w:r>
      <w:r w:rsidR="008641FB" w:rsidRPr="00E76A09">
        <w:rPr>
          <w:sz w:val="22"/>
          <w:szCs w:val="22"/>
        </w:rPr>
        <w:t>.</w:t>
      </w:r>
      <w:r w:rsidRPr="00E76A09">
        <w:rPr>
          <w:sz w:val="22"/>
          <w:szCs w:val="22"/>
        </w:rPr>
        <w:t>  </w:t>
      </w:r>
    </w:p>
    <w:p w14:paraId="618E9D58" w14:textId="1C8B58F9" w:rsidR="00AC1732" w:rsidRPr="00E76A09" w:rsidRDefault="14C048C5" w:rsidP="00AC1732">
      <w:pPr>
        <w:tabs>
          <w:tab w:val="right" w:leader="dot" w:pos="9710"/>
        </w:tabs>
        <w:spacing w:before="0" w:after="0" w:line="240" w:lineRule="auto"/>
        <w:rPr>
          <w:sz w:val="22"/>
          <w:szCs w:val="22"/>
        </w:rPr>
      </w:pPr>
      <w:r w:rsidRPr="57AB4C69">
        <w:rPr>
          <w:sz w:val="22"/>
          <w:szCs w:val="22"/>
        </w:rPr>
        <w:t>However, during business case development, external pressures on the RDEL budget mean that £</w:t>
      </w:r>
      <w:r w:rsidR="00601C80">
        <w:rPr>
          <w:sz w:val="22"/>
          <w:szCs w:val="22"/>
        </w:rPr>
        <w:t>4</w:t>
      </w:r>
      <w:r w:rsidRPr="57AB4C69">
        <w:rPr>
          <w:sz w:val="22"/>
          <w:szCs w:val="22"/>
        </w:rPr>
        <w:t>m of the planned £10m RDEL</w:t>
      </w:r>
      <w:r w:rsidR="7CB12896" w:rsidRPr="57AB4C69">
        <w:rPr>
          <w:sz w:val="22"/>
          <w:szCs w:val="22"/>
        </w:rPr>
        <w:t>, is no longer profiled within the FY 25/26 f</w:t>
      </w:r>
      <w:r w:rsidR="65E4B6CC" w:rsidRPr="57AB4C69">
        <w:rPr>
          <w:sz w:val="22"/>
          <w:szCs w:val="22"/>
        </w:rPr>
        <w:t>inancial</w:t>
      </w:r>
      <w:r w:rsidR="7CB12896" w:rsidRPr="57AB4C69">
        <w:rPr>
          <w:sz w:val="22"/>
          <w:szCs w:val="22"/>
        </w:rPr>
        <w:t xml:space="preserve"> year. This means that £1</w:t>
      </w:r>
      <w:r w:rsidR="00601C80">
        <w:rPr>
          <w:sz w:val="22"/>
          <w:szCs w:val="22"/>
        </w:rPr>
        <w:t>6</w:t>
      </w:r>
      <w:r w:rsidR="7CB12896" w:rsidRPr="57AB4C69">
        <w:rPr>
          <w:sz w:val="22"/>
          <w:szCs w:val="22"/>
        </w:rPr>
        <w:t xml:space="preserve">.9m of the proposed £20.9m extension would be </w:t>
      </w:r>
      <w:r w:rsidR="0FEA4870" w:rsidRPr="57AB4C69">
        <w:rPr>
          <w:sz w:val="22"/>
          <w:szCs w:val="22"/>
        </w:rPr>
        <w:t xml:space="preserve">spent within this financial year. If further funding is not available in the </w:t>
      </w:r>
      <w:proofErr w:type="gramStart"/>
      <w:r w:rsidR="0FEA4870" w:rsidRPr="57AB4C69">
        <w:rPr>
          <w:sz w:val="22"/>
          <w:szCs w:val="22"/>
        </w:rPr>
        <w:t>future</w:t>
      </w:r>
      <w:proofErr w:type="gramEnd"/>
      <w:r w:rsidR="0FEA4870" w:rsidRPr="57AB4C69">
        <w:rPr>
          <w:sz w:val="22"/>
          <w:szCs w:val="22"/>
        </w:rPr>
        <w:t xml:space="preserve"> then the programme will undertake a review to reconsider pipeline planning and reprioritise.</w:t>
      </w:r>
    </w:p>
    <w:p w14:paraId="0BAACADB" w14:textId="1A524786" w:rsidR="00097A81" w:rsidRPr="00E76A09" w:rsidRDefault="0FEA4870" w:rsidP="00AC1732">
      <w:pPr>
        <w:tabs>
          <w:tab w:val="right" w:leader="dot" w:pos="9710"/>
        </w:tabs>
        <w:spacing w:before="0" w:after="0" w:line="240" w:lineRule="auto"/>
        <w:rPr>
          <w:b/>
          <w:sz w:val="22"/>
          <w:szCs w:val="22"/>
        </w:rPr>
      </w:pPr>
      <w:r w:rsidRPr="00E76A09">
        <w:rPr>
          <w:sz w:val="22"/>
          <w:szCs w:val="22"/>
        </w:rPr>
        <w:t xml:space="preserve"> </w:t>
      </w:r>
    </w:p>
    <w:p w14:paraId="3AC7A879" w14:textId="505FD721" w:rsidR="001C0307" w:rsidRPr="00E76A09" w:rsidRDefault="000A739B" w:rsidP="004258E7">
      <w:pPr>
        <w:pStyle w:val="ListParagraph"/>
        <w:tabs>
          <w:tab w:val="right" w:leader="dot" w:pos="9710"/>
        </w:tabs>
        <w:spacing w:before="0" w:after="0" w:line="240" w:lineRule="auto"/>
        <w:ind w:left="0"/>
        <w:rPr>
          <w:b/>
          <w:bCs/>
          <w:sz w:val="22"/>
          <w:szCs w:val="22"/>
        </w:rPr>
      </w:pPr>
      <w:r w:rsidRPr="00E76A09">
        <w:rPr>
          <w:b/>
          <w:bCs/>
          <w:sz w:val="22"/>
          <w:szCs w:val="22"/>
        </w:rPr>
        <w:t xml:space="preserve">1.3.1 </w:t>
      </w:r>
      <w:r w:rsidR="002848B6" w:rsidRPr="00E76A09">
        <w:rPr>
          <w:b/>
          <w:bCs/>
          <w:sz w:val="22"/>
          <w:szCs w:val="22"/>
        </w:rPr>
        <w:t xml:space="preserve">Increased funding </w:t>
      </w:r>
    </w:p>
    <w:p w14:paraId="24EFD41F" w14:textId="4F891F83" w:rsidR="00BC27B4" w:rsidRPr="00E76A09" w:rsidRDefault="00BC27B4" w:rsidP="004258E7">
      <w:pPr>
        <w:pStyle w:val="ListParagraph"/>
        <w:tabs>
          <w:tab w:val="right" w:leader="dot" w:pos="9710"/>
        </w:tabs>
        <w:ind w:left="0"/>
        <w:rPr>
          <w:sz w:val="22"/>
          <w:szCs w:val="22"/>
        </w:rPr>
      </w:pPr>
      <w:r w:rsidRPr="00E76A09">
        <w:rPr>
          <w:sz w:val="22"/>
          <w:szCs w:val="22"/>
        </w:rPr>
        <w:t xml:space="preserve">The </w:t>
      </w:r>
      <w:r w:rsidR="1B924803" w:rsidRPr="00E76A09">
        <w:rPr>
          <w:sz w:val="22"/>
          <w:szCs w:val="22"/>
        </w:rPr>
        <w:t>proposal for the full £20.9m of additional funding includes:</w:t>
      </w:r>
    </w:p>
    <w:p w14:paraId="1FA97564" w14:textId="15B5C319" w:rsidR="00BC27B4" w:rsidRPr="00E76A09" w:rsidRDefault="00BC27B4" w:rsidP="005F1FB6">
      <w:pPr>
        <w:pStyle w:val="ListParagraph"/>
        <w:numPr>
          <w:ilvl w:val="0"/>
          <w:numId w:val="15"/>
        </w:numPr>
        <w:tabs>
          <w:tab w:val="right" w:leader="dot" w:pos="9710"/>
        </w:tabs>
        <w:rPr>
          <w:sz w:val="22"/>
          <w:szCs w:val="22"/>
        </w:rPr>
      </w:pPr>
      <w:r w:rsidRPr="00E76A09">
        <w:rPr>
          <w:sz w:val="22"/>
          <w:szCs w:val="22"/>
        </w:rPr>
        <w:t xml:space="preserve">£5.7 million RDEL to cover the current </w:t>
      </w:r>
      <w:r w:rsidR="00E353B3" w:rsidRPr="00E76A09">
        <w:rPr>
          <w:sz w:val="22"/>
          <w:szCs w:val="22"/>
        </w:rPr>
        <w:t>country-level TA (</w:t>
      </w:r>
      <w:r w:rsidRPr="00E76A09">
        <w:rPr>
          <w:sz w:val="22"/>
          <w:szCs w:val="22"/>
        </w:rPr>
        <w:t>Output 5</w:t>
      </w:r>
      <w:r w:rsidR="00E353B3" w:rsidRPr="00E76A09">
        <w:rPr>
          <w:sz w:val="22"/>
          <w:szCs w:val="22"/>
        </w:rPr>
        <w:t>)</w:t>
      </w:r>
      <w:r w:rsidRPr="00E76A09">
        <w:rPr>
          <w:sz w:val="22"/>
          <w:szCs w:val="22"/>
        </w:rPr>
        <w:t xml:space="preserve"> budget shortfall from 2026 –2028   </w:t>
      </w:r>
    </w:p>
    <w:p w14:paraId="430945C9" w14:textId="208B6DBC" w:rsidR="00BC27B4" w:rsidRDefault="00BC27B4" w:rsidP="005F1FB6">
      <w:pPr>
        <w:pStyle w:val="ListParagraph"/>
        <w:numPr>
          <w:ilvl w:val="0"/>
          <w:numId w:val="16"/>
        </w:numPr>
        <w:tabs>
          <w:tab w:val="right" w:leader="dot" w:pos="9710"/>
        </w:tabs>
        <w:rPr>
          <w:sz w:val="22"/>
          <w:szCs w:val="22"/>
        </w:rPr>
      </w:pPr>
      <w:r w:rsidRPr="00E76A09">
        <w:rPr>
          <w:sz w:val="22"/>
          <w:szCs w:val="22"/>
        </w:rPr>
        <w:t xml:space="preserve">£4 million RDEL to cover the costs of </w:t>
      </w:r>
      <w:r w:rsidR="00E353B3" w:rsidRPr="00E76A09">
        <w:rPr>
          <w:sz w:val="22"/>
          <w:szCs w:val="22"/>
        </w:rPr>
        <w:t>country-level TA</w:t>
      </w:r>
      <w:r w:rsidRPr="00E76A09">
        <w:rPr>
          <w:sz w:val="22"/>
          <w:szCs w:val="22"/>
        </w:rPr>
        <w:t xml:space="preserve"> </w:t>
      </w:r>
      <w:r w:rsidR="00E353B3" w:rsidRPr="00E76A09">
        <w:rPr>
          <w:sz w:val="22"/>
          <w:szCs w:val="22"/>
        </w:rPr>
        <w:t>(</w:t>
      </w:r>
      <w:r w:rsidRPr="00E76A09">
        <w:rPr>
          <w:sz w:val="22"/>
          <w:szCs w:val="22"/>
        </w:rPr>
        <w:t>Output 5</w:t>
      </w:r>
      <w:r w:rsidR="00E353B3" w:rsidRPr="00E76A09">
        <w:rPr>
          <w:sz w:val="22"/>
          <w:szCs w:val="22"/>
        </w:rPr>
        <w:t>)</w:t>
      </w:r>
      <w:r w:rsidRPr="00E76A09">
        <w:rPr>
          <w:sz w:val="22"/>
          <w:szCs w:val="22"/>
        </w:rPr>
        <w:t>, if the term of the programme was extended for a further two years; a</w:t>
      </w:r>
      <w:r w:rsidR="00AC3FF8">
        <w:rPr>
          <w:sz w:val="22"/>
          <w:szCs w:val="22"/>
        </w:rPr>
        <w:t xml:space="preserve">nd </w:t>
      </w:r>
    </w:p>
    <w:p w14:paraId="5E2E0623" w14:textId="0E472742" w:rsidR="00AC3FF8" w:rsidRDefault="00AC3FF8" w:rsidP="005F1FB6">
      <w:pPr>
        <w:pStyle w:val="ListParagraph"/>
        <w:numPr>
          <w:ilvl w:val="0"/>
          <w:numId w:val="16"/>
        </w:numPr>
        <w:tabs>
          <w:tab w:val="right" w:leader="dot" w:pos="9710"/>
        </w:tabs>
        <w:rPr>
          <w:sz w:val="22"/>
          <w:szCs w:val="22"/>
        </w:rPr>
      </w:pPr>
      <w:r>
        <w:rPr>
          <w:sz w:val="22"/>
          <w:szCs w:val="22"/>
        </w:rPr>
        <w:t>£</w:t>
      </w:r>
      <w:r w:rsidR="00FD2BC2">
        <w:rPr>
          <w:sz w:val="22"/>
          <w:szCs w:val="22"/>
        </w:rPr>
        <w:t>3.4 million CDEL to</w:t>
      </w:r>
      <w:r w:rsidR="0039016E">
        <w:rPr>
          <w:sz w:val="22"/>
          <w:szCs w:val="22"/>
        </w:rPr>
        <w:t xml:space="preserve"> include activities under AIM4Commodities</w:t>
      </w:r>
    </w:p>
    <w:p w14:paraId="0EA52A86" w14:textId="10CF2F78" w:rsidR="0039016E" w:rsidRDefault="0039016E" w:rsidP="005F1FB6">
      <w:pPr>
        <w:pStyle w:val="ListParagraph"/>
        <w:numPr>
          <w:ilvl w:val="0"/>
          <w:numId w:val="16"/>
        </w:numPr>
        <w:tabs>
          <w:tab w:val="right" w:leader="dot" w:pos="9710"/>
        </w:tabs>
        <w:rPr>
          <w:sz w:val="22"/>
          <w:szCs w:val="22"/>
        </w:rPr>
      </w:pPr>
      <w:r>
        <w:rPr>
          <w:sz w:val="22"/>
          <w:szCs w:val="22"/>
        </w:rPr>
        <w:t>£7.4</w:t>
      </w:r>
      <w:r w:rsidR="00D911CA">
        <w:rPr>
          <w:sz w:val="22"/>
          <w:szCs w:val="22"/>
        </w:rPr>
        <w:t xml:space="preserve"> million CDEL to cover the costs associated with extending the term of the programme for a further two years</w:t>
      </w:r>
      <w:r w:rsidR="002527D4">
        <w:rPr>
          <w:sz w:val="22"/>
          <w:szCs w:val="22"/>
        </w:rPr>
        <w:t xml:space="preserve">; and </w:t>
      </w:r>
    </w:p>
    <w:p w14:paraId="3F70BCF9" w14:textId="5AE6A0FF" w:rsidR="002527D4" w:rsidRPr="00E76A09" w:rsidRDefault="002527D4" w:rsidP="005F1FB6">
      <w:pPr>
        <w:pStyle w:val="ListParagraph"/>
        <w:numPr>
          <w:ilvl w:val="0"/>
          <w:numId w:val="16"/>
        </w:numPr>
        <w:tabs>
          <w:tab w:val="right" w:leader="dot" w:pos="9710"/>
        </w:tabs>
        <w:rPr>
          <w:sz w:val="22"/>
          <w:szCs w:val="22"/>
        </w:rPr>
      </w:pPr>
      <w:r w:rsidRPr="047A3488">
        <w:rPr>
          <w:sz w:val="22"/>
          <w:szCs w:val="22"/>
        </w:rPr>
        <w:t xml:space="preserve">1% management fee. </w:t>
      </w:r>
    </w:p>
    <w:p w14:paraId="7F90B695" w14:textId="59B0C0D1" w:rsidR="1C2AEB32" w:rsidRPr="00E76A09" w:rsidRDefault="4D0E0E7F" w:rsidP="00AC1732">
      <w:pPr>
        <w:tabs>
          <w:tab w:val="right" w:leader="dot" w:pos="9710"/>
        </w:tabs>
        <w:spacing w:before="0" w:after="0" w:line="240" w:lineRule="auto"/>
        <w:rPr>
          <w:sz w:val="22"/>
          <w:szCs w:val="22"/>
        </w:rPr>
      </w:pPr>
      <w:r w:rsidRPr="047A3488">
        <w:rPr>
          <w:sz w:val="22"/>
          <w:szCs w:val="22"/>
        </w:rPr>
        <w:t>However as stated above, pressures on the RDEL budget have resulted in only £4m RDEL being available for this financial year. An exte</w:t>
      </w:r>
      <w:r w:rsidR="18D46ADE" w:rsidRPr="047A3488">
        <w:rPr>
          <w:sz w:val="22"/>
          <w:szCs w:val="22"/>
        </w:rPr>
        <w:t>nsion of £1</w:t>
      </w:r>
      <w:r w:rsidR="0026101D" w:rsidRPr="047A3488">
        <w:rPr>
          <w:sz w:val="22"/>
          <w:szCs w:val="22"/>
        </w:rPr>
        <w:t>6</w:t>
      </w:r>
      <w:r w:rsidR="18D46ADE" w:rsidRPr="047A3488">
        <w:rPr>
          <w:sz w:val="22"/>
          <w:szCs w:val="22"/>
        </w:rPr>
        <w:t xml:space="preserve">.9m would </w:t>
      </w:r>
      <w:r w:rsidR="00F7729B" w:rsidRPr="047A3488">
        <w:rPr>
          <w:sz w:val="22"/>
          <w:szCs w:val="22"/>
        </w:rPr>
        <w:t xml:space="preserve">focus </w:t>
      </w:r>
      <w:r w:rsidR="00C455F2" w:rsidRPr="047A3488">
        <w:rPr>
          <w:sz w:val="22"/>
          <w:szCs w:val="22"/>
        </w:rPr>
        <w:t xml:space="preserve">TA </w:t>
      </w:r>
      <w:r w:rsidR="00F7729B" w:rsidRPr="047A3488">
        <w:rPr>
          <w:sz w:val="22"/>
          <w:szCs w:val="22"/>
        </w:rPr>
        <w:t xml:space="preserve">on the earlier years to </w:t>
      </w:r>
      <w:r w:rsidR="00C218E0" w:rsidRPr="047A3488">
        <w:rPr>
          <w:sz w:val="22"/>
          <w:szCs w:val="22"/>
        </w:rPr>
        <w:t xml:space="preserve">give the greatest time to identify further budget. This would </w:t>
      </w:r>
      <w:r w:rsidR="18D46ADE" w:rsidRPr="047A3488">
        <w:rPr>
          <w:sz w:val="22"/>
          <w:szCs w:val="22"/>
        </w:rPr>
        <w:t xml:space="preserve">include: </w:t>
      </w:r>
    </w:p>
    <w:p w14:paraId="5C994571" w14:textId="24B30D02" w:rsidR="18D46ADE" w:rsidRPr="00E76A09" w:rsidRDefault="19F89927" w:rsidP="00AC1732">
      <w:pPr>
        <w:pStyle w:val="ListParagraph"/>
        <w:numPr>
          <w:ilvl w:val="0"/>
          <w:numId w:val="1"/>
        </w:numPr>
        <w:tabs>
          <w:tab w:val="right" w:leader="dot" w:pos="9710"/>
        </w:tabs>
        <w:spacing w:before="0" w:after="0" w:line="240" w:lineRule="auto"/>
        <w:rPr>
          <w:sz w:val="22"/>
          <w:szCs w:val="22"/>
        </w:rPr>
      </w:pPr>
      <w:r w:rsidRPr="00E76A09">
        <w:rPr>
          <w:sz w:val="22"/>
          <w:szCs w:val="22"/>
        </w:rPr>
        <w:t>£</w:t>
      </w:r>
      <w:r w:rsidR="0026101D">
        <w:rPr>
          <w:sz w:val="22"/>
          <w:szCs w:val="22"/>
        </w:rPr>
        <w:t>6</w:t>
      </w:r>
      <w:r w:rsidRPr="00E76A09">
        <w:rPr>
          <w:sz w:val="22"/>
          <w:szCs w:val="22"/>
        </w:rPr>
        <w:t>m RDEL to cover the current country-level TA (Output 5) budget shortfall from 2026</w:t>
      </w:r>
      <w:r w:rsidR="52F1C341" w:rsidRPr="00E76A09">
        <w:rPr>
          <w:sz w:val="22"/>
          <w:szCs w:val="22"/>
        </w:rPr>
        <w:t xml:space="preserve"> – 202</w:t>
      </w:r>
      <w:r w:rsidR="0026101D">
        <w:rPr>
          <w:sz w:val="22"/>
          <w:szCs w:val="22"/>
        </w:rPr>
        <w:t>8</w:t>
      </w:r>
    </w:p>
    <w:p w14:paraId="7371E2ED" w14:textId="77777777" w:rsidR="002527D4" w:rsidRPr="002527D4" w:rsidRDefault="002527D4" w:rsidP="002527D4">
      <w:pPr>
        <w:pStyle w:val="ListParagraph"/>
        <w:numPr>
          <w:ilvl w:val="0"/>
          <w:numId w:val="1"/>
        </w:numPr>
        <w:tabs>
          <w:tab w:val="right" w:leader="dot" w:pos="9710"/>
        </w:tabs>
        <w:spacing w:before="0" w:after="0" w:line="240" w:lineRule="auto"/>
        <w:rPr>
          <w:sz w:val="22"/>
          <w:szCs w:val="22"/>
        </w:rPr>
      </w:pPr>
      <w:r w:rsidRPr="002527D4">
        <w:rPr>
          <w:sz w:val="22"/>
          <w:szCs w:val="22"/>
        </w:rPr>
        <w:t>£3.4 million CDEL to include activities under AIM4Commodities</w:t>
      </w:r>
    </w:p>
    <w:p w14:paraId="61EAE27B" w14:textId="5FDB90F7" w:rsidR="002527D4" w:rsidRPr="002527D4" w:rsidRDefault="002527D4" w:rsidP="002527D4">
      <w:pPr>
        <w:pStyle w:val="ListParagraph"/>
        <w:numPr>
          <w:ilvl w:val="0"/>
          <w:numId w:val="1"/>
        </w:numPr>
        <w:tabs>
          <w:tab w:val="right" w:leader="dot" w:pos="9710"/>
        </w:tabs>
        <w:spacing w:before="0" w:after="0" w:line="240" w:lineRule="auto"/>
        <w:rPr>
          <w:sz w:val="22"/>
          <w:szCs w:val="22"/>
        </w:rPr>
      </w:pPr>
      <w:r w:rsidRPr="002527D4">
        <w:rPr>
          <w:sz w:val="22"/>
          <w:szCs w:val="22"/>
        </w:rPr>
        <w:t xml:space="preserve">£7.4 million CDEL to cover the costs associated with extending the term of the programme for a further two years; and </w:t>
      </w:r>
    </w:p>
    <w:p w14:paraId="249851B4" w14:textId="6E2022FB" w:rsidR="52F1C341" w:rsidRPr="00E76A09" w:rsidRDefault="1BE1E17B" w:rsidP="00AC1732">
      <w:pPr>
        <w:pStyle w:val="ListParagraph"/>
        <w:numPr>
          <w:ilvl w:val="0"/>
          <w:numId w:val="1"/>
        </w:numPr>
        <w:tabs>
          <w:tab w:val="right" w:leader="dot" w:pos="9710"/>
        </w:tabs>
        <w:spacing w:before="0" w:after="0" w:line="240" w:lineRule="auto"/>
        <w:rPr>
          <w:sz w:val="22"/>
          <w:szCs w:val="22"/>
        </w:rPr>
      </w:pPr>
      <w:r w:rsidRPr="047A3488">
        <w:rPr>
          <w:sz w:val="22"/>
          <w:szCs w:val="22"/>
        </w:rPr>
        <w:t>1% management fee.</w:t>
      </w:r>
      <w:r w:rsidR="52F1C341" w:rsidRPr="047A3488">
        <w:rPr>
          <w:sz w:val="22"/>
          <w:szCs w:val="22"/>
        </w:rPr>
        <w:t xml:space="preserve"> </w:t>
      </w:r>
    </w:p>
    <w:p w14:paraId="024C5F92" w14:textId="6DCEB2FF" w:rsidR="64EDF690" w:rsidRPr="00E76A09" w:rsidRDefault="64EDF690" w:rsidP="64EDF690">
      <w:pPr>
        <w:tabs>
          <w:tab w:val="right" w:leader="dot" w:pos="9710"/>
        </w:tabs>
        <w:spacing w:before="0" w:after="0" w:line="240" w:lineRule="auto"/>
        <w:rPr>
          <w:sz w:val="22"/>
          <w:szCs w:val="22"/>
        </w:rPr>
      </w:pPr>
    </w:p>
    <w:p w14:paraId="0C714A74" w14:textId="6EC9B123" w:rsidR="00F24D08" w:rsidRPr="00E76A09" w:rsidRDefault="359337A6" w:rsidP="004258E7">
      <w:pPr>
        <w:pStyle w:val="ListParagraph"/>
        <w:tabs>
          <w:tab w:val="right" w:leader="dot" w:pos="9710"/>
        </w:tabs>
        <w:spacing w:before="0" w:after="0" w:line="240" w:lineRule="auto"/>
        <w:ind w:left="0"/>
        <w:rPr>
          <w:sz w:val="22"/>
          <w:szCs w:val="22"/>
        </w:rPr>
      </w:pPr>
      <w:r w:rsidRPr="00E76A09">
        <w:rPr>
          <w:sz w:val="22"/>
          <w:szCs w:val="22"/>
        </w:rPr>
        <w:t>If no further action were taken</w:t>
      </w:r>
      <w:r w:rsidR="1F87A561" w:rsidRPr="00E76A09">
        <w:rPr>
          <w:sz w:val="22"/>
          <w:szCs w:val="22"/>
        </w:rPr>
        <w:t>,</w:t>
      </w:r>
      <w:r w:rsidR="00935255" w:rsidRPr="00E76A09">
        <w:rPr>
          <w:sz w:val="22"/>
          <w:szCs w:val="22"/>
        </w:rPr>
        <w:t xml:space="preserve"> </w:t>
      </w:r>
      <w:r w:rsidR="17C8B746" w:rsidRPr="00E76A09">
        <w:rPr>
          <w:sz w:val="22"/>
          <w:szCs w:val="22"/>
        </w:rPr>
        <w:t xml:space="preserve">then the </w:t>
      </w:r>
      <w:r w:rsidR="00935255" w:rsidRPr="00E76A09">
        <w:rPr>
          <w:sz w:val="22"/>
          <w:szCs w:val="22"/>
        </w:rPr>
        <w:t xml:space="preserve">in-country technical assistance </w:t>
      </w:r>
      <w:r w:rsidR="17C8B746" w:rsidRPr="00E76A09">
        <w:rPr>
          <w:sz w:val="22"/>
          <w:szCs w:val="22"/>
        </w:rPr>
        <w:t xml:space="preserve">delivered by the programme would need to </w:t>
      </w:r>
      <w:r w:rsidR="00935255" w:rsidRPr="00E76A09">
        <w:rPr>
          <w:sz w:val="22"/>
          <w:szCs w:val="22"/>
        </w:rPr>
        <w:t xml:space="preserve">cease </w:t>
      </w:r>
      <w:r w:rsidR="00D20D69" w:rsidRPr="00E76A09">
        <w:rPr>
          <w:sz w:val="22"/>
          <w:szCs w:val="22"/>
        </w:rPr>
        <w:t xml:space="preserve">early, </w:t>
      </w:r>
      <w:r w:rsidR="00935255" w:rsidRPr="00E76A09">
        <w:rPr>
          <w:sz w:val="22"/>
          <w:szCs w:val="22"/>
        </w:rPr>
        <w:t xml:space="preserve">or </w:t>
      </w:r>
      <w:r w:rsidR="17C8B746" w:rsidRPr="00E76A09">
        <w:rPr>
          <w:sz w:val="22"/>
          <w:szCs w:val="22"/>
        </w:rPr>
        <w:t>there</w:t>
      </w:r>
      <w:r w:rsidR="00935255" w:rsidRPr="00E76A09">
        <w:rPr>
          <w:sz w:val="22"/>
          <w:szCs w:val="22"/>
        </w:rPr>
        <w:t xml:space="preserve"> would need to be </w:t>
      </w:r>
      <w:r w:rsidR="17C8B746" w:rsidRPr="00E76A09">
        <w:rPr>
          <w:sz w:val="22"/>
          <w:szCs w:val="22"/>
        </w:rPr>
        <w:t>a significant scaling back and reprioritisation exercise.</w:t>
      </w:r>
      <w:r w:rsidR="00935255" w:rsidRPr="00E76A09">
        <w:rPr>
          <w:sz w:val="22"/>
          <w:szCs w:val="22"/>
        </w:rPr>
        <w:t xml:space="preserve">  If country work was to reduce or cease, the programme’s goal of overarching impact of long-term, transformational sustainable land-use management and reduction in deforestation, alongside Greenhouse Gas (GHG) emission reductions from the forest and land-use sector, would be highly at risk. The table at </w:t>
      </w:r>
      <w:r w:rsidR="00935255" w:rsidRPr="00E76A09">
        <w:rPr>
          <w:b/>
          <w:bCs/>
          <w:sz w:val="22"/>
          <w:szCs w:val="22"/>
        </w:rPr>
        <w:t xml:space="preserve">Annex </w:t>
      </w:r>
      <w:r w:rsidR="009A1904" w:rsidRPr="00E76A09">
        <w:rPr>
          <w:b/>
          <w:bCs/>
          <w:sz w:val="22"/>
          <w:szCs w:val="22"/>
        </w:rPr>
        <w:t>B</w:t>
      </w:r>
      <w:r w:rsidR="00935255" w:rsidRPr="00E76A09">
        <w:rPr>
          <w:sz w:val="22"/>
          <w:szCs w:val="22"/>
        </w:rPr>
        <w:t xml:space="preserve"> provides some examples of work priorities, over the coming years for a set of example countries with larger AIM4Forests country programmes (for the two principal areas of intervention under Output 5 - MRV for climate finance and on forest data to inform decision-making). Without additional funding for this output, these activities would halt, and we would lose those opportunities to generate impact.  </w:t>
      </w:r>
    </w:p>
    <w:p w14:paraId="58723AD7" w14:textId="06FEF321" w:rsidR="0070347C" w:rsidRPr="00E76A09" w:rsidRDefault="00F24D08" w:rsidP="00CD6727">
      <w:pPr>
        <w:rPr>
          <w:sz w:val="22"/>
          <w:szCs w:val="22"/>
        </w:rPr>
      </w:pPr>
      <w:r w:rsidRPr="00E76A09">
        <w:rPr>
          <w:sz w:val="22"/>
          <w:szCs w:val="22"/>
        </w:rPr>
        <w:t xml:space="preserve">In a scenario where additional RDEL funding </w:t>
      </w:r>
      <w:r w:rsidR="00176C4F" w:rsidRPr="00E76A09">
        <w:rPr>
          <w:sz w:val="22"/>
          <w:szCs w:val="22"/>
        </w:rPr>
        <w:t>beyond the proposed £</w:t>
      </w:r>
      <w:r w:rsidR="0026101D">
        <w:rPr>
          <w:sz w:val="22"/>
          <w:szCs w:val="22"/>
        </w:rPr>
        <w:t>6</w:t>
      </w:r>
      <w:r w:rsidR="00176C4F" w:rsidRPr="00E76A09">
        <w:rPr>
          <w:sz w:val="22"/>
          <w:szCs w:val="22"/>
        </w:rPr>
        <w:t>m is not available, we still consider that this smaller amount would be beneficial for the programme and provide value for money.</w:t>
      </w:r>
      <w:r w:rsidRPr="00E76A09">
        <w:rPr>
          <w:sz w:val="22"/>
          <w:szCs w:val="22"/>
        </w:rPr>
        <w:t xml:space="preserve"> </w:t>
      </w:r>
      <w:r w:rsidR="004C0CC5" w:rsidRPr="00E76A09">
        <w:rPr>
          <w:sz w:val="22"/>
          <w:szCs w:val="22"/>
        </w:rPr>
        <w:t xml:space="preserve">This would allow the </w:t>
      </w:r>
      <w:r w:rsidR="004C0CC5" w:rsidRPr="00E76A09">
        <w:rPr>
          <w:sz w:val="22"/>
          <w:szCs w:val="22"/>
        </w:rPr>
        <w:lastRenderedPageBreak/>
        <w:t xml:space="preserve">valuable in-country technical assistance that the programme delivers to continue for at least another </w:t>
      </w:r>
      <w:r w:rsidR="00205746" w:rsidRPr="00E76A09">
        <w:rPr>
          <w:sz w:val="22"/>
          <w:szCs w:val="22"/>
        </w:rPr>
        <w:t>two years</w:t>
      </w:r>
      <w:r w:rsidR="0000154A" w:rsidRPr="00E76A09">
        <w:rPr>
          <w:sz w:val="22"/>
          <w:szCs w:val="22"/>
        </w:rPr>
        <w:t xml:space="preserve">, providing further opportunities to build up in-country capacity and institutionalise NFMS and MRV systems. </w:t>
      </w:r>
    </w:p>
    <w:p w14:paraId="3A5DA37B" w14:textId="7CC4566D" w:rsidR="0070347C" w:rsidRPr="00E76A09" w:rsidRDefault="0070347C" w:rsidP="004258E7">
      <w:pPr>
        <w:pStyle w:val="ListParagraph"/>
        <w:tabs>
          <w:tab w:val="right" w:leader="dot" w:pos="9710"/>
        </w:tabs>
        <w:spacing w:before="0" w:after="0" w:line="240" w:lineRule="auto"/>
        <w:ind w:left="0"/>
        <w:rPr>
          <w:sz w:val="22"/>
          <w:szCs w:val="22"/>
        </w:rPr>
      </w:pPr>
      <w:r w:rsidRPr="00E76A09">
        <w:rPr>
          <w:sz w:val="22"/>
          <w:szCs w:val="22"/>
        </w:rPr>
        <w:t>AIM4Forests leverages lessons learnt and aims to help other countries replicate them, enabling broader transformation in forest monitoring at a global scale. If further funding was provided, this impact at the global scale would be further amplified.  The additional funding would also enable the scope of the programme to expand to include monitoring for transparent commodity value chains, as well as cover the costs associated with extending the term of the programme – the rationale for both of which is set out below.  </w:t>
      </w:r>
    </w:p>
    <w:p w14:paraId="12CB7A49" w14:textId="77777777" w:rsidR="0070347C" w:rsidRPr="00E76A09" w:rsidRDefault="0070347C" w:rsidP="0070347C">
      <w:pPr>
        <w:pStyle w:val="ListParagraph"/>
        <w:tabs>
          <w:tab w:val="right" w:leader="dot" w:pos="9710"/>
        </w:tabs>
        <w:spacing w:before="0" w:after="0" w:line="240" w:lineRule="auto"/>
        <w:ind w:left="284"/>
        <w:rPr>
          <w:sz w:val="22"/>
          <w:szCs w:val="22"/>
        </w:rPr>
      </w:pPr>
    </w:p>
    <w:p w14:paraId="0A282163" w14:textId="2F1C422B" w:rsidR="00E26536" w:rsidRPr="00E76A09" w:rsidRDefault="000A739B" w:rsidP="004258E7">
      <w:pPr>
        <w:pStyle w:val="ListParagraph"/>
        <w:tabs>
          <w:tab w:val="right" w:leader="dot" w:pos="9710"/>
        </w:tabs>
        <w:ind w:left="0"/>
        <w:rPr>
          <w:sz w:val="22"/>
          <w:szCs w:val="22"/>
        </w:rPr>
      </w:pPr>
      <w:r w:rsidRPr="00E76A09">
        <w:rPr>
          <w:b/>
          <w:bCs/>
          <w:sz w:val="22"/>
          <w:szCs w:val="22"/>
        </w:rPr>
        <w:t xml:space="preserve">1.3.2 </w:t>
      </w:r>
      <w:r w:rsidR="00E26536" w:rsidRPr="00E76A09">
        <w:rPr>
          <w:b/>
          <w:bCs/>
          <w:sz w:val="22"/>
          <w:szCs w:val="22"/>
        </w:rPr>
        <w:t>Transparent commodity value chains </w:t>
      </w:r>
      <w:r w:rsidR="00E26536" w:rsidRPr="00E76A09">
        <w:rPr>
          <w:sz w:val="22"/>
          <w:szCs w:val="22"/>
        </w:rPr>
        <w:t> </w:t>
      </w:r>
    </w:p>
    <w:p w14:paraId="238375C5" w14:textId="6E940C9F" w:rsidR="00673888" w:rsidRPr="00E76A09" w:rsidRDefault="00E26536" w:rsidP="004258E7">
      <w:pPr>
        <w:pStyle w:val="ListParagraph"/>
        <w:tabs>
          <w:tab w:val="right" w:leader="dot" w:pos="9710"/>
        </w:tabs>
        <w:spacing w:line="240" w:lineRule="auto"/>
        <w:ind w:left="0"/>
        <w:rPr>
          <w:rStyle w:val="Style2Char"/>
          <w:rFonts w:eastAsiaTheme="minorEastAsia"/>
        </w:rPr>
      </w:pPr>
      <w:r w:rsidRPr="00E76A09">
        <w:rPr>
          <w:rStyle w:val="Style2Char"/>
          <w:rFonts w:eastAsiaTheme="minorEastAsia"/>
        </w:rPr>
        <w:t xml:space="preserve">As part of increased budget, it is also proposed to reinclude activities under the transparent commodity value chain work </w:t>
      </w:r>
      <w:r w:rsidR="5BEC9285" w:rsidRPr="00E76A09">
        <w:rPr>
          <w:rStyle w:val="Style2Char"/>
          <w:rFonts w:eastAsiaTheme="minorEastAsia"/>
        </w:rPr>
        <w:t>(as set out above, the work around monitoring for transparent commodity value chains was originally started under AIM4Forests before it was moved into AIM4Commodities)</w:t>
      </w:r>
      <w:r w:rsidR="002B70D2" w:rsidRPr="00E76A09">
        <w:rPr>
          <w:rStyle w:val="Style2Char"/>
          <w:rFonts w:eastAsiaTheme="minorEastAsia"/>
        </w:rPr>
        <w:t xml:space="preserve"> </w:t>
      </w:r>
      <w:r w:rsidRPr="00E76A09">
        <w:rPr>
          <w:rStyle w:val="Style2Char"/>
          <w:rFonts w:eastAsiaTheme="minorEastAsia"/>
        </w:rPr>
        <w:t>- named ‘AIM4Commodities’ under AIM4Forests. This would be developed as a new</w:t>
      </w:r>
      <w:r w:rsidR="00A25BB2" w:rsidRPr="00E76A09">
        <w:rPr>
          <w:rStyle w:val="Style2Char"/>
          <w:rFonts w:eastAsiaTheme="minorEastAsia"/>
        </w:rPr>
        <w:t xml:space="preserve"> additional</w:t>
      </w:r>
      <w:r w:rsidRPr="00E76A09">
        <w:rPr>
          <w:rStyle w:val="Style2Char"/>
          <w:rFonts w:eastAsiaTheme="minorEastAsia"/>
        </w:rPr>
        <w:t xml:space="preserve"> output area, if further funding is provided (as set out above). </w:t>
      </w:r>
    </w:p>
    <w:p w14:paraId="41112E79" w14:textId="77777777" w:rsidR="00673888" w:rsidRPr="00E76A09" w:rsidRDefault="00673888" w:rsidP="004258E7">
      <w:pPr>
        <w:pStyle w:val="ListParagraph"/>
        <w:tabs>
          <w:tab w:val="right" w:leader="dot" w:pos="9710"/>
        </w:tabs>
        <w:spacing w:line="240" w:lineRule="auto"/>
        <w:ind w:left="0"/>
        <w:rPr>
          <w:rStyle w:val="Style2Char"/>
          <w:rFonts w:eastAsiaTheme="minorEastAsia"/>
        </w:rPr>
      </w:pPr>
    </w:p>
    <w:p w14:paraId="50AC138F" w14:textId="1CFF63CE" w:rsidR="5721BA47" w:rsidRPr="00E76A09" w:rsidRDefault="7F8E9DF7" w:rsidP="004258E7">
      <w:pPr>
        <w:pStyle w:val="ListParagraph"/>
        <w:tabs>
          <w:tab w:val="right" w:leader="dot" w:pos="9710"/>
        </w:tabs>
        <w:spacing w:line="240" w:lineRule="auto"/>
        <w:ind w:left="0"/>
        <w:rPr>
          <w:sz w:val="22"/>
          <w:szCs w:val="22"/>
        </w:rPr>
      </w:pPr>
      <w:r w:rsidRPr="00E76A09">
        <w:rPr>
          <w:rStyle w:val="Style2Char"/>
          <w:rFonts w:eastAsiaTheme="minorEastAsia"/>
        </w:rPr>
        <w:t xml:space="preserve">As </w:t>
      </w:r>
      <w:r w:rsidR="00A25BB2" w:rsidRPr="00E76A09">
        <w:rPr>
          <w:rStyle w:val="Style2Char"/>
          <w:rFonts w:eastAsiaTheme="minorEastAsia"/>
        </w:rPr>
        <w:t>discussed in</w:t>
      </w:r>
      <w:r w:rsidR="003650EF" w:rsidRPr="00E76A09">
        <w:rPr>
          <w:rStyle w:val="Style2Char"/>
          <w:rFonts w:eastAsiaTheme="minorEastAsia"/>
        </w:rPr>
        <w:t xml:space="preserve"> section 1.2.2.</w:t>
      </w:r>
      <w:r w:rsidRPr="00E76A09">
        <w:rPr>
          <w:rStyle w:val="Style2Char"/>
          <w:rFonts w:eastAsiaTheme="minorEastAsia"/>
        </w:rPr>
        <w:t>, AIM4Commodities is an existing programme that is currently German</w:t>
      </w:r>
      <w:r w:rsidR="1A2BF1AD" w:rsidRPr="00E76A09">
        <w:rPr>
          <w:rStyle w:val="Style2Char"/>
          <w:rFonts w:eastAsiaTheme="minorEastAsia"/>
        </w:rPr>
        <w:t xml:space="preserve"> f</w:t>
      </w:r>
      <w:r w:rsidRPr="00E76A09">
        <w:rPr>
          <w:rStyle w:val="Style2Char"/>
          <w:rFonts w:eastAsiaTheme="minorEastAsia"/>
        </w:rPr>
        <w:t>unded. However, German funding for AIM4Commodities beyond 2026 is highly uncertain</w:t>
      </w:r>
      <w:r w:rsidR="00A25BB2" w:rsidRPr="00E76A09">
        <w:rPr>
          <w:rStyle w:val="Style2Char"/>
          <w:rFonts w:eastAsiaTheme="minorEastAsia"/>
        </w:rPr>
        <w:t xml:space="preserve"> and unconfirmed</w:t>
      </w:r>
      <w:r w:rsidR="22522E77" w:rsidRPr="00E76A09">
        <w:rPr>
          <w:rStyle w:val="Style2Char"/>
          <w:rFonts w:eastAsiaTheme="minorEastAsia"/>
        </w:rPr>
        <w:t xml:space="preserve"> (1 million euros have been committed for 2026 with no commitment to future funding beyond that)</w:t>
      </w:r>
      <w:r w:rsidR="4F596FE0" w:rsidRPr="00E76A09">
        <w:rPr>
          <w:rStyle w:val="Style2Char"/>
          <w:rFonts w:eastAsiaTheme="minorEastAsia"/>
        </w:rPr>
        <w:t>.</w:t>
      </w:r>
      <w:r w:rsidRPr="00E76A09">
        <w:rPr>
          <w:rStyle w:val="Style2Char"/>
          <w:rFonts w:eastAsiaTheme="minorEastAsia"/>
        </w:rPr>
        <w:t xml:space="preserve"> </w:t>
      </w:r>
      <w:r w:rsidR="00A25BB2" w:rsidRPr="00E76A09">
        <w:rPr>
          <w:rStyle w:val="Style2Char"/>
          <w:rFonts w:eastAsiaTheme="minorEastAsia"/>
        </w:rPr>
        <w:t>Without further funding</w:t>
      </w:r>
      <w:r w:rsidR="00644BEC" w:rsidRPr="00E76A09">
        <w:rPr>
          <w:rStyle w:val="Style2Char"/>
          <w:rFonts w:eastAsiaTheme="minorEastAsia"/>
        </w:rPr>
        <w:t xml:space="preserve">, </w:t>
      </w:r>
      <w:r w:rsidRPr="00E76A09">
        <w:rPr>
          <w:rStyle w:val="Style2Char"/>
          <w:rFonts w:eastAsiaTheme="minorEastAsia"/>
        </w:rPr>
        <w:t>there is a risk of this work ending, creating a gap in country support around forest monitoring for sustainable commodities. Given the strong</w:t>
      </w:r>
      <w:r w:rsidRPr="00E76A09">
        <w:rPr>
          <w:sz w:val="22"/>
          <w:szCs w:val="22"/>
        </w:rPr>
        <w:t xml:space="preserve"> linkages between commodity production and deforestation, stopping this work would mean missing a key opportunity to help tackle one of the key drivers of deforestation. </w:t>
      </w:r>
      <w:r w:rsidR="39FD8044" w:rsidRPr="00E76A09">
        <w:rPr>
          <w:sz w:val="22"/>
          <w:szCs w:val="22"/>
        </w:rPr>
        <w:t>Even i</w:t>
      </w:r>
      <w:r w:rsidRPr="00E76A09">
        <w:rPr>
          <w:sz w:val="22"/>
          <w:szCs w:val="22"/>
        </w:rPr>
        <w:t xml:space="preserve">f German funding </w:t>
      </w:r>
      <w:r w:rsidR="1A2059CD" w:rsidRPr="00E76A09">
        <w:rPr>
          <w:sz w:val="22"/>
          <w:szCs w:val="22"/>
        </w:rPr>
        <w:t>were to continue beyond 2026</w:t>
      </w:r>
      <w:r w:rsidRPr="00E76A09">
        <w:rPr>
          <w:sz w:val="22"/>
          <w:szCs w:val="22"/>
        </w:rPr>
        <w:t>,</w:t>
      </w:r>
      <w:r w:rsidR="3919F8C9" w:rsidRPr="00E76A09">
        <w:rPr>
          <w:sz w:val="22"/>
          <w:szCs w:val="22"/>
        </w:rPr>
        <w:t xml:space="preserve"> the level of demand for support with this type of forest monitoring</w:t>
      </w:r>
      <w:r w:rsidR="331CB1D8" w:rsidRPr="00E76A09">
        <w:rPr>
          <w:sz w:val="22"/>
          <w:szCs w:val="22"/>
        </w:rPr>
        <w:t xml:space="preserve"> would likely outstrip </w:t>
      </w:r>
      <w:r w:rsidR="007E3463" w:rsidRPr="00E76A09">
        <w:rPr>
          <w:sz w:val="22"/>
          <w:szCs w:val="22"/>
        </w:rPr>
        <w:t>the</w:t>
      </w:r>
      <w:r w:rsidR="331CB1D8" w:rsidRPr="00E76A09">
        <w:rPr>
          <w:sz w:val="22"/>
          <w:szCs w:val="22"/>
        </w:rPr>
        <w:t xml:space="preserve"> expected budget, and UK support would still be needed</w:t>
      </w:r>
      <w:r w:rsidR="3919F8C9" w:rsidRPr="00E76A09">
        <w:rPr>
          <w:sz w:val="22"/>
          <w:szCs w:val="22"/>
        </w:rPr>
        <w:t xml:space="preserve">. </w:t>
      </w:r>
      <w:r w:rsidR="0E7F158A" w:rsidRPr="00E76A09">
        <w:rPr>
          <w:sz w:val="22"/>
          <w:szCs w:val="22"/>
        </w:rPr>
        <w:t xml:space="preserve">Estimates for the AIM4Commodities workstream are between USD </w:t>
      </w:r>
      <w:r w:rsidR="00595B01" w:rsidRPr="00E76A09">
        <w:rPr>
          <w:sz w:val="22"/>
          <w:szCs w:val="22"/>
        </w:rPr>
        <w:t>$</w:t>
      </w:r>
      <w:r w:rsidR="0E7F158A" w:rsidRPr="00E76A09">
        <w:rPr>
          <w:sz w:val="22"/>
          <w:szCs w:val="22"/>
        </w:rPr>
        <w:t xml:space="preserve">1.5m - </w:t>
      </w:r>
      <w:r w:rsidR="00595B01" w:rsidRPr="00E76A09">
        <w:rPr>
          <w:sz w:val="22"/>
          <w:szCs w:val="22"/>
        </w:rPr>
        <w:t>$</w:t>
      </w:r>
      <w:r w:rsidR="0E7F158A" w:rsidRPr="00E76A09">
        <w:rPr>
          <w:sz w:val="22"/>
          <w:szCs w:val="22"/>
        </w:rPr>
        <w:t xml:space="preserve">3m per year depending on the level of ambition. </w:t>
      </w:r>
      <w:r w:rsidR="3919F8C9" w:rsidRPr="00E76A09">
        <w:rPr>
          <w:sz w:val="22"/>
          <w:szCs w:val="22"/>
        </w:rPr>
        <w:t>We propose to explore arrangements to co-fund this work with Germany</w:t>
      </w:r>
      <w:r w:rsidR="00640CBE" w:rsidRPr="00E76A09">
        <w:rPr>
          <w:sz w:val="22"/>
          <w:szCs w:val="22"/>
        </w:rPr>
        <w:t>, initially for 2026, and any future years depending on their willingness to continue funding</w:t>
      </w:r>
      <w:r w:rsidR="3919F8C9" w:rsidRPr="00E76A09">
        <w:rPr>
          <w:sz w:val="22"/>
          <w:szCs w:val="22"/>
        </w:rPr>
        <w:t xml:space="preserve">. </w:t>
      </w:r>
    </w:p>
    <w:p w14:paraId="67F509C2" w14:textId="494E3C8B" w:rsidR="6DDC3FF7" w:rsidRPr="00E76A09" w:rsidRDefault="6DDC3FF7" w:rsidP="004258E7">
      <w:pPr>
        <w:pStyle w:val="ListParagraph"/>
        <w:tabs>
          <w:tab w:val="right" w:leader="dot" w:pos="9710"/>
        </w:tabs>
        <w:spacing w:line="240" w:lineRule="auto"/>
        <w:ind w:left="0"/>
        <w:rPr>
          <w:sz w:val="22"/>
          <w:szCs w:val="22"/>
        </w:rPr>
      </w:pPr>
    </w:p>
    <w:p w14:paraId="50B112AA" w14:textId="35FE5D02" w:rsidR="00E26536" w:rsidRPr="00E76A09" w:rsidRDefault="72ABE6AC" w:rsidP="67DA30A3">
      <w:pPr>
        <w:pStyle w:val="ListParagraph"/>
        <w:tabs>
          <w:tab w:val="right" w:leader="dot" w:pos="9710"/>
        </w:tabs>
        <w:spacing w:line="240" w:lineRule="auto"/>
        <w:ind w:left="0"/>
        <w:rPr>
          <w:rStyle w:val="Style2Char"/>
          <w:rFonts w:eastAsiaTheme="minorEastAsia"/>
        </w:rPr>
      </w:pPr>
      <w:r w:rsidRPr="00E76A09">
        <w:rPr>
          <w:rStyle w:val="Style2Char"/>
          <w:rFonts w:eastAsiaTheme="minorEastAsia"/>
        </w:rPr>
        <w:t>With combined and complimentary support from the UK and G</w:t>
      </w:r>
      <w:r w:rsidR="555E94A1" w:rsidRPr="00E76A09">
        <w:rPr>
          <w:rStyle w:val="Style2Char"/>
          <w:rFonts w:eastAsiaTheme="minorEastAsia"/>
        </w:rPr>
        <w:t>ermany</w:t>
      </w:r>
      <w:r w:rsidRPr="00E76A09">
        <w:rPr>
          <w:rStyle w:val="Style2Char"/>
          <w:rFonts w:eastAsiaTheme="minorEastAsia"/>
        </w:rPr>
        <w:t xml:space="preserve"> the AIM4Commodites work stream would include:</w:t>
      </w:r>
    </w:p>
    <w:p w14:paraId="2101C665" w14:textId="65A13941" w:rsidR="00E26536" w:rsidRPr="00E76A09" w:rsidRDefault="3919F8C9" w:rsidP="005F1FB6">
      <w:pPr>
        <w:pStyle w:val="ListParagraph"/>
        <w:numPr>
          <w:ilvl w:val="0"/>
          <w:numId w:val="82"/>
        </w:numPr>
        <w:tabs>
          <w:tab w:val="right" w:leader="dot" w:pos="9710"/>
        </w:tabs>
        <w:spacing w:line="240" w:lineRule="auto"/>
        <w:rPr>
          <w:rStyle w:val="Style2Char"/>
          <w:rFonts w:eastAsiaTheme="minorEastAsia"/>
        </w:rPr>
      </w:pPr>
      <w:r w:rsidRPr="00E76A09">
        <w:rPr>
          <w:rStyle w:val="Style2Char"/>
          <w:rFonts w:eastAsiaTheme="minorEastAsia"/>
        </w:rPr>
        <w:t>A global consolidated AIM4Commodities support programme for transparent commodities</w:t>
      </w:r>
    </w:p>
    <w:p w14:paraId="4F1F0AB3" w14:textId="626E5FB8" w:rsidR="00E26536" w:rsidRPr="00E76A09" w:rsidRDefault="3919F8C9" w:rsidP="005F1FB6">
      <w:pPr>
        <w:pStyle w:val="ListParagraph"/>
        <w:numPr>
          <w:ilvl w:val="0"/>
          <w:numId w:val="82"/>
        </w:numPr>
        <w:tabs>
          <w:tab w:val="right" w:leader="dot" w:pos="9710"/>
        </w:tabs>
        <w:spacing w:line="240" w:lineRule="auto"/>
        <w:rPr>
          <w:rStyle w:val="Style2Char"/>
          <w:rFonts w:eastAsiaTheme="minorEastAsia"/>
        </w:rPr>
      </w:pPr>
      <w:r w:rsidRPr="00E76A09">
        <w:rPr>
          <w:rStyle w:val="Style2Char"/>
          <w:rFonts w:eastAsiaTheme="minorEastAsia"/>
        </w:rPr>
        <w:t>A set of 4-8 country programmes for roll-out of technical solutions with governments and supply-chain actors, with a focus on vulnerable stakeholders.</w:t>
      </w:r>
    </w:p>
    <w:p w14:paraId="17003EEF" w14:textId="2E7B11BE" w:rsidR="00E26536" w:rsidRPr="00E76A09" w:rsidRDefault="3919F8C9" w:rsidP="005F1FB6">
      <w:pPr>
        <w:pStyle w:val="ListParagraph"/>
        <w:numPr>
          <w:ilvl w:val="0"/>
          <w:numId w:val="82"/>
        </w:numPr>
        <w:tabs>
          <w:tab w:val="right" w:leader="dot" w:pos="9710"/>
        </w:tabs>
        <w:spacing w:line="240" w:lineRule="auto"/>
        <w:rPr>
          <w:rStyle w:val="Style2Char"/>
          <w:rFonts w:eastAsiaTheme="minorEastAsia"/>
        </w:rPr>
      </w:pPr>
      <w:r w:rsidRPr="00E76A09">
        <w:rPr>
          <w:rStyle w:val="Style2Char"/>
          <w:rFonts w:eastAsiaTheme="minorEastAsia"/>
        </w:rPr>
        <w:t>Continued technical innovation in forest monitoring technical solutions: for traceability, remote sensing, data analysis and data collection, taking on board lessons learned from country programmes.</w:t>
      </w:r>
    </w:p>
    <w:p w14:paraId="498D5E23" w14:textId="0E3ABF2C" w:rsidR="00E26536" w:rsidRPr="00E76A09" w:rsidRDefault="3919F8C9" w:rsidP="005F1FB6">
      <w:pPr>
        <w:pStyle w:val="ListParagraph"/>
        <w:numPr>
          <w:ilvl w:val="0"/>
          <w:numId w:val="82"/>
        </w:numPr>
        <w:tabs>
          <w:tab w:val="right" w:leader="dot" w:pos="9710"/>
        </w:tabs>
        <w:spacing w:line="240" w:lineRule="auto"/>
        <w:rPr>
          <w:rStyle w:val="Style2Char"/>
          <w:rFonts w:eastAsiaTheme="minorEastAsia"/>
        </w:rPr>
      </w:pPr>
      <w:r w:rsidRPr="00E76A09">
        <w:rPr>
          <w:rStyle w:val="Style2Char"/>
          <w:rFonts w:eastAsiaTheme="minorEastAsia"/>
        </w:rPr>
        <w:t>A partnership on data for transparent commodities comprising members of the private sector, governments, donors, representatives of indigenous groups to guide development of technical innovation, as well as country engagement.</w:t>
      </w:r>
    </w:p>
    <w:p w14:paraId="1123F2E5" w14:textId="36A746DD" w:rsidR="00E26536" w:rsidRPr="00E76A09" w:rsidRDefault="3919F8C9" w:rsidP="005F1FB6">
      <w:pPr>
        <w:pStyle w:val="ListParagraph"/>
        <w:numPr>
          <w:ilvl w:val="0"/>
          <w:numId w:val="82"/>
        </w:numPr>
        <w:tabs>
          <w:tab w:val="right" w:leader="dot" w:pos="9710"/>
        </w:tabs>
        <w:spacing w:line="240" w:lineRule="auto"/>
        <w:rPr>
          <w:rStyle w:val="Style2Char"/>
          <w:rFonts w:eastAsiaTheme="minorEastAsia"/>
        </w:rPr>
      </w:pPr>
      <w:r w:rsidRPr="00E76A09">
        <w:rPr>
          <w:rStyle w:val="Style2Char"/>
          <w:rFonts w:eastAsiaTheme="minorEastAsia"/>
        </w:rPr>
        <w:t>Development of e-learning materials and online-facilitated learning modalities to accompany in-country capacity development.</w:t>
      </w:r>
    </w:p>
    <w:p w14:paraId="46ABD392" w14:textId="6E50482B" w:rsidR="00E26536" w:rsidRPr="00E76A09" w:rsidRDefault="3919F8C9" w:rsidP="005F1FB6">
      <w:pPr>
        <w:pStyle w:val="ListParagraph"/>
        <w:numPr>
          <w:ilvl w:val="0"/>
          <w:numId w:val="82"/>
        </w:numPr>
        <w:tabs>
          <w:tab w:val="right" w:leader="dot" w:pos="9710"/>
        </w:tabs>
        <w:spacing w:line="240" w:lineRule="auto"/>
        <w:rPr>
          <w:rStyle w:val="Style2Char"/>
          <w:rFonts w:eastAsiaTheme="minorEastAsia"/>
        </w:rPr>
      </w:pPr>
      <w:r w:rsidRPr="00E76A09">
        <w:rPr>
          <w:rStyle w:val="Style2Char"/>
          <w:rFonts w:eastAsiaTheme="minorEastAsia"/>
        </w:rPr>
        <w:t>Further develop thinking targeted at integrating vulnerable stakeholders: indigenous peoples, local communities and youth into transparent commodity value chains, through bespoke technical solutions and platforms, as well as data protection and governance arrangements in countries to ensure protection and livelihoods.</w:t>
      </w:r>
    </w:p>
    <w:p w14:paraId="68048955" w14:textId="786F29F6" w:rsidR="00E26536" w:rsidRPr="00E76A09" w:rsidRDefault="3919F8C9" w:rsidP="005F1FB6">
      <w:pPr>
        <w:pStyle w:val="ListParagraph"/>
        <w:numPr>
          <w:ilvl w:val="0"/>
          <w:numId w:val="82"/>
        </w:numPr>
        <w:tabs>
          <w:tab w:val="right" w:leader="dot" w:pos="9710"/>
        </w:tabs>
        <w:spacing w:line="240" w:lineRule="auto"/>
        <w:rPr>
          <w:rStyle w:val="Style2Char"/>
          <w:rFonts w:eastAsiaTheme="minorEastAsia"/>
        </w:rPr>
      </w:pPr>
      <w:r w:rsidRPr="00E76A09">
        <w:rPr>
          <w:rStyle w:val="Style2Char"/>
          <w:rFonts w:eastAsiaTheme="minorEastAsia"/>
        </w:rPr>
        <w:t>Enable engagement with regulatory bodies, including in the EU, UK, US, Japan and other geographies to make sure policy process and demand-side regulations are adequately informed by capabilities of producer countries.</w:t>
      </w:r>
    </w:p>
    <w:p w14:paraId="67D62C2A" w14:textId="7006D910" w:rsidR="6DDC3FF7" w:rsidRPr="00E76A09" w:rsidRDefault="6DDC3FF7" w:rsidP="6DDC3FF7">
      <w:pPr>
        <w:pStyle w:val="ListParagraph"/>
        <w:tabs>
          <w:tab w:val="right" w:leader="dot" w:pos="9710"/>
        </w:tabs>
        <w:spacing w:line="240" w:lineRule="auto"/>
        <w:ind w:left="644"/>
        <w:rPr>
          <w:rStyle w:val="Style2Char"/>
          <w:rFonts w:eastAsiaTheme="minorEastAsia"/>
        </w:rPr>
      </w:pPr>
    </w:p>
    <w:p w14:paraId="06A9291C" w14:textId="4B2AAA14" w:rsidR="00E26536" w:rsidRPr="00E76A09" w:rsidRDefault="71D67C9D" w:rsidP="004258E7">
      <w:pPr>
        <w:pStyle w:val="ListParagraph"/>
        <w:tabs>
          <w:tab w:val="right" w:leader="dot" w:pos="9710"/>
        </w:tabs>
        <w:spacing w:line="240" w:lineRule="auto"/>
        <w:ind w:left="0"/>
        <w:rPr>
          <w:rStyle w:val="Style2Char"/>
          <w:rFonts w:eastAsiaTheme="minorEastAsia"/>
        </w:rPr>
      </w:pPr>
      <w:r w:rsidRPr="00E76A09">
        <w:rPr>
          <w:rStyle w:val="Style2Char"/>
          <w:rFonts w:eastAsiaTheme="minorEastAsia"/>
        </w:rPr>
        <w:t xml:space="preserve">Countries will be identified and agreed through an AIM4Commodities Steering Committee, considering key factors such as current opportunities for engagement and scale and synergies with other donor activities. </w:t>
      </w:r>
      <w:r w:rsidR="002E4216" w:rsidRPr="00E76A09">
        <w:rPr>
          <w:rStyle w:val="Style2Char"/>
          <w:rFonts w:eastAsiaTheme="minorEastAsia"/>
        </w:rPr>
        <w:t>This is discussed further in the Management Case below.</w:t>
      </w:r>
      <w:r w:rsidR="14DECCC5" w:rsidRPr="00E76A09">
        <w:rPr>
          <w:rStyle w:val="Style2Char"/>
          <w:rFonts w:eastAsiaTheme="minorEastAsia"/>
        </w:rPr>
        <w:t xml:space="preserve"> If German funding does not continue beyond 2026, the programme team and delivery partner will reevaluate the workstream and reprio</w:t>
      </w:r>
      <w:r w:rsidR="093B60C3" w:rsidRPr="00E76A09">
        <w:rPr>
          <w:rStyle w:val="Style2Char"/>
          <w:rFonts w:eastAsiaTheme="minorEastAsia"/>
        </w:rPr>
        <w:t>ri</w:t>
      </w:r>
      <w:r w:rsidR="14DECCC5" w:rsidRPr="00E76A09">
        <w:rPr>
          <w:rStyle w:val="Style2Char"/>
          <w:rFonts w:eastAsiaTheme="minorEastAsia"/>
        </w:rPr>
        <w:t xml:space="preserve">tise activities as needed to </w:t>
      </w:r>
      <w:r w:rsidR="14DECCC5" w:rsidRPr="00E76A09">
        <w:rPr>
          <w:rStyle w:val="Style2Char"/>
          <w:rFonts w:eastAsiaTheme="minorEastAsia"/>
        </w:rPr>
        <w:lastRenderedPageBreak/>
        <w:t>ensure that the workstream can be adapted to suit</w:t>
      </w:r>
      <w:r w:rsidR="6F953B26" w:rsidRPr="00E76A09">
        <w:rPr>
          <w:rStyle w:val="Style2Char"/>
          <w:rFonts w:eastAsiaTheme="minorEastAsia"/>
        </w:rPr>
        <w:t xml:space="preserve"> any funding arrangement and continue to deliver </w:t>
      </w:r>
      <w:r w:rsidR="1F1BEC48" w:rsidRPr="00E76A09">
        <w:rPr>
          <w:rStyle w:val="Style2Char"/>
          <w:rFonts w:eastAsiaTheme="minorEastAsia"/>
        </w:rPr>
        <w:t xml:space="preserve">value for money. </w:t>
      </w:r>
    </w:p>
    <w:p w14:paraId="40E68AA8" w14:textId="0689E687" w:rsidR="00E26536" w:rsidRPr="00E76A09" w:rsidRDefault="00E26536" w:rsidP="004258E7">
      <w:pPr>
        <w:tabs>
          <w:tab w:val="right" w:leader="dot" w:pos="9710"/>
        </w:tabs>
        <w:spacing w:line="240" w:lineRule="auto"/>
        <w:rPr>
          <w:sz w:val="22"/>
          <w:szCs w:val="22"/>
        </w:rPr>
      </w:pPr>
      <w:r w:rsidRPr="00E76A09">
        <w:rPr>
          <w:rStyle w:val="Style2Char"/>
          <w:rFonts w:eastAsiaTheme="minorEastAsia"/>
        </w:rPr>
        <w:t xml:space="preserve">Further information on what would be included in a new output on transparent commodities is included at </w:t>
      </w:r>
      <w:r w:rsidRPr="00E76A09">
        <w:rPr>
          <w:rStyle w:val="Style2Char"/>
          <w:rFonts w:eastAsiaTheme="minorEastAsia"/>
          <w:b/>
          <w:bCs/>
        </w:rPr>
        <w:t xml:space="preserve">Annex </w:t>
      </w:r>
      <w:r w:rsidR="0072090D" w:rsidRPr="00E76A09">
        <w:rPr>
          <w:rStyle w:val="Style2Char"/>
          <w:rFonts w:eastAsiaTheme="minorEastAsia"/>
          <w:b/>
          <w:bCs/>
        </w:rPr>
        <w:t>C</w:t>
      </w:r>
      <w:r w:rsidRPr="00E76A09">
        <w:rPr>
          <w:rStyle w:val="Style2Char"/>
          <w:rFonts w:eastAsiaTheme="minorEastAsia"/>
        </w:rPr>
        <w:t xml:space="preserve">.  </w:t>
      </w:r>
    </w:p>
    <w:p w14:paraId="67623036" w14:textId="0B346AB4" w:rsidR="00E26536" w:rsidRPr="00E76A09" w:rsidRDefault="000A739B" w:rsidP="004258E7">
      <w:pPr>
        <w:pStyle w:val="ListParagraph"/>
        <w:tabs>
          <w:tab w:val="right" w:leader="dot" w:pos="9710"/>
        </w:tabs>
        <w:ind w:left="0"/>
        <w:rPr>
          <w:sz w:val="22"/>
          <w:szCs w:val="22"/>
        </w:rPr>
      </w:pPr>
      <w:r w:rsidRPr="00E76A09">
        <w:rPr>
          <w:b/>
          <w:bCs/>
          <w:sz w:val="22"/>
          <w:szCs w:val="22"/>
        </w:rPr>
        <w:t xml:space="preserve">1.3.3 </w:t>
      </w:r>
      <w:r w:rsidR="00E26536" w:rsidRPr="00E76A09">
        <w:rPr>
          <w:b/>
          <w:bCs/>
          <w:sz w:val="22"/>
          <w:szCs w:val="22"/>
        </w:rPr>
        <w:t>Extending the term of the programme </w:t>
      </w:r>
      <w:r w:rsidR="00E26536" w:rsidRPr="00E76A09">
        <w:rPr>
          <w:sz w:val="22"/>
          <w:szCs w:val="22"/>
        </w:rPr>
        <w:t> </w:t>
      </w:r>
    </w:p>
    <w:p w14:paraId="4E1FC038" w14:textId="2E8F08B8" w:rsidR="00D72FCF" w:rsidRPr="00E76A09" w:rsidRDefault="00E26536" w:rsidP="004258E7">
      <w:pPr>
        <w:pStyle w:val="ListParagraph"/>
        <w:tabs>
          <w:tab w:val="right" w:leader="dot" w:pos="9710"/>
        </w:tabs>
        <w:spacing w:line="240" w:lineRule="auto"/>
        <w:ind w:left="0"/>
        <w:rPr>
          <w:sz w:val="22"/>
          <w:szCs w:val="22"/>
        </w:rPr>
      </w:pPr>
      <w:r w:rsidRPr="57AB4C69">
        <w:rPr>
          <w:sz w:val="22"/>
          <w:szCs w:val="22"/>
        </w:rPr>
        <w:t xml:space="preserve">It is proposed to extend the term of the programme until December 2030, which would require additional funding to continue </w:t>
      </w:r>
      <w:r w:rsidR="002E4216" w:rsidRPr="57AB4C69">
        <w:rPr>
          <w:sz w:val="22"/>
          <w:szCs w:val="22"/>
        </w:rPr>
        <w:t>all</w:t>
      </w:r>
      <w:r w:rsidRPr="57AB4C69">
        <w:rPr>
          <w:sz w:val="22"/>
          <w:szCs w:val="22"/>
        </w:rPr>
        <w:t xml:space="preserve"> </w:t>
      </w:r>
      <w:r w:rsidR="002E4216" w:rsidRPr="57AB4C69">
        <w:rPr>
          <w:sz w:val="22"/>
          <w:szCs w:val="22"/>
        </w:rPr>
        <w:t>work areas under the programme</w:t>
      </w:r>
      <w:r w:rsidRPr="57AB4C69">
        <w:rPr>
          <w:sz w:val="22"/>
          <w:szCs w:val="22"/>
        </w:rPr>
        <w:t xml:space="preserve"> for a further two years</w:t>
      </w:r>
      <w:r w:rsidR="00186C46" w:rsidRPr="57AB4C69">
        <w:rPr>
          <w:sz w:val="22"/>
          <w:szCs w:val="22"/>
        </w:rPr>
        <w:t>, as set out above</w:t>
      </w:r>
      <w:r w:rsidRPr="57AB4C69">
        <w:rPr>
          <w:sz w:val="22"/>
          <w:szCs w:val="22"/>
        </w:rPr>
        <w:t xml:space="preserve">. We consider that extending the term of the programme by two years would increase the impact of the programme by providing longer term support for countries leading to better outcomes. Extending the programme to 2030 will enable AIM4Forests to accompany countries in their efforts to better embed climate finance efforts with their national mitigation strategies and provide additional support to </w:t>
      </w:r>
      <w:r w:rsidR="002C36BE" w:rsidRPr="57AB4C69">
        <w:rPr>
          <w:sz w:val="22"/>
          <w:szCs w:val="22"/>
        </w:rPr>
        <w:t>institutionalise systems</w:t>
      </w:r>
      <w:r w:rsidRPr="57AB4C69">
        <w:rPr>
          <w:sz w:val="22"/>
          <w:szCs w:val="22"/>
        </w:rPr>
        <w:t xml:space="preserve"> for long-term functioning. Not only will this funding provide more time to implement key activities, but it is also expected that country-work demand will increase closer to NDC target years, as NDCs are increasingly updated and as subnational programmes transition to national programmes. The programme would also provide continued support for countries reporting in key international process. For example, UNFCCC NDCs are due in 2030, the second national reports of the KMGBF are due in 2029, and the EUDR review in 2030. Without an extension, countries would not have continued support to meet their reporting milestones and there would be reduced opportunity to achieve long term transformational change.   </w:t>
      </w:r>
    </w:p>
    <w:p w14:paraId="6F8FDDC4" w14:textId="7411E94B" w:rsidR="77572C28" w:rsidRPr="00E76A09" w:rsidRDefault="77572C28" w:rsidP="004258E7">
      <w:pPr>
        <w:pStyle w:val="ListParagraph"/>
        <w:tabs>
          <w:tab w:val="right" w:leader="dot" w:pos="9710"/>
        </w:tabs>
        <w:spacing w:line="240" w:lineRule="auto"/>
        <w:ind w:left="0"/>
        <w:rPr>
          <w:sz w:val="22"/>
          <w:szCs w:val="22"/>
        </w:rPr>
      </w:pPr>
    </w:p>
    <w:p w14:paraId="44F0B7B1" w14:textId="21B3BDBC" w:rsidR="00D72FCF" w:rsidRPr="00E76A09" w:rsidRDefault="00C4787D" w:rsidP="004258E7">
      <w:pPr>
        <w:pStyle w:val="ListParagraph"/>
        <w:tabs>
          <w:tab w:val="right" w:leader="dot" w:pos="9710"/>
        </w:tabs>
        <w:spacing w:line="240" w:lineRule="auto"/>
        <w:ind w:left="0"/>
        <w:rPr>
          <w:sz w:val="22"/>
          <w:szCs w:val="22"/>
        </w:rPr>
      </w:pPr>
      <w:r w:rsidRPr="00E76A09">
        <w:rPr>
          <w:sz w:val="22"/>
          <w:szCs w:val="22"/>
        </w:rPr>
        <w:t>Additional, extended funding</w:t>
      </w:r>
      <w:r w:rsidR="54E3B771" w:rsidRPr="00E76A09">
        <w:rPr>
          <w:sz w:val="22"/>
          <w:szCs w:val="22"/>
        </w:rPr>
        <w:t xml:space="preserve"> would also allow us to increase the ambition and impact of the workstream on monitoring for ecosystem restoration. As set out above, AIM4Forests supports countries to meet their reporting requirements under Target 2 of</w:t>
      </w:r>
      <w:r w:rsidR="30E3B4E7" w:rsidRPr="00E76A09">
        <w:rPr>
          <w:sz w:val="22"/>
          <w:szCs w:val="22"/>
        </w:rPr>
        <w:t xml:space="preserve"> the KMGBF. </w:t>
      </w:r>
      <w:r w:rsidR="752A1BD8" w:rsidRPr="00E76A09">
        <w:rPr>
          <w:sz w:val="22"/>
          <w:szCs w:val="22"/>
        </w:rPr>
        <w:t>Extending the term of the programme for a further two years would enable an additional 3 regional workshops to be held</w:t>
      </w:r>
      <w:r w:rsidR="047031BB" w:rsidRPr="00E76A09">
        <w:rPr>
          <w:sz w:val="22"/>
          <w:szCs w:val="22"/>
        </w:rPr>
        <w:t xml:space="preserve"> and a significant increase in the number of countries support by the programme with their reporting requirements</w:t>
      </w:r>
      <w:r w:rsidR="752A1BD8" w:rsidRPr="00E76A09">
        <w:rPr>
          <w:sz w:val="22"/>
          <w:szCs w:val="22"/>
        </w:rPr>
        <w:t xml:space="preserve">. </w:t>
      </w:r>
      <w:r w:rsidR="26247701" w:rsidRPr="00E76A09">
        <w:rPr>
          <w:sz w:val="22"/>
          <w:szCs w:val="22"/>
        </w:rPr>
        <w:t xml:space="preserve">In 2028 we estimate that 25 countries would receive support from AIM4Forests to report on nature restoration, but by 2030 this number would </w:t>
      </w:r>
      <w:r w:rsidR="007D7891" w:rsidRPr="00E76A09">
        <w:rPr>
          <w:sz w:val="22"/>
          <w:szCs w:val="22"/>
        </w:rPr>
        <w:t xml:space="preserve">nearly double </w:t>
      </w:r>
      <w:r w:rsidR="26247701" w:rsidRPr="00E76A09">
        <w:rPr>
          <w:sz w:val="22"/>
          <w:szCs w:val="22"/>
        </w:rPr>
        <w:t xml:space="preserve">to 40 countries. </w:t>
      </w:r>
      <w:r w:rsidR="008B5885" w:rsidRPr="00E76A09">
        <w:rPr>
          <w:sz w:val="22"/>
          <w:szCs w:val="22"/>
        </w:rPr>
        <w:t>Additionally, b</w:t>
      </w:r>
      <w:r w:rsidR="30E3B4E7" w:rsidRPr="00E76A09">
        <w:rPr>
          <w:sz w:val="22"/>
          <w:szCs w:val="22"/>
        </w:rPr>
        <w:t>etween 2025 – 2028, we estimate that approximately 50% of countries will submit Target 2 reports. However, between 2029-2030 we think that this could increase to up to 66% of countries due to assistanc</w:t>
      </w:r>
      <w:r w:rsidR="17018AF3" w:rsidRPr="00E76A09">
        <w:rPr>
          <w:sz w:val="22"/>
          <w:szCs w:val="22"/>
        </w:rPr>
        <w:t>e</w:t>
      </w:r>
      <w:r w:rsidR="41253DF0" w:rsidRPr="00E76A09">
        <w:rPr>
          <w:sz w:val="22"/>
          <w:szCs w:val="22"/>
        </w:rPr>
        <w:t xml:space="preserve"> provided by the programme</w:t>
      </w:r>
      <w:r w:rsidR="17018AF3" w:rsidRPr="00E76A09">
        <w:rPr>
          <w:sz w:val="22"/>
          <w:szCs w:val="22"/>
        </w:rPr>
        <w:t xml:space="preserve"> through ongoing workshops, and increased momentum. </w:t>
      </w:r>
    </w:p>
    <w:p w14:paraId="49979847" w14:textId="368D7414" w:rsidR="4BA7AA52" w:rsidRPr="00E76A09" w:rsidRDefault="4BA7AA52" w:rsidP="004258E7">
      <w:pPr>
        <w:pStyle w:val="ListParagraph"/>
        <w:tabs>
          <w:tab w:val="right" w:leader="dot" w:pos="9710"/>
        </w:tabs>
        <w:spacing w:line="240" w:lineRule="auto"/>
        <w:ind w:left="0"/>
        <w:rPr>
          <w:sz w:val="22"/>
          <w:szCs w:val="22"/>
        </w:rPr>
      </w:pPr>
    </w:p>
    <w:p w14:paraId="01260FCA" w14:textId="49498B2A" w:rsidR="00D72FCF" w:rsidRPr="00E76A09" w:rsidRDefault="6E434A73" w:rsidP="004258E7">
      <w:pPr>
        <w:pStyle w:val="ListParagraph"/>
        <w:tabs>
          <w:tab w:val="right" w:leader="dot" w:pos="9710"/>
        </w:tabs>
        <w:spacing w:line="240" w:lineRule="auto"/>
        <w:ind w:left="0"/>
        <w:rPr>
          <w:sz w:val="22"/>
          <w:szCs w:val="22"/>
        </w:rPr>
      </w:pPr>
      <w:r w:rsidRPr="00E76A09">
        <w:rPr>
          <w:sz w:val="22"/>
          <w:szCs w:val="22"/>
        </w:rPr>
        <w:t xml:space="preserve">The table at </w:t>
      </w:r>
      <w:r w:rsidRPr="00E76A09">
        <w:rPr>
          <w:b/>
          <w:bCs/>
          <w:sz w:val="22"/>
          <w:szCs w:val="22"/>
        </w:rPr>
        <w:t xml:space="preserve">Annex </w:t>
      </w:r>
      <w:r w:rsidR="00933701" w:rsidRPr="00E76A09">
        <w:rPr>
          <w:b/>
          <w:bCs/>
          <w:sz w:val="22"/>
          <w:szCs w:val="22"/>
        </w:rPr>
        <w:t>D</w:t>
      </w:r>
      <w:r w:rsidRPr="00E76A09">
        <w:rPr>
          <w:sz w:val="22"/>
          <w:szCs w:val="22"/>
        </w:rPr>
        <w:t xml:space="preserve"> provided examples of what could be achieved under the different programme outputs if the term of the programme was extended. </w:t>
      </w:r>
    </w:p>
    <w:p w14:paraId="771D7A4E" w14:textId="4907F3DD" w:rsidR="0070347C" w:rsidRPr="00E76A09" w:rsidRDefault="00D72FCF" w:rsidP="004258E7">
      <w:pPr>
        <w:pStyle w:val="Style1"/>
        <w:ind w:left="426" w:hanging="436"/>
        <w:rPr>
          <w:sz w:val="24"/>
          <w:szCs w:val="24"/>
        </w:rPr>
      </w:pPr>
      <w:r w:rsidRPr="00E76A09">
        <w:rPr>
          <w:sz w:val="24"/>
          <w:szCs w:val="24"/>
        </w:rPr>
        <w:t xml:space="preserve">Strategic fit </w:t>
      </w:r>
    </w:p>
    <w:p w14:paraId="0081780E" w14:textId="53BD5FE6" w:rsidR="00D72FCF" w:rsidRPr="00E76A09" w:rsidRDefault="000A739B" w:rsidP="004258E7">
      <w:pPr>
        <w:pStyle w:val="Style1"/>
        <w:numPr>
          <w:ilvl w:val="0"/>
          <w:numId w:val="0"/>
        </w:numPr>
        <w:rPr>
          <w:i w:val="0"/>
          <w:iCs w:val="0"/>
        </w:rPr>
      </w:pPr>
      <w:r w:rsidRPr="00E76A09">
        <w:rPr>
          <w:i w:val="0"/>
          <w:iCs w:val="0"/>
        </w:rPr>
        <w:t xml:space="preserve">1.4.1 </w:t>
      </w:r>
      <w:r w:rsidR="00D72FCF" w:rsidRPr="00E76A09">
        <w:rPr>
          <w:i w:val="0"/>
          <w:iCs w:val="0"/>
        </w:rPr>
        <w:t xml:space="preserve">DESNZ, International Forests Unit (IFU) and wider HMG: priorities and ICF portfolio </w:t>
      </w:r>
    </w:p>
    <w:p w14:paraId="386B3651" w14:textId="77777777" w:rsidR="001B0101" w:rsidRPr="00E76A09" w:rsidRDefault="001B0101" w:rsidP="004258E7">
      <w:pPr>
        <w:pStyle w:val="paragraph"/>
        <w:spacing w:before="0" w:beforeAutospacing="0" w:after="0" w:afterAutospacing="0"/>
        <w:textAlignment w:val="baseline"/>
        <w:rPr>
          <w:rStyle w:val="eop"/>
          <w:rFonts w:ascii="Calibri" w:hAnsi="Calibri" w:cs="Calibri"/>
          <w:sz w:val="22"/>
          <w:szCs w:val="22"/>
        </w:rPr>
      </w:pPr>
      <w:r w:rsidRPr="00E76A09">
        <w:rPr>
          <w:rStyle w:val="normaltextrun"/>
          <w:rFonts w:ascii="Calibri" w:hAnsi="Calibri" w:cs="Calibri"/>
          <w:sz w:val="22"/>
          <w:szCs w:val="22"/>
        </w:rPr>
        <w:t>The proposal is strongly aligned with HMG, DESNZ and ICF objectives. The programme fits well with domestic UK ODA and Climate Finance objectives, with a clear link to reducing emissions, enabling more effective sustainable land management, enhancing and sustaining livelihoods of forest-dependent communities, increasing ambition, and advancing towards transformational change. The proposal aligns with the key activities identified in the Theory of Change for UK government investment in forests and land use. Expanding the scope of the programme to include an additional output on monitoring for sustainable commodities supports the activity of ‘transforming markets and the supply chain for sustainable products’ by supporting forest countries to create more transparent supply chains and meet relevant regulations such as the European Union Deforestation Regulations. The proposal also supports the activity of ‘transforming finance to incentivise protection and restoration’ by strengthening forest monitoring and MRV in forest countries to enable greater financial flows for forest countries and communities for long-term financial sustainability – supporting the effective and high-integrity delivery of large-scale performance-based forest programmes and opportunities. </w:t>
      </w:r>
    </w:p>
    <w:p w14:paraId="5A481EF6" w14:textId="77777777" w:rsidR="001B0101" w:rsidRPr="00E76A09" w:rsidRDefault="001B0101" w:rsidP="004258E7">
      <w:pPr>
        <w:pStyle w:val="paragraph"/>
        <w:spacing w:before="0" w:beforeAutospacing="0" w:after="0" w:afterAutospacing="0"/>
        <w:textAlignment w:val="baseline"/>
        <w:rPr>
          <w:rStyle w:val="eop"/>
          <w:rFonts w:ascii="Calibri" w:hAnsi="Calibri" w:cs="Calibri"/>
          <w:sz w:val="22"/>
          <w:szCs w:val="22"/>
        </w:rPr>
      </w:pPr>
    </w:p>
    <w:p w14:paraId="271B0145" w14:textId="47FE6AB6" w:rsidR="001B0101" w:rsidRPr="00E76A09" w:rsidRDefault="001B0101" w:rsidP="004258E7">
      <w:pPr>
        <w:pStyle w:val="Style2"/>
        <w:ind w:left="0"/>
        <w:rPr>
          <w:rStyle w:val="eop"/>
        </w:rPr>
      </w:pPr>
      <w:r w:rsidRPr="57AB4C69">
        <w:rPr>
          <w:rStyle w:val="normaltextrun"/>
        </w:rPr>
        <w:t xml:space="preserve">In addition to the fit with broader UK priorities, support for MRV also sits firmly within UK ICF priorities. Over 2021-2026, the UK has committed £3 billion International Climate Finance for nature, of which £1.5 billion is specifically for protecting and restoring international forests and supporting forest livelihoods. Effective MRV </w:t>
      </w:r>
      <w:r w:rsidRPr="57AB4C69">
        <w:rPr>
          <w:rStyle w:val="normaltextrun"/>
        </w:rPr>
        <w:lastRenderedPageBreak/>
        <w:t>systems for forest carbon emissions directly support forest countries in their efforts towards climate mitigation, as helps to translate national data into meaningful, informed actions on reducing deforestation, forest degradation and other land-use management. </w:t>
      </w:r>
      <w:r w:rsidRPr="57AB4C69">
        <w:rPr>
          <w:rStyle w:val="eop"/>
        </w:rPr>
        <w:t> </w:t>
      </w:r>
    </w:p>
    <w:p w14:paraId="4E16BA3D" w14:textId="77777777" w:rsidR="00F82D60" w:rsidRPr="00E76A09" w:rsidRDefault="00F82D60" w:rsidP="004258E7">
      <w:pPr>
        <w:pStyle w:val="Style2"/>
        <w:ind w:left="0"/>
        <w:rPr>
          <w:rFonts w:ascii="Segoe UI" w:hAnsi="Segoe UI" w:cs="Segoe UI"/>
          <w:sz w:val="18"/>
          <w:szCs w:val="18"/>
        </w:rPr>
      </w:pPr>
    </w:p>
    <w:p w14:paraId="728C0365" w14:textId="77777777" w:rsidR="001B0101" w:rsidRPr="00E76A09" w:rsidRDefault="001B0101" w:rsidP="004258E7">
      <w:pPr>
        <w:pStyle w:val="paragraph"/>
        <w:spacing w:before="0" w:beforeAutospacing="0" w:after="0" w:afterAutospacing="0"/>
        <w:textAlignment w:val="baseline"/>
        <w:rPr>
          <w:rFonts w:ascii="Segoe UI" w:hAnsi="Segoe UI" w:cs="Segoe UI"/>
          <w:sz w:val="18"/>
          <w:szCs w:val="18"/>
        </w:rPr>
      </w:pPr>
      <w:r w:rsidRPr="00E76A09">
        <w:rPr>
          <w:rStyle w:val="normaltextrun"/>
          <w:rFonts w:ascii="Calibri" w:hAnsi="Calibri" w:cs="Calibri"/>
          <w:sz w:val="22"/>
          <w:szCs w:val="22"/>
        </w:rPr>
        <w:t>AIM4Forests currently fills a critical gap within IFU programming to support MRV and NFMS, the only programme that is uniquely positioned to do this. This programme not only accelerates REDD+ results-based finance from public and private sources but also provides mechanisms for strengthening forest monitoring for wider institutional benefits. Addressing the critical funding needs and extending the term of the programme, ensures that this work can continue and that AIM4Forests continues to address the growing need for robust MRV systems and NFMS. </w:t>
      </w:r>
      <w:r w:rsidRPr="00E76A09">
        <w:rPr>
          <w:rStyle w:val="eop"/>
          <w:rFonts w:ascii="Calibri" w:hAnsi="Calibri" w:cs="Calibri"/>
          <w:sz w:val="22"/>
          <w:szCs w:val="22"/>
        </w:rPr>
        <w:t> </w:t>
      </w:r>
    </w:p>
    <w:p w14:paraId="2AD58C52" w14:textId="77777777" w:rsidR="001B0101" w:rsidRPr="00E76A09" w:rsidRDefault="001B0101" w:rsidP="004258E7">
      <w:pPr>
        <w:pStyle w:val="paragraph"/>
        <w:spacing w:before="0" w:beforeAutospacing="0" w:after="0" w:afterAutospacing="0"/>
        <w:textAlignment w:val="baseline"/>
        <w:rPr>
          <w:rFonts w:ascii="Segoe UI" w:hAnsi="Segoe UI" w:cs="Segoe UI"/>
          <w:sz w:val="18"/>
          <w:szCs w:val="18"/>
        </w:rPr>
      </w:pPr>
    </w:p>
    <w:p w14:paraId="03A03DB1" w14:textId="50860CE8" w:rsidR="001B0101" w:rsidRPr="00E76A09" w:rsidRDefault="001B0101" w:rsidP="57AB4C69">
      <w:pPr>
        <w:pStyle w:val="paragraph"/>
        <w:spacing w:before="0" w:beforeAutospacing="0" w:after="0" w:afterAutospacing="0"/>
        <w:textAlignment w:val="baseline"/>
        <w:rPr>
          <w:rFonts w:ascii="Segoe UI" w:hAnsi="Segoe UI" w:cs="Segoe UI"/>
          <w:sz w:val="18"/>
          <w:szCs w:val="18"/>
        </w:rPr>
      </w:pPr>
      <w:r w:rsidRPr="57AB4C69">
        <w:rPr>
          <w:rStyle w:val="normaltextrun"/>
          <w:rFonts w:ascii="Calibri" w:hAnsi="Calibri" w:cs="Calibri"/>
          <w:sz w:val="22"/>
          <w:szCs w:val="22"/>
        </w:rPr>
        <w:t>There is high potential for secondary benefits and opportunities from MRV initiatives, such as supporting UK academia, space sector, industry and innovation. The programme routinely looks for opportunities to work with UK-based organisations</w:t>
      </w:r>
      <w:r w:rsidR="001658B3" w:rsidRPr="57AB4C69">
        <w:rPr>
          <w:rStyle w:val="normaltextrun"/>
          <w:rFonts w:ascii="Calibri" w:hAnsi="Calibri" w:cs="Calibri"/>
          <w:sz w:val="22"/>
          <w:szCs w:val="22"/>
        </w:rPr>
        <w:t>, where they are best placed to support with programme objectives</w:t>
      </w:r>
      <w:r w:rsidRPr="57AB4C69">
        <w:rPr>
          <w:rStyle w:val="normaltextrun"/>
          <w:rFonts w:ascii="Calibri" w:hAnsi="Calibri" w:cs="Calibri"/>
          <w:sz w:val="22"/>
          <w:szCs w:val="22"/>
        </w:rPr>
        <w:t>. For example, this has included close engagement with the UK Centre for Ecology and Hydrology (UKCEH) who are largely implementing work focused on building peat-emit a database on peatland emission factors. The programme has also collaborated with several UK universities, including Oxford University’s Change Institute, the University of Nottingham, the University of Leeds, the University of Sheffield and University College London.   </w:t>
      </w:r>
      <w:r w:rsidRPr="57AB4C69">
        <w:rPr>
          <w:rStyle w:val="eop"/>
          <w:rFonts w:ascii="Calibri" w:hAnsi="Calibri" w:cs="Calibri"/>
          <w:sz w:val="22"/>
          <w:szCs w:val="22"/>
        </w:rPr>
        <w:t> </w:t>
      </w:r>
    </w:p>
    <w:p w14:paraId="356B4FBF" w14:textId="77777777" w:rsidR="001B0101" w:rsidRPr="00E76A09" w:rsidRDefault="001B0101" w:rsidP="001B0101">
      <w:pPr>
        <w:pStyle w:val="paragraph"/>
        <w:spacing w:before="0" w:beforeAutospacing="0" w:after="0" w:afterAutospacing="0"/>
        <w:textAlignment w:val="baseline"/>
        <w:rPr>
          <w:rFonts w:ascii="Segoe UI" w:hAnsi="Segoe UI" w:cs="Segoe UI"/>
          <w:sz w:val="18"/>
          <w:szCs w:val="18"/>
        </w:rPr>
      </w:pPr>
      <w:r w:rsidRPr="00E76A09">
        <w:rPr>
          <w:rStyle w:val="eop"/>
          <w:rFonts w:ascii="Calibri" w:hAnsi="Calibri" w:cs="Calibri"/>
          <w:sz w:val="22"/>
          <w:szCs w:val="22"/>
        </w:rPr>
        <w:t> </w:t>
      </w:r>
    </w:p>
    <w:p w14:paraId="42686841" w14:textId="4AB0C93B" w:rsidR="00D72FCF" w:rsidRPr="00E76A09" w:rsidRDefault="000A739B" w:rsidP="004258E7">
      <w:pPr>
        <w:pStyle w:val="Style1"/>
        <w:numPr>
          <w:ilvl w:val="0"/>
          <w:numId w:val="0"/>
        </w:numPr>
        <w:rPr>
          <w:rFonts w:cstheme="minorHAnsi"/>
          <w:i w:val="0"/>
        </w:rPr>
      </w:pPr>
      <w:r w:rsidRPr="00E76A09">
        <w:rPr>
          <w:rFonts w:cstheme="minorHAnsi"/>
          <w:i w:val="0"/>
        </w:rPr>
        <w:t xml:space="preserve">1.4.2 </w:t>
      </w:r>
      <w:r w:rsidR="001B0101" w:rsidRPr="00E76A09">
        <w:rPr>
          <w:rFonts w:cstheme="minorHAnsi"/>
          <w:i w:val="0"/>
        </w:rPr>
        <w:t xml:space="preserve">International considerations </w:t>
      </w:r>
    </w:p>
    <w:p w14:paraId="293248F3" w14:textId="400DF419" w:rsidR="009F467A" w:rsidRPr="00E76A09" w:rsidRDefault="009F467A" w:rsidP="004258E7">
      <w:pPr>
        <w:pStyle w:val="Style2"/>
        <w:ind w:left="0"/>
        <w:rPr>
          <w:rStyle w:val="eop"/>
          <w:rFonts w:asciiTheme="minorHAnsi" w:hAnsiTheme="minorHAnsi" w:cstheme="minorHAnsi"/>
          <w:color w:val="000000"/>
        </w:rPr>
      </w:pPr>
      <w:r w:rsidRPr="00E76A09">
        <w:rPr>
          <w:rStyle w:val="normaltextrun"/>
          <w:rFonts w:asciiTheme="minorHAnsi" w:hAnsiTheme="minorHAnsi" w:cstheme="minorHAnsi"/>
          <w:color w:val="000000"/>
        </w:rPr>
        <w:t xml:space="preserve">AIM4Forests creates linkages with other key climate initiatives and UK-funded/supported programmes, through the provision of </w:t>
      </w:r>
      <w:r w:rsidR="00B027AD" w:rsidRPr="00E76A09">
        <w:rPr>
          <w:rStyle w:val="normaltextrun"/>
          <w:rFonts w:asciiTheme="minorHAnsi" w:hAnsiTheme="minorHAnsi" w:cstheme="minorHAnsi"/>
          <w:color w:val="000000"/>
        </w:rPr>
        <w:t>forest monitoring and MRV support</w:t>
      </w:r>
      <w:r w:rsidRPr="00E76A09">
        <w:rPr>
          <w:rStyle w:val="normaltextrun"/>
          <w:rFonts w:asciiTheme="minorHAnsi" w:hAnsiTheme="minorHAnsi" w:cstheme="minorHAnsi"/>
          <w:color w:val="000000"/>
        </w:rPr>
        <w:t xml:space="preserve">. For example, AIM4Forests provides </w:t>
      </w:r>
      <w:r w:rsidR="00B027AD" w:rsidRPr="00E76A09">
        <w:rPr>
          <w:rStyle w:val="normaltextrun"/>
          <w:rFonts w:asciiTheme="minorHAnsi" w:hAnsiTheme="minorHAnsi" w:cstheme="minorHAnsi"/>
          <w:color w:val="000000"/>
        </w:rPr>
        <w:t>support</w:t>
      </w:r>
      <w:r w:rsidRPr="00E76A09">
        <w:rPr>
          <w:rStyle w:val="normaltextrun"/>
          <w:rFonts w:asciiTheme="minorHAnsi" w:hAnsiTheme="minorHAnsi" w:cstheme="minorHAnsi"/>
          <w:color w:val="000000"/>
        </w:rPr>
        <w:t xml:space="preserve"> for: </w:t>
      </w:r>
      <w:r w:rsidRPr="00E76A09">
        <w:rPr>
          <w:rStyle w:val="eop"/>
          <w:rFonts w:asciiTheme="minorHAnsi" w:hAnsiTheme="minorHAnsi" w:cstheme="minorHAnsi"/>
          <w:color w:val="000000"/>
        </w:rPr>
        <w:t> </w:t>
      </w:r>
    </w:p>
    <w:p w14:paraId="47A75FA6" w14:textId="437DF64A" w:rsidR="009F467A" w:rsidRPr="00E76A09" w:rsidRDefault="009F467A" w:rsidP="005F1FB6">
      <w:pPr>
        <w:pStyle w:val="Style2"/>
        <w:numPr>
          <w:ilvl w:val="0"/>
          <w:numId w:val="85"/>
        </w:numPr>
        <w:rPr>
          <w:rStyle w:val="eop"/>
          <w:rFonts w:asciiTheme="minorHAnsi" w:hAnsiTheme="minorHAnsi" w:cstheme="minorHAnsi"/>
          <w:sz w:val="18"/>
          <w:szCs w:val="18"/>
        </w:rPr>
      </w:pPr>
      <w:r w:rsidRPr="00E76A09">
        <w:rPr>
          <w:rStyle w:val="normaltextrun"/>
          <w:rFonts w:asciiTheme="minorHAnsi" w:hAnsiTheme="minorHAnsi" w:cstheme="minorHAnsi"/>
          <w:color w:val="000000" w:themeColor="text1"/>
        </w:rPr>
        <w:t>REDD+</w:t>
      </w:r>
      <w:r w:rsidR="00B027AD" w:rsidRPr="00E76A09">
        <w:rPr>
          <w:rStyle w:val="normaltextrun"/>
          <w:rFonts w:asciiTheme="minorHAnsi" w:hAnsiTheme="minorHAnsi" w:cstheme="minorHAnsi"/>
          <w:color w:val="000000" w:themeColor="text1"/>
        </w:rPr>
        <w:t xml:space="preserve"> MRV</w:t>
      </w:r>
      <w:r w:rsidRPr="00E76A09">
        <w:rPr>
          <w:rStyle w:val="normaltextrun"/>
          <w:rFonts w:asciiTheme="minorHAnsi" w:hAnsiTheme="minorHAnsi" w:cstheme="minorHAnsi"/>
          <w:color w:val="000000" w:themeColor="text1"/>
        </w:rPr>
        <w:t>/UNFCCC reporting</w:t>
      </w:r>
    </w:p>
    <w:p w14:paraId="105079DF" w14:textId="3E572F2E" w:rsidR="009F467A" w:rsidRPr="00E76A09" w:rsidRDefault="00B027AD" w:rsidP="005F1FB6">
      <w:pPr>
        <w:pStyle w:val="Style2"/>
        <w:numPr>
          <w:ilvl w:val="0"/>
          <w:numId w:val="85"/>
        </w:numPr>
        <w:rPr>
          <w:rStyle w:val="eop"/>
          <w:rFonts w:asciiTheme="minorHAnsi" w:hAnsiTheme="minorHAnsi" w:cstheme="minorHAnsi"/>
          <w:sz w:val="18"/>
          <w:szCs w:val="18"/>
        </w:rPr>
      </w:pPr>
      <w:r w:rsidRPr="00E76A09">
        <w:rPr>
          <w:rStyle w:val="normaltextrun"/>
          <w:rFonts w:asciiTheme="minorHAnsi" w:hAnsiTheme="minorHAnsi" w:cstheme="minorHAnsi"/>
          <w:color w:val="000000" w:themeColor="text1"/>
        </w:rPr>
        <w:t>MRV for other f</w:t>
      </w:r>
      <w:r w:rsidR="009F467A" w:rsidRPr="00E76A09">
        <w:rPr>
          <w:rStyle w:val="normaltextrun"/>
          <w:rFonts w:asciiTheme="minorHAnsi" w:hAnsiTheme="minorHAnsi" w:cstheme="minorHAnsi"/>
          <w:color w:val="000000" w:themeColor="text1"/>
        </w:rPr>
        <w:t>orest carbon market opportunities including Article 6 of the Paris Agreement </w:t>
      </w:r>
      <w:r w:rsidR="009F467A" w:rsidRPr="00E76A09">
        <w:rPr>
          <w:rStyle w:val="eop"/>
          <w:rFonts w:asciiTheme="minorHAnsi" w:hAnsiTheme="minorHAnsi" w:cstheme="minorHAnsi"/>
          <w:color w:val="000000" w:themeColor="text1"/>
        </w:rPr>
        <w:t> </w:t>
      </w:r>
    </w:p>
    <w:p w14:paraId="6DF46F0C" w14:textId="77777777" w:rsidR="009F467A" w:rsidRPr="00E76A09" w:rsidRDefault="009F467A" w:rsidP="005F1FB6">
      <w:pPr>
        <w:pStyle w:val="Style2"/>
        <w:numPr>
          <w:ilvl w:val="0"/>
          <w:numId w:val="85"/>
        </w:numPr>
        <w:rPr>
          <w:rStyle w:val="eop"/>
          <w:rFonts w:asciiTheme="minorHAnsi" w:hAnsiTheme="minorHAnsi" w:cstheme="minorHAnsi"/>
          <w:sz w:val="18"/>
          <w:szCs w:val="18"/>
        </w:rPr>
      </w:pPr>
      <w:r w:rsidRPr="00E76A09">
        <w:rPr>
          <w:rStyle w:val="normaltextrun"/>
          <w:rFonts w:asciiTheme="minorHAnsi" w:hAnsiTheme="minorHAnsi" w:cstheme="minorHAnsi"/>
          <w:color w:val="000000" w:themeColor="text1"/>
        </w:rPr>
        <w:t>Forest monitoring for nature restoration under the KMGBF; and</w:t>
      </w:r>
      <w:r w:rsidRPr="00E76A09">
        <w:rPr>
          <w:rStyle w:val="eop"/>
          <w:rFonts w:asciiTheme="minorHAnsi" w:hAnsiTheme="minorHAnsi" w:cstheme="minorHAnsi"/>
          <w:color w:val="000000" w:themeColor="text1"/>
        </w:rPr>
        <w:t> </w:t>
      </w:r>
    </w:p>
    <w:p w14:paraId="7CB2E21A" w14:textId="37C51B9F" w:rsidR="009F467A" w:rsidRPr="00E76A09" w:rsidRDefault="009F467A" w:rsidP="005F1FB6">
      <w:pPr>
        <w:pStyle w:val="Style2"/>
        <w:numPr>
          <w:ilvl w:val="0"/>
          <w:numId w:val="85"/>
        </w:numPr>
        <w:rPr>
          <w:rFonts w:asciiTheme="minorHAnsi" w:hAnsiTheme="minorHAnsi" w:cstheme="minorHAnsi"/>
          <w:sz w:val="18"/>
          <w:szCs w:val="18"/>
        </w:rPr>
      </w:pPr>
      <w:r w:rsidRPr="00E76A09">
        <w:rPr>
          <w:rStyle w:val="normaltextrun"/>
          <w:rFonts w:asciiTheme="minorHAnsi" w:hAnsiTheme="minorHAnsi" w:cstheme="minorHAnsi"/>
          <w:color w:val="000000" w:themeColor="text1"/>
        </w:rPr>
        <w:t>Forest monitoring for sustainable commodity value chains. </w:t>
      </w:r>
      <w:r w:rsidRPr="00E76A09">
        <w:rPr>
          <w:rStyle w:val="eop"/>
          <w:rFonts w:asciiTheme="minorHAnsi" w:hAnsiTheme="minorHAnsi" w:cstheme="minorHAnsi"/>
          <w:color w:val="000000" w:themeColor="text1"/>
        </w:rPr>
        <w:t> </w:t>
      </w:r>
    </w:p>
    <w:p w14:paraId="16C1CB00" w14:textId="0D4F0241" w:rsidR="009F467A" w:rsidRPr="00E76A09" w:rsidRDefault="7DE96CF7" w:rsidP="004258E7">
      <w:pPr>
        <w:pStyle w:val="paragraph"/>
        <w:spacing w:before="240" w:beforeAutospacing="0" w:after="0" w:afterAutospacing="0"/>
        <w:textAlignment w:val="baseline"/>
        <w:rPr>
          <w:rFonts w:asciiTheme="minorHAnsi" w:hAnsiTheme="minorHAnsi" w:cstheme="minorHAnsi"/>
          <w:sz w:val="18"/>
          <w:szCs w:val="18"/>
        </w:rPr>
      </w:pPr>
      <w:r w:rsidRPr="00E76A09">
        <w:rPr>
          <w:rStyle w:val="normaltextrun"/>
          <w:rFonts w:asciiTheme="minorHAnsi" w:hAnsiTheme="minorHAnsi" w:cstheme="minorBidi"/>
          <w:color w:val="000000" w:themeColor="text1"/>
          <w:sz w:val="22"/>
          <w:szCs w:val="22"/>
        </w:rPr>
        <w:t xml:space="preserve">This support can be tailored and adapted depending on a country’s needs. </w:t>
      </w:r>
      <w:r w:rsidR="23883347" w:rsidRPr="00E76A09">
        <w:rPr>
          <w:rStyle w:val="normaltextrun"/>
          <w:rFonts w:asciiTheme="minorHAnsi" w:hAnsiTheme="minorHAnsi" w:cstheme="minorBidi"/>
          <w:color w:val="000000" w:themeColor="text1"/>
          <w:sz w:val="22"/>
          <w:szCs w:val="22"/>
        </w:rPr>
        <w:t>Conclusion 2 of the mid-term review found that the demand-driven implement approach of AIM4F</w:t>
      </w:r>
      <w:r w:rsidR="3B3B9EDF" w:rsidRPr="00E76A09">
        <w:rPr>
          <w:rStyle w:val="normaltextrun"/>
          <w:rFonts w:asciiTheme="minorHAnsi" w:hAnsiTheme="minorHAnsi" w:cstheme="minorBidi"/>
          <w:color w:val="000000" w:themeColor="text1"/>
          <w:sz w:val="22"/>
          <w:szCs w:val="22"/>
        </w:rPr>
        <w:t>o</w:t>
      </w:r>
      <w:r w:rsidR="23883347" w:rsidRPr="00E76A09">
        <w:rPr>
          <w:rStyle w:val="normaltextrun"/>
          <w:rFonts w:asciiTheme="minorHAnsi" w:hAnsiTheme="minorHAnsi" w:cstheme="minorBidi"/>
          <w:color w:val="000000" w:themeColor="text1"/>
          <w:sz w:val="22"/>
          <w:szCs w:val="22"/>
        </w:rPr>
        <w:t>rests, responding to global developments and country demands ha</w:t>
      </w:r>
      <w:r w:rsidR="3A81C753" w:rsidRPr="00E76A09">
        <w:rPr>
          <w:rStyle w:val="normaltextrun"/>
          <w:rFonts w:asciiTheme="minorHAnsi" w:hAnsiTheme="minorHAnsi" w:cstheme="minorBidi"/>
          <w:color w:val="000000" w:themeColor="text1"/>
          <w:sz w:val="22"/>
          <w:szCs w:val="22"/>
        </w:rPr>
        <w:t>s further enhanced the programme's relevance in different contexts.</w:t>
      </w:r>
      <w:r w:rsidR="009F467A" w:rsidRPr="00E76A09">
        <w:rPr>
          <w:rStyle w:val="FootnoteReference"/>
          <w:rFonts w:asciiTheme="minorHAnsi" w:hAnsiTheme="minorHAnsi" w:cstheme="minorBidi"/>
          <w:color w:val="000000" w:themeColor="text1"/>
          <w:sz w:val="22"/>
          <w:szCs w:val="22"/>
        </w:rPr>
        <w:footnoteReference w:id="24"/>
      </w:r>
      <w:r w:rsidR="3A81C753" w:rsidRPr="00E76A09">
        <w:rPr>
          <w:rStyle w:val="normaltextrun"/>
          <w:rFonts w:asciiTheme="minorHAnsi" w:hAnsiTheme="minorHAnsi" w:cstheme="minorBidi"/>
          <w:color w:val="000000" w:themeColor="text1"/>
          <w:sz w:val="22"/>
          <w:szCs w:val="22"/>
        </w:rPr>
        <w:t xml:space="preserve"> </w:t>
      </w:r>
      <w:r w:rsidRPr="00E76A09">
        <w:rPr>
          <w:rStyle w:val="normaltextrun"/>
          <w:rFonts w:asciiTheme="minorHAnsi" w:hAnsiTheme="minorHAnsi" w:cstheme="minorBidi"/>
          <w:color w:val="000000" w:themeColor="text1"/>
          <w:sz w:val="22"/>
          <w:szCs w:val="22"/>
        </w:rPr>
        <w:t>Further funding for the programme will ensure that the support provided continues to be flexible, responsive, and impactful on a larger scale. </w:t>
      </w:r>
      <w:r w:rsidRPr="00E76A09">
        <w:rPr>
          <w:rStyle w:val="eop"/>
          <w:rFonts w:asciiTheme="minorHAnsi" w:hAnsiTheme="minorHAnsi" w:cstheme="minorBidi"/>
          <w:color w:val="000000" w:themeColor="text1"/>
          <w:sz w:val="22"/>
          <w:szCs w:val="22"/>
        </w:rPr>
        <w:t> </w:t>
      </w:r>
    </w:p>
    <w:p w14:paraId="3A69208F" w14:textId="77777777" w:rsidR="009F467A" w:rsidRPr="00E76A09" w:rsidRDefault="009F467A" w:rsidP="004258E7">
      <w:pPr>
        <w:pStyle w:val="paragraph"/>
        <w:spacing w:before="0" w:beforeAutospacing="0" w:after="0" w:afterAutospacing="0"/>
        <w:textAlignment w:val="baseline"/>
        <w:rPr>
          <w:rFonts w:asciiTheme="minorHAnsi" w:hAnsiTheme="minorHAnsi" w:cstheme="minorHAnsi"/>
          <w:sz w:val="18"/>
          <w:szCs w:val="18"/>
        </w:rPr>
      </w:pPr>
    </w:p>
    <w:p w14:paraId="69B00E40" w14:textId="2A6FF3E3" w:rsidR="009F467A" w:rsidRPr="00E76A09" w:rsidRDefault="009F467A" w:rsidP="57AB4C69">
      <w:pPr>
        <w:pStyle w:val="paragraph"/>
        <w:spacing w:before="0" w:beforeAutospacing="0" w:after="0" w:afterAutospacing="0"/>
        <w:textAlignment w:val="baseline"/>
        <w:rPr>
          <w:rFonts w:asciiTheme="minorHAnsi" w:eastAsiaTheme="minorEastAsia" w:hAnsiTheme="minorHAnsi" w:cstheme="minorBidi"/>
          <w:sz w:val="22"/>
          <w:szCs w:val="22"/>
        </w:rPr>
      </w:pPr>
      <w:r w:rsidRPr="57AB4C69">
        <w:rPr>
          <w:rStyle w:val="normaltextrun"/>
          <w:rFonts w:asciiTheme="minorHAnsi" w:eastAsiaTheme="minorEastAsia" w:hAnsiTheme="minorHAnsi" w:cstheme="minorBidi"/>
          <w:color w:val="000000" w:themeColor="text1"/>
          <w:sz w:val="22"/>
          <w:szCs w:val="22"/>
        </w:rPr>
        <w:t xml:space="preserve">Working across each of these programmes to identify key gaps and opportunities for AIM4Forests to provide further support ensures any donor funding has maximum impact while avoiding duplications.  For example, the World Bank’s Scaling Climate Action by Lowering Emissions (SCALE) Partnership, is a multi-donor fund (of which the UK is the anchor donor) that seeks to catalyse transformative climate action by combining readiness support with Results-Based Finance, helping to bridge the financial gap by supporting countries to access international carbon markets. Many SCALE countries will need MRV support to deliver their full programme outcomes. There </w:t>
      </w:r>
      <w:r w:rsidR="00A73028" w:rsidRPr="57AB4C69">
        <w:rPr>
          <w:rStyle w:val="normaltextrun"/>
          <w:rFonts w:asciiTheme="minorHAnsi" w:eastAsiaTheme="minorEastAsia" w:hAnsiTheme="minorHAnsi" w:cstheme="minorBidi"/>
          <w:color w:val="000000" w:themeColor="text1"/>
          <w:sz w:val="22"/>
          <w:szCs w:val="22"/>
        </w:rPr>
        <w:t xml:space="preserve">is </w:t>
      </w:r>
      <w:r w:rsidRPr="57AB4C69">
        <w:rPr>
          <w:rStyle w:val="normaltextrun"/>
          <w:rFonts w:asciiTheme="minorHAnsi" w:eastAsiaTheme="minorEastAsia" w:hAnsiTheme="minorHAnsi" w:cstheme="minorBidi"/>
          <w:color w:val="000000" w:themeColor="text1"/>
          <w:sz w:val="22"/>
          <w:szCs w:val="22"/>
        </w:rPr>
        <w:t xml:space="preserve">already some </w:t>
      </w:r>
      <w:r w:rsidR="00546BAC" w:rsidRPr="57AB4C69">
        <w:rPr>
          <w:rStyle w:val="normaltextrun"/>
          <w:rFonts w:asciiTheme="minorHAnsi" w:eastAsiaTheme="minorEastAsia" w:hAnsiTheme="minorHAnsi" w:cstheme="minorBidi"/>
          <w:color w:val="000000" w:themeColor="text1"/>
          <w:sz w:val="22"/>
          <w:szCs w:val="22"/>
        </w:rPr>
        <w:t>alignment</w:t>
      </w:r>
      <w:r w:rsidR="00A73028" w:rsidRPr="57AB4C69">
        <w:rPr>
          <w:rStyle w:val="normaltextrun"/>
          <w:rFonts w:asciiTheme="minorHAnsi" w:eastAsiaTheme="minorEastAsia" w:hAnsiTheme="minorHAnsi" w:cstheme="minorBidi"/>
          <w:color w:val="000000" w:themeColor="text1"/>
          <w:sz w:val="22"/>
          <w:szCs w:val="22"/>
        </w:rPr>
        <w:t xml:space="preserve"> </w:t>
      </w:r>
      <w:r w:rsidRPr="57AB4C69">
        <w:rPr>
          <w:rStyle w:val="normaltextrun"/>
          <w:rFonts w:asciiTheme="minorHAnsi" w:eastAsiaTheme="minorEastAsia" w:hAnsiTheme="minorHAnsi" w:cstheme="minorBidi"/>
          <w:color w:val="000000" w:themeColor="text1"/>
          <w:sz w:val="22"/>
          <w:szCs w:val="22"/>
        </w:rPr>
        <w:t>between AIM4Forests countries and countries being considered for SCALE, and work has been undertaken to ensure that the programmes are complementary rather than duplicative. Indeed, we may find that it is beneficial to expand AIM4Forests to new SCALE countries where there are critical MRV gaps. Ensuring continued coordination between these two programmes may create opportunities for both programmes to amplify the work of the other. DESNZ will ensure that AIM4Forests programme management continues to coordinate with SCALE in the future, ensuring the most efficient use of UK ODA. </w:t>
      </w:r>
      <w:r w:rsidRPr="57AB4C69">
        <w:rPr>
          <w:rStyle w:val="eop"/>
          <w:rFonts w:asciiTheme="minorHAnsi" w:eastAsiaTheme="minorEastAsia" w:hAnsiTheme="minorHAnsi" w:cstheme="minorBidi"/>
          <w:color w:val="000000" w:themeColor="text1"/>
          <w:sz w:val="22"/>
          <w:szCs w:val="22"/>
        </w:rPr>
        <w:t> </w:t>
      </w:r>
    </w:p>
    <w:p w14:paraId="221FA7FC" w14:textId="77777777" w:rsidR="009F467A" w:rsidRPr="00E76A09" w:rsidRDefault="009F467A" w:rsidP="004258E7">
      <w:pPr>
        <w:pStyle w:val="paragraph"/>
        <w:spacing w:before="0" w:beforeAutospacing="0" w:after="0" w:afterAutospacing="0"/>
        <w:textAlignment w:val="baseline"/>
        <w:rPr>
          <w:rFonts w:ascii="Segoe UI" w:hAnsi="Segoe UI" w:cs="Segoe UI"/>
          <w:sz w:val="18"/>
          <w:szCs w:val="18"/>
        </w:rPr>
      </w:pPr>
      <w:r w:rsidRPr="00E76A09">
        <w:rPr>
          <w:rStyle w:val="eop"/>
          <w:rFonts w:ascii="Aptos" w:hAnsi="Aptos" w:cs="Segoe UI"/>
          <w:color w:val="000000"/>
          <w:sz w:val="22"/>
          <w:szCs w:val="22"/>
        </w:rPr>
        <w:t> </w:t>
      </w:r>
    </w:p>
    <w:p w14:paraId="5B6B283A" w14:textId="15D6BF48" w:rsidR="001B0101" w:rsidRPr="00E76A09" w:rsidRDefault="009F467A" w:rsidP="57AB4C69">
      <w:pPr>
        <w:pStyle w:val="Style1"/>
        <w:numPr>
          <w:ilvl w:val="0"/>
          <w:numId w:val="0"/>
        </w:numPr>
        <w:rPr>
          <w:b w:val="0"/>
          <w:bCs w:val="0"/>
          <w:i w:val="0"/>
          <w:iCs w:val="0"/>
        </w:rPr>
      </w:pPr>
      <w:r w:rsidRPr="57AB4C69">
        <w:rPr>
          <w:b w:val="0"/>
          <w:bCs w:val="0"/>
          <w:i w:val="0"/>
          <w:iCs w:val="0"/>
        </w:rPr>
        <w:t>As set above, AIM4Forests can also support countries towards different climate finance opportunities</w:t>
      </w:r>
      <w:r w:rsidR="00977D8E" w:rsidRPr="57AB4C69">
        <w:rPr>
          <w:b w:val="0"/>
          <w:bCs w:val="0"/>
          <w:i w:val="0"/>
          <w:iCs w:val="0"/>
        </w:rPr>
        <w:t>, depending on country needs and priorities. This could include participation in the TFFF or Article 6.2 of the Paris Agreement</w:t>
      </w:r>
      <w:r w:rsidR="00A6007E" w:rsidRPr="57AB4C69">
        <w:rPr>
          <w:b w:val="0"/>
          <w:bCs w:val="0"/>
          <w:i w:val="0"/>
          <w:iCs w:val="0"/>
        </w:rPr>
        <w:t xml:space="preserve"> (relating to trade in carbon credits)</w:t>
      </w:r>
      <w:r w:rsidR="00977D8E" w:rsidRPr="57AB4C69">
        <w:rPr>
          <w:b w:val="0"/>
          <w:bCs w:val="0"/>
          <w:i w:val="0"/>
          <w:iCs w:val="0"/>
        </w:rPr>
        <w:t xml:space="preserve">. </w:t>
      </w:r>
      <w:r w:rsidR="00D86180" w:rsidRPr="57AB4C69">
        <w:rPr>
          <w:b w:val="0"/>
          <w:bCs w:val="0"/>
          <w:i w:val="0"/>
          <w:iCs w:val="0"/>
        </w:rPr>
        <w:t xml:space="preserve">For example, supporting countries for their Article 6.2 initial reports, updating of NDCs, and the development of relevant national MRV processes. In parallel, AIM4Forests will continue </w:t>
      </w:r>
      <w:r w:rsidR="00D86180" w:rsidRPr="57AB4C69">
        <w:rPr>
          <w:b w:val="0"/>
          <w:bCs w:val="0"/>
          <w:i w:val="0"/>
          <w:iCs w:val="0"/>
        </w:rPr>
        <w:lastRenderedPageBreak/>
        <w:t xml:space="preserve">supporting countries in their efforts to access the Green Climate Fund, voluntary carbon markets, or to participate in the </w:t>
      </w:r>
      <w:r w:rsidR="00F32B21" w:rsidRPr="57AB4C69">
        <w:rPr>
          <w:b w:val="0"/>
          <w:bCs w:val="0"/>
          <w:i w:val="0"/>
          <w:iCs w:val="0"/>
        </w:rPr>
        <w:t xml:space="preserve">UNFCCC </w:t>
      </w:r>
      <w:r w:rsidR="00D86180" w:rsidRPr="57AB4C69">
        <w:rPr>
          <w:b w:val="0"/>
          <w:bCs w:val="0"/>
          <w:i w:val="0"/>
          <w:iCs w:val="0"/>
        </w:rPr>
        <w:t>Enhanced Transparency Framework, even without directly targeting climate finance. </w:t>
      </w:r>
    </w:p>
    <w:p w14:paraId="201237DD" w14:textId="76E3F743" w:rsidR="00D72FCF" w:rsidRPr="00E76A09" w:rsidRDefault="00ED7FE6" w:rsidP="004258E7">
      <w:pPr>
        <w:pStyle w:val="Style1"/>
        <w:ind w:left="426" w:hanging="425"/>
        <w:rPr>
          <w:sz w:val="24"/>
          <w:szCs w:val="24"/>
        </w:rPr>
      </w:pPr>
      <w:r w:rsidRPr="00E76A09">
        <w:rPr>
          <w:sz w:val="24"/>
          <w:szCs w:val="24"/>
        </w:rPr>
        <w:t xml:space="preserve">Aims and outcomes </w:t>
      </w:r>
    </w:p>
    <w:p w14:paraId="5F3E5F89" w14:textId="64AF8C0A" w:rsidR="00ED7FE6" w:rsidRPr="00E76A09" w:rsidRDefault="000A739B" w:rsidP="004258E7">
      <w:pPr>
        <w:pStyle w:val="Style1"/>
        <w:numPr>
          <w:ilvl w:val="0"/>
          <w:numId w:val="0"/>
        </w:numPr>
        <w:rPr>
          <w:i w:val="0"/>
          <w:iCs w:val="0"/>
        </w:rPr>
      </w:pPr>
      <w:r w:rsidRPr="00E76A09">
        <w:rPr>
          <w:i w:val="0"/>
          <w:iCs w:val="0"/>
        </w:rPr>
        <w:t xml:space="preserve">1.5.1 </w:t>
      </w:r>
      <w:r w:rsidR="00ED7FE6" w:rsidRPr="00E76A09">
        <w:rPr>
          <w:i w:val="0"/>
          <w:iCs w:val="0"/>
        </w:rPr>
        <w:t xml:space="preserve">Scope </w:t>
      </w:r>
    </w:p>
    <w:p w14:paraId="5C72467A" w14:textId="6BA72CFD" w:rsidR="00524DB8" w:rsidRPr="00E76A09" w:rsidRDefault="00BC59D8" w:rsidP="004258E7">
      <w:pPr>
        <w:pStyle w:val="Style2"/>
        <w:ind w:left="0"/>
        <w:rPr>
          <w:rStyle w:val="eop"/>
        </w:rPr>
      </w:pPr>
      <w:r w:rsidRPr="00E76A09">
        <w:rPr>
          <w:rStyle w:val="normaltextrun"/>
        </w:rPr>
        <w:t>The UK’s investment will be used to ensure the programme can continue to provide in-country support to strengthen and institutionalise MRV and NFMS, strengthen and operationalise forest monitoring solutions to address unsustainable commodity production, and ensure countries have capacity to meet national and international reporting obligations through to 2030. </w:t>
      </w:r>
      <w:r w:rsidRPr="00E76A09">
        <w:rPr>
          <w:rStyle w:val="eop"/>
        </w:rPr>
        <w:t> </w:t>
      </w:r>
    </w:p>
    <w:p w14:paraId="01DF7877" w14:textId="77777777" w:rsidR="001A58BD" w:rsidRPr="00E76A09" w:rsidRDefault="001A58BD" w:rsidP="004258E7">
      <w:pPr>
        <w:pStyle w:val="Style2"/>
        <w:ind w:left="0"/>
        <w:rPr>
          <w:rStyle w:val="eop"/>
        </w:rPr>
      </w:pPr>
    </w:p>
    <w:p w14:paraId="44F4629D" w14:textId="6B18C754" w:rsidR="00524DB8" w:rsidRPr="00E76A09" w:rsidRDefault="00BC59D8" w:rsidP="004258E7">
      <w:pPr>
        <w:pStyle w:val="Style2"/>
        <w:ind w:left="0"/>
        <w:rPr>
          <w:rStyle w:val="eop"/>
        </w:rPr>
      </w:pPr>
      <w:r w:rsidRPr="00E76A09">
        <w:rPr>
          <w:rStyle w:val="normaltextrun"/>
        </w:rPr>
        <w:t>The geographic scope of this funding is global, but jurisdictions must be ODA-eligible. AIM4Forests is already working in 19 countries and any additional countries added to the programme will be made by the AIM4Forests Steering Committee</w:t>
      </w:r>
      <w:r w:rsidR="0054016C" w:rsidRPr="00E76A09">
        <w:rPr>
          <w:rStyle w:val="normaltextrun"/>
        </w:rPr>
        <w:t xml:space="preserve"> (and AIM4Commodities Steering Committee where relevant)</w:t>
      </w:r>
      <w:r w:rsidRPr="00E76A09">
        <w:rPr>
          <w:rStyle w:val="normaltextrun"/>
        </w:rPr>
        <w:t xml:space="preserve">. We endeavour to focus support to those countries with limited existing focus/ coordination on </w:t>
      </w:r>
      <w:r w:rsidR="0054016C" w:rsidRPr="00E76A09">
        <w:rPr>
          <w:rStyle w:val="normaltextrun"/>
        </w:rPr>
        <w:t>forest monitoring</w:t>
      </w:r>
      <w:r w:rsidRPr="00E76A09">
        <w:rPr>
          <w:rStyle w:val="normaltextrun"/>
        </w:rPr>
        <w:t>, but that have the interest/ understanding needed to advance</w:t>
      </w:r>
      <w:r w:rsidR="0054016C" w:rsidRPr="00E76A09">
        <w:rPr>
          <w:rStyle w:val="normaltextrun"/>
        </w:rPr>
        <w:t xml:space="preserve"> and</w:t>
      </w:r>
      <w:r w:rsidRPr="00E76A09">
        <w:rPr>
          <w:rStyle w:val="normaltextrun"/>
        </w:rPr>
        <w:t xml:space="preserve"> implement activities. The activities of the programme will be determined by country selection, as the broader aim of the programme is to be country-led and demand driven.</w:t>
      </w:r>
      <w:r w:rsidR="0054016C" w:rsidRPr="00E76A09">
        <w:rPr>
          <w:rStyle w:val="normaltextrun"/>
        </w:rPr>
        <w:t xml:space="preserve"> </w:t>
      </w:r>
    </w:p>
    <w:p w14:paraId="212907BB" w14:textId="77777777" w:rsidR="000E1273" w:rsidRPr="00E76A09" w:rsidRDefault="000E1273" w:rsidP="004258E7">
      <w:pPr>
        <w:tabs>
          <w:tab w:val="right" w:leader="dot" w:pos="9710"/>
        </w:tabs>
        <w:spacing w:before="0" w:after="0" w:line="240" w:lineRule="auto"/>
        <w:rPr>
          <w:b/>
          <w:bCs/>
          <w:sz w:val="22"/>
          <w:szCs w:val="22"/>
        </w:rPr>
      </w:pPr>
    </w:p>
    <w:p w14:paraId="6FF884D7" w14:textId="00EE8B88" w:rsidR="0024312A" w:rsidRPr="00E76A09" w:rsidRDefault="000A739B" w:rsidP="004258E7">
      <w:pPr>
        <w:tabs>
          <w:tab w:val="right" w:leader="dot" w:pos="9710"/>
        </w:tabs>
        <w:spacing w:before="0" w:after="0" w:line="240" w:lineRule="auto"/>
        <w:rPr>
          <w:b/>
          <w:bCs/>
          <w:sz w:val="22"/>
          <w:szCs w:val="22"/>
        </w:rPr>
      </w:pPr>
      <w:r w:rsidRPr="00E76A09">
        <w:rPr>
          <w:b/>
          <w:bCs/>
          <w:sz w:val="22"/>
          <w:szCs w:val="22"/>
        </w:rPr>
        <w:t xml:space="preserve">1.5.2 </w:t>
      </w:r>
      <w:r w:rsidR="0024312A" w:rsidRPr="00E76A09">
        <w:rPr>
          <w:b/>
          <w:bCs/>
          <w:sz w:val="22"/>
          <w:szCs w:val="22"/>
        </w:rPr>
        <w:t>SMART Objectives</w:t>
      </w:r>
    </w:p>
    <w:p w14:paraId="6075E253" w14:textId="5F6EF087" w:rsidR="000162FA" w:rsidRPr="00E76A09" w:rsidRDefault="000162FA" w:rsidP="004258E7">
      <w:pPr>
        <w:tabs>
          <w:tab w:val="right" w:leader="dot" w:pos="9710"/>
        </w:tabs>
        <w:spacing w:after="0" w:line="240" w:lineRule="auto"/>
        <w:rPr>
          <w:sz w:val="22"/>
          <w:szCs w:val="22"/>
        </w:rPr>
      </w:pPr>
      <w:r w:rsidRPr="00E76A09">
        <w:rPr>
          <w:sz w:val="22"/>
          <w:szCs w:val="22"/>
        </w:rPr>
        <w:t xml:space="preserve">The funding set out in this business case has the following SMART objectives. Indicative targets have been set for some </w:t>
      </w:r>
      <w:r w:rsidR="005F4CB1" w:rsidRPr="00E76A09">
        <w:rPr>
          <w:sz w:val="22"/>
          <w:szCs w:val="22"/>
        </w:rPr>
        <w:t>indicators;</w:t>
      </w:r>
      <w:r w:rsidRPr="00E76A09">
        <w:rPr>
          <w:sz w:val="22"/>
          <w:szCs w:val="22"/>
        </w:rPr>
        <w:t xml:space="preserve"> others will be confirmed following further work to determine specific activities. The table at Figure 2 below sets out the 6 key objectives and how success could be measured.  </w:t>
      </w:r>
    </w:p>
    <w:p w14:paraId="059423DB" w14:textId="31578EE2" w:rsidR="000162FA" w:rsidRPr="00E76A09" w:rsidRDefault="002C05A5" w:rsidP="002C05A5">
      <w:pPr>
        <w:tabs>
          <w:tab w:val="right" w:leader="dot" w:pos="9710"/>
        </w:tabs>
        <w:spacing w:after="0" w:line="240" w:lineRule="auto"/>
        <w:rPr>
          <w:i/>
          <w:iCs/>
          <w:sz w:val="22"/>
          <w:szCs w:val="22"/>
        </w:rPr>
      </w:pPr>
      <w:r w:rsidRPr="00E76A09">
        <w:rPr>
          <w:i/>
          <w:iCs/>
          <w:sz w:val="22"/>
          <w:szCs w:val="22"/>
        </w:rPr>
        <w:t xml:space="preserve">Figure 2: Table of Strategic Fit SMART Objectives </w:t>
      </w:r>
    </w:p>
    <w:tbl>
      <w:tblPr>
        <w:tblW w:w="103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5655"/>
      </w:tblGrid>
      <w:tr w:rsidR="009B7E55" w:rsidRPr="00E76A09" w14:paraId="7E3A6105" w14:textId="77777777" w:rsidTr="57AB4C69">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D9E2F3"/>
            <w:hideMark/>
          </w:tcPr>
          <w:p w14:paraId="67BB7186" w14:textId="77777777" w:rsidR="009B7E55" w:rsidRPr="00E76A09" w:rsidRDefault="009B7E55" w:rsidP="009B7E55">
            <w:pPr>
              <w:tabs>
                <w:tab w:val="right" w:leader="dot" w:pos="9710"/>
              </w:tabs>
              <w:spacing w:before="0" w:after="0" w:line="240" w:lineRule="auto"/>
              <w:ind w:left="284"/>
              <w:rPr>
                <w:sz w:val="22"/>
                <w:szCs w:val="22"/>
              </w:rPr>
            </w:pPr>
            <w:r w:rsidRPr="00E76A09">
              <w:rPr>
                <w:b/>
                <w:bCs/>
                <w:sz w:val="22"/>
                <w:szCs w:val="22"/>
              </w:rPr>
              <w:t>Strategic Fit SMART Objective </w:t>
            </w:r>
            <w:r w:rsidRPr="00E76A09">
              <w:rPr>
                <w:sz w:val="22"/>
                <w:szCs w:val="22"/>
              </w:rPr>
              <w:t> </w:t>
            </w:r>
          </w:p>
        </w:tc>
        <w:tc>
          <w:tcPr>
            <w:tcW w:w="5655" w:type="dxa"/>
            <w:tcBorders>
              <w:top w:val="single" w:sz="6" w:space="0" w:color="auto"/>
              <w:left w:val="single" w:sz="6" w:space="0" w:color="auto"/>
              <w:bottom w:val="single" w:sz="6" w:space="0" w:color="auto"/>
              <w:right w:val="single" w:sz="6" w:space="0" w:color="auto"/>
            </w:tcBorders>
            <w:shd w:val="clear" w:color="auto" w:fill="D9E2F3"/>
            <w:hideMark/>
          </w:tcPr>
          <w:p w14:paraId="1CFF039D" w14:textId="6E63201C" w:rsidR="009B7E55" w:rsidRPr="00E76A09" w:rsidRDefault="009B7E55" w:rsidP="009B7E55">
            <w:pPr>
              <w:tabs>
                <w:tab w:val="right" w:leader="dot" w:pos="9710"/>
              </w:tabs>
              <w:spacing w:before="0" w:after="0" w:line="240" w:lineRule="auto"/>
              <w:ind w:left="284"/>
              <w:rPr>
                <w:sz w:val="22"/>
                <w:szCs w:val="22"/>
              </w:rPr>
            </w:pPr>
            <w:r w:rsidRPr="00E76A09">
              <w:rPr>
                <w:b/>
                <w:bCs/>
                <w:sz w:val="22"/>
                <w:szCs w:val="22"/>
              </w:rPr>
              <w:t>How will it be measured? </w:t>
            </w:r>
            <w:r w:rsidRPr="00E76A09">
              <w:rPr>
                <w:sz w:val="22"/>
                <w:szCs w:val="22"/>
              </w:rPr>
              <w:t> </w:t>
            </w:r>
          </w:p>
        </w:tc>
      </w:tr>
      <w:tr w:rsidR="009B7E55" w:rsidRPr="00E76A09" w14:paraId="2B36A562" w14:textId="77777777" w:rsidTr="57AB4C69">
        <w:trPr>
          <w:trHeight w:val="300"/>
        </w:trPr>
        <w:tc>
          <w:tcPr>
            <w:tcW w:w="4670" w:type="dxa"/>
            <w:tcBorders>
              <w:top w:val="single" w:sz="6" w:space="0" w:color="auto"/>
              <w:left w:val="single" w:sz="6" w:space="0" w:color="auto"/>
              <w:bottom w:val="single" w:sz="6" w:space="0" w:color="auto"/>
              <w:right w:val="single" w:sz="6" w:space="0" w:color="auto"/>
            </w:tcBorders>
            <w:hideMark/>
          </w:tcPr>
          <w:p w14:paraId="20A8E57E" w14:textId="77777777" w:rsidR="009B7E55" w:rsidRPr="00E76A09" w:rsidRDefault="009B7E55" w:rsidP="005F1FB6">
            <w:pPr>
              <w:numPr>
                <w:ilvl w:val="0"/>
                <w:numId w:val="18"/>
              </w:numPr>
              <w:tabs>
                <w:tab w:val="num" w:pos="720"/>
                <w:tab w:val="right" w:leader="dot" w:pos="9710"/>
              </w:tabs>
              <w:spacing w:before="0" w:after="0" w:line="240" w:lineRule="auto"/>
              <w:ind w:hanging="233"/>
              <w:rPr>
                <w:sz w:val="22"/>
                <w:szCs w:val="22"/>
              </w:rPr>
            </w:pPr>
            <w:r w:rsidRPr="00E76A09">
              <w:rPr>
                <w:b/>
                <w:bCs/>
                <w:sz w:val="22"/>
                <w:szCs w:val="22"/>
              </w:rPr>
              <w:t>Objective 1:</w:t>
            </w:r>
            <w:r w:rsidRPr="00E76A09">
              <w:rPr>
                <w:sz w:val="22"/>
                <w:szCs w:val="22"/>
              </w:rPr>
              <w:t xml:space="preserve"> Continue to build long-lasting capacity for forest countries to </w:t>
            </w:r>
            <w:r w:rsidRPr="00E76A09">
              <w:rPr>
                <w:b/>
                <w:bCs/>
                <w:sz w:val="22"/>
                <w:szCs w:val="22"/>
              </w:rPr>
              <w:t xml:space="preserve">strengthen and institutionalise MRV and National Forest Monitoring Systems </w:t>
            </w:r>
            <w:r w:rsidRPr="00E76A09">
              <w:rPr>
                <w:sz w:val="22"/>
                <w:szCs w:val="22"/>
              </w:rPr>
              <w:t>through a country-led, adaptable and sustained process that engages stakeholders across all levels, overcomes methodological and procedural challenges, and aligns with national policy and development priorities, throughout the term of the programme. </w:t>
            </w:r>
          </w:p>
        </w:tc>
        <w:tc>
          <w:tcPr>
            <w:tcW w:w="5655" w:type="dxa"/>
            <w:tcBorders>
              <w:top w:val="single" w:sz="6" w:space="0" w:color="auto"/>
              <w:left w:val="single" w:sz="6" w:space="0" w:color="auto"/>
              <w:bottom w:val="single" w:sz="6" w:space="0" w:color="auto"/>
              <w:right w:val="single" w:sz="6" w:space="0" w:color="auto"/>
            </w:tcBorders>
            <w:hideMark/>
          </w:tcPr>
          <w:p w14:paraId="0A78E32D" w14:textId="2C74B73F" w:rsidR="009B7E55" w:rsidRPr="00E76A09" w:rsidRDefault="009B7E55" w:rsidP="005F1FB6">
            <w:pPr>
              <w:numPr>
                <w:ilvl w:val="0"/>
                <w:numId w:val="19"/>
              </w:numPr>
              <w:tabs>
                <w:tab w:val="right" w:leader="dot" w:pos="9710"/>
              </w:tabs>
              <w:spacing w:before="0" w:after="0" w:line="240" w:lineRule="auto"/>
              <w:ind w:left="360" w:hanging="219"/>
              <w:rPr>
                <w:sz w:val="22"/>
                <w:szCs w:val="22"/>
              </w:rPr>
            </w:pPr>
            <w:r w:rsidRPr="00E76A09">
              <w:rPr>
                <w:sz w:val="22"/>
                <w:szCs w:val="22"/>
              </w:rPr>
              <w:t xml:space="preserve">Number of countries supported with direct technical assistance, (target of 20 by 2030). We are currently supporting 16 countries </w:t>
            </w:r>
            <w:r w:rsidR="00E4121D" w:rsidRPr="00E76A09">
              <w:rPr>
                <w:sz w:val="22"/>
                <w:szCs w:val="22"/>
              </w:rPr>
              <w:t xml:space="preserve">with in-country technical assistance </w:t>
            </w:r>
            <w:r w:rsidRPr="00E76A09">
              <w:rPr>
                <w:sz w:val="22"/>
                <w:szCs w:val="22"/>
              </w:rPr>
              <w:t>directly however budget for this work is due to run out in 2026 so this proposal would ensure it continues (TA KPI 1). This extension proposal would allow an increase from 16 countries to 20 countries.   </w:t>
            </w:r>
          </w:p>
          <w:p w14:paraId="5AAFE500" w14:textId="443E126C" w:rsidR="009B7E55" w:rsidRPr="00E76A09" w:rsidRDefault="009B7E55" w:rsidP="005F1FB6">
            <w:pPr>
              <w:numPr>
                <w:ilvl w:val="0"/>
                <w:numId w:val="20"/>
              </w:numPr>
              <w:tabs>
                <w:tab w:val="right" w:leader="dot" w:pos="9710"/>
              </w:tabs>
              <w:spacing w:before="0" w:after="0" w:line="240" w:lineRule="auto"/>
              <w:ind w:left="360" w:hanging="219"/>
              <w:rPr>
                <w:sz w:val="22"/>
                <w:szCs w:val="22"/>
              </w:rPr>
            </w:pPr>
            <w:r w:rsidRPr="00E76A09">
              <w:rPr>
                <w:sz w:val="22"/>
                <w:szCs w:val="22"/>
              </w:rPr>
              <w:t>Number of key methodological challenges overcome through alignment, innovation and deployment (12 by 2030, increased from 10)</w:t>
            </w:r>
            <w:r w:rsidR="002D4BFA">
              <w:rPr>
                <w:sz w:val="22"/>
                <w:szCs w:val="22"/>
              </w:rPr>
              <w:t>.</w:t>
            </w:r>
            <w:r w:rsidRPr="00E76A09">
              <w:rPr>
                <w:sz w:val="22"/>
                <w:szCs w:val="22"/>
              </w:rPr>
              <w:t xml:space="preserve">  </w:t>
            </w:r>
          </w:p>
          <w:p w14:paraId="28F11EEC" w14:textId="77777777" w:rsidR="009B7E55" w:rsidRPr="00E76A09" w:rsidRDefault="009B7E55" w:rsidP="005F1FB6">
            <w:pPr>
              <w:numPr>
                <w:ilvl w:val="0"/>
                <w:numId w:val="21"/>
              </w:numPr>
              <w:tabs>
                <w:tab w:val="right" w:leader="dot" w:pos="9710"/>
              </w:tabs>
              <w:spacing w:before="0" w:after="0" w:line="240" w:lineRule="auto"/>
              <w:ind w:left="360" w:hanging="219"/>
              <w:rPr>
                <w:sz w:val="22"/>
                <w:szCs w:val="22"/>
              </w:rPr>
            </w:pPr>
            <w:r w:rsidRPr="00E76A09">
              <w:rPr>
                <w:sz w:val="22"/>
                <w:szCs w:val="22"/>
              </w:rPr>
              <w:t>Number of countries supported to institutionalise NFMS and associated MRV procedures within their national institutions, through the Country-Led Planning process, so that they can be operationalised and sustained with national resources over time. Target of 10 countries supported by 2030, up from 2-3 from the original business case.  </w:t>
            </w:r>
          </w:p>
          <w:p w14:paraId="453C091E" w14:textId="389B98B4" w:rsidR="009B7E55" w:rsidRPr="00E76A09" w:rsidRDefault="009B7E55" w:rsidP="005F1FB6">
            <w:pPr>
              <w:numPr>
                <w:ilvl w:val="0"/>
                <w:numId w:val="22"/>
              </w:numPr>
              <w:tabs>
                <w:tab w:val="right" w:leader="dot" w:pos="9710"/>
              </w:tabs>
              <w:spacing w:before="0" w:after="0" w:line="240" w:lineRule="auto"/>
              <w:ind w:left="360" w:hanging="219"/>
              <w:rPr>
                <w:sz w:val="22"/>
                <w:szCs w:val="22"/>
              </w:rPr>
            </w:pPr>
            <w:r w:rsidRPr="00E76A09">
              <w:rPr>
                <w:sz w:val="22"/>
                <w:szCs w:val="22"/>
              </w:rPr>
              <w:t>Number of (sub)national forest and climate policies and legislation informed by country technical assistance (10 by 2030, increased from 8)</w:t>
            </w:r>
            <w:r w:rsidR="002D4BFA">
              <w:rPr>
                <w:sz w:val="22"/>
                <w:szCs w:val="22"/>
              </w:rPr>
              <w:t>.</w:t>
            </w:r>
            <w:r w:rsidRPr="00E76A09">
              <w:rPr>
                <w:sz w:val="22"/>
                <w:szCs w:val="22"/>
              </w:rPr>
              <w:t> </w:t>
            </w:r>
          </w:p>
        </w:tc>
      </w:tr>
      <w:tr w:rsidR="009B7E55" w:rsidRPr="00E76A09" w14:paraId="06F77170" w14:textId="77777777" w:rsidTr="57AB4C69">
        <w:trPr>
          <w:trHeight w:val="300"/>
        </w:trPr>
        <w:tc>
          <w:tcPr>
            <w:tcW w:w="4670" w:type="dxa"/>
            <w:tcBorders>
              <w:top w:val="single" w:sz="6" w:space="0" w:color="auto"/>
              <w:left w:val="single" w:sz="6" w:space="0" w:color="auto"/>
              <w:bottom w:val="single" w:sz="6" w:space="0" w:color="auto"/>
              <w:right w:val="single" w:sz="6" w:space="0" w:color="auto"/>
            </w:tcBorders>
            <w:hideMark/>
          </w:tcPr>
          <w:p w14:paraId="6A736023" w14:textId="77777777" w:rsidR="009B7E55" w:rsidRPr="00E76A09" w:rsidRDefault="009B7E55" w:rsidP="005F1FB6">
            <w:pPr>
              <w:numPr>
                <w:ilvl w:val="0"/>
                <w:numId w:val="23"/>
              </w:numPr>
              <w:tabs>
                <w:tab w:val="num" w:pos="720"/>
                <w:tab w:val="right" w:leader="dot" w:pos="9710"/>
              </w:tabs>
              <w:spacing w:before="0" w:after="0" w:line="240" w:lineRule="auto"/>
              <w:ind w:hanging="233"/>
              <w:rPr>
                <w:sz w:val="22"/>
                <w:szCs w:val="22"/>
              </w:rPr>
            </w:pPr>
            <w:r w:rsidRPr="00E76A09">
              <w:rPr>
                <w:b/>
                <w:bCs/>
                <w:sz w:val="22"/>
                <w:szCs w:val="22"/>
              </w:rPr>
              <w:t>Objective 2:</w:t>
            </w:r>
            <w:r w:rsidRPr="00E76A09">
              <w:rPr>
                <w:sz w:val="22"/>
                <w:szCs w:val="22"/>
              </w:rPr>
              <w:t xml:space="preserve"> Strengthen forest monitoring and MRV in forest countries to </w:t>
            </w:r>
            <w:r w:rsidRPr="00E76A09">
              <w:rPr>
                <w:b/>
                <w:bCs/>
                <w:sz w:val="22"/>
                <w:szCs w:val="22"/>
              </w:rPr>
              <w:t xml:space="preserve">enable greater financial flows for forest countries and communities for long-term financial sustainability, including </w:t>
            </w:r>
            <w:r w:rsidRPr="00E76A09">
              <w:rPr>
                <w:sz w:val="22"/>
                <w:szCs w:val="22"/>
              </w:rPr>
              <w:t xml:space="preserve">supporting the effective and high-integrity delivery of large-scale performance-based forest programmes and opportunities (e.g., FCPF, ART-TREES, GCF, </w:t>
            </w:r>
            <w:r w:rsidRPr="00E76A09">
              <w:rPr>
                <w:sz w:val="22"/>
                <w:szCs w:val="22"/>
              </w:rPr>
              <w:lastRenderedPageBreak/>
              <w:t>BioCarbon Fund ISFL, SCALE, LEAF, TFFF, Article 6). </w:t>
            </w:r>
          </w:p>
        </w:tc>
        <w:tc>
          <w:tcPr>
            <w:tcW w:w="5655" w:type="dxa"/>
            <w:tcBorders>
              <w:top w:val="single" w:sz="6" w:space="0" w:color="auto"/>
              <w:left w:val="single" w:sz="6" w:space="0" w:color="auto"/>
              <w:bottom w:val="single" w:sz="6" w:space="0" w:color="auto"/>
              <w:right w:val="single" w:sz="6" w:space="0" w:color="auto"/>
            </w:tcBorders>
            <w:hideMark/>
          </w:tcPr>
          <w:p w14:paraId="673C201D" w14:textId="710A70F0" w:rsidR="009B7E55" w:rsidRPr="00E76A09" w:rsidRDefault="009B7E55" w:rsidP="005F1FB6">
            <w:pPr>
              <w:numPr>
                <w:ilvl w:val="0"/>
                <w:numId w:val="24"/>
              </w:numPr>
              <w:tabs>
                <w:tab w:val="right" w:leader="dot" w:pos="9710"/>
              </w:tabs>
              <w:spacing w:before="0" w:after="0" w:line="240" w:lineRule="auto"/>
              <w:ind w:left="360" w:hanging="219"/>
              <w:rPr>
                <w:sz w:val="22"/>
                <w:szCs w:val="22"/>
              </w:rPr>
            </w:pPr>
            <w:r w:rsidRPr="00E76A09">
              <w:rPr>
                <w:sz w:val="22"/>
                <w:szCs w:val="22"/>
              </w:rPr>
              <w:lastRenderedPageBreak/>
              <w:t>Number of countries supported by the programme (20 by 2030) - TA KPI 1</w:t>
            </w:r>
            <w:r w:rsidR="002D4BFA">
              <w:rPr>
                <w:sz w:val="22"/>
                <w:szCs w:val="22"/>
              </w:rPr>
              <w:t>.</w:t>
            </w:r>
            <w:r w:rsidRPr="00E76A09">
              <w:rPr>
                <w:sz w:val="22"/>
                <w:szCs w:val="22"/>
              </w:rPr>
              <w:t> </w:t>
            </w:r>
          </w:p>
          <w:p w14:paraId="08A8ECFA" w14:textId="7FBC2CAA" w:rsidR="009B7E55" w:rsidRPr="00E76A09" w:rsidRDefault="009B7E55" w:rsidP="005F1FB6">
            <w:pPr>
              <w:numPr>
                <w:ilvl w:val="0"/>
                <w:numId w:val="25"/>
              </w:numPr>
              <w:tabs>
                <w:tab w:val="right" w:leader="dot" w:pos="9710"/>
              </w:tabs>
              <w:spacing w:before="0" w:after="0" w:line="240" w:lineRule="auto"/>
              <w:ind w:left="360" w:hanging="219"/>
              <w:rPr>
                <w:sz w:val="22"/>
                <w:szCs w:val="22"/>
              </w:rPr>
            </w:pPr>
            <w:r w:rsidRPr="00E76A09">
              <w:rPr>
                <w:sz w:val="22"/>
                <w:szCs w:val="22"/>
              </w:rPr>
              <w:t>Increased volume of forest/land-use credits produced and verified due to support from AIM4Forests (emissions reductions) - TA KPI 5</w:t>
            </w:r>
            <w:r w:rsidR="002D4BFA">
              <w:rPr>
                <w:sz w:val="22"/>
                <w:szCs w:val="22"/>
              </w:rPr>
              <w:t>.</w:t>
            </w:r>
            <w:r w:rsidRPr="00E76A09">
              <w:rPr>
                <w:sz w:val="22"/>
                <w:szCs w:val="22"/>
              </w:rPr>
              <w:t>  </w:t>
            </w:r>
          </w:p>
          <w:p w14:paraId="5397F0A3" w14:textId="0380D01A" w:rsidR="009B7E55" w:rsidRPr="00E76A09" w:rsidRDefault="009B7E55" w:rsidP="005F1FB6">
            <w:pPr>
              <w:numPr>
                <w:ilvl w:val="0"/>
                <w:numId w:val="26"/>
              </w:numPr>
              <w:tabs>
                <w:tab w:val="right" w:leader="dot" w:pos="9710"/>
              </w:tabs>
              <w:spacing w:before="0" w:after="0" w:line="240" w:lineRule="auto"/>
              <w:ind w:left="360" w:hanging="219"/>
              <w:rPr>
                <w:sz w:val="22"/>
                <w:szCs w:val="22"/>
              </w:rPr>
            </w:pPr>
            <w:r w:rsidRPr="00E76A09">
              <w:rPr>
                <w:sz w:val="22"/>
                <w:szCs w:val="22"/>
              </w:rPr>
              <w:t xml:space="preserve">Increased number of national/ sub-national programmes actively supported by AIM4Forests to access climate </w:t>
            </w:r>
            <w:r w:rsidRPr="00E76A09">
              <w:rPr>
                <w:sz w:val="22"/>
                <w:szCs w:val="22"/>
              </w:rPr>
              <w:lastRenderedPageBreak/>
              <w:t>finance (including REDD+ and other forest service schemes) (16 by 2030, increased from 15)</w:t>
            </w:r>
            <w:r w:rsidR="002D4BFA">
              <w:rPr>
                <w:sz w:val="22"/>
                <w:szCs w:val="22"/>
              </w:rPr>
              <w:t>.</w:t>
            </w:r>
            <w:r w:rsidRPr="00E76A09">
              <w:rPr>
                <w:sz w:val="22"/>
                <w:szCs w:val="22"/>
              </w:rPr>
              <w:t> </w:t>
            </w:r>
          </w:p>
        </w:tc>
      </w:tr>
      <w:tr w:rsidR="009B7E55" w:rsidRPr="00E76A09" w14:paraId="28E40A74" w14:textId="77777777" w:rsidTr="57AB4C69">
        <w:trPr>
          <w:trHeight w:val="300"/>
        </w:trPr>
        <w:tc>
          <w:tcPr>
            <w:tcW w:w="4670" w:type="dxa"/>
            <w:tcBorders>
              <w:top w:val="single" w:sz="6" w:space="0" w:color="auto"/>
              <w:left w:val="single" w:sz="6" w:space="0" w:color="auto"/>
              <w:bottom w:val="single" w:sz="6" w:space="0" w:color="auto"/>
              <w:right w:val="single" w:sz="6" w:space="0" w:color="auto"/>
            </w:tcBorders>
            <w:hideMark/>
          </w:tcPr>
          <w:p w14:paraId="5DC78F75" w14:textId="1C559BB1" w:rsidR="009B7E55" w:rsidRPr="00E76A09" w:rsidRDefault="009B7E55" w:rsidP="005F1FB6">
            <w:pPr>
              <w:numPr>
                <w:ilvl w:val="0"/>
                <w:numId w:val="27"/>
              </w:numPr>
              <w:tabs>
                <w:tab w:val="num" w:pos="720"/>
                <w:tab w:val="right" w:leader="dot" w:pos="9710"/>
              </w:tabs>
              <w:spacing w:before="0" w:after="0" w:line="240" w:lineRule="auto"/>
              <w:ind w:hanging="233"/>
              <w:rPr>
                <w:sz w:val="22"/>
                <w:szCs w:val="22"/>
              </w:rPr>
            </w:pPr>
            <w:r w:rsidRPr="57AB4C69">
              <w:rPr>
                <w:b/>
                <w:bCs/>
                <w:sz w:val="22"/>
                <w:szCs w:val="22"/>
              </w:rPr>
              <w:lastRenderedPageBreak/>
              <w:t>Objective 3: Empower and enhance the social inclusion of marginalised and disadvantaged groups by enabling greater equity in forest monitoring</w:t>
            </w:r>
            <w:r w:rsidRPr="57AB4C69">
              <w:rPr>
                <w:sz w:val="22"/>
                <w:szCs w:val="22"/>
              </w:rPr>
              <w:t xml:space="preserve"> through the meaningful participation of indigenous peoples, local communities, women, small-holders and youth through targeted capacity-building and inclusive, gender-responsive methodologies</w:t>
            </w:r>
            <w:r w:rsidR="002D4BFA">
              <w:rPr>
                <w:sz w:val="22"/>
                <w:szCs w:val="22"/>
              </w:rPr>
              <w:t>.</w:t>
            </w:r>
            <w:r w:rsidRPr="57AB4C69">
              <w:rPr>
                <w:sz w:val="22"/>
                <w:szCs w:val="22"/>
              </w:rPr>
              <w:t> </w:t>
            </w:r>
          </w:p>
        </w:tc>
        <w:tc>
          <w:tcPr>
            <w:tcW w:w="5655" w:type="dxa"/>
            <w:tcBorders>
              <w:top w:val="single" w:sz="6" w:space="0" w:color="auto"/>
              <w:left w:val="single" w:sz="6" w:space="0" w:color="auto"/>
              <w:bottom w:val="single" w:sz="6" w:space="0" w:color="auto"/>
              <w:right w:val="single" w:sz="6" w:space="0" w:color="auto"/>
            </w:tcBorders>
            <w:hideMark/>
          </w:tcPr>
          <w:p w14:paraId="4BD75711" w14:textId="5CDA1456" w:rsidR="009B7E55" w:rsidRPr="00E76A09" w:rsidRDefault="009B7E55" w:rsidP="005F1FB6">
            <w:pPr>
              <w:numPr>
                <w:ilvl w:val="0"/>
                <w:numId w:val="28"/>
              </w:numPr>
              <w:tabs>
                <w:tab w:val="right" w:leader="dot" w:pos="9710"/>
              </w:tabs>
              <w:spacing w:before="0" w:after="0" w:line="240" w:lineRule="auto"/>
              <w:ind w:left="360" w:hanging="219"/>
              <w:rPr>
                <w:sz w:val="22"/>
                <w:szCs w:val="22"/>
              </w:rPr>
            </w:pPr>
            <w:r w:rsidRPr="00E76A09">
              <w:rPr>
                <w:sz w:val="22"/>
                <w:szCs w:val="22"/>
              </w:rPr>
              <w:t>Increased percentage of IPLCs, youth and women (and where relevant smallholders) at AIM4Forests supported events and exchanges (TA KPI 2) (target of 40% by 2030) </w:t>
            </w:r>
          </w:p>
          <w:p w14:paraId="1F33FFAB" w14:textId="3FA04B98" w:rsidR="009B7E55" w:rsidRPr="00E76A09" w:rsidRDefault="009B7E55" w:rsidP="005F1FB6">
            <w:pPr>
              <w:numPr>
                <w:ilvl w:val="0"/>
                <w:numId w:val="29"/>
              </w:numPr>
              <w:tabs>
                <w:tab w:val="right" w:leader="dot" w:pos="9710"/>
              </w:tabs>
              <w:spacing w:before="0" w:after="0" w:line="240" w:lineRule="auto"/>
              <w:ind w:left="360" w:hanging="219"/>
              <w:rPr>
                <w:sz w:val="22"/>
                <w:szCs w:val="22"/>
              </w:rPr>
            </w:pPr>
            <w:r w:rsidRPr="00E76A09">
              <w:rPr>
                <w:sz w:val="22"/>
                <w:szCs w:val="22"/>
              </w:rPr>
              <w:t>Innovative biocentric restoration projects developed and implementing (2 by 2030)</w:t>
            </w:r>
            <w:r w:rsidR="002D4BFA">
              <w:rPr>
                <w:sz w:val="22"/>
                <w:szCs w:val="22"/>
              </w:rPr>
              <w:t>.</w:t>
            </w:r>
            <w:r w:rsidRPr="00E76A09">
              <w:rPr>
                <w:sz w:val="22"/>
                <w:szCs w:val="22"/>
              </w:rPr>
              <w:t> </w:t>
            </w:r>
          </w:p>
        </w:tc>
      </w:tr>
      <w:tr w:rsidR="009B7E55" w:rsidRPr="00E76A09" w14:paraId="546A561E" w14:textId="77777777" w:rsidTr="57AB4C69">
        <w:trPr>
          <w:trHeight w:val="300"/>
        </w:trPr>
        <w:tc>
          <w:tcPr>
            <w:tcW w:w="4670" w:type="dxa"/>
            <w:tcBorders>
              <w:top w:val="single" w:sz="6" w:space="0" w:color="auto"/>
              <w:left w:val="single" w:sz="6" w:space="0" w:color="auto"/>
              <w:bottom w:val="single" w:sz="6" w:space="0" w:color="auto"/>
              <w:right w:val="single" w:sz="6" w:space="0" w:color="auto"/>
            </w:tcBorders>
            <w:hideMark/>
          </w:tcPr>
          <w:p w14:paraId="4F71DAFB" w14:textId="77777777" w:rsidR="009B7E55" w:rsidRPr="00E76A09" w:rsidRDefault="009B7E55" w:rsidP="005F1FB6">
            <w:pPr>
              <w:numPr>
                <w:ilvl w:val="0"/>
                <w:numId w:val="30"/>
              </w:numPr>
              <w:tabs>
                <w:tab w:val="num" w:pos="720"/>
                <w:tab w:val="right" w:leader="dot" w:pos="9710"/>
              </w:tabs>
              <w:spacing w:before="0" w:after="0" w:line="240" w:lineRule="auto"/>
              <w:ind w:hanging="233"/>
              <w:rPr>
                <w:sz w:val="22"/>
                <w:szCs w:val="22"/>
              </w:rPr>
            </w:pPr>
            <w:r w:rsidRPr="00E76A09">
              <w:rPr>
                <w:b/>
                <w:bCs/>
                <w:sz w:val="22"/>
                <w:szCs w:val="22"/>
              </w:rPr>
              <w:t>Objective 4:</w:t>
            </w:r>
            <w:r w:rsidRPr="00E76A09">
              <w:rPr>
                <w:sz w:val="22"/>
                <w:szCs w:val="22"/>
              </w:rPr>
              <w:t xml:space="preserve"> Enhance country capacity to meet national and international reporting obligations through the </w:t>
            </w:r>
            <w:r w:rsidRPr="00E76A09">
              <w:rPr>
                <w:b/>
                <w:bCs/>
                <w:sz w:val="22"/>
                <w:szCs w:val="22"/>
              </w:rPr>
              <w:t>deployment of high-integrity datasets to</w:t>
            </w:r>
            <w:r w:rsidRPr="00E76A09">
              <w:rPr>
                <w:sz w:val="22"/>
                <w:szCs w:val="22"/>
              </w:rPr>
              <w:t xml:space="preserve"> </w:t>
            </w:r>
            <w:r w:rsidRPr="00E76A09">
              <w:rPr>
                <w:b/>
                <w:bCs/>
                <w:sz w:val="22"/>
                <w:szCs w:val="22"/>
              </w:rPr>
              <w:t>meet relevant data and reporting needs on forest mitigation, ecosystem restoration and forest-risk commodities</w:t>
            </w:r>
            <w:r w:rsidRPr="00E76A09">
              <w:rPr>
                <w:sz w:val="22"/>
                <w:szCs w:val="22"/>
              </w:rPr>
              <w:t xml:space="preserve"> - including around UNFCCC reporting in 2030 (FRELs and GHG inventories, AFOLU in NDCs), within transparent commodity value chains in 2030, and for KMGBF ecosystem restoration targets in 2029.  </w:t>
            </w:r>
          </w:p>
        </w:tc>
        <w:tc>
          <w:tcPr>
            <w:tcW w:w="5655" w:type="dxa"/>
            <w:tcBorders>
              <w:top w:val="single" w:sz="6" w:space="0" w:color="auto"/>
              <w:left w:val="single" w:sz="6" w:space="0" w:color="auto"/>
              <w:bottom w:val="single" w:sz="6" w:space="0" w:color="auto"/>
              <w:right w:val="single" w:sz="6" w:space="0" w:color="auto"/>
            </w:tcBorders>
            <w:hideMark/>
          </w:tcPr>
          <w:p w14:paraId="5DEABD07" w14:textId="0EE699A0" w:rsidR="009B7E55" w:rsidRPr="00E76A09" w:rsidRDefault="009B7E55" w:rsidP="005F1FB6">
            <w:pPr>
              <w:numPr>
                <w:ilvl w:val="0"/>
                <w:numId w:val="31"/>
              </w:numPr>
              <w:tabs>
                <w:tab w:val="right" w:leader="dot" w:pos="9710"/>
              </w:tabs>
              <w:spacing w:before="0" w:after="0" w:line="240" w:lineRule="auto"/>
              <w:ind w:left="360" w:hanging="219"/>
              <w:rPr>
                <w:sz w:val="22"/>
                <w:szCs w:val="22"/>
              </w:rPr>
            </w:pPr>
            <w:r w:rsidRPr="00E76A09">
              <w:rPr>
                <w:sz w:val="22"/>
                <w:szCs w:val="22"/>
              </w:rPr>
              <w:t>Number of countries reporting on nature restoration to the CBD, which received support from AIM4Forests – target of 20 by 2030</w:t>
            </w:r>
            <w:r w:rsidR="002D4BFA">
              <w:rPr>
                <w:sz w:val="22"/>
                <w:szCs w:val="22"/>
              </w:rPr>
              <w:t>.</w:t>
            </w:r>
            <w:r w:rsidRPr="00E76A09">
              <w:rPr>
                <w:sz w:val="22"/>
                <w:szCs w:val="22"/>
              </w:rPr>
              <w:t> </w:t>
            </w:r>
          </w:p>
          <w:p w14:paraId="11629A53" w14:textId="3540B82E" w:rsidR="009B7E55" w:rsidRPr="00E76A09" w:rsidRDefault="009B7E55" w:rsidP="005F1FB6">
            <w:pPr>
              <w:numPr>
                <w:ilvl w:val="0"/>
                <w:numId w:val="32"/>
              </w:numPr>
              <w:tabs>
                <w:tab w:val="right" w:leader="dot" w:pos="9710"/>
              </w:tabs>
              <w:spacing w:before="0" w:after="0" w:line="240" w:lineRule="auto"/>
              <w:ind w:left="360" w:hanging="219"/>
              <w:rPr>
                <w:sz w:val="22"/>
                <w:szCs w:val="22"/>
              </w:rPr>
            </w:pPr>
            <w:r w:rsidRPr="00E76A09">
              <w:rPr>
                <w:sz w:val="22"/>
                <w:szCs w:val="22"/>
              </w:rPr>
              <w:t>Number of countries supported to cover forests and land-use categories within UNFCCC reporting (including against NDCs) - target of 14 countries by 2030 which is an increase of an additional 4 countries</w:t>
            </w:r>
            <w:r w:rsidR="002D4BFA">
              <w:rPr>
                <w:sz w:val="22"/>
                <w:szCs w:val="22"/>
              </w:rPr>
              <w:t>.</w:t>
            </w:r>
            <w:r w:rsidRPr="00E76A09">
              <w:rPr>
                <w:sz w:val="22"/>
                <w:szCs w:val="22"/>
              </w:rPr>
              <w:t> </w:t>
            </w:r>
          </w:p>
          <w:p w14:paraId="0EC72165" w14:textId="77777777" w:rsidR="009B7E55" w:rsidRPr="00E76A09" w:rsidRDefault="009B7E55" w:rsidP="005F1FB6">
            <w:pPr>
              <w:numPr>
                <w:ilvl w:val="0"/>
                <w:numId w:val="33"/>
              </w:numPr>
              <w:tabs>
                <w:tab w:val="right" w:leader="dot" w:pos="9710"/>
              </w:tabs>
              <w:spacing w:before="0" w:after="0" w:line="240" w:lineRule="auto"/>
              <w:ind w:left="360" w:hanging="219"/>
              <w:rPr>
                <w:sz w:val="22"/>
                <w:szCs w:val="22"/>
              </w:rPr>
            </w:pPr>
            <w:r w:rsidRPr="00E76A09">
              <w:rPr>
                <w:sz w:val="22"/>
                <w:szCs w:val="22"/>
              </w:rPr>
              <w:t>Number of countries supported to comply with EUDR regulations – target of 5 countries by 2030.  </w:t>
            </w:r>
          </w:p>
          <w:p w14:paraId="0858DEDC" w14:textId="149F104B" w:rsidR="009B7E55" w:rsidRPr="00E76A09" w:rsidRDefault="009B7E55" w:rsidP="005F1FB6">
            <w:pPr>
              <w:numPr>
                <w:ilvl w:val="0"/>
                <w:numId w:val="34"/>
              </w:numPr>
              <w:tabs>
                <w:tab w:val="right" w:leader="dot" w:pos="9710"/>
              </w:tabs>
              <w:spacing w:before="0" w:after="0" w:line="240" w:lineRule="auto"/>
              <w:ind w:left="360" w:hanging="219"/>
              <w:rPr>
                <w:sz w:val="22"/>
                <w:szCs w:val="22"/>
              </w:rPr>
            </w:pPr>
            <w:r w:rsidRPr="00E76A09">
              <w:rPr>
                <w:sz w:val="22"/>
                <w:szCs w:val="22"/>
              </w:rPr>
              <w:t>Increase development and deployment of high-integrity datasets (Number of emerging technologies, tools and innovative solutions developed/supported to deployment by AIM4Forests – 12 by 2030, increased from 10)</w:t>
            </w:r>
            <w:r w:rsidR="002D4BFA">
              <w:rPr>
                <w:sz w:val="22"/>
                <w:szCs w:val="22"/>
              </w:rPr>
              <w:t>.</w:t>
            </w:r>
            <w:r w:rsidRPr="00E76A09">
              <w:rPr>
                <w:sz w:val="22"/>
                <w:szCs w:val="22"/>
              </w:rPr>
              <w:t xml:space="preserve">  </w:t>
            </w:r>
          </w:p>
        </w:tc>
      </w:tr>
      <w:tr w:rsidR="009B7E55" w:rsidRPr="00E76A09" w14:paraId="6335CD4B" w14:textId="77777777" w:rsidTr="57AB4C69">
        <w:trPr>
          <w:trHeight w:val="300"/>
        </w:trPr>
        <w:tc>
          <w:tcPr>
            <w:tcW w:w="4670" w:type="dxa"/>
            <w:tcBorders>
              <w:top w:val="single" w:sz="6" w:space="0" w:color="auto"/>
              <w:left w:val="single" w:sz="6" w:space="0" w:color="auto"/>
              <w:bottom w:val="single" w:sz="6" w:space="0" w:color="auto"/>
              <w:right w:val="single" w:sz="6" w:space="0" w:color="auto"/>
            </w:tcBorders>
            <w:hideMark/>
          </w:tcPr>
          <w:p w14:paraId="0E769F95" w14:textId="77777777" w:rsidR="009B7E55" w:rsidRPr="00E76A09" w:rsidRDefault="009B7E55" w:rsidP="005F1FB6">
            <w:pPr>
              <w:numPr>
                <w:ilvl w:val="0"/>
                <w:numId w:val="35"/>
              </w:numPr>
              <w:tabs>
                <w:tab w:val="right" w:leader="dot" w:pos="9710"/>
              </w:tabs>
              <w:spacing w:before="0" w:after="0" w:line="240" w:lineRule="auto"/>
              <w:ind w:hanging="233"/>
              <w:rPr>
                <w:sz w:val="22"/>
                <w:szCs w:val="22"/>
              </w:rPr>
            </w:pPr>
            <w:r w:rsidRPr="00E76A09">
              <w:rPr>
                <w:b/>
                <w:bCs/>
                <w:sz w:val="22"/>
                <w:szCs w:val="22"/>
              </w:rPr>
              <w:t>Objective 5:</w:t>
            </w:r>
            <w:r w:rsidRPr="00E76A09">
              <w:rPr>
                <w:sz w:val="22"/>
                <w:szCs w:val="22"/>
              </w:rPr>
              <w:t xml:space="preserve"> Strengthen and operationalise forest monitoring solutions to </w:t>
            </w:r>
            <w:r w:rsidRPr="00E76A09">
              <w:rPr>
                <w:b/>
                <w:bCs/>
                <w:sz w:val="22"/>
                <w:szCs w:val="22"/>
              </w:rPr>
              <w:t xml:space="preserve">address unsustainable commodity production </w:t>
            </w:r>
            <w:r w:rsidRPr="00E76A09">
              <w:rPr>
                <w:sz w:val="22"/>
                <w:szCs w:val="22"/>
              </w:rPr>
              <w:t>by developing open, inclusive, and scalable solutions to support smallholders, producers, companies and regulators ensure sustainable and deforestation-free value chains. </w:t>
            </w:r>
          </w:p>
        </w:tc>
        <w:tc>
          <w:tcPr>
            <w:tcW w:w="5655" w:type="dxa"/>
            <w:tcBorders>
              <w:top w:val="single" w:sz="6" w:space="0" w:color="auto"/>
              <w:left w:val="single" w:sz="6" w:space="0" w:color="auto"/>
              <w:bottom w:val="single" w:sz="6" w:space="0" w:color="auto"/>
              <w:right w:val="single" w:sz="6" w:space="0" w:color="auto"/>
            </w:tcBorders>
            <w:hideMark/>
          </w:tcPr>
          <w:p w14:paraId="77D4D312" w14:textId="77777777" w:rsidR="009B7E55" w:rsidRPr="00E76A09" w:rsidRDefault="009B7E55" w:rsidP="005F1FB6">
            <w:pPr>
              <w:numPr>
                <w:ilvl w:val="0"/>
                <w:numId w:val="36"/>
              </w:numPr>
              <w:tabs>
                <w:tab w:val="right" w:leader="dot" w:pos="9710"/>
              </w:tabs>
              <w:spacing w:before="0" w:after="0" w:line="240" w:lineRule="auto"/>
              <w:ind w:left="360" w:hanging="219"/>
              <w:rPr>
                <w:sz w:val="22"/>
                <w:szCs w:val="22"/>
              </w:rPr>
            </w:pPr>
            <w:r w:rsidRPr="00E76A09">
              <w:rPr>
                <w:sz w:val="22"/>
                <w:szCs w:val="22"/>
              </w:rPr>
              <w:t>Development and use of a global public infrastructure for transparent commodities (by 2030). This will include the refinement of technical solutions, a partnership on transparent commodities, and a roll out in 4 countries.   </w:t>
            </w:r>
          </w:p>
          <w:p w14:paraId="3AB23F5E" w14:textId="0630AE65" w:rsidR="009B7E55" w:rsidRPr="00E76A09" w:rsidRDefault="009B7E55" w:rsidP="005F1FB6">
            <w:pPr>
              <w:numPr>
                <w:ilvl w:val="0"/>
                <w:numId w:val="37"/>
              </w:numPr>
              <w:tabs>
                <w:tab w:val="right" w:leader="dot" w:pos="9710"/>
              </w:tabs>
              <w:spacing w:before="0" w:after="0" w:line="240" w:lineRule="auto"/>
              <w:ind w:left="360" w:hanging="219"/>
              <w:rPr>
                <w:sz w:val="22"/>
                <w:szCs w:val="22"/>
              </w:rPr>
            </w:pPr>
            <w:r w:rsidRPr="00E76A09">
              <w:rPr>
                <w:sz w:val="22"/>
                <w:szCs w:val="22"/>
              </w:rPr>
              <w:t>Number of countries supported with the roll-out of technical solutions (between 4-8 by 2030)</w:t>
            </w:r>
            <w:r w:rsidR="002D4BFA">
              <w:rPr>
                <w:sz w:val="22"/>
                <w:szCs w:val="22"/>
              </w:rPr>
              <w:t>.</w:t>
            </w:r>
            <w:r w:rsidRPr="00E76A09">
              <w:rPr>
                <w:sz w:val="22"/>
                <w:szCs w:val="22"/>
              </w:rPr>
              <w:t xml:space="preserve">  </w:t>
            </w:r>
          </w:p>
        </w:tc>
      </w:tr>
    </w:tbl>
    <w:p w14:paraId="24DED1C9" w14:textId="77777777" w:rsidR="000162FA" w:rsidRPr="00E76A09" w:rsidRDefault="000162FA" w:rsidP="0024312A">
      <w:pPr>
        <w:tabs>
          <w:tab w:val="right" w:leader="dot" w:pos="9710"/>
        </w:tabs>
        <w:spacing w:before="0" w:after="0" w:line="240" w:lineRule="auto"/>
        <w:ind w:left="284"/>
        <w:rPr>
          <w:sz w:val="22"/>
          <w:szCs w:val="22"/>
        </w:rPr>
      </w:pPr>
    </w:p>
    <w:p w14:paraId="1B5EBFEE" w14:textId="07954804" w:rsidR="003B3608" w:rsidRPr="00E76A09" w:rsidRDefault="000A739B" w:rsidP="004258E7">
      <w:pPr>
        <w:tabs>
          <w:tab w:val="right" w:leader="dot" w:pos="9710"/>
        </w:tabs>
        <w:spacing w:before="0" w:line="240" w:lineRule="auto"/>
        <w:rPr>
          <w:b/>
          <w:bCs/>
          <w:sz w:val="22"/>
          <w:szCs w:val="22"/>
        </w:rPr>
      </w:pPr>
      <w:r w:rsidRPr="00E76A09">
        <w:rPr>
          <w:b/>
          <w:bCs/>
          <w:sz w:val="22"/>
          <w:szCs w:val="22"/>
        </w:rPr>
        <w:t xml:space="preserve">1.5.3 </w:t>
      </w:r>
      <w:r w:rsidR="00AB49CD" w:rsidRPr="00E76A09">
        <w:rPr>
          <w:b/>
          <w:bCs/>
          <w:sz w:val="22"/>
          <w:szCs w:val="22"/>
        </w:rPr>
        <w:t xml:space="preserve">Benefits being sought, expected outcomes, and assumptions </w:t>
      </w:r>
    </w:p>
    <w:p w14:paraId="1028ACA4" w14:textId="0C9E9BE8" w:rsidR="00382817" w:rsidRPr="00E76A09" w:rsidRDefault="0C1FB710" w:rsidP="004258E7">
      <w:pPr>
        <w:pStyle w:val="Style2"/>
        <w:ind w:left="0"/>
      </w:pPr>
      <w:r w:rsidRPr="00E76A09">
        <w:t>IC</w:t>
      </w:r>
      <w:r w:rsidR="13012911" w:rsidRPr="00E76A09">
        <w:t>F</w:t>
      </w:r>
      <w:r w:rsidRPr="00E76A09">
        <w:t xml:space="preserve"> programmes report on a range of standardised key performance indicators (KPIs) which enable results to be aggregated across the ICF portfolio.</w:t>
      </w:r>
      <w:r w:rsidR="00B907BA" w:rsidRPr="00E76A09">
        <w:rPr>
          <w:rStyle w:val="FootnoteReference"/>
        </w:rPr>
        <w:footnoteReference w:id="25"/>
      </w:r>
      <w:r w:rsidR="7F0DFD64" w:rsidRPr="00E76A09">
        <w:t xml:space="preserve"> The Theory of Change for AIM4Forests, as set out in </w:t>
      </w:r>
      <w:r w:rsidR="7F0DFD64" w:rsidRPr="00E76A09">
        <w:rPr>
          <w:b/>
          <w:bCs/>
        </w:rPr>
        <w:t xml:space="preserve">Annex </w:t>
      </w:r>
      <w:r w:rsidR="1F0A1236" w:rsidRPr="00E76A09">
        <w:rPr>
          <w:b/>
          <w:bCs/>
        </w:rPr>
        <w:t>E</w:t>
      </w:r>
      <w:r w:rsidR="7F0DFD64" w:rsidRPr="00E76A09">
        <w:t> has been updated to reflect the proposals within this business case, and provides an effective high-level overview of the results chain for the inputs, activities, outcomes and impact of AIM4Forests. It is expected that the impact level, AIM4Forests (if the business case was approved), would lead to transformational change towards sustainable land use, improved nature restoration, reduction in deforestation, and reduced greenhouse</w:t>
      </w:r>
      <w:r w:rsidR="06395B33" w:rsidRPr="00E76A09">
        <w:t xml:space="preserve"> g</w:t>
      </w:r>
      <w:r w:rsidR="7F0DFD64" w:rsidRPr="00E76A09">
        <w:t>as emissions from forests and land use advances domestic and international climate and sustainability goals and delivers benefits to nature and people. This will be measured using ICF KPI 15 which is the extent to which the ICF intervention is likely to lead to Transformational Change. </w:t>
      </w:r>
    </w:p>
    <w:p w14:paraId="1C9E1305" w14:textId="4D48412D" w:rsidR="5288DEEA" w:rsidRPr="00E76A09" w:rsidRDefault="5288DEEA" w:rsidP="5288DEEA">
      <w:pPr>
        <w:pStyle w:val="Style2"/>
      </w:pPr>
    </w:p>
    <w:p w14:paraId="2308A1F7" w14:textId="68CC81D8" w:rsidR="00B272D2" w:rsidRPr="00E76A09" w:rsidRDefault="00B272D2" w:rsidP="004258E7">
      <w:pPr>
        <w:pStyle w:val="Style2"/>
        <w:ind w:left="0"/>
        <w:rPr>
          <w:u w:val="single"/>
        </w:rPr>
      </w:pPr>
      <w:r w:rsidRPr="00E76A09">
        <w:rPr>
          <w:u w:val="single"/>
        </w:rPr>
        <w:t>Outcomes:</w:t>
      </w:r>
    </w:p>
    <w:p w14:paraId="2A126BFA" w14:textId="77777777" w:rsidR="00B272D2" w:rsidRPr="00E76A09" w:rsidRDefault="00B272D2" w:rsidP="005F1FB6">
      <w:pPr>
        <w:pStyle w:val="Style2"/>
        <w:numPr>
          <w:ilvl w:val="0"/>
          <w:numId w:val="43"/>
        </w:numPr>
      </w:pPr>
      <w:r w:rsidRPr="00E76A09">
        <w:t>Greater financial flows for forest countries and communities – through consumer confidence in carbon credits, donor trust in nature restoration progress, and regulators’ reliance on forest supply chain information.  </w:t>
      </w:r>
    </w:p>
    <w:p w14:paraId="096CD768" w14:textId="0D3551FC" w:rsidR="00524DB8" w:rsidRPr="00E76A09" w:rsidRDefault="00B272D2" w:rsidP="00972DE1">
      <w:pPr>
        <w:pStyle w:val="Style2"/>
        <w:numPr>
          <w:ilvl w:val="0"/>
          <w:numId w:val="43"/>
        </w:numPr>
      </w:pPr>
      <w:r w:rsidRPr="00E76A09">
        <w:t>Transformed resource and land managed towards reduced deforestation, lower emissions, more effective nature restoration and more sustainable commodity production, and enhanced livelihoods for forest communities.  </w:t>
      </w:r>
    </w:p>
    <w:p w14:paraId="61675A2A" w14:textId="3400453C" w:rsidR="00B907BA" w:rsidRPr="00E76A09" w:rsidRDefault="00B272D2" w:rsidP="004258E7">
      <w:pPr>
        <w:tabs>
          <w:tab w:val="right" w:leader="dot" w:pos="9710"/>
        </w:tabs>
        <w:spacing w:before="0" w:after="0" w:line="240" w:lineRule="auto"/>
        <w:rPr>
          <w:sz w:val="22"/>
          <w:szCs w:val="22"/>
          <w:u w:val="single"/>
        </w:rPr>
      </w:pPr>
      <w:r w:rsidRPr="00E76A09">
        <w:rPr>
          <w:sz w:val="22"/>
          <w:szCs w:val="22"/>
          <w:u w:val="single"/>
        </w:rPr>
        <w:lastRenderedPageBreak/>
        <w:t xml:space="preserve">Intermediate outcomes: </w:t>
      </w:r>
    </w:p>
    <w:p w14:paraId="1EB288F6" w14:textId="1B42A2B4" w:rsidR="00A83DB6" w:rsidRPr="00E76A09" w:rsidRDefault="00A83DB6" w:rsidP="005F1FB6">
      <w:pPr>
        <w:numPr>
          <w:ilvl w:val="0"/>
          <w:numId w:val="42"/>
        </w:numPr>
        <w:tabs>
          <w:tab w:val="right" w:leader="dot" w:pos="9710"/>
        </w:tabs>
        <w:spacing w:before="0" w:after="0" w:line="240" w:lineRule="auto"/>
        <w:rPr>
          <w:sz w:val="22"/>
          <w:szCs w:val="22"/>
        </w:rPr>
      </w:pPr>
      <w:r w:rsidRPr="00E76A09">
        <w:rPr>
          <w:sz w:val="22"/>
          <w:szCs w:val="22"/>
        </w:rPr>
        <w:t>Monitoring of forests, land use and nature integrates latest technical knowledge, leverages innovative platforms and strengthens global datasets, and is guided by good-practice methodologies, ensuring forest countries and their communities can better manage forests, deliver high-integrity forest mitigation programmes, achieve nature restoration targets, and participate effectively in global markets for sustainable commodities</w:t>
      </w:r>
      <w:r w:rsidR="002D4BFA">
        <w:rPr>
          <w:sz w:val="22"/>
          <w:szCs w:val="22"/>
        </w:rPr>
        <w:t>.</w:t>
      </w:r>
      <w:r w:rsidRPr="00E76A09">
        <w:rPr>
          <w:sz w:val="22"/>
          <w:szCs w:val="22"/>
        </w:rPr>
        <w:t> </w:t>
      </w:r>
    </w:p>
    <w:p w14:paraId="423D158A" w14:textId="77777777" w:rsidR="00A83DB6" w:rsidRPr="00E76A09" w:rsidRDefault="00A83DB6" w:rsidP="005F1FB6">
      <w:pPr>
        <w:numPr>
          <w:ilvl w:val="0"/>
          <w:numId w:val="42"/>
        </w:numPr>
        <w:tabs>
          <w:tab w:val="right" w:leader="dot" w:pos="9710"/>
        </w:tabs>
        <w:spacing w:before="0" w:after="0" w:line="240" w:lineRule="auto"/>
        <w:rPr>
          <w:sz w:val="22"/>
          <w:szCs w:val="22"/>
        </w:rPr>
      </w:pPr>
      <w:r w:rsidRPr="00E76A09">
        <w:rPr>
          <w:sz w:val="22"/>
          <w:szCs w:val="22"/>
        </w:rPr>
        <w:t>Forest monitoring progresses towards greater equity and inclusiveness, ensuring that forest communities, youth, women, smallholders and Indigenous Peoples are empowered to participate </w:t>
      </w:r>
    </w:p>
    <w:p w14:paraId="51716900" w14:textId="5A1476BF" w:rsidR="00524DB8" w:rsidRPr="00E76A09" w:rsidRDefault="00A83DB6" w:rsidP="00972DE1">
      <w:pPr>
        <w:numPr>
          <w:ilvl w:val="0"/>
          <w:numId w:val="42"/>
        </w:numPr>
        <w:tabs>
          <w:tab w:val="right" w:leader="dot" w:pos="9710"/>
        </w:tabs>
        <w:spacing w:before="0" w:after="0" w:line="240" w:lineRule="auto"/>
        <w:rPr>
          <w:sz w:val="22"/>
          <w:szCs w:val="22"/>
        </w:rPr>
      </w:pPr>
      <w:r w:rsidRPr="00E76A09">
        <w:rPr>
          <w:sz w:val="22"/>
          <w:szCs w:val="22"/>
        </w:rPr>
        <w:t>Countries develop forest monitoring systems that are sustainable, robust, relevant to policy priorities and accessible to all. </w:t>
      </w:r>
    </w:p>
    <w:p w14:paraId="20D98463" w14:textId="2F9064A2" w:rsidR="00A83DB6" w:rsidRPr="00E76A09" w:rsidRDefault="00A83DB6" w:rsidP="004258E7">
      <w:pPr>
        <w:tabs>
          <w:tab w:val="right" w:leader="dot" w:pos="9710"/>
        </w:tabs>
        <w:spacing w:before="0" w:after="0" w:line="240" w:lineRule="auto"/>
        <w:rPr>
          <w:sz w:val="22"/>
          <w:szCs w:val="22"/>
          <w:u w:val="single"/>
        </w:rPr>
      </w:pPr>
      <w:r w:rsidRPr="00E76A09">
        <w:rPr>
          <w:sz w:val="22"/>
          <w:szCs w:val="22"/>
          <w:u w:val="single"/>
        </w:rPr>
        <w:t xml:space="preserve">Outputs: </w:t>
      </w:r>
    </w:p>
    <w:p w14:paraId="51FD5CE0" w14:textId="77777777" w:rsidR="00A83DB6" w:rsidRPr="00E76A09" w:rsidRDefault="00A83DB6" w:rsidP="005F1FB6">
      <w:pPr>
        <w:numPr>
          <w:ilvl w:val="0"/>
          <w:numId w:val="41"/>
        </w:numPr>
        <w:tabs>
          <w:tab w:val="right" w:leader="dot" w:pos="9710"/>
        </w:tabs>
        <w:spacing w:before="0" w:after="0" w:line="240" w:lineRule="auto"/>
        <w:rPr>
          <w:sz w:val="22"/>
          <w:szCs w:val="22"/>
        </w:rPr>
      </w:pPr>
      <w:r w:rsidRPr="00E76A09">
        <w:rPr>
          <w:sz w:val="22"/>
          <w:szCs w:val="22"/>
        </w:rPr>
        <w:t>Forest data for better management – Technical innovation is advanced through new datasets, innovative tools and platforms, and knowledge is disseminated through open-access learning programmes. </w:t>
      </w:r>
    </w:p>
    <w:p w14:paraId="7FE0CE12" w14:textId="77777777" w:rsidR="00A83DB6" w:rsidRPr="00E76A09" w:rsidRDefault="00A83DB6" w:rsidP="005F1FB6">
      <w:pPr>
        <w:numPr>
          <w:ilvl w:val="0"/>
          <w:numId w:val="41"/>
        </w:numPr>
        <w:tabs>
          <w:tab w:val="right" w:leader="dot" w:pos="9710"/>
        </w:tabs>
        <w:spacing w:before="0" w:after="0" w:line="240" w:lineRule="auto"/>
        <w:rPr>
          <w:sz w:val="22"/>
          <w:szCs w:val="22"/>
        </w:rPr>
      </w:pPr>
      <w:r w:rsidRPr="00E76A09">
        <w:rPr>
          <w:sz w:val="22"/>
          <w:szCs w:val="22"/>
        </w:rPr>
        <w:t>Forest MRV – Methodological challenges are overcome through targeted and widely disseminated research, enabling high-integrity greenhouse-gas estimation and facilitating access to climate finance and conservation payments. </w:t>
      </w:r>
    </w:p>
    <w:p w14:paraId="6E4E916E" w14:textId="77777777" w:rsidR="00A83DB6" w:rsidRPr="00E76A09" w:rsidRDefault="00A83DB6" w:rsidP="005F1FB6">
      <w:pPr>
        <w:numPr>
          <w:ilvl w:val="0"/>
          <w:numId w:val="41"/>
        </w:numPr>
        <w:tabs>
          <w:tab w:val="right" w:leader="dot" w:pos="9710"/>
        </w:tabs>
        <w:spacing w:before="0" w:after="0" w:line="240" w:lineRule="auto"/>
        <w:rPr>
          <w:sz w:val="22"/>
          <w:szCs w:val="22"/>
        </w:rPr>
      </w:pPr>
      <w:r w:rsidRPr="00E76A09">
        <w:rPr>
          <w:sz w:val="22"/>
          <w:szCs w:val="22"/>
        </w:rPr>
        <w:t>AIM4NatuRe – Monitoring of nature restoration progress is advanced through a country-driven global dataset based on improved national reporting, ensuring transparent monitoring and KMGBF reporting and thereby enabling the implementation of restoration commitments. </w:t>
      </w:r>
    </w:p>
    <w:p w14:paraId="572E23C4" w14:textId="77777777" w:rsidR="00A83DB6" w:rsidRPr="00E76A09" w:rsidRDefault="00A83DB6" w:rsidP="005F1FB6">
      <w:pPr>
        <w:numPr>
          <w:ilvl w:val="0"/>
          <w:numId w:val="41"/>
        </w:numPr>
        <w:tabs>
          <w:tab w:val="right" w:leader="dot" w:pos="9710"/>
        </w:tabs>
        <w:spacing w:before="0" w:after="0" w:line="240" w:lineRule="auto"/>
        <w:rPr>
          <w:sz w:val="22"/>
          <w:szCs w:val="22"/>
        </w:rPr>
      </w:pPr>
      <w:r w:rsidRPr="00E76A09">
        <w:rPr>
          <w:sz w:val="22"/>
          <w:szCs w:val="22"/>
        </w:rPr>
        <w:t>AIM4Commodities – The technical components of a digital public infrastructure are developed, and a group of countries is engaged for its roll-out to progress towards transparent commodity supply chains. </w:t>
      </w:r>
    </w:p>
    <w:p w14:paraId="201F0B51" w14:textId="77777777" w:rsidR="00A83DB6" w:rsidRPr="00E76A09" w:rsidRDefault="00A83DB6" w:rsidP="005F1FB6">
      <w:pPr>
        <w:numPr>
          <w:ilvl w:val="0"/>
          <w:numId w:val="41"/>
        </w:numPr>
        <w:tabs>
          <w:tab w:val="right" w:leader="dot" w:pos="9710"/>
        </w:tabs>
        <w:spacing w:before="0" w:after="0" w:line="240" w:lineRule="auto"/>
        <w:rPr>
          <w:sz w:val="22"/>
          <w:szCs w:val="22"/>
        </w:rPr>
      </w:pPr>
      <w:r w:rsidRPr="00E76A09">
        <w:rPr>
          <w:sz w:val="22"/>
          <w:szCs w:val="22"/>
        </w:rPr>
        <w:t>Forest monitoring for Indigenous Peoples and forest communities – Indigenous Peoples are engaged in a community of practice to build capacity, showcase their forest stewardship, and help guide monitoring and reporting environments to accommodate contributions from Indigenous Peoples. </w:t>
      </w:r>
    </w:p>
    <w:p w14:paraId="6201F897" w14:textId="77777777" w:rsidR="00A83DB6" w:rsidRPr="00E76A09" w:rsidRDefault="00A83DB6" w:rsidP="005F1FB6">
      <w:pPr>
        <w:numPr>
          <w:ilvl w:val="0"/>
          <w:numId w:val="41"/>
        </w:numPr>
        <w:tabs>
          <w:tab w:val="right" w:leader="dot" w:pos="9710"/>
        </w:tabs>
        <w:spacing w:before="0" w:after="0" w:line="240" w:lineRule="auto"/>
        <w:rPr>
          <w:sz w:val="22"/>
          <w:szCs w:val="22"/>
        </w:rPr>
      </w:pPr>
      <w:r w:rsidRPr="00E76A09">
        <w:rPr>
          <w:sz w:val="22"/>
          <w:szCs w:val="22"/>
        </w:rPr>
        <w:t>Forest country governments are engaged in Country-Led Planning towards strengthening technical and functional capacity for forest monitoring and embedding forest monitoring into national institutions. </w:t>
      </w:r>
    </w:p>
    <w:p w14:paraId="291A3371" w14:textId="7AE393B1" w:rsidR="00A83DB6" w:rsidRPr="00E76A09" w:rsidRDefault="00A83DB6" w:rsidP="005F1FB6">
      <w:pPr>
        <w:numPr>
          <w:ilvl w:val="0"/>
          <w:numId w:val="41"/>
        </w:numPr>
        <w:tabs>
          <w:tab w:val="right" w:leader="dot" w:pos="9710"/>
        </w:tabs>
        <w:spacing w:before="0" w:after="0" w:line="240" w:lineRule="auto"/>
        <w:rPr>
          <w:sz w:val="22"/>
          <w:szCs w:val="22"/>
        </w:rPr>
      </w:pPr>
      <w:r w:rsidRPr="00E76A09">
        <w:rPr>
          <w:sz w:val="22"/>
          <w:szCs w:val="22"/>
        </w:rPr>
        <w:t>Countries receive forest monitoring technical assistance to address technical and functional capacity gaps within their forest monitoring systems: forest data for better management, forest MRV, monitoring of nature restoration progress, and transparent commodity supply chains. </w:t>
      </w:r>
    </w:p>
    <w:p w14:paraId="5D3651E7" w14:textId="77777777" w:rsidR="00524DB8" w:rsidRPr="00E76A09" w:rsidRDefault="00524DB8" w:rsidP="006B6ECE">
      <w:pPr>
        <w:tabs>
          <w:tab w:val="right" w:leader="dot" w:pos="9710"/>
        </w:tabs>
        <w:spacing w:before="0" w:after="0" w:line="240" w:lineRule="auto"/>
        <w:ind w:left="360"/>
        <w:rPr>
          <w:sz w:val="22"/>
          <w:szCs w:val="22"/>
          <w:u w:val="single"/>
        </w:rPr>
      </w:pPr>
    </w:p>
    <w:p w14:paraId="314E8004" w14:textId="06D61027" w:rsidR="00A83DB6" w:rsidRPr="00E76A09" w:rsidRDefault="00A83DB6" w:rsidP="004258E7">
      <w:pPr>
        <w:tabs>
          <w:tab w:val="right" w:leader="dot" w:pos="9710"/>
        </w:tabs>
        <w:spacing w:before="0" w:after="0" w:line="240" w:lineRule="auto"/>
        <w:rPr>
          <w:sz w:val="22"/>
          <w:szCs w:val="22"/>
          <w:u w:val="single"/>
        </w:rPr>
      </w:pPr>
      <w:r w:rsidRPr="00E76A09">
        <w:rPr>
          <w:sz w:val="22"/>
          <w:szCs w:val="22"/>
          <w:u w:val="single"/>
        </w:rPr>
        <w:t xml:space="preserve">Assumptions </w:t>
      </w:r>
    </w:p>
    <w:p w14:paraId="494BF51C" w14:textId="77777777" w:rsidR="00C631FF" w:rsidRPr="00E76A09" w:rsidRDefault="00C631FF" w:rsidP="004258E7">
      <w:pPr>
        <w:tabs>
          <w:tab w:val="right" w:leader="dot" w:pos="9710"/>
        </w:tabs>
        <w:spacing w:before="0" w:after="0" w:line="240" w:lineRule="auto"/>
        <w:rPr>
          <w:sz w:val="22"/>
          <w:szCs w:val="22"/>
        </w:rPr>
      </w:pPr>
      <w:r w:rsidRPr="00E76A09">
        <w:rPr>
          <w:sz w:val="22"/>
          <w:szCs w:val="22"/>
        </w:rPr>
        <w:t xml:space="preserve">The programme relies on </w:t>
      </w:r>
      <w:proofErr w:type="gramStart"/>
      <w:r w:rsidRPr="00E76A09">
        <w:rPr>
          <w:sz w:val="22"/>
          <w:szCs w:val="22"/>
        </w:rPr>
        <w:t>a number of</w:t>
      </w:r>
      <w:proofErr w:type="gramEnd"/>
      <w:r w:rsidRPr="00E76A09">
        <w:rPr>
          <w:sz w:val="22"/>
          <w:szCs w:val="22"/>
        </w:rPr>
        <w:t xml:space="preserve"> inter-related assumptions at different levels in the theory of change. These are summarised below. </w:t>
      </w:r>
    </w:p>
    <w:p w14:paraId="0206FEDB" w14:textId="77777777" w:rsidR="00C631FF" w:rsidRPr="00E76A09" w:rsidRDefault="00C631FF" w:rsidP="004258E7">
      <w:pPr>
        <w:tabs>
          <w:tab w:val="right" w:leader="dot" w:pos="9710"/>
        </w:tabs>
        <w:spacing w:before="0" w:after="0" w:line="240" w:lineRule="auto"/>
        <w:rPr>
          <w:sz w:val="22"/>
          <w:szCs w:val="22"/>
        </w:rPr>
      </w:pPr>
      <w:r w:rsidRPr="00E76A09">
        <w:rPr>
          <w:sz w:val="22"/>
          <w:szCs w:val="22"/>
        </w:rPr>
        <w:t> </w:t>
      </w:r>
    </w:p>
    <w:p w14:paraId="616BB634" w14:textId="77777777" w:rsidR="00C631FF" w:rsidRPr="00E76A09" w:rsidRDefault="00C631FF" w:rsidP="004258E7">
      <w:pPr>
        <w:tabs>
          <w:tab w:val="right" w:leader="dot" w:pos="9710"/>
        </w:tabs>
        <w:spacing w:before="0" w:after="0" w:line="240" w:lineRule="auto"/>
        <w:rPr>
          <w:sz w:val="22"/>
          <w:szCs w:val="22"/>
        </w:rPr>
      </w:pPr>
      <w:r w:rsidRPr="00E76A09">
        <w:rPr>
          <w:sz w:val="22"/>
          <w:szCs w:val="22"/>
        </w:rPr>
        <w:t>Key assumptions: Outputs to Intermediate outcomes </w:t>
      </w:r>
    </w:p>
    <w:p w14:paraId="7C39CDE5" w14:textId="77777777" w:rsidR="00C631FF" w:rsidRPr="00E76A09" w:rsidRDefault="00C631FF" w:rsidP="005F1FB6">
      <w:pPr>
        <w:numPr>
          <w:ilvl w:val="0"/>
          <w:numId w:val="40"/>
        </w:numPr>
        <w:tabs>
          <w:tab w:val="right" w:leader="dot" w:pos="9710"/>
        </w:tabs>
        <w:spacing w:before="0" w:after="0" w:line="240" w:lineRule="auto"/>
        <w:rPr>
          <w:sz w:val="22"/>
          <w:szCs w:val="22"/>
        </w:rPr>
      </w:pPr>
      <w:r w:rsidRPr="00E76A09">
        <w:rPr>
          <w:sz w:val="22"/>
          <w:szCs w:val="22"/>
        </w:rPr>
        <w:t>AIM4Forests technical solutions effectively meet country demand while leveraging innovation. </w:t>
      </w:r>
    </w:p>
    <w:p w14:paraId="509CB557" w14:textId="77777777" w:rsidR="00C631FF" w:rsidRPr="00E76A09" w:rsidRDefault="00C631FF" w:rsidP="005F1FB6">
      <w:pPr>
        <w:numPr>
          <w:ilvl w:val="0"/>
          <w:numId w:val="40"/>
        </w:numPr>
        <w:tabs>
          <w:tab w:val="right" w:leader="dot" w:pos="9710"/>
        </w:tabs>
        <w:spacing w:before="0" w:after="0" w:line="240" w:lineRule="auto"/>
        <w:rPr>
          <w:sz w:val="22"/>
          <w:szCs w:val="22"/>
        </w:rPr>
      </w:pPr>
      <w:r w:rsidRPr="00E76A09">
        <w:rPr>
          <w:sz w:val="22"/>
          <w:szCs w:val="22"/>
        </w:rPr>
        <w:t>AIM4Forests identifies the methodological gaps that matter most. </w:t>
      </w:r>
    </w:p>
    <w:p w14:paraId="26E59ADB" w14:textId="77777777" w:rsidR="00C631FF" w:rsidRPr="00E76A09" w:rsidRDefault="00C631FF" w:rsidP="005F1FB6">
      <w:pPr>
        <w:numPr>
          <w:ilvl w:val="0"/>
          <w:numId w:val="40"/>
        </w:numPr>
        <w:tabs>
          <w:tab w:val="right" w:leader="dot" w:pos="9710"/>
        </w:tabs>
        <w:spacing w:before="0" w:after="0" w:line="240" w:lineRule="auto"/>
        <w:rPr>
          <w:sz w:val="22"/>
          <w:szCs w:val="22"/>
        </w:rPr>
      </w:pPr>
      <w:r w:rsidRPr="00E76A09">
        <w:rPr>
          <w:sz w:val="22"/>
          <w:szCs w:val="22"/>
        </w:rPr>
        <w:t>AIM4Forests manages to effectively engage key actors, including governments, the private sector, civil society, Indigenous Peoples, forest communities and others. </w:t>
      </w:r>
    </w:p>
    <w:p w14:paraId="51728BA4" w14:textId="77777777" w:rsidR="00C631FF" w:rsidRPr="00E76A09" w:rsidRDefault="00C631FF" w:rsidP="005F1FB6">
      <w:pPr>
        <w:numPr>
          <w:ilvl w:val="0"/>
          <w:numId w:val="40"/>
        </w:numPr>
        <w:tabs>
          <w:tab w:val="right" w:leader="dot" w:pos="9710"/>
        </w:tabs>
        <w:spacing w:before="0" w:after="0" w:line="240" w:lineRule="auto"/>
        <w:rPr>
          <w:sz w:val="22"/>
          <w:szCs w:val="22"/>
        </w:rPr>
      </w:pPr>
      <w:r w:rsidRPr="00E76A09">
        <w:rPr>
          <w:sz w:val="22"/>
          <w:szCs w:val="22"/>
        </w:rPr>
        <w:t>AIM4Forests manages to identify key functional gaps in countries’ forest monitoring systems that stakeholders see as relevant to their priorities. </w:t>
      </w:r>
    </w:p>
    <w:p w14:paraId="3263E261" w14:textId="77777777" w:rsidR="00C631FF" w:rsidRPr="00E76A09" w:rsidRDefault="00C631FF" w:rsidP="005F1FB6">
      <w:pPr>
        <w:numPr>
          <w:ilvl w:val="0"/>
          <w:numId w:val="40"/>
        </w:numPr>
        <w:tabs>
          <w:tab w:val="right" w:leader="dot" w:pos="9710"/>
        </w:tabs>
        <w:spacing w:before="0" w:after="0" w:line="240" w:lineRule="auto"/>
        <w:rPr>
          <w:sz w:val="22"/>
          <w:szCs w:val="22"/>
        </w:rPr>
      </w:pPr>
      <w:r w:rsidRPr="00E76A09">
        <w:rPr>
          <w:sz w:val="22"/>
          <w:szCs w:val="22"/>
        </w:rPr>
        <w:t>National policies and legal frameworks enable cross-sectoral collaboration and are receptive towards engaging empowered forest communities and Indigenous Peoples in forest monitoring. </w:t>
      </w:r>
    </w:p>
    <w:p w14:paraId="3CF067E0" w14:textId="77777777" w:rsidR="00C631FF" w:rsidRPr="00E76A09" w:rsidRDefault="00C631FF" w:rsidP="005F1FB6">
      <w:pPr>
        <w:numPr>
          <w:ilvl w:val="0"/>
          <w:numId w:val="40"/>
        </w:numPr>
        <w:tabs>
          <w:tab w:val="right" w:leader="dot" w:pos="9710"/>
        </w:tabs>
        <w:spacing w:before="0" w:after="0" w:line="240" w:lineRule="auto"/>
        <w:rPr>
          <w:sz w:val="22"/>
          <w:szCs w:val="22"/>
        </w:rPr>
      </w:pPr>
      <w:r w:rsidRPr="00E76A09">
        <w:rPr>
          <w:sz w:val="22"/>
          <w:szCs w:val="22"/>
        </w:rPr>
        <w:t>Emerging international reporting contexts surrounding carbon markets, commodity supply chains and restoration provide a role for forest communities and Indigenous Peoples. </w:t>
      </w:r>
    </w:p>
    <w:p w14:paraId="6DCDBE89" w14:textId="77777777" w:rsidR="00C631FF" w:rsidRPr="00E76A09" w:rsidRDefault="00C631FF" w:rsidP="005F1FB6">
      <w:pPr>
        <w:numPr>
          <w:ilvl w:val="0"/>
          <w:numId w:val="40"/>
        </w:numPr>
        <w:tabs>
          <w:tab w:val="right" w:leader="dot" w:pos="9710"/>
        </w:tabs>
        <w:spacing w:before="0" w:after="0" w:line="240" w:lineRule="auto"/>
        <w:rPr>
          <w:sz w:val="22"/>
          <w:szCs w:val="22"/>
        </w:rPr>
      </w:pPr>
      <w:r w:rsidRPr="00E76A09">
        <w:rPr>
          <w:sz w:val="22"/>
          <w:szCs w:val="22"/>
        </w:rPr>
        <w:t>AIM4Forests has access to needed funds and human resources to provide technical assistance. </w:t>
      </w:r>
    </w:p>
    <w:p w14:paraId="09137686" w14:textId="77777777" w:rsidR="00C631FF" w:rsidRPr="00E76A09" w:rsidRDefault="00C631FF" w:rsidP="005F1FB6">
      <w:pPr>
        <w:numPr>
          <w:ilvl w:val="0"/>
          <w:numId w:val="40"/>
        </w:numPr>
        <w:tabs>
          <w:tab w:val="right" w:leader="dot" w:pos="9710"/>
        </w:tabs>
        <w:spacing w:before="0" w:after="0" w:line="240" w:lineRule="auto"/>
        <w:rPr>
          <w:sz w:val="22"/>
          <w:szCs w:val="22"/>
        </w:rPr>
      </w:pPr>
      <w:r w:rsidRPr="00E76A09">
        <w:rPr>
          <w:sz w:val="22"/>
          <w:szCs w:val="22"/>
        </w:rPr>
        <w:t>Governments are committed to strengthening their technical and functional forest monitoring capacity and taking on board innovative technical solutions. </w:t>
      </w:r>
    </w:p>
    <w:p w14:paraId="4AB6A3C2" w14:textId="77777777" w:rsidR="00C631FF" w:rsidRPr="00E76A09" w:rsidRDefault="00C631FF" w:rsidP="005F1FB6">
      <w:pPr>
        <w:numPr>
          <w:ilvl w:val="0"/>
          <w:numId w:val="40"/>
        </w:numPr>
        <w:tabs>
          <w:tab w:val="right" w:leader="dot" w:pos="9710"/>
        </w:tabs>
        <w:spacing w:before="0" w:after="0" w:line="240" w:lineRule="auto"/>
        <w:rPr>
          <w:sz w:val="22"/>
          <w:szCs w:val="22"/>
        </w:rPr>
      </w:pPr>
      <w:r w:rsidRPr="00E76A09">
        <w:rPr>
          <w:sz w:val="22"/>
          <w:szCs w:val="22"/>
        </w:rPr>
        <w:t>AIM4Forests implements activities in an economical way, with a focus on efficiency and effectiveness, making sure to reach marginalised groups in an equitable way – all ultimately for delivering impact in a cost-effective manner. </w:t>
      </w:r>
    </w:p>
    <w:p w14:paraId="23899EDE" w14:textId="77777777" w:rsidR="00A83DB6" w:rsidRPr="00E76A09" w:rsidRDefault="00A83DB6" w:rsidP="004258E7">
      <w:pPr>
        <w:tabs>
          <w:tab w:val="right" w:leader="dot" w:pos="9710"/>
        </w:tabs>
        <w:spacing w:before="0" w:after="0" w:line="240" w:lineRule="auto"/>
        <w:rPr>
          <w:sz w:val="22"/>
          <w:szCs w:val="22"/>
        </w:rPr>
      </w:pPr>
    </w:p>
    <w:p w14:paraId="7A61B774" w14:textId="77777777" w:rsidR="00C920F3" w:rsidRPr="00E76A09" w:rsidRDefault="00C920F3" w:rsidP="004258E7">
      <w:pPr>
        <w:tabs>
          <w:tab w:val="right" w:leader="dot" w:pos="9710"/>
        </w:tabs>
        <w:spacing w:before="0" w:after="0" w:line="240" w:lineRule="auto"/>
        <w:rPr>
          <w:sz w:val="22"/>
          <w:szCs w:val="22"/>
        </w:rPr>
      </w:pPr>
      <w:r w:rsidRPr="00E76A09">
        <w:rPr>
          <w:sz w:val="22"/>
          <w:szCs w:val="22"/>
        </w:rPr>
        <w:lastRenderedPageBreak/>
        <w:t>Key assumptions: Intermediate outcomes to outcomes and to impact </w:t>
      </w:r>
    </w:p>
    <w:p w14:paraId="11C7D94D" w14:textId="77777777" w:rsidR="00C920F3" w:rsidRPr="00E76A09" w:rsidRDefault="00C920F3" w:rsidP="006A43FC">
      <w:pPr>
        <w:pStyle w:val="Style3"/>
      </w:pPr>
      <w:r w:rsidRPr="00E76A09">
        <w:t>Donors remain committed to climate finance (including under new results-based modalities such as TFFF). </w:t>
      </w:r>
    </w:p>
    <w:p w14:paraId="3AE811B3" w14:textId="77777777" w:rsidR="00C920F3" w:rsidRPr="00E76A09" w:rsidRDefault="00C920F3" w:rsidP="006A43FC">
      <w:pPr>
        <w:pStyle w:val="Style3"/>
      </w:pPr>
      <w:r w:rsidRPr="00E76A09">
        <w:t>Carbon markets increasingly take up forest mitigation (including the Paris Agreement’s Article 6). </w:t>
      </w:r>
    </w:p>
    <w:p w14:paraId="73FBD8BD" w14:textId="77777777" w:rsidR="00C920F3" w:rsidRPr="00E76A09" w:rsidRDefault="00C920F3" w:rsidP="006A43FC">
      <w:pPr>
        <w:pStyle w:val="Style3"/>
      </w:pPr>
      <w:r w:rsidRPr="00E76A09">
        <w:t>Related programmes for results-based funding and technical assistance proceed successfully (FCPF, ISFL, REM, LEAF, UN-REDD, GCF, NICFI, others). </w:t>
      </w:r>
    </w:p>
    <w:p w14:paraId="1FB6CD43" w14:textId="77777777" w:rsidR="00C920F3" w:rsidRPr="00E76A09" w:rsidRDefault="00C920F3" w:rsidP="006A43FC">
      <w:pPr>
        <w:pStyle w:val="Style3"/>
      </w:pPr>
      <w:r w:rsidRPr="00E76A09">
        <w:t>Forest countries continue with strong political commitment to managing forests sustainably, reducing deforestation, sustainable commodity production, nature restoration – and using forest monitoring as enabler. </w:t>
      </w:r>
    </w:p>
    <w:p w14:paraId="42ED4DE5" w14:textId="77777777" w:rsidR="00C920F3" w:rsidRPr="00E76A09" w:rsidRDefault="00C920F3" w:rsidP="006A43FC">
      <w:pPr>
        <w:pStyle w:val="Style3"/>
      </w:pPr>
      <w:r w:rsidRPr="00E76A09">
        <w:t>The international community’s efforts to address deforestation (e.g., through nature restoration and through transparent commodity supply chains) continue gaining momentum, leveraging strong information and data. </w:t>
      </w:r>
    </w:p>
    <w:p w14:paraId="31EE504A" w14:textId="77777777" w:rsidR="00A83DB6" w:rsidRPr="00E76A09" w:rsidRDefault="00A83DB6" w:rsidP="006B6ECE">
      <w:pPr>
        <w:tabs>
          <w:tab w:val="right" w:leader="dot" w:pos="9710"/>
        </w:tabs>
        <w:spacing w:before="0" w:after="0" w:line="240" w:lineRule="auto"/>
        <w:ind w:left="360"/>
        <w:rPr>
          <w:sz w:val="22"/>
          <w:szCs w:val="22"/>
        </w:rPr>
      </w:pPr>
    </w:p>
    <w:p w14:paraId="37B2D964" w14:textId="629DE8A2" w:rsidR="00B907BA" w:rsidRPr="00E76A09" w:rsidRDefault="00315437" w:rsidP="004258E7">
      <w:pPr>
        <w:pStyle w:val="Style1"/>
        <w:ind w:left="426" w:hanging="436"/>
        <w:rPr>
          <w:sz w:val="24"/>
          <w:szCs w:val="24"/>
        </w:rPr>
      </w:pPr>
      <w:r w:rsidRPr="00E76A09">
        <w:rPr>
          <w:sz w:val="24"/>
          <w:szCs w:val="24"/>
        </w:rPr>
        <w:t xml:space="preserve">High level potential risks </w:t>
      </w:r>
    </w:p>
    <w:p w14:paraId="6005A0DB" w14:textId="651842BB" w:rsidR="00C01BC5" w:rsidRPr="00E76A09" w:rsidRDefault="00C01BC5" w:rsidP="004258E7">
      <w:pPr>
        <w:pStyle w:val="Style2"/>
        <w:ind w:left="0"/>
      </w:pPr>
      <w:r w:rsidRPr="00E76A09">
        <w:t xml:space="preserve">The full risk register can be found in </w:t>
      </w:r>
      <w:r w:rsidRPr="00E76A09">
        <w:rPr>
          <w:b/>
          <w:bCs/>
        </w:rPr>
        <w:t xml:space="preserve">Annex </w:t>
      </w:r>
      <w:r w:rsidR="00176933" w:rsidRPr="00E76A09">
        <w:rPr>
          <w:b/>
          <w:bCs/>
        </w:rPr>
        <w:t>F</w:t>
      </w:r>
      <w:r w:rsidRPr="00E76A09">
        <w:t xml:space="preserve">, with </w:t>
      </w:r>
      <w:r w:rsidR="00980C84" w:rsidRPr="00E76A09">
        <w:t>specific</w:t>
      </w:r>
      <w:r w:rsidRPr="00E76A09">
        <w:t xml:space="preserve"> commercial and financial risks also found in their relevant sections of the business case.  </w:t>
      </w:r>
    </w:p>
    <w:p w14:paraId="2B44531C" w14:textId="1B869E88" w:rsidR="00A65A55" w:rsidRPr="00E76A09" w:rsidRDefault="00A65A55" w:rsidP="00A65A55">
      <w:pPr>
        <w:pStyle w:val="ListParagraph"/>
        <w:numPr>
          <w:ilvl w:val="0"/>
          <w:numId w:val="38"/>
        </w:numPr>
        <w:spacing w:after="0"/>
        <w:rPr>
          <w:rFonts w:ascii="Calibri" w:eastAsia="Times New Roman" w:hAnsi="Calibri" w:cs="Calibri"/>
          <w:sz w:val="22"/>
          <w:szCs w:val="22"/>
        </w:rPr>
      </w:pPr>
      <w:r w:rsidRPr="4D1D02B1">
        <w:rPr>
          <w:rFonts w:ascii="Calibri" w:eastAsia="Times New Roman" w:hAnsi="Calibri" w:cs="Calibri"/>
          <w:sz w:val="22"/>
          <w:szCs w:val="22"/>
        </w:rPr>
        <w:t>Constrained RDEL budgets which have meant that only £1</w:t>
      </w:r>
      <w:r w:rsidR="6D19A1A2" w:rsidRPr="4D1D02B1">
        <w:rPr>
          <w:rFonts w:ascii="Calibri" w:eastAsia="Times New Roman" w:hAnsi="Calibri" w:cs="Calibri"/>
          <w:sz w:val="22"/>
          <w:szCs w:val="22"/>
        </w:rPr>
        <w:t>6</w:t>
      </w:r>
      <w:r w:rsidRPr="4D1D02B1">
        <w:rPr>
          <w:rFonts w:ascii="Calibri" w:eastAsia="Times New Roman" w:hAnsi="Calibri" w:cs="Calibri"/>
          <w:sz w:val="22"/>
          <w:szCs w:val="22"/>
        </w:rPr>
        <w:t xml:space="preserve">.9m can be spent within this financial year. </w:t>
      </w:r>
    </w:p>
    <w:p w14:paraId="74602298" w14:textId="77777777" w:rsidR="00C01BC5" w:rsidRPr="00E76A09" w:rsidRDefault="00C01BC5" w:rsidP="00A65A55">
      <w:pPr>
        <w:pStyle w:val="Style2"/>
        <w:numPr>
          <w:ilvl w:val="0"/>
          <w:numId w:val="38"/>
        </w:numPr>
      </w:pPr>
      <w:r w:rsidRPr="00E76A09">
        <w:t>Downturns in national and/or state economies reduce public spending and appetite for forest protection, or for working with international donor community. Political and economic environment in the countries does not favour improved management of natural resources using better information. </w:t>
      </w:r>
    </w:p>
    <w:p w14:paraId="143F6C00" w14:textId="77777777" w:rsidR="00C01BC5" w:rsidRPr="00E76A09" w:rsidRDefault="00C01BC5" w:rsidP="005F1FB6">
      <w:pPr>
        <w:pStyle w:val="Style2"/>
        <w:numPr>
          <w:ilvl w:val="0"/>
          <w:numId w:val="38"/>
        </w:numPr>
      </w:pPr>
      <w:r w:rsidRPr="00E76A09">
        <w:t>Fiduciary – delivery delays, performance issues, lack of disbursement capacity/capability means funding is not effectively utilised or improper use. </w:t>
      </w:r>
    </w:p>
    <w:p w14:paraId="053099CE" w14:textId="77777777" w:rsidR="00C01BC5" w:rsidRPr="00E76A09" w:rsidRDefault="00C01BC5" w:rsidP="005F1FB6">
      <w:pPr>
        <w:pStyle w:val="Style2"/>
        <w:numPr>
          <w:ilvl w:val="0"/>
          <w:numId w:val="38"/>
        </w:numPr>
      </w:pPr>
      <w:r w:rsidRPr="00E76A09">
        <w:t>Reputational risks including potential negative perception of REDD+, potential failure when investing in new/ innovative technologies, or global backlash against carbon finance for forests.   </w:t>
      </w:r>
    </w:p>
    <w:p w14:paraId="7DF75692" w14:textId="77777777" w:rsidR="00C01BC5" w:rsidRPr="00E76A09" w:rsidRDefault="00C01BC5" w:rsidP="005F1FB6">
      <w:pPr>
        <w:pStyle w:val="Style2"/>
        <w:numPr>
          <w:ilvl w:val="0"/>
          <w:numId w:val="38"/>
        </w:numPr>
      </w:pPr>
      <w:r w:rsidRPr="00E76A09">
        <w:t>Conflict in countries escalates or changes in political leadership causes criticism/weakening of environmental protection legislation at national/state level and reduces progress and emphasis on REDD+ and forest protection. </w:t>
      </w:r>
    </w:p>
    <w:p w14:paraId="0BE22C85" w14:textId="77777777" w:rsidR="00C01BC5" w:rsidRPr="00E76A09" w:rsidRDefault="00C01BC5" w:rsidP="005F1FB6">
      <w:pPr>
        <w:pStyle w:val="Style2"/>
        <w:numPr>
          <w:ilvl w:val="0"/>
          <w:numId w:val="38"/>
        </w:numPr>
      </w:pPr>
      <w:r w:rsidRPr="00E76A09">
        <w:t>Consumer-side regulation on deforestation-free commodity production fails to deliver positive results. </w:t>
      </w:r>
    </w:p>
    <w:p w14:paraId="40848CA4" w14:textId="7C9402D0" w:rsidR="00524DB8" w:rsidRPr="00E76A09" w:rsidRDefault="00C01BC5" w:rsidP="005F1FB6">
      <w:pPr>
        <w:pStyle w:val="Style2"/>
        <w:numPr>
          <w:ilvl w:val="0"/>
          <w:numId w:val="38"/>
        </w:numPr>
      </w:pPr>
      <w:r w:rsidRPr="00E76A09">
        <w:t>AIM4Forests helps establish NFMS that produce datasets of mediocre quality, that are less relevant to priorities of country stakeholders or not accessible to stakeholders. </w:t>
      </w:r>
    </w:p>
    <w:p w14:paraId="16F4618B" w14:textId="77777777" w:rsidR="00880072" w:rsidRPr="00E76A09" w:rsidRDefault="00880072" w:rsidP="00880072">
      <w:pPr>
        <w:pStyle w:val="Style2"/>
        <w:ind w:left="1004"/>
      </w:pPr>
    </w:p>
    <w:p w14:paraId="7A07256F" w14:textId="23F01704" w:rsidR="00524DB8" w:rsidRPr="00E76A09" w:rsidRDefault="00C01BC5" w:rsidP="004258E7">
      <w:pPr>
        <w:pStyle w:val="Style2"/>
        <w:ind w:left="0"/>
      </w:pPr>
      <w:r w:rsidRPr="00E76A09">
        <w:t>The programme</w:t>
      </w:r>
      <w:r w:rsidR="00880072" w:rsidRPr="00E76A09">
        <w:t xml:space="preserve"> extension</w:t>
      </w:r>
      <w:r w:rsidRPr="00E76A09">
        <w:t xml:space="preserve"> will deploy a range of mitigation strategies for these risks, including appointing an appropriate delivery partner with strong capability and experience in forest monitoring, and ensuring continuous and adequate information sharing with the delivery partner.  </w:t>
      </w:r>
    </w:p>
    <w:p w14:paraId="563EA38D" w14:textId="77777777" w:rsidR="00880072" w:rsidRPr="00E76A09" w:rsidRDefault="00880072" w:rsidP="004258E7">
      <w:pPr>
        <w:pStyle w:val="Style2"/>
        <w:ind w:left="0"/>
      </w:pPr>
    </w:p>
    <w:p w14:paraId="665C2F68" w14:textId="144FA30A" w:rsidR="00C01BC5" w:rsidRPr="00E76A09" w:rsidRDefault="00C01BC5" w:rsidP="004258E7">
      <w:pPr>
        <w:pStyle w:val="Style1"/>
        <w:ind w:left="426" w:hanging="436"/>
        <w:rPr>
          <w:sz w:val="24"/>
          <w:szCs w:val="24"/>
        </w:rPr>
      </w:pPr>
      <w:r w:rsidRPr="00E76A09">
        <w:rPr>
          <w:sz w:val="24"/>
          <w:szCs w:val="24"/>
        </w:rPr>
        <w:t xml:space="preserve">Legal considerations and wider policies </w:t>
      </w:r>
    </w:p>
    <w:p w14:paraId="5E0F57F7" w14:textId="7B539617" w:rsidR="5083BC2C" w:rsidRPr="00E76A09" w:rsidRDefault="000A739B" w:rsidP="00AC1732">
      <w:pPr>
        <w:pStyle w:val="Style1"/>
        <w:numPr>
          <w:ilvl w:val="0"/>
          <w:numId w:val="0"/>
        </w:numPr>
        <w:rPr>
          <w:rStyle w:val="normaltextrun"/>
        </w:rPr>
      </w:pPr>
      <w:r w:rsidRPr="00E76A09">
        <w:rPr>
          <w:i w:val="0"/>
          <w:iCs w:val="0"/>
        </w:rPr>
        <w:t xml:space="preserve">1.7.1 </w:t>
      </w:r>
      <w:r w:rsidR="00C01BC5" w:rsidRPr="00E76A09">
        <w:rPr>
          <w:i w:val="0"/>
          <w:iCs w:val="0"/>
        </w:rPr>
        <w:t xml:space="preserve">Equality objective </w:t>
      </w:r>
    </w:p>
    <w:p w14:paraId="6B19ACF9" w14:textId="539AB5E8" w:rsidR="53EC6C15" w:rsidRPr="00E76A09" w:rsidRDefault="4A992807" w:rsidP="74280F47">
      <w:pPr>
        <w:pStyle w:val="Style2"/>
        <w:ind w:left="0"/>
        <w:rPr>
          <w:rStyle w:val="normaltextrun"/>
          <w:u w:val="single"/>
        </w:rPr>
      </w:pPr>
      <w:r w:rsidRPr="00E76A09">
        <w:rPr>
          <w:rStyle w:val="normaltextrun"/>
          <w:u w:val="single"/>
        </w:rPr>
        <w:t xml:space="preserve">Social inclusion and gender </w:t>
      </w:r>
    </w:p>
    <w:p w14:paraId="3E780F0B" w14:textId="218345AF" w:rsidR="49EA6254" w:rsidRPr="00E76A09" w:rsidRDefault="3CD34B53" w:rsidP="5C108993">
      <w:pPr>
        <w:pStyle w:val="Style2"/>
        <w:ind w:left="0"/>
        <w:rPr>
          <w:rStyle w:val="normaltextrun"/>
        </w:rPr>
      </w:pPr>
      <w:r w:rsidRPr="6B857F8B">
        <w:rPr>
          <w:rStyle w:val="normaltextrun"/>
        </w:rPr>
        <w:t xml:space="preserve">AIM4Forests aims to support countries </w:t>
      </w:r>
      <w:r w:rsidR="56DA0A83" w:rsidRPr="6B857F8B">
        <w:rPr>
          <w:rStyle w:val="normaltextrun"/>
        </w:rPr>
        <w:t xml:space="preserve">with forest monitoring and MRV systems which will enable them to access climate </w:t>
      </w:r>
      <w:proofErr w:type="gramStart"/>
      <w:r w:rsidR="56DA0A83" w:rsidRPr="6B857F8B">
        <w:rPr>
          <w:rStyle w:val="normaltextrun"/>
        </w:rPr>
        <w:t>finance, and</w:t>
      </w:r>
      <w:proofErr w:type="gramEnd"/>
      <w:r w:rsidR="56DA0A83" w:rsidRPr="6B857F8B">
        <w:rPr>
          <w:rStyle w:val="normaltextrun"/>
        </w:rPr>
        <w:t xml:space="preserve"> deliver against Sustainable Development Goals. </w:t>
      </w:r>
      <w:r w:rsidR="2FAA1722" w:rsidRPr="6B857F8B">
        <w:rPr>
          <w:rStyle w:val="normaltextrun"/>
        </w:rPr>
        <w:t xml:space="preserve">The programme will ensure that appropriate social safeguards are in place and expect suppliers that DESNZ fund to factor equality-related considerations into the use of DESNZ funds. </w:t>
      </w:r>
      <w:r w:rsidR="34F5E5A0" w:rsidRPr="6B857F8B">
        <w:rPr>
          <w:rStyle w:val="normaltextrun"/>
        </w:rPr>
        <w:t xml:space="preserve">AIM4Forests aims to strengthen the role and technical capacities of Indigenous Peoples, and other customary communities such as Afro-Descendent Peoples, Pygmy Peoples, pastoralists, fisherfolk, and smallholder farmers, in forest monitoring, enabling them to better manage, restore, and conserve their forest lands, resources, and territories. The programme also supports efforts to secure the tenure rights and improved access and participation in key global policy and finance frameworks, such as the Kunming-Montreal Global Biodiversity Framework under the Convention on Biological Diversity (CBD).   </w:t>
      </w:r>
    </w:p>
    <w:p w14:paraId="0A5D87E0" w14:textId="77777777" w:rsidR="00AC1732" w:rsidRPr="00E76A09" w:rsidRDefault="00AC1732" w:rsidP="773486F4">
      <w:pPr>
        <w:pStyle w:val="Style2"/>
        <w:ind w:left="0"/>
        <w:rPr>
          <w:rStyle w:val="normaltextrun"/>
        </w:rPr>
      </w:pPr>
    </w:p>
    <w:p w14:paraId="247DF2DB" w14:textId="20D0EE95" w:rsidR="00274D02" w:rsidRPr="00E76A09" w:rsidRDefault="043CA3B6" w:rsidP="773486F4">
      <w:pPr>
        <w:pStyle w:val="Style2"/>
        <w:ind w:left="0"/>
        <w:rPr>
          <w:rFonts w:asciiTheme="minorHAnsi" w:eastAsiaTheme="minorEastAsia" w:hAnsiTheme="minorHAnsi" w:cstheme="minorBidi"/>
        </w:rPr>
      </w:pPr>
      <w:r w:rsidRPr="00E76A09">
        <w:rPr>
          <w:rFonts w:asciiTheme="minorHAnsi" w:eastAsiaTheme="minorEastAsia" w:hAnsiTheme="minorHAnsi" w:cstheme="minorBidi"/>
        </w:rPr>
        <w:t xml:space="preserve">Women and girls in developing countries are often more vulnerable to the negative impacts of climate change and forest degradation. Measures taken to mitigate the impacts of climate change are likely to be positive for </w:t>
      </w:r>
      <w:r w:rsidRPr="00E76A09">
        <w:rPr>
          <w:rFonts w:asciiTheme="minorHAnsi" w:eastAsiaTheme="minorEastAsia" w:hAnsiTheme="minorHAnsi" w:cstheme="minorBidi"/>
        </w:rPr>
        <w:lastRenderedPageBreak/>
        <w:t xml:space="preserve">gender equity. </w:t>
      </w:r>
      <w:r w:rsidR="7E280711" w:rsidRPr="00E76A09">
        <w:rPr>
          <w:rFonts w:asciiTheme="minorHAnsi" w:eastAsiaTheme="minorEastAsia" w:hAnsiTheme="minorHAnsi" w:cstheme="minorBidi"/>
        </w:rPr>
        <w:t xml:space="preserve">FAO and DESNZ have worked together to build gender-relevant indicators within the monitoring and reporting framework. This includes disaggregating indicators on progress to specific track how the programme is increasing the participation of women in its activities. </w:t>
      </w:r>
    </w:p>
    <w:p w14:paraId="62820ED3" w14:textId="77777777" w:rsidR="00880072" w:rsidRPr="00E76A09" w:rsidRDefault="00880072" w:rsidP="004258E7">
      <w:pPr>
        <w:pStyle w:val="Style2"/>
        <w:ind w:left="0"/>
        <w:rPr>
          <w:rFonts w:ascii="Segoe UI" w:hAnsi="Segoe UI" w:cs="Segoe UI"/>
          <w:sz w:val="18"/>
          <w:szCs w:val="18"/>
        </w:rPr>
      </w:pPr>
    </w:p>
    <w:p w14:paraId="08C77748" w14:textId="5BF937C3" w:rsidR="00524DB8" w:rsidRDefault="00A9648B" w:rsidP="004258E7">
      <w:pPr>
        <w:pStyle w:val="Style2"/>
        <w:ind w:left="0"/>
        <w:rPr>
          <w:rStyle w:val="eop"/>
        </w:rPr>
      </w:pPr>
      <w:r w:rsidRPr="00A9648B">
        <w:t>In line with the UK international Climate Finance Guidance Note on the Integration of Gender Equality, Disability and Social Inclusion</w:t>
      </w:r>
      <w:r>
        <w:t xml:space="preserve"> (GEDSI)</w:t>
      </w:r>
      <w:r w:rsidRPr="00A9648B">
        <w:t>, the programme will aim to be "GEDSI empowering" at a minimum. This would usually equate to scoring 1/'Significant' or 2/'Principal' under the OECD DAC Gender Marker</w:t>
      </w:r>
      <w:r w:rsidR="00CD1FAB">
        <w:t xml:space="preserve">. </w:t>
      </w:r>
      <w:r w:rsidR="00274D02" w:rsidRPr="00E76A09">
        <w:rPr>
          <w:rStyle w:val="normaltextrun"/>
        </w:rPr>
        <w:t>This funding is expected to score a 1 on the OECD Gender DAC marke</w:t>
      </w:r>
      <w:r w:rsidR="00CD1FAB">
        <w:rPr>
          <w:rStyle w:val="normaltextrun"/>
        </w:rPr>
        <w:t xml:space="preserve">r </w:t>
      </w:r>
      <w:r w:rsidR="00274D02" w:rsidRPr="00E76A09">
        <w:rPr>
          <w:rStyle w:val="normaltextrun"/>
        </w:rPr>
        <w:t>(the commonly agreed method of assessing the extent to which gender is incorporated into the programme). This score is based on the assessment that gender equality is an important and deliberate objective, but not the principal reason for undertaking the programme.</w:t>
      </w:r>
      <w:r w:rsidR="00274D02" w:rsidRPr="00E76A09">
        <w:rPr>
          <w:rStyle w:val="eop"/>
        </w:rPr>
        <w:t> </w:t>
      </w:r>
      <w:r w:rsidR="00B47887">
        <w:rPr>
          <w:rStyle w:val="eop"/>
        </w:rPr>
        <w:t xml:space="preserve">The programme team will </w:t>
      </w:r>
      <w:r w:rsidR="0039664D">
        <w:rPr>
          <w:rStyle w:val="eop"/>
        </w:rPr>
        <w:t xml:space="preserve">endeavour to undertake </w:t>
      </w:r>
      <w:r w:rsidR="00CF7CD9">
        <w:rPr>
          <w:rStyle w:val="eop"/>
        </w:rPr>
        <w:t>a gender equality, disability and social inclusion analysis in future</w:t>
      </w:r>
      <w:r w:rsidR="0039664D">
        <w:rPr>
          <w:rStyle w:val="eop"/>
        </w:rPr>
        <w:t>,</w:t>
      </w:r>
      <w:r w:rsidR="00CF7CD9">
        <w:rPr>
          <w:rStyle w:val="eop"/>
        </w:rPr>
        <w:t xml:space="preserve"> to assess the potential effects of interventions</w:t>
      </w:r>
      <w:r w:rsidR="00A7335D">
        <w:rPr>
          <w:rStyle w:val="eop"/>
        </w:rPr>
        <w:t xml:space="preserve"> on women and marginalised groups. </w:t>
      </w:r>
    </w:p>
    <w:p w14:paraId="260B01FF" w14:textId="77777777" w:rsidR="00B45385" w:rsidRDefault="00B45385" w:rsidP="004258E7">
      <w:pPr>
        <w:pStyle w:val="Style2"/>
        <w:ind w:left="0"/>
        <w:rPr>
          <w:rStyle w:val="eop"/>
        </w:rPr>
      </w:pPr>
    </w:p>
    <w:p w14:paraId="4DD459D9" w14:textId="47CA92CA" w:rsidR="00B45385" w:rsidRPr="00E76A09" w:rsidRDefault="00B45385" w:rsidP="004258E7">
      <w:pPr>
        <w:pStyle w:val="Style2"/>
        <w:ind w:left="0"/>
        <w:rPr>
          <w:rStyle w:val="eop"/>
        </w:rPr>
      </w:pPr>
      <w:r w:rsidRPr="00B45385">
        <w:t>The programme will consider the inclusion and empowerment of people with disabilities, in line with our commitments to the UN Convention on the Rights of Persons with Disabilities.</w:t>
      </w:r>
    </w:p>
    <w:p w14:paraId="0B51158C" w14:textId="77777777" w:rsidR="00880072" w:rsidRPr="00E76A09" w:rsidRDefault="00880072" w:rsidP="004258E7">
      <w:pPr>
        <w:pStyle w:val="Style2"/>
        <w:ind w:left="0"/>
        <w:rPr>
          <w:rFonts w:ascii="Segoe UI" w:hAnsi="Segoe UI" w:cs="Segoe UI"/>
          <w:sz w:val="18"/>
          <w:szCs w:val="18"/>
        </w:rPr>
      </w:pPr>
    </w:p>
    <w:p w14:paraId="0D457CA0" w14:textId="507686CF" w:rsidR="00274D02" w:rsidRPr="00E76A09" w:rsidRDefault="000A739B" w:rsidP="559610A8">
      <w:pPr>
        <w:pStyle w:val="Style1"/>
        <w:numPr>
          <w:ilvl w:val="0"/>
          <w:numId w:val="0"/>
        </w:numPr>
        <w:rPr>
          <w:i w:val="0"/>
          <w:iCs w:val="0"/>
        </w:rPr>
      </w:pPr>
      <w:r w:rsidRPr="00E76A09">
        <w:rPr>
          <w:i w:val="0"/>
          <w:iCs w:val="0"/>
        </w:rPr>
        <w:t xml:space="preserve">1.7.2 </w:t>
      </w:r>
      <w:r w:rsidR="00274D02" w:rsidRPr="00E76A09">
        <w:rPr>
          <w:i w:val="0"/>
          <w:iCs w:val="0"/>
        </w:rPr>
        <w:t xml:space="preserve">Public Sector Equality Duty (PSED) </w:t>
      </w:r>
    </w:p>
    <w:p w14:paraId="4B608441" w14:textId="5E1C684F" w:rsidR="00BB620B" w:rsidRPr="00E76A09" w:rsidRDefault="67E591B1" w:rsidP="004258E7">
      <w:pPr>
        <w:pStyle w:val="Style2"/>
        <w:ind w:left="0"/>
        <w:rPr>
          <w:rStyle w:val="eop"/>
        </w:rPr>
      </w:pPr>
      <w:r w:rsidRPr="00E76A09">
        <w:rPr>
          <w:rStyle w:val="normaltextrun"/>
        </w:rPr>
        <w:t xml:space="preserve">Supreme Court case law confirms that the Public Sector Equality Duty under section 149 of the Equality Act 2010 does not apply to policy decisions which take effect wholly extraterritorially and which do not affect persons with a connection to the UK (R (on the application of Marouf and another) v Secretary of State for the Home Department [2023] UKSC 23). </w:t>
      </w:r>
      <w:r w:rsidR="5A4DA15E" w:rsidRPr="00E76A09">
        <w:rPr>
          <w:rFonts w:eastAsia="MS Mincho" w:cs="Arial"/>
        </w:rPr>
        <w:t xml:space="preserve">The reasoning in </w:t>
      </w:r>
      <w:r w:rsidR="5A4DA15E" w:rsidRPr="00E76A09">
        <w:rPr>
          <w:rFonts w:eastAsia="MS Mincho" w:cs="Arial"/>
          <w:i/>
          <w:iCs/>
        </w:rPr>
        <w:t>Marouf</w:t>
      </w:r>
      <w:r w:rsidR="5A4DA15E" w:rsidRPr="00E76A09">
        <w:rPr>
          <w:rFonts w:eastAsia="MS Mincho" w:cs="Arial"/>
        </w:rPr>
        <w:t xml:space="preserve"> is considered applicable to this spending decision</w:t>
      </w:r>
      <w:r w:rsidR="5A4DA15E" w:rsidRPr="00E76A09">
        <w:rPr>
          <w:rFonts w:eastAsia="MS Mincho" w:cs="Arial"/>
          <w:color w:val="000000" w:themeColor="text1"/>
        </w:rPr>
        <w:t>. DESNZ is therefore not legally required to consider the PSED in respect of people outside the UK. DESNZ has undertaken this analysis as a matter of good practice to ensure alignment with equality principles.</w:t>
      </w:r>
      <w:r w:rsidR="5A4DA15E" w:rsidRPr="00E76A09">
        <w:rPr>
          <w:rFonts w:eastAsia="MS Mincho" w:cs="Arial"/>
        </w:rPr>
        <w:t xml:space="preserve"> </w:t>
      </w:r>
      <w:r w:rsidRPr="00E76A09">
        <w:rPr>
          <w:rStyle w:val="normaltextrun"/>
        </w:rPr>
        <w:t>A</w:t>
      </w:r>
      <w:r w:rsidR="1AD8ACA8" w:rsidRPr="00E76A09">
        <w:rPr>
          <w:rStyle w:val="normaltextrun"/>
        </w:rPr>
        <w:t xml:space="preserve"> </w:t>
      </w:r>
      <w:r w:rsidRPr="00E76A09">
        <w:rPr>
          <w:rStyle w:val="normaltextrun"/>
        </w:rPr>
        <w:t xml:space="preserve">PSED </w:t>
      </w:r>
      <w:r w:rsidR="70D1E774" w:rsidRPr="00E76A09">
        <w:rPr>
          <w:rStyle w:val="normaltextrun"/>
        </w:rPr>
        <w:t xml:space="preserve">assessment </w:t>
      </w:r>
      <w:r w:rsidRPr="00E76A09">
        <w:rPr>
          <w:rStyle w:val="normaltextrun"/>
        </w:rPr>
        <w:t>has been completed and concluded that</w:t>
      </w:r>
      <w:r w:rsidR="30109C13" w:rsidRPr="00E76A09">
        <w:rPr>
          <w:rStyle w:val="normaltextrun"/>
        </w:rPr>
        <w:t xml:space="preserve"> groups with Protected Characteristics, as defined through the PSED, are not considered to be at significant risk from interaction and participation of the AIM4Forests programme. </w:t>
      </w:r>
      <w:r w:rsidR="78145D15" w:rsidRPr="00E76A09">
        <w:rPr>
          <w:rStyle w:val="normaltextrun"/>
        </w:rPr>
        <w:t xml:space="preserve">The programme could have an impact upon the two protected characteristics of race and </w:t>
      </w:r>
      <w:r w:rsidR="00EC2BB4" w:rsidRPr="00E76A09">
        <w:rPr>
          <w:rStyle w:val="normaltextrun"/>
        </w:rPr>
        <w:t>sex</w:t>
      </w:r>
      <w:r w:rsidR="78145D15" w:rsidRPr="00E76A09">
        <w:rPr>
          <w:rStyle w:val="normaltextrun"/>
        </w:rPr>
        <w:t xml:space="preserve">. </w:t>
      </w:r>
      <w:r w:rsidR="4C79966D" w:rsidRPr="00E76A09">
        <w:rPr>
          <w:rStyle w:val="normaltextrun"/>
        </w:rPr>
        <w:t xml:space="preserve">The PSED found that AIM4Forests will have likely have a positive impact </w:t>
      </w:r>
      <w:r w:rsidR="7CCA5E4D" w:rsidRPr="00E76A09">
        <w:rPr>
          <w:rStyle w:val="normaltextrun"/>
        </w:rPr>
        <w:t xml:space="preserve">on advancing equality of opportunity for IPLCS and fostering good relations between people who share a protected characteristic and those who do not. </w:t>
      </w:r>
      <w:r w:rsidR="0BF4D32F" w:rsidRPr="00E76A09">
        <w:rPr>
          <w:rStyle w:val="normaltextrun"/>
        </w:rPr>
        <w:t xml:space="preserve">In relation to </w:t>
      </w:r>
      <w:r w:rsidR="00EC2BB4" w:rsidRPr="00E76A09">
        <w:rPr>
          <w:rStyle w:val="normaltextrun"/>
        </w:rPr>
        <w:t>sex</w:t>
      </w:r>
      <w:r w:rsidR="0BF4D32F" w:rsidRPr="00E76A09">
        <w:rPr>
          <w:rStyle w:val="normaltextrun"/>
        </w:rPr>
        <w:t xml:space="preserve">, the programme is not considered to actively disadvantage or discriminate against people of different </w:t>
      </w:r>
      <w:r w:rsidR="00EC2BB4" w:rsidRPr="00E76A09">
        <w:rPr>
          <w:rStyle w:val="normaltextrun"/>
        </w:rPr>
        <w:t>sexes</w:t>
      </w:r>
      <w:r w:rsidR="0BF4D32F" w:rsidRPr="00E76A09">
        <w:rPr>
          <w:rStyle w:val="normaltextrun"/>
        </w:rPr>
        <w:t>.</w:t>
      </w:r>
      <w:r w:rsidR="62EB8A48" w:rsidRPr="00E76A09">
        <w:rPr>
          <w:rStyle w:val="normaltextrun"/>
        </w:rPr>
        <w:t xml:space="preserve"> As a DESNZ funded supplier, FAO is expected to factor equality-related considerations into the use of DESNZ funds.</w:t>
      </w:r>
      <w:r w:rsidRPr="00E76A09">
        <w:rPr>
          <w:rStyle w:val="normaltextrun"/>
        </w:rPr>
        <w:t xml:space="preserve"> The assessment is provided in full at </w:t>
      </w:r>
      <w:r w:rsidRPr="00E76A09">
        <w:rPr>
          <w:rStyle w:val="normaltextrun"/>
          <w:b/>
          <w:bCs/>
        </w:rPr>
        <w:t xml:space="preserve">Annex </w:t>
      </w:r>
      <w:r w:rsidR="2476C36D" w:rsidRPr="00E76A09">
        <w:rPr>
          <w:rStyle w:val="normaltextrun"/>
          <w:b/>
          <w:bCs/>
        </w:rPr>
        <w:t>G</w:t>
      </w:r>
      <w:r w:rsidRPr="00E76A09">
        <w:rPr>
          <w:rStyle w:val="normaltextrun"/>
        </w:rPr>
        <w:t xml:space="preserve">. </w:t>
      </w:r>
      <w:r w:rsidRPr="00E76A09">
        <w:rPr>
          <w:rStyle w:val="eop"/>
        </w:rPr>
        <w:t> </w:t>
      </w:r>
    </w:p>
    <w:p w14:paraId="7568EC26" w14:textId="77777777" w:rsidR="00E360F1" w:rsidRPr="00E76A09" w:rsidRDefault="00E360F1" w:rsidP="004258E7">
      <w:pPr>
        <w:pStyle w:val="Style2"/>
        <w:ind w:left="0"/>
        <w:rPr>
          <w:rFonts w:ascii="Segoe UI" w:hAnsi="Segoe UI" w:cs="Segoe UI"/>
          <w:sz w:val="18"/>
          <w:szCs w:val="18"/>
        </w:rPr>
      </w:pPr>
    </w:p>
    <w:p w14:paraId="1522759C" w14:textId="673FA442" w:rsidR="00274D02" w:rsidRPr="00E76A09" w:rsidRDefault="000A739B" w:rsidP="004258E7">
      <w:pPr>
        <w:pStyle w:val="Style1"/>
        <w:numPr>
          <w:ilvl w:val="0"/>
          <w:numId w:val="0"/>
        </w:numPr>
        <w:rPr>
          <w:i w:val="0"/>
          <w:iCs w:val="0"/>
        </w:rPr>
      </w:pPr>
      <w:r w:rsidRPr="00E76A09">
        <w:rPr>
          <w:i w:val="0"/>
          <w:iCs w:val="0"/>
        </w:rPr>
        <w:t>1.7.</w:t>
      </w:r>
      <w:r w:rsidR="00936BFB" w:rsidRPr="00E76A09">
        <w:rPr>
          <w:i w:val="0"/>
          <w:iCs w:val="0"/>
        </w:rPr>
        <w:t xml:space="preserve">3 </w:t>
      </w:r>
      <w:r w:rsidR="00707E82" w:rsidRPr="00E76A09">
        <w:rPr>
          <w:i w:val="0"/>
          <w:iCs w:val="0"/>
        </w:rPr>
        <w:t>Spending power</w:t>
      </w:r>
    </w:p>
    <w:p w14:paraId="46FAB1B3" w14:textId="21E0F5B7" w:rsidR="004A2BA1" w:rsidRPr="00E76A09" w:rsidRDefault="004A2BA1" w:rsidP="004258E7">
      <w:pPr>
        <w:pStyle w:val="Style2"/>
        <w:ind w:left="0"/>
        <w:rPr>
          <w:rStyle w:val="normaltextrun"/>
        </w:rPr>
      </w:pPr>
      <w:r w:rsidRPr="00E76A09">
        <w:rPr>
          <w:rStyle w:val="normaltextrun"/>
        </w:rPr>
        <w:t>The legal spending power for this funding is the International Development Act 2002</w:t>
      </w:r>
      <w:r w:rsidR="1CDA0EF7" w:rsidRPr="00E76A09">
        <w:rPr>
          <w:rStyle w:val="normaltextrun"/>
        </w:rPr>
        <w:t xml:space="preserve"> (IDA 2022). Section 1 of IDA 2002 confers spending powers permitting the Secretary of State to “provide any person or body with development assistance if [they] are satisfied that the provision of the assistance is likely to contribute to a red</w:t>
      </w:r>
      <w:r w:rsidR="3467DF44" w:rsidRPr="00E76A09">
        <w:rPr>
          <w:rStyle w:val="normaltextrun"/>
        </w:rPr>
        <w:t>uc</w:t>
      </w:r>
      <w:r w:rsidR="1CDA0EF7" w:rsidRPr="00E76A09">
        <w:rPr>
          <w:rStyle w:val="normaltextrun"/>
        </w:rPr>
        <w:t>tion in poverty.</w:t>
      </w:r>
      <w:r w:rsidR="314B9B96" w:rsidRPr="00E76A09">
        <w:rPr>
          <w:rStyle w:val="normaltextrun"/>
        </w:rPr>
        <w:t xml:space="preserve">” </w:t>
      </w:r>
      <w:r w:rsidR="17BE9831" w:rsidRPr="00E76A09">
        <w:rPr>
          <w:rStyle w:val="normaltextrun"/>
        </w:rPr>
        <w:t>Under section 2 “development assistance” is defined as assistance provided for the purpose of “furthering sustainable development in one or more countries outside the UK or improving the welfare of the population of one or more such countrie</w:t>
      </w:r>
      <w:r w:rsidR="68846AA2" w:rsidRPr="00E76A09">
        <w:rPr>
          <w:rStyle w:val="normaltextrun"/>
        </w:rPr>
        <w:t>s.”</w:t>
      </w:r>
      <w:r w:rsidR="00AC1732" w:rsidRPr="00E76A09">
        <w:rPr>
          <w:rStyle w:val="CommentReference"/>
        </w:rPr>
        <w:t xml:space="preserve"> </w:t>
      </w:r>
      <w:r w:rsidR="00AC1732" w:rsidRPr="00E76A09">
        <w:rPr>
          <w:rStyle w:val="CommentReference"/>
          <w:sz w:val="22"/>
          <w:szCs w:val="22"/>
        </w:rPr>
        <w:t>A</w:t>
      </w:r>
      <w:r w:rsidR="69483393" w:rsidRPr="00E76A09">
        <w:rPr>
          <w:rStyle w:val="normaltextrun"/>
        </w:rPr>
        <w:t>IM4</w:t>
      </w:r>
      <w:r w:rsidR="00AC1732" w:rsidRPr="00E76A09">
        <w:rPr>
          <w:rStyle w:val="normaltextrun"/>
        </w:rPr>
        <w:t>Forests contributes</w:t>
      </w:r>
      <w:r w:rsidRPr="00E76A09">
        <w:rPr>
          <w:rStyle w:val="normaltextrun"/>
        </w:rPr>
        <w:t xml:space="preserve"> to reducing poverty and is provided for the purpose of supporting sustainable development and improving the welfare of the population of developing countries in which it operates.  </w:t>
      </w:r>
    </w:p>
    <w:p w14:paraId="3C9DC98A" w14:textId="77777777" w:rsidR="00AC1732" w:rsidRPr="00E76A09" w:rsidRDefault="00AC1732" w:rsidP="004258E7">
      <w:pPr>
        <w:pStyle w:val="Style2"/>
        <w:ind w:left="0"/>
        <w:rPr>
          <w:rFonts w:ascii="Segoe UI" w:hAnsi="Segoe UI" w:cs="Segoe UI"/>
          <w:sz w:val="18"/>
          <w:szCs w:val="18"/>
        </w:rPr>
      </w:pPr>
    </w:p>
    <w:p w14:paraId="5702DC8D" w14:textId="02366161" w:rsidR="00E360F1" w:rsidRPr="00E76A09" w:rsidRDefault="53A0D9AD" w:rsidP="004258E7">
      <w:pPr>
        <w:pStyle w:val="Style2"/>
        <w:ind w:left="0"/>
        <w:rPr>
          <w:rStyle w:val="eop"/>
        </w:rPr>
      </w:pPr>
      <w:r w:rsidRPr="00E76A09">
        <w:rPr>
          <w:rStyle w:val="eop"/>
        </w:rPr>
        <w:t xml:space="preserve">The protection of forests is important for social inclusion, as climate change disproportionately impacts the world’s poorest communities, including indigenous people, the extreme poor, and women. Deforestation and forest degradation undermine the livelihoods of approximately 1 billion of the world’s poorest people. Forest dependence is higher among marginal groups, such as indigenous people, women and the extreme poor, and so deforestation often has the greatest impact on these groups in terms of livelihoods, culture and health. The proposals in this business case </w:t>
      </w:r>
      <w:r w:rsidR="4637DECA" w:rsidRPr="6EB77841">
        <w:rPr>
          <w:rStyle w:val="eop"/>
        </w:rPr>
        <w:t>are</w:t>
      </w:r>
      <w:r w:rsidR="3123EBA7" w:rsidRPr="6EB77841">
        <w:rPr>
          <w:rStyle w:val="eop"/>
        </w:rPr>
        <w:t xml:space="preserve"> </w:t>
      </w:r>
      <w:r w:rsidR="4637DECA" w:rsidRPr="6EB77841">
        <w:rPr>
          <w:rStyle w:val="eop"/>
        </w:rPr>
        <w:t>likely to</w:t>
      </w:r>
      <w:r w:rsidRPr="00E76A09">
        <w:rPr>
          <w:rStyle w:val="eop"/>
        </w:rPr>
        <w:t xml:space="preserve"> contribute to reducing poverty and </w:t>
      </w:r>
      <w:r w:rsidR="352C3134" w:rsidRPr="6EB77841">
        <w:rPr>
          <w:rStyle w:val="eop"/>
        </w:rPr>
        <w:t>will</w:t>
      </w:r>
      <w:r w:rsidRPr="6EB77841">
        <w:rPr>
          <w:rStyle w:val="eop"/>
        </w:rPr>
        <w:t xml:space="preserve"> increas</w:t>
      </w:r>
      <w:r w:rsidR="7241931F" w:rsidRPr="6EB77841">
        <w:rPr>
          <w:rStyle w:val="eop"/>
        </w:rPr>
        <w:t xml:space="preserve">e </w:t>
      </w:r>
      <w:r w:rsidRPr="00E76A09">
        <w:rPr>
          <w:rStyle w:val="eop"/>
        </w:rPr>
        <w:t xml:space="preserve">sustainable development in beneficiary developing countries.  AIM4Forests will build long-lasting capacity for forest countries to advance MRV systems – improving land-use management, accelerating REDD+, and improving the efficiency and outcomes of other REDD+ and forest-related programming. The programme enables greater financial flows for developing forest countries and their communities, particularly poorer forest-dependent communities, by </w:t>
      </w:r>
      <w:r w:rsidRPr="00E76A09">
        <w:rPr>
          <w:rStyle w:val="eop"/>
        </w:rPr>
        <w:lastRenderedPageBreak/>
        <w:t>enabling them to access climate finance</w:t>
      </w:r>
      <w:r w:rsidR="05B1ADCB" w:rsidRPr="6EB77841">
        <w:rPr>
          <w:rStyle w:val="eop"/>
        </w:rPr>
        <w:t xml:space="preserve">, increasing incentives to </w:t>
      </w:r>
      <w:r w:rsidR="7B789ACF" w:rsidRPr="6EB77841">
        <w:rPr>
          <w:rStyle w:val="eop"/>
        </w:rPr>
        <w:t>preserve</w:t>
      </w:r>
      <w:r w:rsidR="05B1ADCB" w:rsidRPr="6EB77841">
        <w:rPr>
          <w:rStyle w:val="eop"/>
        </w:rPr>
        <w:t xml:space="preserve"> and protect forests,</w:t>
      </w:r>
      <w:r w:rsidRPr="00E76A09">
        <w:rPr>
          <w:rStyle w:val="eop"/>
        </w:rPr>
        <w:t xml:space="preserve"> and deliver against broader Sustainable Development Goals.    </w:t>
      </w:r>
    </w:p>
    <w:p w14:paraId="7234CB48" w14:textId="77777777" w:rsidR="00AC1732" w:rsidRPr="00E76A09" w:rsidRDefault="00AC1732" w:rsidP="004258E7">
      <w:pPr>
        <w:pStyle w:val="Style2"/>
        <w:ind w:left="0"/>
        <w:rPr>
          <w:rStyle w:val="normaltextrun"/>
        </w:rPr>
      </w:pPr>
    </w:p>
    <w:p w14:paraId="291D9DEB" w14:textId="26BDB62E" w:rsidR="00524DB8" w:rsidRPr="00E76A09" w:rsidRDefault="004A2BA1" w:rsidP="004258E7">
      <w:pPr>
        <w:pStyle w:val="Style2"/>
        <w:ind w:left="0"/>
        <w:rPr>
          <w:rStyle w:val="eop"/>
        </w:rPr>
      </w:pPr>
      <w:r w:rsidRPr="00E76A09">
        <w:rPr>
          <w:rStyle w:val="normaltextrun"/>
        </w:rPr>
        <w:t>Countries are therefore able to implement and improve evidence-based policies and action to improve livelihoods, reduce deforestation rates, lower greenhouse gas emissions, and help conserve biodiversity.  Incorporating monitoring for transparent commodity production in the extension, will support smallholders and local producers to meet due diligence and traceability requirements, reducing the risk of exclusion from export markets. Data and monitoring will also enable forest countries to improve their agri-food systems around production of crops such as coffee, cocoa, and rubber.   </w:t>
      </w:r>
      <w:r w:rsidRPr="00E76A09">
        <w:rPr>
          <w:rStyle w:val="eop"/>
        </w:rPr>
        <w:t> </w:t>
      </w:r>
    </w:p>
    <w:p w14:paraId="1779B6CB" w14:textId="77777777" w:rsidR="00AC1732" w:rsidRPr="00E76A09" w:rsidRDefault="00AC1732" w:rsidP="7D3D74A3">
      <w:pPr>
        <w:pStyle w:val="Style2"/>
        <w:ind w:left="0"/>
        <w:rPr>
          <w:rFonts w:asciiTheme="minorHAnsi" w:eastAsiaTheme="minorEastAsia" w:hAnsiTheme="minorHAnsi" w:cstheme="minorBidi"/>
        </w:rPr>
      </w:pPr>
    </w:p>
    <w:p w14:paraId="6FC81B6A" w14:textId="73729D09" w:rsidR="79E9AEB0" w:rsidRPr="00E76A09" w:rsidRDefault="43EFF2D9" w:rsidP="7D3D74A3">
      <w:pPr>
        <w:pStyle w:val="Style2"/>
        <w:ind w:left="0"/>
        <w:rPr>
          <w:rFonts w:asciiTheme="minorHAnsi" w:eastAsiaTheme="minorEastAsia" w:hAnsiTheme="minorHAnsi" w:cstheme="minorBidi"/>
        </w:rPr>
      </w:pPr>
      <w:r w:rsidRPr="00E76A09">
        <w:rPr>
          <w:rFonts w:asciiTheme="minorHAnsi" w:eastAsiaTheme="minorEastAsia" w:hAnsiTheme="minorHAnsi" w:cstheme="minorBidi"/>
        </w:rPr>
        <w:t>Section 1(1A) requires that, prior to providing development assistance under section 1, the Secretary of State must “have regard to the desirability of providing dev</w:t>
      </w:r>
      <w:r w:rsidR="05D8FB86" w:rsidRPr="00E76A09">
        <w:rPr>
          <w:rFonts w:asciiTheme="minorHAnsi" w:eastAsiaTheme="minorEastAsia" w:hAnsiTheme="minorHAnsi" w:cstheme="minorBidi"/>
        </w:rPr>
        <w:t>elopment assistance in a way that is likely to contribute to reducing poverty in a way which is likely to contribute to reducing inequality between persons of different gender.” Addressing climate change is intertwined with sustainable development, poverty reduction, and the reduction of inequalities.</w:t>
      </w:r>
      <w:r w:rsidR="495C3BED" w:rsidRPr="00E76A09">
        <w:rPr>
          <w:rFonts w:asciiTheme="minorHAnsi" w:eastAsiaTheme="minorEastAsia" w:hAnsiTheme="minorHAnsi" w:cstheme="minorBidi"/>
        </w:rPr>
        <w:t xml:space="preserve"> Women and girls in developing countries are often more vulnerable to the negative impacts of climate change and forest degradation. AIM4Forests aims to support the enabling environment for Emissions Reductions programmes and therefore mitigate the imp</w:t>
      </w:r>
      <w:r w:rsidR="208C9E68" w:rsidRPr="00E76A09">
        <w:rPr>
          <w:rFonts w:asciiTheme="minorHAnsi" w:eastAsiaTheme="minorEastAsia" w:hAnsiTheme="minorHAnsi" w:cstheme="minorBidi"/>
        </w:rPr>
        <w:t>a</w:t>
      </w:r>
      <w:r w:rsidR="495C3BED" w:rsidRPr="00E76A09">
        <w:rPr>
          <w:rFonts w:asciiTheme="minorHAnsi" w:eastAsiaTheme="minorEastAsia" w:hAnsiTheme="minorHAnsi" w:cstheme="minorBidi"/>
        </w:rPr>
        <w:t xml:space="preserve">cts of climate change which </w:t>
      </w:r>
      <w:r w:rsidR="00E00D68">
        <w:rPr>
          <w:rFonts w:asciiTheme="minorHAnsi" w:eastAsiaTheme="minorEastAsia" w:hAnsiTheme="minorHAnsi" w:cstheme="minorBidi"/>
        </w:rPr>
        <w:t xml:space="preserve">is likely to contribute to reducing gender inequality. </w:t>
      </w:r>
      <w:r w:rsidR="063BD151" w:rsidRPr="00E76A09">
        <w:rPr>
          <w:rFonts w:asciiTheme="minorHAnsi" w:eastAsiaTheme="minorEastAsia" w:hAnsiTheme="minorHAnsi" w:cstheme="minorBidi"/>
        </w:rPr>
        <w:t xml:space="preserve">FAO and DESNZ </w:t>
      </w:r>
      <w:r w:rsidR="79E9AEB0" w:rsidRPr="00E76A09">
        <w:rPr>
          <w:rFonts w:asciiTheme="minorHAnsi" w:eastAsiaTheme="minorEastAsia" w:hAnsiTheme="minorHAnsi" w:cstheme="minorBidi"/>
        </w:rPr>
        <w:t>have worked together to build gender-relevant indicators within the monitoring and reporting framework. This includes disaggregating indicators on progress to specific track how the programme is increasing the participation of women in its activities. Section 8(1) permits the SoS to “enter into arrangements to secure that development assistance is provided to any person or body,” while Section 8(2) allows the SoS to “make payments to the persons who provide facilities in pursuance of the arrangements.” Given the scope and objectives of the AIM4Forests extension business case, the proposed funding fully complies with the requirements of the IDA 2002 by contributing to poverty reduction, supporting sustainable development, and addressing gender inequalities.</w:t>
      </w:r>
    </w:p>
    <w:p w14:paraId="3D9476B7" w14:textId="77777777" w:rsidR="00AC1732" w:rsidRPr="00E76A09" w:rsidRDefault="00AC1732" w:rsidP="7D3D74A3">
      <w:pPr>
        <w:pStyle w:val="Style2"/>
        <w:ind w:left="0"/>
        <w:rPr>
          <w:rFonts w:asciiTheme="minorHAnsi" w:eastAsiaTheme="minorEastAsia" w:hAnsiTheme="minorHAnsi" w:cstheme="minorBidi"/>
        </w:rPr>
      </w:pPr>
    </w:p>
    <w:p w14:paraId="73E12F5A" w14:textId="12B6FB10" w:rsidR="004A2BA1" w:rsidRPr="00E76A09" w:rsidRDefault="00936BFB" w:rsidP="004258E7">
      <w:pPr>
        <w:pStyle w:val="Style1"/>
        <w:numPr>
          <w:ilvl w:val="0"/>
          <w:numId w:val="0"/>
        </w:numPr>
        <w:rPr>
          <w:i w:val="0"/>
          <w:iCs w:val="0"/>
        </w:rPr>
      </w:pPr>
      <w:r w:rsidRPr="00E76A09">
        <w:rPr>
          <w:i w:val="0"/>
          <w:iCs w:val="0"/>
        </w:rPr>
        <w:t xml:space="preserve">1.7.4 </w:t>
      </w:r>
      <w:r w:rsidR="004A2BA1" w:rsidRPr="00E76A09">
        <w:rPr>
          <w:i w:val="0"/>
          <w:iCs w:val="0"/>
        </w:rPr>
        <w:t xml:space="preserve">Paris alignment </w:t>
      </w:r>
    </w:p>
    <w:p w14:paraId="341F1E20" w14:textId="28D37D28" w:rsidR="006A7353" w:rsidRPr="00E76A09" w:rsidRDefault="00576344" w:rsidP="004258E7">
      <w:pPr>
        <w:pStyle w:val="Style1"/>
        <w:numPr>
          <w:ilvl w:val="0"/>
          <w:numId w:val="0"/>
        </w:numPr>
        <w:rPr>
          <w:b w:val="0"/>
          <w:bCs w:val="0"/>
          <w:i w:val="0"/>
          <w:iCs w:val="0"/>
        </w:rPr>
      </w:pPr>
      <w:r w:rsidRPr="00E76A09">
        <w:rPr>
          <w:b w:val="0"/>
          <w:bCs w:val="0"/>
          <w:i w:val="0"/>
          <w:iCs w:val="0"/>
        </w:rPr>
        <w:t xml:space="preserve">This programme does not go against HMG’s fossil fuel policy, nor does it go against of the UK’s partner countries’ climate plans. It actively looks to support countries to meet their NDCs and other climate and nature targets through supporting more effective and transparent monitoring, as well as delivering technical support in the production of Emissions Reductions, which can be transacted under carbon markets. </w:t>
      </w:r>
      <w:r w:rsidR="006A7353" w:rsidRPr="00E76A09">
        <w:rPr>
          <w:b w:val="0"/>
          <w:bCs w:val="0"/>
          <w:i w:val="0"/>
          <w:iCs w:val="0"/>
        </w:rPr>
        <w:t xml:space="preserve">It is not necessary to undertake Shadow Carbon Pricing for the AIM4Forests programme as the programme is directly supporting the generation of verified emissions reductions. A value for these reduced carbon emissions is established through the sale of those carbon credits which have been generated and verified with support from the AIM4Forests programme.  </w:t>
      </w:r>
    </w:p>
    <w:p w14:paraId="7A8BA3B9" w14:textId="0BE21BAB" w:rsidR="00604693" w:rsidRPr="00E76A09" w:rsidRDefault="00576344" w:rsidP="004258E7">
      <w:pPr>
        <w:pStyle w:val="Style1"/>
        <w:numPr>
          <w:ilvl w:val="0"/>
          <w:numId w:val="0"/>
        </w:numPr>
        <w:rPr>
          <w:rFonts w:cstheme="minorHAnsi"/>
          <w:b w:val="0"/>
          <w:i w:val="0"/>
        </w:rPr>
      </w:pPr>
      <w:r w:rsidRPr="00E76A09">
        <w:rPr>
          <w:rFonts w:cstheme="minorHAnsi"/>
          <w:b w:val="0"/>
          <w:i w:val="0"/>
        </w:rPr>
        <w:t xml:space="preserve">A climate and risk assessment has been completed for AIM4Forests, which ensures that the programme is in line and being sufficiently monitored against environmental and climate damage risks, and this is attached at </w:t>
      </w:r>
      <w:r w:rsidRPr="00E76A09">
        <w:rPr>
          <w:rFonts w:cstheme="minorHAnsi"/>
          <w:i w:val="0"/>
        </w:rPr>
        <w:t xml:space="preserve">Annex </w:t>
      </w:r>
      <w:r w:rsidR="00B447B5" w:rsidRPr="00E76A09">
        <w:rPr>
          <w:rFonts w:cstheme="minorHAnsi"/>
          <w:i w:val="0"/>
          <w:iCs w:val="0"/>
        </w:rPr>
        <w:t>H</w:t>
      </w:r>
      <w:r w:rsidRPr="00E76A09">
        <w:rPr>
          <w:rFonts w:cstheme="minorHAnsi"/>
          <w:b w:val="0"/>
          <w:i w:val="0"/>
        </w:rPr>
        <w:t>.</w:t>
      </w:r>
    </w:p>
    <w:tbl>
      <w:tblPr>
        <w:tblW w:w="10206" w:type="dxa"/>
        <w:tblInd w:w="-10" w:type="dxa"/>
        <w:tblLayout w:type="fixed"/>
        <w:tblLook w:val="06A0" w:firstRow="1" w:lastRow="0" w:firstColumn="1" w:lastColumn="0" w:noHBand="1" w:noVBand="1"/>
      </w:tblPr>
      <w:tblGrid>
        <w:gridCol w:w="4253"/>
        <w:gridCol w:w="5953"/>
      </w:tblGrid>
      <w:tr w:rsidR="00576344" w:rsidRPr="00E76A09" w14:paraId="63CFEB6D" w14:textId="77777777" w:rsidTr="00972DE1">
        <w:trPr>
          <w:trHeight w:val="300"/>
        </w:trPr>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833B8F" w14:textId="77777777" w:rsidR="00576344" w:rsidRPr="00E76A09" w:rsidRDefault="00576344" w:rsidP="00292A63">
            <w:pPr>
              <w:spacing w:before="0" w:after="0"/>
              <w:rPr>
                <w:rFonts w:cstheme="minorHAnsi"/>
                <w:sz w:val="22"/>
                <w:szCs w:val="22"/>
              </w:rPr>
            </w:pPr>
            <w:r w:rsidRPr="00E76A09">
              <w:rPr>
                <w:rFonts w:eastAsia="Arial" w:cstheme="minorHAnsi"/>
                <w:b/>
                <w:color w:val="212121"/>
                <w:sz w:val="22"/>
                <w:szCs w:val="22"/>
              </w:rPr>
              <w:t>Paris alignment pillar</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90A9D3" w14:textId="77777777" w:rsidR="00576344" w:rsidRPr="00E76A09" w:rsidRDefault="00576344" w:rsidP="00292A63">
            <w:pPr>
              <w:spacing w:before="0" w:after="0"/>
              <w:rPr>
                <w:rFonts w:cstheme="minorHAnsi"/>
                <w:sz w:val="22"/>
                <w:szCs w:val="22"/>
              </w:rPr>
            </w:pPr>
            <w:r w:rsidRPr="00E76A09">
              <w:rPr>
                <w:rFonts w:eastAsia="Arial" w:cstheme="minorHAnsi"/>
                <w:b/>
                <w:color w:val="212121"/>
                <w:sz w:val="22"/>
                <w:szCs w:val="22"/>
              </w:rPr>
              <w:t>Description of activity</w:t>
            </w:r>
          </w:p>
        </w:tc>
      </w:tr>
      <w:tr w:rsidR="00576344" w:rsidRPr="00E76A09" w14:paraId="0A9344C7" w14:textId="77777777" w:rsidTr="00972DE1">
        <w:trPr>
          <w:trHeight w:val="300"/>
        </w:trPr>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87A464" w14:textId="77777777" w:rsidR="00576344" w:rsidRPr="00E76A09" w:rsidRDefault="00576344" w:rsidP="00292A63">
            <w:pPr>
              <w:spacing w:before="0" w:after="0"/>
              <w:rPr>
                <w:rFonts w:cstheme="minorHAnsi"/>
                <w:sz w:val="22"/>
                <w:szCs w:val="22"/>
              </w:rPr>
            </w:pPr>
            <w:r w:rsidRPr="00E76A09">
              <w:rPr>
                <w:rFonts w:eastAsia="Arial" w:cstheme="minorHAnsi"/>
                <w:color w:val="212121"/>
                <w:sz w:val="22"/>
                <w:szCs w:val="22"/>
              </w:rPr>
              <w:t>How have you taken a proportional approach to climate and environment risk assurance?</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BA6A79" w14:textId="29157BE9" w:rsidR="00576344" w:rsidRPr="00E76A09" w:rsidRDefault="00576344" w:rsidP="00292A63">
            <w:pPr>
              <w:spacing w:before="0" w:after="0"/>
              <w:rPr>
                <w:rFonts w:eastAsia="Calibri" w:cstheme="minorHAnsi"/>
                <w:sz w:val="22"/>
                <w:szCs w:val="22"/>
              </w:rPr>
            </w:pPr>
            <w:r w:rsidRPr="00E76A09">
              <w:rPr>
                <w:rFonts w:eastAsia="Arial" w:cstheme="minorHAnsi"/>
                <w:color w:val="212121"/>
                <w:sz w:val="22"/>
                <w:szCs w:val="22"/>
              </w:rPr>
              <w:t xml:space="preserve"> </w:t>
            </w:r>
            <w:r w:rsidR="08C2F369" w:rsidRPr="00E76A09">
              <w:rPr>
                <w:rFonts w:eastAsia="Calibri" w:cstheme="minorHAnsi"/>
                <w:sz w:val="22"/>
                <w:szCs w:val="22"/>
              </w:rPr>
              <w:t xml:space="preserve">A Climate and Environment Risk Assessment was </w:t>
            </w:r>
            <w:proofErr w:type="gramStart"/>
            <w:r w:rsidR="08C2F369" w:rsidRPr="00E76A09">
              <w:rPr>
                <w:rFonts w:eastAsia="Calibri" w:cstheme="minorHAnsi"/>
                <w:sz w:val="22"/>
                <w:szCs w:val="22"/>
              </w:rPr>
              <w:t>undertaken</w:t>
            </w:r>
            <w:proofErr w:type="gramEnd"/>
            <w:r w:rsidR="08C2F369" w:rsidRPr="00E76A09">
              <w:rPr>
                <w:rFonts w:eastAsia="Calibri" w:cstheme="minorHAnsi"/>
                <w:sz w:val="22"/>
                <w:szCs w:val="22"/>
              </w:rPr>
              <w:t xml:space="preserve"> and risk was identified to be </w:t>
            </w:r>
            <w:r w:rsidR="6D9A6E44" w:rsidRPr="00E76A09">
              <w:rPr>
                <w:rFonts w:eastAsia="Calibri" w:cstheme="minorHAnsi"/>
                <w:sz w:val="22"/>
                <w:szCs w:val="22"/>
              </w:rPr>
              <w:t>major</w:t>
            </w:r>
            <w:r w:rsidR="2C344826" w:rsidRPr="00E76A09">
              <w:rPr>
                <w:rFonts w:eastAsia="Calibri" w:cstheme="minorHAnsi"/>
                <w:sz w:val="22"/>
                <w:szCs w:val="22"/>
              </w:rPr>
              <w:t xml:space="preserve"> (see </w:t>
            </w:r>
            <w:r w:rsidR="2C344826" w:rsidRPr="00E76A09">
              <w:rPr>
                <w:rFonts w:eastAsia="Calibri" w:cstheme="minorHAnsi"/>
                <w:b/>
                <w:bCs/>
                <w:sz w:val="22"/>
                <w:szCs w:val="22"/>
              </w:rPr>
              <w:t xml:space="preserve">Annex </w:t>
            </w:r>
            <w:r w:rsidR="00F11EA5" w:rsidRPr="00E76A09">
              <w:rPr>
                <w:rFonts w:eastAsia="Calibri" w:cstheme="minorHAnsi"/>
                <w:b/>
                <w:bCs/>
                <w:sz w:val="22"/>
                <w:szCs w:val="22"/>
              </w:rPr>
              <w:t>H</w:t>
            </w:r>
            <w:r w:rsidR="2C344826" w:rsidRPr="00E76A09">
              <w:rPr>
                <w:rFonts w:eastAsia="Calibri" w:cstheme="minorHAnsi"/>
                <w:sz w:val="22"/>
                <w:szCs w:val="22"/>
              </w:rPr>
              <w:t>)</w:t>
            </w:r>
          </w:p>
        </w:tc>
      </w:tr>
      <w:tr w:rsidR="00576344" w:rsidRPr="00E76A09" w14:paraId="3858E264" w14:textId="77777777" w:rsidTr="00972DE1">
        <w:trPr>
          <w:trHeight w:val="300"/>
        </w:trPr>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C24F33" w14:textId="77777777" w:rsidR="00576344" w:rsidRPr="00E76A09" w:rsidRDefault="00576344" w:rsidP="00292A63">
            <w:pPr>
              <w:spacing w:before="0" w:after="0"/>
              <w:rPr>
                <w:rFonts w:cstheme="minorHAnsi"/>
                <w:sz w:val="22"/>
                <w:szCs w:val="22"/>
              </w:rPr>
            </w:pPr>
            <w:r w:rsidRPr="00E76A09">
              <w:rPr>
                <w:rFonts w:eastAsia="Arial" w:cstheme="minorHAnsi"/>
                <w:color w:val="212121"/>
                <w:sz w:val="22"/>
                <w:szCs w:val="22"/>
              </w:rPr>
              <w:t>How have you taken a proportional approach to using shadow carbon pricing?</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6532C1" w14:textId="75BDEA9A" w:rsidR="00576344" w:rsidRPr="00E76A09" w:rsidRDefault="00576344" w:rsidP="00292A63">
            <w:pPr>
              <w:spacing w:before="0" w:after="0"/>
              <w:rPr>
                <w:rFonts w:cstheme="minorHAnsi"/>
                <w:sz w:val="22"/>
                <w:szCs w:val="22"/>
              </w:rPr>
            </w:pPr>
            <w:r w:rsidRPr="00E76A09">
              <w:rPr>
                <w:rFonts w:eastAsia="Arial" w:cstheme="minorHAnsi"/>
                <w:color w:val="212121"/>
                <w:sz w:val="22"/>
                <w:szCs w:val="22"/>
              </w:rPr>
              <w:t xml:space="preserve"> </w:t>
            </w:r>
            <w:r w:rsidR="00C05D0B" w:rsidRPr="00E76A09">
              <w:rPr>
                <w:rFonts w:eastAsia="Arial" w:cstheme="minorHAnsi"/>
                <w:color w:val="212121"/>
                <w:sz w:val="22"/>
                <w:szCs w:val="22"/>
              </w:rPr>
              <w:t>N/A</w:t>
            </w:r>
          </w:p>
        </w:tc>
      </w:tr>
      <w:tr w:rsidR="00576344" w:rsidRPr="00E76A09" w14:paraId="4C87D6AA" w14:textId="77777777" w:rsidTr="00972DE1">
        <w:trPr>
          <w:trHeight w:val="300"/>
        </w:trPr>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F1ECB8" w14:textId="77777777" w:rsidR="00576344" w:rsidRPr="00E76A09" w:rsidRDefault="00576344" w:rsidP="00292A63">
            <w:pPr>
              <w:spacing w:before="0" w:after="0"/>
              <w:rPr>
                <w:rFonts w:cstheme="minorHAnsi"/>
                <w:sz w:val="22"/>
                <w:szCs w:val="22"/>
              </w:rPr>
            </w:pPr>
            <w:r w:rsidRPr="00E76A09">
              <w:rPr>
                <w:rFonts w:eastAsia="Arial" w:cstheme="minorHAnsi"/>
                <w:color w:val="212121"/>
                <w:sz w:val="22"/>
                <w:szCs w:val="22"/>
              </w:rPr>
              <w:t>Does the programme adhere to HMG’s fossil fuel policy?</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13393F" w14:textId="10F1E56A" w:rsidR="00576344" w:rsidRPr="00E76A09" w:rsidRDefault="00576344" w:rsidP="00292A63">
            <w:pPr>
              <w:spacing w:before="0" w:after="0"/>
              <w:rPr>
                <w:rFonts w:eastAsia="Arial" w:cstheme="minorHAnsi"/>
                <w:color w:val="212121"/>
                <w:sz w:val="22"/>
                <w:szCs w:val="22"/>
              </w:rPr>
            </w:pPr>
            <w:r w:rsidRPr="00E76A09">
              <w:rPr>
                <w:rFonts w:cstheme="minorHAnsi"/>
                <w:color w:val="212121"/>
                <w:sz w:val="22"/>
                <w:szCs w:val="22"/>
              </w:rPr>
              <w:t xml:space="preserve">Yes, the funding does not include elements relating to </w:t>
            </w:r>
            <w:r w:rsidR="00432016" w:rsidRPr="00E76A09">
              <w:rPr>
                <w:rFonts w:cstheme="minorHAnsi"/>
                <w:color w:val="212121"/>
                <w:sz w:val="22"/>
                <w:szCs w:val="22"/>
              </w:rPr>
              <w:t>fossil fuel support and so does not go against the fossil fuel policy.</w:t>
            </w:r>
          </w:p>
        </w:tc>
      </w:tr>
      <w:tr w:rsidR="00576344" w:rsidRPr="00E76A09" w14:paraId="0390DB1F" w14:textId="77777777" w:rsidTr="00972DE1">
        <w:trPr>
          <w:trHeight w:val="300"/>
        </w:trPr>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431B1E" w14:textId="77777777" w:rsidR="00576344" w:rsidRPr="00E76A09" w:rsidRDefault="00576344" w:rsidP="00AD5116">
            <w:pPr>
              <w:spacing w:before="0" w:after="0" w:line="240" w:lineRule="auto"/>
              <w:rPr>
                <w:rFonts w:cstheme="minorHAnsi"/>
                <w:sz w:val="22"/>
                <w:szCs w:val="22"/>
              </w:rPr>
            </w:pPr>
            <w:r w:rsidRPr="00E76A09">
              <w:rPr>
                <w:rFonts w:eastAsia="Arial" w:cstheme="minorHAnsi"/>
                <w:color w:val="212121"/>
                <w:sz w:val="22"/>
                <w:szCs w:val="22"/>
              </w:rPr>
              <w:lastRenderedPageBreak/>
              <w:t>Are you ensuring the programme does not undermine impacted countries climate plans?</w:t>
            </w:r>
          </w:p>
        </w:tc>
        <w:tc>
          <w:tcPr>
            <w:tcW w:w="5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73FBD5" w14:textId="4CE1B535" w:rsidR="00576344" w:rsidRPr="00E76A09" w:rsidRDefault="00432016" w:rsidP="00AD5116">
            <w:pPr>
              <w:spacing w:before="0" w:after="0" w:line="240" w:lineRule="auto"/>
              <w:rPr>
                <w:rFonts w:cstheme="minorHAnsi"/>
                <w:sz w:val="22"/>
                <w:szCs w:val="22"/>
              </w:rPr>
            </w:pPr>
            <w:r w:rsidRPr="00E76A09">
              <w:rPr>
                <w:rFonts w:eastAsia="Calibri" w:cstheme="minorHAnsi"/>
                <w:color w:val="212121"/>
                <w:sz w:val="22"/>
                <w:szCs w:val="22"/>
              </w:rPr>
              <w:t xml:space="preserve">The AIM4Forests extension does not undermine impacted countries’ climate plans. The programme supports countries </w:t>
            </w:r>
            <w:r w:rsidR="00AD5116" w:rsidRPr="00E76A09">
              <w:rPr>
                <w:rFonts w:eastAsia="Calibri" w:cstheme="minorHAnsi"/>
                <w:color w:val="212121"/>
                <w:sz w:val="22"/>
                <w:szCs w:val="22"/>
              </w:rPr>
              <w:t xml:space="preserve">to cover forest and land-use categories within UNFCCC reporting, including against the NDCs. </w:t>
            </w:r>
          </w:p>
        </w:tc>
      </w:tr>
    </w:tbl>
    <w:p w14:paraId="33646862" w14:textId="7EAFDBCE" w:rsidR="00E6252C" w:rsidRPr="00E76A09" w:rsidRDefault="00524DB8" w:rsidP="004258E7">
      <w:pPr>
        <w:pStyle w:val="paragraph"/>
        <w:spacing w:before="0" w:beforeAutospacing="0" w:after="240" w:afterAutospacing="0"/>
        <w:textAlignment w:val="baseline"/>
        <w:rPr>
          <w:rFonts w:asciiTheme="minorHAnsi" w:hAnsiTheme="minorHAnsi" w:cstheme="minorHAnsi"/>
          <w:sz w:val="22"/>
          <w:szCs w:val="22"/>
        </w:rPr>
      </w:pPr>
      <w:r w:rsidRPr="00E76A09">
        <w:rPr>
          <w:rStyle w:val="normaltextrun"/>
          <w:rFonts w:asciiTheme="minorHAnsi" w:hAnsiTheme="minorHAnsi" w:cstheme="minorHAnsi"/>
          <w:b/>
          <w:sz w:val="22"/>
          <w:szCs w:val="22"/>
        </w:rPr>
        <w:br/>
      </w:r>
      <w:r w:rsidR="00936BFB" w:rsidRPr="00E76A09">
        <w:rPr>
          <w:rStyle w:val="normaltextrun"/>
          <w:rFonts w:asciiTheme="minorHAnsi" w:hAnsiTheme="minorHAnsi" w:cstheme="minorHAnsi"/>
          <w:b/>
          <w:sz w:val="22"/>
          <w:szCs w:val="22"/>
        </w:rPr>
        <w:t xml:space="preserve">1.7.5 </w:t>
      </w:r>
      <w:r w:rsidR="00E6252C" w:rsidRPr="00E76A09">
        <w:rPr>
          <w:rStyle w:val="normaltextrun"/>
          <w:rFonts w:asciiTheme="minorHAnsi" w:hAnsiTheme="minorHAnsi" w:cstheme="minorHAnsi"/>
          <w:b/>
          <w:sz w:val="22"/>
          <w:szCs w:val="22"/>
        </w:rPr>
        <w:t>Environment Act 2021 </w:t>
      </w:r>
      <w:r w:rsidR="00E6252C" w:rsidRPr="00E76A09">
        <w:rPr>
          <w:rStyle w:val="eop"/>
          <w:rFonts w:asciiTheme="minorHAnsi" w:hAnsiTheme="minorHAnsi" w:cstheme="minorHAnsi"/>
          <w:sz w:val="22"/>
          <w:szCs w:val="22"/>
        </w:rPr>
        <w:t> </w:t>
      </w:r>
    </w:p>
    <w:p w14:paraId="2E0543E1" w14:textId="77777777" w:rsidR="00E6252C" w:rsidRPr="00E76A09" w:rsidRDefault="00E6252C" w:rsidP="004258E7">
      <w:pPr>
        <w:pStyle w:val="paragraph"/>
        <w:spacing w:before="0" w:beforeAutospacing="0" w:after="0" w:afterAutospacing="0"/>
        <w:textAlignment w:val="baseline"/>
        <w:rPr>
          <w:rFonts w:ascii="Segoe UI" w:hAnsi="Segoe UI" w:cs="Segoe UI"/>
          <w:sz w:val="18"/>
          <w:szCs w:val="18"/>
        </w:rPr>
      </w:pPr>
      <w:r w:rsidRPr="00E76A09">
        <w:rPr>
          <w:rStyle w:val="normaltextrun"/>
          <w:rFonts w:asciiTheme="minorHAnsi" w:hAnsiTheme="minorHAnsi" w:cstheme="minorHAnsi"/>
          <w:color w:val="000000"/>
          <w:sz w:val="22"/>
          <w:szCs w:val="22"/>
        </w:rPr>
        <w:t xml:space="preserve">In developing this business case, DESNZ has also considered our obligations under the Environment Act 2021. This requires the Minister to “have due regard to the policy statement on environmental principles” when “making policy”. </w:t>
      </w:r>
      <w:r w:rsidRPr="00E76A09">
        <w:rPr>
          <w:rStyle w:val="normaltextrun"/>
          <w:rFonts w:asciiTheme="minorHAnsi" w:hAnsiTheme="minorHAnsi" w:cstheme="minorHAnsi"/>
          <w:sz w:val="22"/>
          <w:szCs w:val="22"/>
        </w:rPr>
        <w:t>We do not currently consider that a decision to provide an extension to the AIM4Forests programme would amount to an exercise in ‘policy making’ for the purposes of s.19 of this Act. This is on the basis that the decision does not create a precedent for future iterations of</w:t>
      </w:r>
      <w:r w:rsidRPr="00E76A09">
        <w:rPr>
          <w:rStyle w:val="normaltextrun"/>
          <w:rFonts w:ascii="Calibri" w:hAnsi="Calibri" w:cs="Calibri"/>
          <w:sz w:val="22"/>
          <w:szCs w:val="22"/>
        </w:rPr>
        <w:t xml:space="preserve"> the AIM4Forests programme, other ICF programmes or decisions, or otherwise set a particular direction for future decisions, projects or programmes; is intended to give effect to the wider ICF policy and does not change the overall policy objectives which DESNZ is working towards in this policy area.</w:t>
      </w:r>
      <w:r w:rsidRPr="00E76A09">
        <w:rPr>
          <w:rStyle w:val="eop"/>
          <w:rFonts w:ascii="Calibri" w:hAnsi="Calibri" w:cs="Calibri"/>
          <w:sz w:val="22"/>
          <w:szCs w:val="22"/>
        </w:rPr>
        <w:t> </w:t>
      </w:r>
    </w:p>
    <w:p w14:paraId="61534772" w14:textId="77777777" w:rsidR="00E6252C" w:rsidRPr="00E76A09" w:rsidRDefault="00E6252C" w:rsidP="00E6252C">
      <w:pPr>
        <w:pStyle w:val="Style1"/>
        <w:numPr>
          <w:ilvl w:val="0"/>
          <w:numId w:val="0"/>
        </w:numPr>
        <w:ind w:left="284" w:hanging="284"/>
        <w:rPr>
          <w:b w:val="0"/>
          <w:bCs w:val="0"/>
          <w:i w:val="0"/>
          <w:iCs w:val="0"/>
        </w:rPr>
      </w:pPr>
    </w:p>
    <w:p w14:paraId="3B5E44CA" w14:textId="77777777" w:rsidR="00E360F1" w:rsidRPr="00E76A09" w:rsidRDefault="00E360F1">
      <w:pPr>
        <w:rPr>
          <w:bCs/>
          <w:caps/>
          <w:color w:val="FFFFFF" w:themeColor="background1"/>
          <w:spacing w:val="15"/>
          <w:sz w:val="22"/>
          <w:szCs w:val="22"/>
        </w:rPr>
      </w:pPr>
      <w:r w:rsidRPr="00E76A09">
        <w:rPr>
          <w:bCs/>
        </w:rPr>
        <w:br w:type="page"/>
      </w:r>
    </w:p>
    <w:p w14:paraId="4E1A9C57" w14:textId="41FBE26C" w:rsidR="00CD7062" w:rsidRPr="00E76A09" w:rsidRDefault="00531687" w:rsidP="005F1FB6">
      <w:pPr>
        <w:pStyle w:val="Heading1"/>
        <w:numPr>
          <w:ilvl w:val="0"/>
          <w:numId w:val="3"/>
        </w:numPr>
        <w:ind w:left="426"/>
      </w:pPr>
      <w:r>
        <w:lastRenderedPageBreak/>
        <w:t>Economic Case</w:t>
      </w:r>
    </w:p>
    <w:p w14:paraId="7E60202B" w14:textId="77777777" w:rsidR="00CD7062" w:rsidRPr="00E76A09" w:rsidRDefault="00CD7062" w:rsidP="00D56CAE">
      <w:pPr>
        <w:spacing w:before="0" w:after="0" w:line="240" w:lineRule="auto"/>
        <w:jc w:val="both"/>
        <w:rPr>
          <w:b/>
          <w:i/>
          <w:iCs/>
          <w:sz w:val="22"/>
          <w:szCs w:val="22"/>
        </w:rPr>
      </w:pPr>
    </w:p>
    <w:p w14:paraId="4E41FDF8" w14:textId="16595086" w:rsidR="00071AE1" w:rsidRPr="00E76A09" w:rsidRDefault="00562E39" w:rsidP="00524DB8">
      <w:pPr>
        <w:spacing w:before="0" w:line="240" w:lineRule="auto"/>
        <w:jc w:val="both"/>
        <w:rPr>
          <w:b/>
          <w:i/>
          <w:iCs/>
          <w:sz w:val="24"/>
          <w:szCs w:val="24"/>
        </w:rPr>
      </w:pPr>
      <w:r w:rsidRPr="00E76A09">
        <w:rPr>
          <w:b/>
          <w:i/>
          <w:iCs/>
          <w:sz w:val="24"/>
          <w:szCs w:val="24"/>
        </w:rPr>
        <w:t xml:space="preserve">2.1 </w:t>
      </w:r>
      <w:r w:rsidR="00071AE1" w:rsidRPr="00E76A09">
        <w:rPr>
          <w:b/>
          <w:i/>
          <w:iCs/>
          <w:sz w:val="24"/>
          <w:szCs w:val="24"/>
        </w:rPr>
        <w:t xml:space="preserve">Options appraisal </w:t>
      </w:r>
    </w:p>
    <w:p w14:paraId="5738098B" w14:textId="3A70AD06" w:rsidR="00071AE1" w:rsidRPr="00E76A09" w:rsidRDefault="00936BFB" w:rsidP="004258E7">
      <w:pPr>
        <w:spacing w:before="0" w:after="0" w:line="240" w:lineRule="auto"/>
        <w:jc w:val="both"/>
        <w:rPr>
          <w:b/>
          <w:sz w:val="22"/>
          <w:szCs w:val="22"/>
        </w:rPr>
      </w:pPr>
      <w:r w:rsidRPr="00E76A09">
        <w:rPr>
          <w:b/>
          <w:sz w:val="22"/>
          <w:szCs w:val="22"/>
        </w:rPr>
        <w:t xml:space="preserve">2.1.1 </w:t>
      </w:r>
      <w:r w:rsidR="00071AE1" w:rsidRPr="00E76A09">
        <w:rPr>
          <w:b/>
          <w:sz w:val="22"/>
          <w:szCs w:val="22"/>
        </w:rPr>
        <w:t xml:space="preserve">Options </w:t>
      </w:r>
    </w:p>
    <w:p w14:paraId="34AF1688" w14:textId="59338480" w:rsidR="00665CFC" w:rsidRPr="00E76A09" w:rsidRDefault="00071AE1" w:rsidP="004258E7">
      <w:pPr>
        <w:pStyle w:val="Style2"/>
        <w:ind w:left="0"/>
      </w:pPr>
      <w:r w:rsidRPr="00E76A09">
        <w:t>The options appraisal considers the available options for delivering the objectives defined in the Strategic Case in line with the Options Framework, as outlined in the Green Book and the DESNZ appraisal guidance. Value for Money was assessed against FCDO</w:t>
      </w:r>
      <w:r w:rsidR="00665CFC" w:rsidRPr="00E76A09">
        <w:t xml:space="preserve">’s 5Es framework which is applied to all ODA programmes to determine whether the extension delivers a good return on UK taxpayer’s money. </w:t>
      </w:r>
    </w:p>
    <w:p w14:paraId="2221B2D4" w14:textId="77777777" w:rsidR="006635E6" w:rsidRPr="00E76A09" w:rsidRDefault="006635E6" w:rsidP="004258E7">
      <w:pPr>
        <w:pStyle w:val="Style2"/>
        <w:ind w:left="0"/>
      </w:pPr>
    </w:p>
    <w:p w14:paraId="1C619DBA" w14:textId="426C487C" w:rsidR="00665CFC" w:rsidRPr="00E76A09" w:rsidRDefault="00936BFB" w:rsidP="004258E7">
      <w:pPr>
        <w:pStyle w:val="Style2"/>
        <w:ind w:left="0"/>
        <w:rPr>
          <w:b/>
          <w:bCs/>
        </w:rPr>
      </w:pPr>
      <w:r w:rsidRPr="00E76A09">
        <w:rPr>
          <w:b/>
          <w:bCs/>
        </w:rPr>
        <w:t xml:space="preserve">2.1.2 </w:t>
      </w:r>
      <w:r w:rsidR="00665CFC" w:rsidRPr="00E76A09">
        <w:rPr>
          <w:b/>
          <w:bCs/>
        </w:rPr>
        <w:t xml:space="preserve">Critical Success Factors and Strategic Fit Objectives </w:t>
      </w:r>
    </w:p>
    <w:p w14:paraId="425CFFBF" w14:textId="5842BE51" w:rsidR="00502BA3" w:rsidRPr="00E76A09" w:rsidRDefault="0097628E" w:rsidP="004258E7">
      <w:pPr>
        <w:pStyle w:val="Style2"/>
        <w:ind w:left="0"/>
      </w:pPr>
      <w:r w:rsidRPr="00E76A09">
        <w:t xml:space="preserve">Five Critical Success Factors (CSF) were used for the options appraisal: strategic </w:t>
      </w:r>
      <w:r w:rsidR="001B0C57" w:rsidRPr="00E76A09">
        <w:t>and meeting business needs, potential value for money, supplier capacity and capability, potential affordability, and achievability</w:t>
      </w:r>
      <w:r w:rsidR="001B0C57" w:rsidRPr="00E76A09">
        <w:rPr>
          <w:b/>
          <w:bCs/>
        </w:rPr>
        <w:t>.</w:t>
      </w:r>
      <w:r w:rsidR="001B0C57" w:rsidRPr="00E76A09">
        <w:rPr>
          <w:b/>
        </w:rPr>
        <w:t xml:space="preserve"> Alongside core Green Book CSFs, SMART strategic fit </w:t>
      </w:r>
      <w:r w:rsidR="001B0C57" w:rsidRPr="00E76A09">
        <w:t xml:space="preserve">objectives were developed (see </w:t>
      </w:r>
      <w:r w:rsidR="001B0C57" w:rsidRPr="00E76A09">
        <w:rPr>
          <w:b/>
          <w:bCs/>
        </w:rPr>
        <w:t xml:space="preserve">Annex </w:t>
      </w:r>
      <w:r w:rsidR="00F11EA5" w:rsidRPr="00E76A09">
        <w:rPr>
          <w:b/>
          <w:bCs/>
        </w:rPr>
        <w:t>I</w:t>
      </w:r>
      <w:r w:rsidR="10E8099E" w:rsidRPr="00E76A09">
        <w:rPr>
          <w:b/>
          <w:bCs/>
        </w:rPr>
        <w:t xml:space="preserve"> </w:t>
      </w:r>
      <w:r w:rsidR="10E8099E" w:rsidRPr="00E76A09">
        <w:t xml:space="preserve">for </w:t>
      </w:r>
      <w:r w:rsidR="7D07F3EA" w:rsidRPr="00E76A09">
        <w:t>a</w:t>
      </w:r>
      <w:r w:rsidR="10E8099E" w:rsidRPr="00E76A09">
        <w:t xml:space="preserve"> description of the CSF and strategic fit objectives</w:t>
      </w:r>
      <w:r w:rsidR="001B0C57" w:rsidRPr="00E76A09">
        <w:t xml:space="preserve">), through workshops and further feedback from specialists. </w:t>
      </w:r>
    </w:p>
    <w:p w14:paraId="7D8D26AC" w14:textId="77777777" w:rsidR="006635E6" w:rsidRPr="00E76A09" w:rsidRDefault="006635E6" w:rsidP="004258E7">
      <w:pPr>
        <w:pStyle w:val="Style2"/>
        <w:ind w:left="0"/>
      </w:pPr>
    </w:p>
    <w:p w14:paraId="5E6A152F" w14:textId="0A021605" w:rsidR="00502BA3" w:rsidRPr="00E76A09" w:rsidRDefault="00936BFB" w:rsidP="004258E7">
      <w:pPr>
        <w:pStyle w:val="Style2"/>
        <w:ind w:left="0"/>
        <w:rPr>
          <w:b/>
          <w:bCs/>
        </w:rPr>
      </w:pPr>
      <w:r w:rsidRPr="00E76A09">
        <w:rPr>
          <w:b/>
          <w:bCs/>
        </w:rPr>
        <w:t xml:space="preserve">2.1.3 </w:t>
      </w:r>
      <w:r w:rsidR="00502BA3" w:rsidRPr="00E76A09">
        <w:rPr>
          <w:b/>
          <w:bCs/>
        </w:rPr>
        <w:t xml:space="preserve">Long List of Options </w:t>
      </w:r>
    </w:p>
    <w:p w14:paraId="34BE6A9B" w14:textId="08F224C8" w:rsidR="005F4C64" w:rsidRPr="00E76A09" w:rsidRDefault="005F4C64" w:rsidP="004258E7">
      <w:pPr>
        <w:pStyle w:val="Style2"/>
        <w:ind w:left="0"/>
      </w:pPr>
      <w:r w:rsidRPr="00E76A09">
        <w:t>A long list of potential delivery options was developed by the programme team using an Options Framework Filter in accordance with required best practice set out in the Green Book and HM Treasury Business Case Guidance</w:t>
      </w:r>
      <w:r w:rsidR="008A7468" w:rsidRPr="00E76A09">
        <w:t xml:space="preserve"> (see </w:t>
      </w:r>
      <w:r w:rsidR="008A7468" w:rsidRPr="00E76A09">
        <w:rPr>
          <w:b/>
          <w:bCs/>
        </w:rPr>
        <w:t xml:space="preserve">Annex </w:t>
      </w:r>
      <w:r w:rsidR="00C8696C" w:rsidRPr="00E76A09">
        <w:rPr>
          <w:b/>
          <w:bCs/>
        </w:rPr>
        <w:t>J</w:t>
      </w:r>
      <w:r w:rsidR="008A7468" w:rsidRPr="00E76A09">
        <w:t>)</w:t>
      </w:r>
      <w:r w:rsidRPr="00E76A09">
        <w:t>. This framework disaggregates proposed interventions into their logical sequences, to ensure all different options for each element of the intervention have been considered. </w:t>
      </w:r>
    </w:p>
    <w:p w14:paraId="5E64DFF5" w14:textId="77777777" w:rsidR="006635E6" w:rsidRPr="00E76A09" w:rsidRDefault="006635E6" w:rsidP="004258E7">
      <w:pPr>
        <w:pStyle w:val="Style2"/>
        <w:ind w:left="0"/>
      </w:pPr>
    </w:p>
    <w:p w14:paraId="4CE66E14" w14:textId="29795C74" w:rsidR="00027996" w:rsidRPr="00E76A09" w:rsidRDefault="005F4C64" w:rsidP="004258E7">
      <w:pPr>
        <w:pStyle w:val="Style2"/>
        <w:ind w:left="0"/>
      </w:pPr>
      <w:r w:rsidRPr="00E76A09">
        <w:t xml:space="preserve">Each option choice was either discounted (if it did not meet intervention objectives and CSFs), carried forward or selected as ‘preferred way forward’. A condensed version of the Options Framework that resulted from this is presented in </w:t>
      </w:r>
      <w:r w:rsidR="00027996" w:rsidRPr="00E76A09">
        <w:t xml:space="preserve">the table at Figure 3 below. </w:t>
      </w:r>
    </w:p>
    <w:p w14:paraId="4F19AEFE" w14:textId="77777777" w:rsidR="006635E6" w:rsidRPr="00E76A09" w:rsidRDefault="006635E6" w:rsidP="004258E7">
      <w:pPr>
        <w:pStyle w:val="Style2"/>
        <w:ind w:left="0"/>
      </w:pPr>
    </w:p>
    <w:p w14:paraId="5ABE00E7" w14:textId="4EEF0FF3" w:rsidR="00027996" w:rsidRPr="00E76A09" w:rsidRDefault="00027996" w:rsidP="004258E7">
      <w:pPr>
        <w:pStyle w:val="Style2"/>
        <w:ind w:left="0"/>
      </w:pPr>
      <w:r w:rsidRPr="00E76A09">
        <w:t>Given the preferred scope and implementation of the programme was pre-determined, it is omitted from the summary table.</w:t>
      </w:r>
    </w:p>
    <w:p w14:paraId="6F309B97" w14:textId="77777777" w:rsidR="006635E6" w:rsidRPr="00E76A09" w:rsidRDefault="006635E6" w:rsidP="005F4C64">
      <w:pPr>
        <w:pStyle w:val="Style2"/>
      </w:pPr>
    </w:p>
    <w:p w14:paraId="55437557" w14:textId="1458C56C" w:rsidR="00027996" w:rsidRPr="00E76A09" w:rsidRDefault="00C86CE1" w:rsidP="00AC1732">
      <w:pPr>
        <w:pStyle w:val="Style2"/>
        <w:ind w:left="0"/>
        <w:rPr>
          <w:i/>
          <w:iCs/>
        </w:rPr>
      </w:pPr>
      <w:r w:rsidRPr="00E76A09">
        <w:rPr>
          <w:i/>
          <w:iCs/>
        </w:rPr>
        <w:t xml:space="preserve">Figure 3: Summary table of options appraisal </w:t>
      </w:r>
    </w:p>
    <w:tbl>
      <w:tblPr>
        <w:tblW w:w="1006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2693"/>
        <w:gridCol w:w="2647"/>
        <w:gridCol w:w="3307"/>
      </w:tblGrid>
      <w:tr w:rsidR="00C86CE1" w:rsidRPr="00E76A09" w14:paraId="77EC28F3" w14:textId="77777777" w:rsidTr="00D50E77">
        <w:trPr>
          <w:trHeight w:val="300"/>
        </w:trPr>
        <w:tc>
          <w:tcPr>
            <w:tcW w:w="1418" w:type="dxa"/>
            <w:tcBorders>
              <w:top w:val="single" w:sz="6" w:space="0" w:color="auto"/>
              <w:left w:val="single" w:sz="6" w:space="0" w:color="auto"/>
              <w:bottom w:val="single" w:sz="6" w:space="0" w:color="auto"/>
              <w:right w:val="single" w:sz="6" w:space="0" w:color="auto"/>
            </w:tcBorders>
            <w:shd w:val="clear" w:color="auto" w:fill="E8E8E8"/>
            <w:hideMark/>
          </w:tcPr>
          <w:p w14:paraId="3B27C182"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 </w:t>
            </w:r>
          </w:p>
        </w:tc>
        <w:tc>
          <w:tcPr>
            <w:tcW w:w="2693" w:type="dxa"/>
            <w:tcBorders>
              <w:top w:val="single" w:sz="6" w:space="0" w:color="auto"/>
              <w:left w:val="single" w:sz="6" w:space="0" w:color="auto"/>
              <w:bottom w:val="single" w:sz="6" w:space="0" w:color="auto"/>
              <w:right w:val="single" w:sz="6" w:space="0" w:color="auto"/>
            </w:tcBorders>
            <w:shd w:val="clear" w:color="auto" w:fill="E8E8E8"/>
            <w:vAlign w:val="center"/>
            <w:hideMark/>
          </w:tcPr>
          <w:p w14:paraId="7F376CE5"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b/>
                <w:bCs/>
                <w:i/>
                <w:iCs/>
                <w:sz w:val="18"/>
                <w:szCs w:val="18"/>
              </w:rPr>
              <w:t>Solution </w:t>
            </w:r>
            <w:r w:rsidRPr="00E76A09">
              <w:rPr>
                <w:rFonts w:ascii="Aptos" w:eastAsia="Times New Roman" w:hAnsi="Aptos" w:cs="Segoe UI"/>
                <w:sz w:val="18"/>
                <w:szCs w:val="18"/>
              </w:rPr>
              <w:t> </w:t>
            </w:r>
          </w:p>
        </w:tc>
        <w:tc>
          <w:tcPr>
            <w:tcW w:w="2647" w:type="dxa"/>
            <w:tcBorders>
              <w:top w:val="single" w:sz="6" w:space="0" w:color="auto"/>
              <w:left w:val="single" w:sz="6" w:space="0" w:color="auto"/>
              <w:bottom w:val="single" w:sz="6" w:space="0" w:color="auto"/>
              <w:right w:val="single" w:sz="6" w:space="0" w:color="auto"/>
            </w:tcBorders>
            <w:shd w:val="clear" w:color="auto" w:fill="E8E8E8"/>
            <w:vAlign w:val="center"/>
            <w:hideMark/>
          </w:tcPr>
          <w:p w14:paraId="0C597C3D"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b/>
                <w:bCs/>
                <w:i/>
                <w:iCs/>
                <w:sz w:val="18"/>
                <w:szCs w:val="18"/>
              </w:rPr>
              <w:t>Delivery </w:t>
            </w:r>
            <w:r w:rsidRPr="00E76A09">
              <w:rPr>
                <w:rFonts w:ascii="Aptos" w:eastAsia="Times New Roman" w:hAnsi="Aptos" w:cs="Segoe UI"/>
                <w:sz w:val="18"/>
                <w:szCs w:val="18"/>
              </w:rPr>
              <w:t> </w:t>
            </w:r>
          </w:p>
        </w:tc>
        <w:tc>
          <w:tcPr>
            <w:tcW w:w="3307" w:type="dxa"/>
            <w:tcBorders>
              <w:top w:val="single" w:sz="6" w:space="0" w:color="auto"/>
              <w:left w:val="single" w:sz="6" w:space="0" w:color="auto"/>
              <w:bottom w:val="single" w:sz="6" w:space="0" w:color="auto"/>
              <w:right w:val="single" w:sz="6" w:space="0" w:color="auto"/>
            </w:tcBorders>
            <w:shd w:val="clear" w:color="auto" w:fill="E8E8E8"/>
            <w:vAlign w:val="center"/>
            <w:hideMark/>
          </w:tcPr>
          <w:p w14:paraId="5FFFEB21"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b/>
                <w:bCs/>
                <w:i/>
                <w:iCs/>
                <w:sz w:val="18"/>
                <w:szCs w:val="18"/>
              </w:rPr>
              <w:t>Funding </w:t>
            </w:r>
            <w:r w:rsidRPr="00E76A09">
              <w:rPr>
                <w:rFonts w:ascii="Aptos" w:eastAsia="Times New Roman" w:hAnsi="Aptos" w:cs="Segoe UI"/>
                <w:sz w:val="18"/>
                <w:szCs w:val="18"/>
              </w:rPr>
              <w:t> </w:t>
            </w:r>
          </w:p>
        </w:tc>
      </w:tr>
      <w:tr w:rsidR="00C86CE1" w:rsidRPr="00E76A09" w14:paraId="33DB12D0" w14:textId="77777777" w:rsidTr="00D50E77">
        <w:trPr>
          <w:trHeight w:val="300"/>
        </w:trPr>
        <w:tc>
          <w:tcPr>
            <w:tcW w:w="1418" w:type="dxa"/>
            <w:tcBorders>
              <w:top w:val="single" w:sz="6" w:space="0" w:color="auto"/>
              <w:left w:val="single" w:sz="6" w:space="0" w:color="auto"/>
              <w:bottom w:val="single" w:sz="6" w:space="0" w:color="auto"/>
              <w:right w:val="single" w:sz="6" w:space="0" w:color="auto"/>
            </w:tcBorders>
            <w:shd w:val="clear" w:color="auto" w:fill="D9F2D0"/>
            <w:vAlign w:val="center"/>
            <w:hideMark/>
          </w:tcPr>
          <w:p w14:paraId="39EBFBEC"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b/>
                <w:bCs/>
                <w:sz w:val="18"/>
                <w:szCs w:val="18"/>
              </w:rPr>
              <w:t>Preferred way forward </w:t>
            </w:r>
            <w:r w:rsidRPr="00E76A09">
              <w:rPr>
                <w:rFonts w:ascii="Aptos" w:eastAsia="Times New Roman" w:hAnsi="Aptos" w:cs="Segoe UI"/>
                <w:sz w:val="18"/>
                <w:szCs w:val="18"/>
              </w:rPr>
              <w:t> </w:t>
            </w:r>
          </w:p>
        </w:tc>
        <w:tc>
          <w:tcPr>
            <w:tcW w:w="2693" w:type="dxa"/>
            <w:tcBorders>
              <w:top w:val="single" w:sz="6" w:space="0" w:color="auto"/>
              <w:left w:val="single" w:sz="6" w:space="0" w:color="auto"/>
              <w:bottom w:val="single" w:sz="4" w:space="0" w:color="auto"/>
              <w:right w:val="single" w:sz="6" w:space="0" w:color="auto"/>
            </w:tcBorders>
            <w:shd w:val="clear" w:color="auto" w:fill="D9F2D0"/>
            <w:hideMark/>
          </w:tcPr>
          <w:p w14:paraId="2D2C5A23"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Address current budget shortfall, include monitoring for sustainable commodities and an extension to the term of the programme</w:t>
            </w:r>
            <w:r w:rsidRPr="00E76A09">
              <w:rPr>
                <w:rFonts w:ascii="Arial" w:eastAsia="Times New Roman" w:hAnsi="Arial" w:cs="Arial"/>
                <w:sz w:val="18"/>
                <w:szCs w:val="18"/>
              </w:rPr>
              <w:t> </w:t>
            </w:r>
            <w:r w:rsidRPr="00E76A09">
              <w:rPr>
                <w:rFonts w:ascii="Aptos" w:eastAsia="Times New Roman" w:hAnsi="Aptos" w:cs="Segoe UI"/>
                <w:sz w:val="18"/>
                <w:szCs w:val="18"/>
              </w:rPr>
              <w:t> </w:t>
            </w:r>
          </w:p>
        </w:tc>
        <w:tc>
          <w:tcPr>
            <w:tcW w:w="2647" w:type="dxa"/>
            <w:tcBorders>
              <w:top w:val="single" w:sz="6" w:space="0" w:color="auto"/>
              <w:left w:val="single" w:sz="6" w:space="0" w:color="auto"/>
              <w:bottom w:val="single" w:sz="4" w:space="0" w:color="auto"/>
              <w:right w:val="single" w:sz="6" w:space="0" w:color="auto"/>
            </w:tcBorders>
            <w:shd w:val="clear" w:color="auto" w:fill="D9F2D0"/>
            <w:hideMark/>
          </w:tcPr>
          <w:p w14:paraId="198ABC8C"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Retain current delivery partner</w:t>
            </w:r>
            <w:r w:rsidRPr="00E76A09">
              <w:rPr>
                <w:rFonts w:ascii="Arial" w:eastAsia="Times New Roman" w:hAnsi="Arial" w:cs="Arial"/>
                <w:sz w:val="18"/>
                <w:szCs w:val="18"/>
              </w:rPr>
              <w:t> </w:t>
            </w:r>
            <w:r w:rsidRPr="00E76A09">
              <w:rPr>
                <w:rFonts w:ascii="Aptos" w:eastAsia="Times New Roman" w:hAnsi="Aptos" w:cs="Segoe UI"/>
                <w:sz w:val="18"/>
                <w:szCs w:val="18"/>
              </w:rPr>
              <w:t> </w:t>
            </w:r>
          </w:p>
        </w:tc>
        <w:tc>
          <w:tcPr>
            <w:tcW w:w="3307" w:type="dxa"/>
            <w:tcBorders>
              <w:top w:val="single" w:sz="6" w:space="0" w:color="auto"/>
              <w:left w:val="single" w:sz="6" w:space="0" w:color="auto"/>
              <w:bottom w:val="single" w:sz="6" w:space="0" w:color="auto"/>
              <w:right w:val="single" w:sz="6" w:space="0" w:color="auto"/>
            </w:tcBorders>
            <w:shd w:val="clear" w:color="auto" w:fill="D9F2D0"/>
            <w:hideMark/>
          </w:tcPr>
          <w:p w14:paraId="7A6FF370"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 xml:space="preserve">An uplift of £20.9 m (including a </w:t>
            </w:r>
            <w:proofErr w:type="gramStart"/>
            <w:r w:rsidRPr="00E76A09">
              <w:rPr>
                <w:rFonts w:ascii="Aptos" w:eastAsia="Times New Roman" w:hAnsi="Aptos" w:cs="Segoe UI"/>
                <w:sz w:val="18"/>
                <w:szCs w:val="18"/>
              </w:rPr>
              <w:t>two year</w:t>
            </w:r>
            <w:proofErr w:type="gramEnd"/>
            <w:r w:rsidRPr="00E76A09">
              <w:rPr>
                <w:rFonts w:ascii="Aptos" w:eastAsia="Times New Roman" w:hAnsi="Aptos" w:cs="Segoe UI"/>
                <w:sz w:val="18"/>
                <w:szCs w:val="18"/>
              </w:rPr>
              <w:t xml:space="preserve"> extension) </w:t>
            </w:r>
          </w:p>
        </w:tc>
      </w:tr>
      <w:tr w:rsidR="00C86CE1" w:rsidRPr="00E76A09" w14:paraId="022341D5" w14:textId="77777777" w:rsidTr="00D50E77">
        <w:trPr>
          <w:trHeight w:val="600"/>
        </w:trPr>
        <w:tc>
          <w:tcPr>
            <w:tcW w:w="1418" w:type="dxa"/>
            <w:vMerge w:val="restart"/>
            <w:tcBorders>
              <w:top w:val="single" w:sz="6" w:space="0" w:color="auto"/>
              <w:left w:val="single" w:sz="6" w:space="0" w:color="auto"/>
              <w:bottom w:val="single" w:sz="6" w:space="0" w:color="auto"/>
              <w:right w:val="single" w:sz="4" w:space="0" w:color="auto"/>
            </w:tcBorders>
            <w:shd w:val="clear" w:color="auto" w:fill="FFE181"/>
            <w:vAlign w:val="center"/>
            <w:hideMark/>
          </w:tcPr>
          <w:p w14:paraId="766D8A9A"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b/>
                <w:bCs/>
                <w:sz w:val="18"/>
                <w:szCs w:val="18"/>
              </w:rPr>
              <w:t>Carried over </w:t>
            </w:r>
            <w:r w:rsidRPr="00E76A09">
              <w:rPr>
                <w:rFonts w:ascii="Aptos" w:eastAsia="Times New Roman" w:hAnsi="Aptos" w:cs="Segoe UI"/>
                <w:sz w:val="18"/>
                <w:szCs w:val="18"/>
              </w:rPr>
              <w:t> </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E181"/>
            <w:hideMark/>
          </w:tcPr>
          <w:p w14:paraId="636B3C5D"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BAU - no additional funding to AIM4Forests or extension to the term of the programme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FFE181"/>
            <w:hideMark/>
          </w:tcPr>
          <w:p w14:paraId="23F7B6E5" w14:textId="77777777" w:rsidR="00C86CE1" w:rsidRPr="00E76A09" w:rsidRDefault="00C86CE1" w:rsidP="005B319B">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Funding of a new programme through competitive tender</w:t>
            </w:r>
            <w:r w:rsidRPr="00E76A09">
              <w:rPr>
                <w:rFonts w:ascii="Arial" w:eastAsia="Times New Roman" w:hAnsi="Arial" w:cs="Arial"/>
                <w:sz w:val="18"/>
                <w:szCs w:val="18"/>
              </w:rPr>
              <w:t> </w:t>
            </w:r>
            <w:r w:rsidRPr="00E76A09">
              <w:rPr>
                <w:rFonts w:ascii="Aptos" w:eastAsia="Times New Roman" w:hAnsi="Aptos" w:cs="Segoe UI"/>
                <w:sz w:val="18"/>
                <w:szCs w:val="18"/>
              </w:rPr>
              <w:t> </w:t>
            </w:r>
          </w:p>
        </w:tc>
        <w:tc>
          <w:tcPr>
            <w:tcW w:w="3307" w:type="dxa"/>
            <w:tcBorders>
              <w:top w:val="single" w:sz="6" w:space="0" w:color="auto"/>
              <w:left w:val="single" w:sz="4" w:space="0" w:color="auto"/>
              <w:bottom w:val="single" w:sz="6" w:space="0" w:color="auto"/>
              <w:right w:val="single" w:sz="6" w:space="0" w:color="auto"/>
            </w:tcBorders>
            <w:shd w:val="clear" w:color="auto" w:fill="FFE181"/>
            <w:vAlign w:val="center"/>
            <w:hideMark/>
          </w:tcPr>
          <w:p w14:paraId="71303360"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BAU - no budgetary increase or extension to the term of the programme</w:t>
            </w:r>
            <w:r w:rsidRPr="00E76A09">
              <w:rPr>
                <w:rFonts w:ascii="Arial" w:eastAsia="Times New Roman" w:hAnsi="Arial" w:cs="Arial"/>
                <w:sz w:val="18"/>
                <w:szCs w:val="18"/>
              </w:rPr>
              <w:t>  </w:t>
            </w:r>
            <w:r w:rsidRPr="00E76A09">
              <w:rPr>
                <w:rFonts w:ascii="Aptos" w:eastAsia="Times New Roman" w:hAnsi="Aptos" w:cs="Segoe UI"/>
                <w:sz w:val="18"/>
                <w:szCs w:val="18"/>
              </w:rPr>
              <w:t> </w:t>
            </w:r>
          </w:p>
          <w:p w14:paraId="612FCEF4"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 </w:t>
            </w:r>
          </w:p>
        </w:tc>
      </w:tr>
      <w:tr w:rsidR="00C86CE1" w:rsidRPr="00E76A09" w14:paraId="2EBE1FCA" w14:textId="77777777" w:rsidTr="00D50E77">
        <w:trPr>
          <w:trHeight w:val="300"/>
        </w:trPr>
        <w:tc>
          <w:tcPr>
            <w:tcW w:w="1418" w:type="dxa"/>
            <w:vMerge/>
            <w:tcBorders>
              <w:right w:val="single" w:sz="4" w:space="0" w:color="auto"/>
            </w:tcBorders>
            <w:vAlign w:val="center"/>
            <w:hideMark/>
          </w:tcPr>
          <w:p w14:paraId="2588F54A" w14:textId="77777777" w:rsidR="00C86CE1" w:rsidRPr="00E76A09" w:rsidRDefault="00C86CE1" w:rsidP="00C86CE1">
            <w:pPr>
              <w:spacing w:before="0" w:after="0" w:line="240" w:lineRule="auto"/>
              <w:rPr>
                <w:rFonts w:ascii="Segoe UI" w:eastAsia="Times New Roman" w:hAnsi="Segoe UI" w:cs="Segoe UI"/>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236DB65" w14:textId="77777777" w:rsidR="00C86CE1" w:rsidRPr="00E76A09" w:rsidRDefault="00C86CE1" w:rsidP="00C86CE1">
            <w:pPr>
              <w:spacing w:before="0" w:after="0" w:line="240" w:lineRule="auto"/>
              <w:rPr>
                <w:rFonts w:ascii="Segoe UI" w:eastAsia="Times New Roman" w:hAnsi="Segoe UI" w:cs="Segoe UI"/>
                <w:sz w:val="18"/>
                <w:szCs w:val="18"/>
              </w:rPr>
            </w:pPr>
          </w:p>
        </w:tc>
        <w:tc>
          <w:tcPr>
            <w:tcW w:w="2647" w:type="dxa"/>
            <w:vMerge/>
            <w:tcBorders>
              <w:top w:val="single" w:sz="4" w:space="0" w:color="auto"/>
              <w:left w:val="single" w:sz="4" w:space="0" w:color="auto"/>
              <w:bottom w:val="single" w:sz="4" w:space="0" w:color="auto"/>
              <w:right w:val="single" w:sz="4" w:space="0" w:color="auto"/>
            </w:tcBorders>
            <w:vAlign w:val="center"/>
            <w:hideMark/>
          </w:tcPr>
          <w:p w14:paraId="5D8B7E6B" w14:textId="77777777" w:rsidR="00C86CE1" w:rsidRPr="00E76A09" w:rsidRDefault="00C86CE1" w:rsidP="00C86CE1">
            <w:pPr>
              <w:spacing w:before="0" w:after="0" w:line="240" w:lineRule="auto"/>
              <w:rPr>
                <w:rFonts w:ascii="Segoe UI" w:eastAsia="Times New Roman" w:hAnsi="Segoe UI" w:cs="Segoe UI"/>
                <w:sz w:val="18"/>
                <w:szCs w:val="18"/>
              </w:rPr>
            </w:pPr>
          </w:p>
        </w:tc>
        <w:tc>
          <w:tcPr>
            <w:tcW w:w="3307" w:type="dxa"/>
            <w:tcBorders>
              <w:top w:val="single" w:sz="6" w:space="0" w:color="auto"/>
              <w:left w:val="single" w:sz="4" w:space="0" w:color="auto"/>
              <w:bottom w:val="single" w:sz="6" w:space="0" w:color="auto"/>
              <w:right w:val="single" w:sz="6" w:space="0" w:color="auto"/>
            </w:tcBorders>
            <w:shd w:val="clear" w:color="auto" w:fill="FFE181"/>
            <w:hideMark/>
          </w:tcPr>
          <w:p w14:paraId="4B7DA8B6" w14:textId="39154131"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 xml:space="preserve">An uplift of £40m (including a </w:t>
            </w:r>
            <w:proofErr w:type="gramStart"/>
            <w:r w:rsidRPr="00E76A09">
              <w:rPr>
                <w:rFonts w:ascii="Aptos" w:eastAsia="Times New Roman" w:hAnsi="Aptos" w:cs="Segoe UI"/>
                <w:sz w:val="18"/>
                <w:szCs w:val="18"/>
              </w:rPr>
              <w:t>two year</w:t>
            </w:r>
            <w:proofErr w:type="gramEnd"/>
            <w:r w:rsidRPr="00E76A09">
              <w:rPr>
                <w:rFonts w:ascii="Aptos" w:eastAsia="Times New Roman" w:hAnsi="Aptos" w:cs="Segoe UI"/>
                <w:sz w:val="18"/>
                <w:szCs w:val="18"/>
              </w:rPr>
              <w:t xml:space="preserve"> extension)</w:t>
            </w:r>
            <w:r w:rsidRPr="00E76A09">
              <w:rPr>
                <w:rFonts w:ascii="Arial" w:eastAsia="Times New Roman" w:hAnsi="Arial" w:cs="Arial"/>
                <w:sz w:val="18"/>
                <w:szCs w:val="18"/>
              </w:rPr>
              <w:t xml:space="preserve">  </w:t>
            </w:r>
          </w:p>
        </w:tc>
      </w:tr>
      <w:tr w:rsidR="00C86CE1" w:rsidRPr="00E76A09" w14:paraId="52BA6205" w14:textId="77777777" w:rsidTr="00D50E77">
        <w:trPr>
          <w:trHeight w:val="300"/>
        </w:trPr>
        <w:tc>
          <w:tcPr>
            <w:tcW w:w="1418" w:type="dxa"/>
            <w:vMerge w:val="restart"/>
            <w:tcBorders>
              <w:top w:val="single" w:sz="6" w:space="0" w:color="auto"/>
              <w:left w:val="single" w:sz="6" w:space="0" w:color="auto"/>
              <w:bottom w:val="single" w:sz="6" w:space="0" w:color="auto"/>
              <w:right w:val="single" w:sz="6" w:space="0" w:color="auto"/>
            </w:tcBorders>
            <w:shd w:val="clear" w:color="auto" w:fill="F6C5AC"/>
            <w:vAlign w:val="center"/>
            <w:hideMark/>
          </w:tcPr>
          <w:p w14:paraId="4ED661C6"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b/>
                <w:bCs/>
                <w:sz w:val="18"/>
                <w:szCs w:val="18"/>
              </w:rPr>
              <w:t>Discounted </w:t>
            </w:r>
            <w:r w:rsidRPr="00E76A09">
              <w:rPr>
                <w:rFonts w:ascii="Aptos" w:eastAsia="Times New Roman" w:hAnsi="Aptos" w:cs="Segoe UI"/>
                <w:sz w:val="18"/>
                <w:szCs w:val="18"/>
              </w:rPr>
              <w:t> </w:t>
            </w:r>
          </w:p>
        </w:tc>
        <w:tc>
          <w:tcPr>
            <w:tcW w:w="2693" w:type="dxa"/>
            <w:tcBorders>
              <w:top w:val="single" w:sz="4" w:space="0" w:color="auto"/>
              <w:left w:val="single" w:sz="6" w:space="0" w:color="auto"/>
              <w:bottom w:val="single" w:sz="6" w:space="0" w:color="auto"/>
              <w:right w:val="single" w:sz="4" w:space="0" w:color="auto"/>
            </w:tcBorders>
            <w:shd w:val="clear" w:color="auto" w:fill="F6C5AC"/>
            <w:hideMark/>
          </w:tcPr>
          <w:p w14:paraId="1171B728"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Provide additional support to address the current budget shortfall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F6C5AC"/>
            <w:hideMark/>
          </w:tcPr>
          <w:p w14:paraId="528C4548"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Provide funding to existing HMG programmes </w:t>
            </w:r>
          </w:p>
        </w:tc>
        <w:tc>
          <w:tcPr>
            <w:tcW w:w="3307" w:type="dxa"/>
            <w:vMerge w:val="restart"/>
            <w:tcBorders>
              <w:top w:val="single" w:sz="6" w:space="0" w:color="auto"/>
              <w:left w:val="single" w:sz="4" w:space="0" w:color="auto"/>
              <w:bottom w:val="single" w:sz="6" w:space="0" w:color="auto"/>
              <w:right w:val="single" w:sz="6" w:space="0" w:color="auto"/>
            </w:tcBorders>
            <w:shd w:val="clear" w:color="auto" w:fill="F6C5AC"/>
            <w:hideMark/>
          </w:tcPr>
          <w:p w14:paraId="6A4ACD7F"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A smaller uplift (£10m RDEL) and there would no extension to the term of the programme</w:t>
            </w:r>
            <w:r w:rsidRPr="00E76A09">
              <w:rPr>
                <w:rFonts w:ascii="Arial" w:eastAsia="Times New Roman" w:hAnsi="Arial" w:cs="Arial"/>
                <w:sz w:val="18"/>
                <w:szCs w:val="18"/>
              </w:rPr>
              <w:t> </w:t>
            </w:r>
            <w:r w:rsidRPr="00E76A09">
              <w:rPr>
                <w:rFonts w:ascii="Aptos" w:eastAsia="Times New Roman" w:hAnsi="Aptos" w:cs="Segoe UI"/>
                <w:sz w:val="18"/>
                <w:szCs w:val="18"/>
              </w:rPr>
              <w:t> </w:t>
            </w:r>
          </w:p>
        </w:tc>
      </w:tr>
      <w:tr w:rsidR="00C86CE1" w:rsidRPr="00E76A09" w14:paraId="342A57BB" w14:textId="77777777" w:rsidTr="00D50E77">
        <w:trPr>
          <w:trHeight w:val="300"/>
        </w:trPr>
        <w:tc>
          <w:tcPr>
            <w:tcW w:w="1418" w:type="dxa"/>
            <w:vMerge/>
            <w:vAlign w:val="center"/>
            <w:hideMark/>
          </w:tcPr>
          <w:p w14:paraId="534F2E56" w14:textId="77777777" w:rsidR="00C86CE1" w:rsidRPr="00E76A09" w:rsidRDefault="00C86CE1" w:rsidP="00C86CE1">
            <w:pPr>
              <w:spacing w:before="0" w:after="0" w:line="240" w:lineRule="auto"/>
              <w:rPr>
                <w:rFonts w:ascii="Segoe UI" w:eastAsia="Times New Roman" w:hAnsi="Segoe UI" w:cs="Segoe UI"/>
                <w:sz w:val="18"/>
                <w:szCs w:val="18"/>
              </w:rPr>
            </w:pPr>
          </w:p>
        </w:tc>
        <w:tc>
          <w:tcPr>
            <w:tcW w:w="2693" w:type="dxa"/>
            <w:tcBorders>
              <w:top w:val="single" w:sz="6" w:space="0" w:color="auto"/>
              <w:left w:val="single" w:sz="6" w:space="0" w:color="auto"/>
              <w:bottom w:val="single" w:sz="6" w:space="0" w:color="auto"/>
              <w:right w:val="single" w:sz="4" w:space="0" w:color="auto"/>
            </w:tcBorders>
            <w:shd w:val="clear" w:color="auto" w:fill="F6C5AC"/>
            <w:hideMark/>
          </w:tcPr>
          <w:p w14:paraId="1FB16EE3"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Address current budget shortfall and include monitoring for sustainable commodities </w:t>
            </w:r>
          </w:p>
        </w:tc>
        <w:tc>
          <w:tcPr>
            <w:tcW w:w="2647" w:type="dxa"/>
            <w:vMerge/>
            <w:tcBorders>
              <w:top w:val="single" w:sz="4" w:space="0" w:color="auto"/>
              <w:left w:val="single" w:sz="4" w:space="0" w:color="auto"/>
              <w:bottom w:val="single" w:sz="4" w:space="0" w:color="auto"/>
              <w:right w:val="single" w:sz="4" w:space="0" w:color="auto"/>
            </w:tcBorders>
            <w:vAlign w:val="center"/>
            <w:hideMark/>
          </w:tcPr>
          <w:p w14:paraId="74F7C58A" w14:textId="77777777" w:rsidR="00C86CE1" w:rsidRPr="00E76A09" w:rsidRDefault="00C86CE1" w:rsidP="00C86CE1">
            <w:pPr>
              <w:spacing w:before="0" w:after="0" w:line="240" w:lineRule="auto"/>
              <w:rPr>
                <w:rFonts w:ascii="Segoe UI" w:eastAsia="Times New Roman" w:hAnsi="Segoe UI" w:cs="Segoe UI"/>
                <w:sz w:val="18"/>
                <w:szCs w:val="18"/>
              </w:rPr>
            </w:pPr>
          </w:p>
        </w:tc>
        <w:tc>
          <w:tcPr>
            <w:tcW w:w="3307" w:type="dxa"/>
            <w:vMerge/>
            <w:tcBorders>
              <w:left w:val="single" w:sz="4" w:space="0" w:color="auto"/>
            </w:tcBorders>
            <w:vAlign w:val="center"/>
            <w:hideMark/>
          </w:tcPr>
          <w:p w14:paraId="60623F7C" w14:textId="77777777" w:rsidR="00C86CE1" w:rsidRPr="00E76A09" w:rsidRDefault="00C86CE1" w:rsidP="00C86CE1">
            <w:pPr>
              <w:spacing w:before="0" w:after="0" w:line="240" w:lineRule="auto"/>
              <w:rPr>
                <w:rFonts w:ascii="Segoe UI" w:eastAsia="Times New Roman" w:hAnsi="Segoe UI" w:cs="Segoe UI"/>
                <w:sz w:val="18"/>
                <w:szCs w:val="18"/>
              </w:rPr>
            </w:pPr>
          </w:p>
        </w:tc>
      </w:tr>
      <w:tr w:rsidR="00C86CE1" w:rsidRPr="00E76A09" w14:paraId="171EDADD" w14:textId="77777777" w:rsidTr="00D50E77">
        <w:trPr>
          <w:trHeight w:val="300"/>
        </w:trPr>
        <w:tc>
          <w:tcPr>
            <w:tcW w:w="1418" w:type="dxa"/>
            <w:vMerge/>
            <w:vAlign w:val="center"/>
            <w:hideMark/>
          </w:tcPr>
          <w:p w14:paraId="5774790C" w14:textId="77777777" w:rsidR="00C86CE1" w:rsidRPr="00E76A09" w:rsidRDefault="00C86CE1" w:rsidP="00C86CE1">
            <w:pPr>
              <w:spacing w:before="0" w:after="0" w:line="240" w:lineRule="auto"/>
              <w:rPr>
                <w:rFonts w:ascii="Segoe UI" w:eastAsia="Times New Roman" w:hAnsi="Segoe UI" w:cs="Segoe UI"/>
                <w:sz w:val="18"/>
                <w:szCs w:val="18"/>
              </w:rPr>
            </w:pPr>
          </w:p>
        </w:tc>
        <w:tc>
          <w:tcPr>
            <w:tcW w:w="2693" w:type="dxa"/>
            <w:tcBorders>
              <w:top w:val="single" w:sz="6" w:space="0" w:color="auto"/>
              <w:left w:val="single" w:sz="6" w:space="0" w:color="auto"/>
              <w:bottom w:val="single" w:sz="6" w:space="0" w:color="auto"/>
              <w:right w:val="single" w:sz="6" w:space="0" w:color="auto"/>
            </w:tcBorders>
            <w:shd w:val="clear" w:color="auto" w:fill="F6C5AC"/>
            <w:hideMark/>
          </w:tcPr>
          <w:p w14:paraId="2A54B294"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Address the budget shortfall and extend the term of the programme </w:t>
            </w:r>
          </w:p>
        </w:tc>
        <w:tc>
          <w:tcPr>
            <w:tcW w:w="2647" w:type="dxa"/>
            <w:tcBorders>
              <w:top w:val="single" w:sz="4" w:space="0" w:color="auto"/>
              <w:left w:val="single" w:sz="6" w:space="0" w:color="auto"/>
              <w:bottom w:val="single" w:sz="6" w:space="0" w:color="auto"/>
              <w:right w:val="single" w:sz="6" w:space="0" w:color="auto"/>
            </w:tcBorders>
            <w:shd w:val="clear" w:color="auto" w:fill="F6C5AC"/>
            <w:hideMark/>
          </w:tcPr>
          <w:p w14:paraId="0E539CDA"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HMG to implement a new programme</w:t>
            </w:r>
            <w:r w:rsidRPr="00E76A09">
              <w:rPr>
                <w:rFonts w:ascii="Arial" w:eastAsia="Times New Roman" w:hAnsi="Arial" w:cs="Arial"/>
                <w:sz w:val="18"/>
                <w:szCs w:val="18"/>
              </w:rPr>
              <w:t> </w:t>
            </w:r>
            <w:r w:rsidRPr="00E76A09">
              <w:rPr>
                <w:rFonts w:ascii="Aptos" w:eastAsia="Times New Roman" w:hAnsi="Aptos" w:cs="Segoe UI"/>
                <w:sz w:val="18"/>
                <w:szCs w:val="18"/>
              </w:rPr>
              <w:t> </w:t>
            </w:r>
          </w:p>
        </w:tc>
        <w:tc>
          <w:tcPr>
            <w:tcW w:w="3307" w:type="dxa"/>
            <w:vMerge w:val="restart"/>
            <w:tcBorders>
              <w:top w:val="single" w:sz="6" w:space="0" w:color="auto"/>
              <w:left w:val="single" w:sz="6" w:space="0" w:color="auto"/>
              <w:bottom w:val="single" w:sz="6" w:space="0" w:color="auto"/>
              <w:right w:val="single" w:sz="6" w:space="0" w:color="auto"/>
            </w:tcBorders>
            <w:shd w:val="clear" w:color="auto" w:fill="F6C5AC"/>
            <w:hideMark/>
          </w:tcPr>
          <w:p w14:paraId="38B51CCE"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 xml:space="preserve">An uplift of £13.5m (including a </w:t>
            </w:r>
            <w:proofErr w:type="gramStart"/>
            <w:r w:rsidRPr="00E76A09">
              <w:rPr>
                <w:rFonts w:ascii="Aptos" w:eastAsia="Times New Roman" w:hAnsi="Aptos" w:cs="Segoe UI"/>
                <w:sz w:val="18"/>
                <w:szCs w:val="18"/>
              </w:rPr>
              <w:t>one year</w:t>
            </w:r>
            <w:proofErr w:type="gramEnd"/>
            <w:r w:rsidRPr="00E76A09">
              <w:rPr>
                <w:rFonts w:ascii="Aptos" w:eastAsia="Times New Roman" w:hAnsi="Aptos" w:cs="Segoe UI"/>
                <w:sz w:val="18"/>
                <w:szCs w:val="18"/>
              </w:rPr>
              <w:t xml:space="preserve"> extension) </w:t>
            </w:r>
          </w:p>
        </w:tc>
      </w:tr>
      <w:tr w:rsidR="00C86CE1" w:rsidRPr="00E76A09" w14:paraId="4326786C" w14:textId="77777777" w:rsidTr="00D50E77">
        <w:trPr>
          <w:trHeight w:val="300"/>
        </w:trPr>
        <w:tc>
          <w:tcPr>
            <w:tcW w:w="1418" w:type="dxa"/>
            <w:vMerge/>
            <w:vAlign w:val="center"/>
            <w:hideMark/>
          </w:tcPr>
          <w:p w14:paraId="15BF0377" w14:textId="77777777" w:rsidR="00C86CE1" w:rsidRPr="00E76A09" w:rsidRDefault="00C86CE1" w:rsidP="00C86CE1">
            <w:pPr>
              <w:spacing w:before="0" w:after="0" w:line="240" w:lineRule="auto"/>
              <w:rPr>
                <w:rFonts w:ascii="Segoe UI" w:eastAsia="Times New Roman" w:hAnsi="Segoe UI" w:cs="Segoe UI"/>
                <w:sz w:val="18"/>
                <w:szCs w:val="18"/>
              </w:rPr>
            </w:pPr>
          </w:p>
        </w:tc>
        <w:tc>
          <w:tcPr>
            <w:tcW w:w="2693" w:type="dxa"/>
            <w:tcBorders>
              <w:top w:val="single" w:sz="6" w:space="0" w:color="auto"/>
              <w:left w:val="single" w:sz="6" w:space="0" w:color="auto"/>
              <w:bottom w:val="single" w:sz="6" w:space="0" w:color="auto"/>
              <w:right w:val="single" w:sz="6" w:space="0" w:color="auto"/>
            </w:tcBorders>
            <w:shd w:val="clear" w:color="auto" w:fill="F6C5AC"/>
            <w:hideMark/>
          </w:tcPr>
          <w:p w14:paraId="5BF4A207" w14:textId="0CF8A0EE"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Extension to the term of the programme</w:t>
            </w:r>
            <w:r w:rsidRPr="00E76A09">
              <w:rPr>
                <w:rFonts w:ascii="Arial" w:eastAsia="Times New Roman" w:hAnsi="Arial" w:cs="Arial"/>
                <w:sz w:val="18"/>
                <w:szCs w:val="18"/>
              </w:rPr>
              <w:t> only</w:t>
            </w:r>
            <w:r w:rsidRPr="00E76A09">
              <w:rPr>
                <w:rFonts w:ascii="Aptos" w:eastAsia="Times New Roman" w:hAnsi="Aptos" w:cs="Segoe UI"/>
                <w:sz w:val="18"/>
                <w:szCs w:val="18"/>
              </w:rPr>
              <w:t>  </w:t>
            </w:r>
          </w:p>
        </w:tc>
        <w:tc>
          <w:tcPr>
            <w:tcW w:w="2647" w:type="dxa"/>
            <w:tcBorders>
              <w:top w:val="single" w:sz="6" w:space="0" w:color="auto"/>
              <w:left w:val="single" w:sz="6" w:space="0" w:color="auto"/>
              <w:bottom w:val="single" w:sz="6" w:space="0" w:color="auto"/>
              <w:right w:val="single" w:sz="6" w:space="0" w:color="auto"/>
            </w:tcBorders>
            <w:shd w:val="clear" w:color="auto" w:fill="F6C5AC"/>
            <w:hideMark/>
          </w:tcPr>
          <w:p w14:paraId="52F8D06A" w14:textId="77777777" w:rsidR="00C86CE1" w:rsidRPr="00E76A09" w:rsidRDefault="00C86CE1" w:rsidP="00C86CE1">
            <w:pPr>
              <w:spacing w:before="0" w:after="0" w:line="240" w:lineRule="auto"/>
              <w:textAlignment w:val="baseline"/>
              <w:rPr>
                <w:rFonts w:ascii="Segoe UI" w:eastAsia="Times New Roman" w:hAnsi="Segoe UI" w:cs="Segoe UI"/>
                <w:sz w:val="18"/>
                <w:szCs w:val="18"/>
              </w:rPr>
            </w:pPr>
            <w:r w:rsidRPr="00E76A09">
              <w:rPr>
                <w:rFonts w:ascii="Aptos" w:eastAsia="Times New Roman" w:hAnsi="Aptos" w:cs="Segoe UI"/>
                <w:sz w:val="18"/>
                <w:szCs w:val="18"/>
              </w:rPr>
              <w:t>Funding of a new programme through direct award</w:t>
            </w:r>
            <w:r w:rsidRPr="00E76A09">
              <w:rPr>
                <w:rFonts w:ascii="Arial" w:eastAsia="Times New Roman" w:hAnsi="Arial" w:cs="Arial"/>
                <w:sz w:val="18"/>
                <w:szCs w:val="18"/>
              </w:rPr>
              <w:t> </w:t>
            </w:r>
            <w:r w:rsidRPr="00E76A09">
              <w:rPr>
                <w:rFonts w:ascii="Aptos" w:eastAsia="Times New Roman" w:hAnsi="Aptos" w:cs="Segoe UI"/>
                <w:sz w:val="18"/>
                <w:szCs w:val="18"/>
              </w:rPr>
              <w:t> </w:t>
            </w:r>
          </w:p>
        </w:tc>
        <w:tc>
          <w:tcPr>
            <w:tcW w:w="3307" w:type="dxa"/>
            <w:vMerge/>
            <w:vAlign w:val="center"/>
            <w:hideMark/>
          </w:tcPr>
          <w:p w14:paraId="2E606599" w14:textId="77777777" w:rsidR="00C86CE1" w:rsidRPr="00E76A09" w:rsidRDefault="00C86CE1" w:rsidP="00C86CE1">
            <w:pPr>
              <w:spacing w:before="0" w:after="0" w:line="240" w:lineRule="auto"/>
              <w:rPr>
                <w:rFonts w:ascii="Segoe UI" w:eastAsia="Times New Roman" w:hAnsi="Segoe UI" w:cs="Segoe UI"/>
                <w:sz w:val="18"/>
                <w:szCs w:val="18"/>
              </w:rPr>
            </w:pPr>
          </w:p>
        </w:tc>
      </w:tr>
    </w:tbl>
    <w:p w14:paraId="552A9F9D" w14:textId="77777777" w:rsidR="00027996" w:rsidRPr="00E76A09" w:rsidRDefault="00027996" w:rsidP="005F4C64">
      <w:pPr>
        <w:pStyle w:val="Style2"/>
      </w:pPr>
    </w:p>
    <w:p w14:paraId="57859BD4" w14:textId="4BD0ADC3" w:rsidR="00502BA3" w:rsidRPr="00E76A09" w:rsidRDefault="00936BFB" w:rsidP="004258E7">
      <w:pPr>
        <w:pStyle w:val="Style2"/>
        <w:ind w:left="0"/>
        <w:rPr>
          <w:b/>
          <w:bCs/>
        </w:rPr>
      </w:pPr>
      <w:r w:rsidRPr="00E76A09">
        <w:rPr>
          <w:b/>
          <w:bCs/>
        </w:rPr>
        <w:t xml:space="preserve">2.1.4 </w:t>
      </w:r>
      <w:r w:rsidR="008F35E2" w:rsidRPr="00E76A09">
        <w:rPr>
          <w:b/>
          <w:bCs/>
        </w:rPr>
        <w:t xml:space="preserve">Shortlist of options </w:t>
      </w:r>
    </w:p>
    <w:p w14:paraId="05585170" w14:textId="16A28CBC" w:rsidR="000F5148" w:rsidRPr="00E76A09" w:rsidRDefault="000F5148" w:rsidP="004258E7">
      <w:pPr>
        <w:pStyle w:val="Style2"/>
        <w:ind w:left="0"/>
        <w:rPr>
          <w:b/>
        </w:rPr>
      </w:pPr>
      <w:r w:rsidRPr="00E76A09">
        <w:t xml:space="preserve">The following options were chosen for the </w:t>
      </w:r>
      <w:proofErr w:type="gramStart"/>
      <w:r w:rsidRPr="00E76A09">
        <w:t>shortlist</w:t>
      </w:r>
      <w:proofErr w:type="gramEnd"/>
      <w:r w:rsidRPr="00E76A09">
        <w:t xml:space="preserve"> and </w:t>
      </w:r>
      <w:r w:rsidR="4CF69EE1" w:rsidRPr="00E76A09">
        <w:t>a SWOT analysis (strengths, weaknesses, threats and opportunities) was conducted, as well as consideration</w:t>
      </w:r>
      <w:r w:rsidRPr="00E76A09">
        <w:t xml:space="preserve"> against the </w:t>
      </w:r>
      <w:r w:rsidR="4CF69EE1" w:rsidRPr="00E76A09">
        <w:t>CSF and strategic fit</w:t>
      </w:r>
      <w:r w:rsidRPr="00E76A09">
        <w:t xml:space="preserve"> objectives (</w:t>
      </w:r>
      <w:r w:rsidR="00C84276" w:rsidRPr="00E76A09">
        <w:t xml:space="preserve">see </w:t>
      </w:r>
      <w:r w:rsidR="00C84276" w:rsidRPr="00E76A09">
        <w:rPr>
          <w:b/>
          <w:bCs/>
        </w:rPr>
        <w:t xml:space="preserve">Annex </w:t>
      </w:r>
      <w:r w:rsidR="00B958CE" w:rsidRPr="00E76A09">
        <w:rPr>
          <w:b/>
          <w:bCs/>
        </w:rPr>
        <w:t>K</w:t>
      </w:r>
      <w:r w:rsidR="00C84276" w:rsidRPr="00E76A09">
        <w:rPr>
          <w:b/>
        </w:rPr>
        <w:t xml:space="preserve"> </w:t>
      </w:r>
      <w:r w:rsidR="00C84276" w:rsidRPr="00E76A09">
        <w:rPr>
          <w:bCs/>
        </w:rPr>
        <w:t>for a more comprehensive assessment</w:t>
      </w:r>
      <w:r w:rsidR="00C84276" w:rsidRPr="00D740EA">
        <w:rPr>
          <w:bCs/>
        </w:rPr>
        <w:t>).</w:t>
      </w:r>
      <w:r w:rsidR="00C84276" w:rsidRPr="00E76A09">
        <w:rPr>
          <w:b/>
        </w:rPr>
        <w:t xml:space="preserve"> </w:t>
      </w:r>
    </w:p>
    <w:p w14:paraId="750676C6" w14:textId="77777777" w:rsidR="00D511F7" w:rsidRPr="00E76A09" w:rsidRDefault="00D511F7" w:rsidP="00502BA3">
      <w:pPr>
        <w:pStyle w:val="Style2"/>
      </w:pPr>
    </w:p>
    <w:p w14:paraId="285618F4" w14:textId="34A607CF" w:rsidR="000F5148" w:rsidRPr="00E76A09" w:rsidRDefault="000F5148" w:rsidP="00502BA3">
      <w:pPr>
        <w:pStyle w:val="Style2"/>
        <w:rPr>
          <w:u w:val="single"/>
        </w:rPr>
      </w:pPr>
      <w:r w:rsidRPr="00E76A09">
        <w:rPr>
          <w:u w:val="single"/>
        </w:rPr>
        <w:t xml:space="preserve">Option 1: BAU (do nothing) </w:t>
      </w:r>
    </w:p>
    <w:p w14:paraId="5B2E1925" w14:textId="3EA91D7D" w:rsidR="00C45BDB" w:rsidRPr="00E76A09" w:rsidRDefault="00C45BDB" w:rsidP="00087E18">
      <w:pPr>
        <w:pStyle w:val="Style2"/>
        <w:numPr>
          <w:ilvl w:val="0"/>
          <w:numId w:val="44"/>
        </w:numPr>
        <w:ind w:left="709"/>
      </w:pPr>
      <w:r w:rsidRPr="00E76A09">
        <w:t xml:space="preserve">This option was not preferred. As outlined in the Strategic Case, if the extension does not go ahead the budget on the output for the programme’s in-country technical assistance will run out in 2026. This will result in </w:t>
      </w:r>
      <w:r w:rsidR="00AE3796" w:rsidRPr="00E76A09">
        <w:t xml:space="preserve">the in-country technical assistance being scaled back significantly and countries being reprioritised. </w:t>
      </w:r>
      <w:r w:rsidR="00E83051" w:rsidRPr="00E76A09">
        <w:t xml:space="preserve">This option does not meet any of the strategic fit </w:t>
      </w:r>
      <w:r w:rsidR="001F283F" w:rsidRPr="00E76A09">
        <w:t>objectives and</w:t>
      </w:r>
      <w:r w:rsidR="00E83051" w:rsidRPr="00E76A09">
        <w:t xml:space="preserve"> would </w:t>
      </w:r>
      <w:r w:rsidR="00853FF3" w:rsidRPr="00E76A09">
        <w:t>impact the ability of the programme to deliver transformation</w:t>
      </w:r>
      <w:r w:rsidR="001F283F" w:rsidRPr="00E76A09">
        <w:t>al</w:t>
      </w:r>
      <w:r w:rsidR="00853FF3" w:rsidRPr="00E76A09">
        <w:t xml:space="preserve"> change. </w:t>
      </w:r>
    </w:p>
    <w:p w14:paraId="7CFB122C" w14:textId="77777777" w:rsidR="00D511F7" w:rsidRPr="00E76A09" w:rsidRDefault="00D511F7" w:rsidP="00D511F7">
      <w:pPr>
        <w:pStyle w:val="Style2"/>
        <w:ind w:left="1004"/>
      </w:pPr>
    </w:p>
    <w:p w14:paraId="587B7C0E" w14:textId="67608C7E" w:rsidR="00F17162" w:rsidRPr="00E76A09" w:rsidRDefault="00853FF3" w:rsidP="00F17162">
      <w:pPr>
        <w:pStyle w:val="Style2"/>
        <w:rPr>
          <w:u w:val="single"/>
        </w:rPr>
      </w:pPr>
      <w:r w:rsidRPr="00E76A09">
        <w:rPr>
          <w:u w:val="single"/>
        </w:rPr>
        <w:t xml:space="preserve">Option 2: Address budget shortfall, include monitoring for sustainable commodities (on a </w:t>
      </w:r>
      <w:r w:rsidR="00F17162" w:rsidRPr="00E76A09">
        <w:rPr>
          <w:u w:val="single"/>
        </w:rPr>
        <w:t xml:space="preserve">larger scale) and a </w:t>
      </w:r>
      <w:proofErr w:type="gramStart"/>
      <w:r w:rsidR="00F17162" w:rsidRPr="00E76A09">
        <w:rPr>
          <w:u w:val="single"/>
        </w:rPr>
        <w:t>2 year</w:t>
      </w:r>
      <w:proofErr w:type="gramEnd"/>
      <w:r w:rsidR="00F17162" w:rsidRPr="00E76A09">
        <w:rPr>
          <w:u w:val="single"/>
        </w:rPr>
        <w:t xml:space="preserve"> extension (£20.9m) </w:t>
      </w:r>
    </w:p>
    <w:p w14:paraId="4BDF1A43" w14:textId="667F9A63" w:rsidR="00F17162" w:rsidRPr="00E76A09" w:rsidRDefault="00F17162" w:rsidP="00087E18">
      <w:pPr>
        <w:pStyle w:val="Style2"/>
        <w:numPr>
          <w:ilvl w:val="0"/>
          <w:numId w:val="44"/>
        </w:numPr>
        <w:ind w:left="709"/>
      </w:pPr>
      <w:r w:rsidRPr="4D1D02B1">
        <w:rPr>
          <w:b/>
          <w:bCs/>
        </w:rPr>
        <w:t>This option is our preferred option</w:t>
      </w:r>
      <w:r>
        <w:t xml:space="preserve">. </w:t>
      </w:r>
      <w:r w:rsidR="00B74769">
        <w:t xml:space="preserve">It delivers fully against each of the strategic objectives and the majority of CSF. </w:t>
      </w:r>
      <w:r w:rsidR="007F35A6">
        <w:t>It would ensure that in-country technical assistance can continue</w:t>
      </w:r>
      <w:r w:rsidR="00C14B36">
        <w:t xml:space="preserve"> which is fundamental to the programme supporting countries to reduce deforestation, and access climate finance. A comprehensive workstream on monitoring for sustainable commodity supply chains </w:t>
      </w:r>
      <w:r w:rsidR="001E509F">
        <w:t xml:space="preserve">aims to address one of the key drivers of deforestation and ensures that AIM4Forests can support other sustainable supply chain programmes across HMG. An extension to the term of the programme will help ensure MRV and NFMS’ are embedded within national institutions and ensures support for countries up to meeting key international reporting milestones. </w:t>
      </w:r>
      <w:r w:rsidR="15A58DD3">
        <w:t>However, during business case development, external pressures on the RDEL budget mean that £6m of the planned £10m RDEL is no longer profiled within the FY 25/26 financial year. This means that £1</w:t>
      </w:r>
      <w:r w:rsidR="6D68190F">
        <w:t>6</w:t>
      </w:r>
      <w:r w:rsidR="15A58DD3">
        <w:t>.9m of the proposed £20.9m extension would be spent within this financial year</w:t>
      </w:r>
      <w:r w:rsidR="00201B91">
        <w:t>, with the rest unprofiled at present</w:t>
      </w:r>
      <w:r w:rsidR="15A58DD3">
        <w:t xml:space="preserve">. If further funding is not available in the </w:t>
      </w:r>
      <w:r w:rsidR="00087E18">
        <w:t>future,</w:t>
      </w:r>
      <w:r w:rsidR="15A58DD3">
        <w:t xml:space="preserve"> then the programme will undertake a review to reconsider pipeline planning and reprioritise as needed. </w:t>
      </w:r>
      <w:r w:rsidR="05192260">
        <w:t xml:space="preserve"> </w:t>
      </w:r>
    </w:p>
    <w:p w14:paraId="43531299" w14:textId="77777777" w:rsidR="00D511F7" w:rsidRPr="00E76A09" w:rsidRDefault="00D511F7" w:rsidP="00AC1732">
      <w:pPr>
        <w:pStyle w:val="Style2"/>
        <w:ind w:left="0"/>
        <w:rPr>
          <w:u w:val="single"/>
        </w:rPr>
      </w:pPr>
    </w:p>
    <w:p w14:paraId="6AFE9D0C" w14:textId="3FC180E3" w:rsidR="001E509F" w:rsidRPr="00E76A09" w:rsidRDefault="001E509F" w:rsidP="001E509F">
      <w:pPr>
        <w:pStyle w:val="Style2"/>
        <w:rPr>
          <w:u w:val="single"/>
        </w:rPr>
      </w:pPr>
      <w:r w:rsidRPr="00E76A09">
        <w:rPr>
          <w:u w:val="single"/>
        </w:rPr>
        <w:t xml:space="preserve">Option </w:t>
      </w:r>
      <w:r w:rsidR="38A899C4" w:rsidRPr="00E76A09">
        <w:rPr>
          <w:u w:val="single"/>
        </w:rPr>
        <w:t>3</w:t>
      </w:r>
      <w:r w:rsidRPr="00E76A09">
        <w:rPr>
          <w:u w:val="single"/>
        </w:rPr>
        <w:t xml:space="preserve">: Address budget shortfall, including monitoring for sustainable commodities, expand scope of the programme and a </w:t>
      </w:r>
      <w:proofErr w:type="gramStart"/>
      <w:r w:rsidRPr="00E76A09">
        <w:rPr>
          <w:u w:val="single"/>
        </w:rPr>
        <w:t>2 year</w:t>
      </w:r>
      <w:proofErr w:type="gramEnd"/>
      <w:r w:rsidRPr="00E76A09">
        <w:rPr>
          <w:u w:val="single"/>
        </w:rPr>
        <w:t xml:space="preserve"> extension (£40m) </w:t>
      </w:r>
    </w:p>
    <w:p w14:paraId="6F111A20" w14:textId="6584BFF1" w:rsidR="001E509F" w:rsidRPr="00E76A09" w:rsidRDefault="001E509F" w:rsidP="00087E18">
      <w:pPr>
        <w:pStyle w:val="Style2"/>
        <w:numPr>
          <w:ilvl w:val="0"/>
          <w:numId w:val="44"/>
        </w:numPr>
        <w:ind w:left="709"/>
      </w:pPr>
      <w:r w:rsidRPr="00E76A09">
        <w:t xml:space="preserve">This option was not preferred, largely due to the significant budget required and the </w:t>
      </w:r>
      <w:r w:rsidR="005111D4" w:rsidRPr="00E76A09">
        <w:t>opportunity cost</w:t>
      </w:r>
      <w:r w:rsidRPr="00E76A09">
        <w:t xml:space="preserve"> that this would have on other ICF programming. Under this option, the elements included in the option above would also be included but on a larger scale. </w:t>
      </w:r>
      <w:r w:rsidR="005279C4" w:rsidRPr="00E76A09">
        <w:t xml:space="preserve">It would double the number of countries that the AIM4Commodities work would be rolled out in, and increase the overall number of countries that AIM4Forests could deliver in-country technical assistance in. It would also increase </w:t>
      </w:r>
      <w:r w:rsidR="00453A77" w:rsidRPr="00E76A09">
        <w:t>the size of</w:t>
      </w:r>
      <w:r w:rsidR="00E4658C" w:rsidRPr="00E76A09">
        <w:t xml:space="preserve"> several</w:t>
      </w:r>
      <w:r w:rsidR="00453A77" w:rsidRPr="00E76A09">
        <w:t xml:space="preserve"> the </w:t>
      </w:r>
      <w:r w:rsidR="00E4658C" w:rsidRPr="00E76A09">
        <w:t xml:space="preserve">in-country technical assistance programmes that are already operating within forest countries. However, this would be a significant increase in size of the programme and would likely have implications for the resourcing of the delivery partner, for example it may require an expansion of the delivery team. </w:t>
      </w:r>
    </w:p>
    <w:p w14:paraId="1680D896" w14:textId="77777777" w:rsidR="00200E8F" w:rsidRPr="00E76A09" w:rsidRDefault="00200E8F" w:rsidP="00200E8F">
      <w:pPr>
        <w:pStyle w:val="Style2"/>
        <w:ind w:left="1004"/>
      </w:pPr>
    </w:p>
    <w:p w14:paraId="0C8471C9" w14:textId="7C83E8DB" w:rsidR="00E4658C" w:rsidRPr="00E76A09" w:rsidRDefault="00E4658C" w:rsidP="00E4658C">
      <w:pPr>
        <w:pStyle w:val="Style2"/>
        <w:rPr>
          <w:u w:val="single"/>
        </w:rPr>
      </w:pPr>
      <w:r w:rsidRPr="00E76A09">
        <w:rPr>
          <w:u w:val="single"/>
        </w:rPr>
        <w:t xml:space="preserve">Delivery option 1: Retain current delivery partner </w:t>
      </w:r>
    </w:p>
    <w:p w14:paraId="035DFA3B" w14:textId="46ABBC4D" w:rsidR="00E4658C" w:rsidRPr="00E76A09" w:rsidRDefault="009E5883" w:rsidP="00087E18">
      <w:pPr>
        <w:pStyle w:val="Style2"/>
        <w:numPr>
          <w:ilvl w:val="0"/>
          <w:numId w:val="44"/>
        </w:numPr>
        <w:ind w:left="709"/>
        <w:rPr>
          <w:u w:val="single"/>
        </w:rPr>
      </w:pPr>
      <w:r w:rsidRPr="00E76A09">
        <w:rPr>
          <w:b/>
        </w:rPr>
        <w:t>This is our preferred delivery option.</w:t>
      </w:r>
      <w:r w:rsidRPr="00E76A09">
        <w:t xml:space="preserve"> </w:t>
      </w:r>
      <w:r w:rsidR="000C7E22" w:rsidRPr="00E76A09">
        <w:t xml:space="preserve">Retaining the current delivery partner builds on the </w:t>
      </w:r>
      <w:r w:rsidR="00FB45C0" w:rsidRPr="00E76A09">
        <w:t xml:space="preserve">success and momentum of the </w:t>
      </w:r>
      <w:proofErr w:type="gramStart"/>
      <w:r w:rsidR="00FB45C0" w:rsidRPr="00E76A09">
        <w:t>programme, and</w:t>
      </w:r>
      <w:proofErr w:type="gramEnd"/>
      <w:r w:rsidR="00FB45C0" w:rsidRPr="00E76A09">
        <w:t xml:space="preserve"> reduces any delays associated with establishing a new delivery partner.</w:t>
      </w:r>
      <w:r w:rsidR="000A5A06" w:rsidRPr="00E76A09">
        <w:t xml:space="preserve"> </w:t>
      </w:r>
      <w:r w:rsidR="005229FD" w:rsidRPr="00E76A09">
        <w:t xml:space="preserve"> </w:t>
      </w:r>
      <w:r w:rsidR="000A5A06" w:rsidRPr="00E76A09">
        <w:t xml:space="preserve">FAO is already successfully delivering the AIM4Forests programme and has experience delivering programmes relating to monitoring for unsustainable commodities. The mid-term review highlighted the technical comparative advantage that FAO has in NFMS and MRV, as well as the country and regional presence FAO has through its offices and established networks, including those related to REDD+ and strong working relationships with governments and convening power.  The delivery structure also leverages the convening power and expertise of both UN-REDD and the GFOI. </w:t>
      </w:r>
    </w:p>
    <w:p w14:paraId="492E60D8" w14:textId="77777777" w:rsidR="006A5BCB" w:rsidRPr="00E76A09" w:rsidRDefault="006A5BCB" w:rsidP="006A5BCB">
      <w:pPr>
        <w:pStyle w:val="Style2"/>
        <w:ind w:left="1004"/>
        <w:rPr>
          <w:u w:val="single"/>
        </w:rPr>
      </w:pPr>
    </w:p>
    <w:p w14:paraId="355C6AF3" w14:textId="026666F7" w:rsidR="00C61B18" w:rsidRPr="00E76A09" w:rsidRDefault="00C61B18" w:rsidP="00C61B18">
      <w:pPr>
        <w:pStyle w:val="Style2"/>
        <w:rPr>
          <w:u w:val="single"/>
        </w:rPr>
      </w:pPr>
      <w:r w:rsidRPr="00E76A09">
        <w:rPr>
          <w:u w:val="single"/>
        </w:rPr>
        <w:t xml:space="preserve">Delivery option 2: Funding a new programme through competitive tender </w:t>
      </w:r>
    </w:p>
    <w:p w14:paraId="3DE093B3" w14:textId="58371A30" w:rsidR="00CD7062" w:rsidRPr="00E76A09" w:rsidRDefault="00C61B18" w:rsidP="00D50E77">
      <w:pPr>
        <w:pStyle w:val="Style2"/>
        <w:numPr>
          <w:ilvl w:val="0"/>
          <w:numId w:val="44"/>
        </w:numPr>
        <w:ind w:left="709"/>
      </w:pPr>
      <w:r w:rsidRPr="00E76A09">
        <w:t xml:space="preserve">This option was not preferred. </w:t>
      </w:r>
      <w:r w:rsidR="00A3206B" w:rsidRPr="00E76A09">
        <w:t xml:space="preserve">While a competitive tender process could ensure that a new programme was designed in a way that met each of the strategic objectives, it would be resource intensive in terms of </w:t>
      </w:r>
      <w:r w:rsidR="004D54DF" w:rsidRPr="00E76A09">
        <w:t xml:space="preserve">procurement and management. Creating a new programme would increase implementation costs and create delays in the implementation of the extension. A competitive tender process was undertaken during the original Aim4Forests </w:t>
      </w:r>
      <w:r w:rsidR="00B10A39" w:rsidRPr="00E76A09">
        <w:t>b</w:t>
      </w:r>
      <w:r w:rsidR="004D54DF" w:rsidRPr="00E76A09">
        <w:t>usiness case, and FAO-UNREDD were the most successful bid</w:t>
      </w:r>
      <w:r w:rsidR="702E8FA2" w:rsidRPr="00E76A09">
        <w:t>, given the similar objectives to the original business case and the fact that there have been no new equivalent initiatives, we consider a similar outcome would be likely</w:t>
      </w:r>
      <w:r w:rsidR="1B6A4E66" w:rsidRPr="00E76A09">
        <w:t xml:space="preserve"> if a competitive tender was undertaken</w:t>
      </w:r>
      <w:r w:rsidR="004D54DF" w:rsidRPr="00E76A09">
        <w:t>.</w:t>
      </w:r>
      <w:r w:rsidR="007669EA" w:rsidRPr="00E76A09">
        <w:t xml:space="preserve"> This is further expanded on in section 3.1.</w:t>
      </w:r>
      <w:r w:rsidR="004D54DF" w:rsidRPr="00E76A09">
        <w:t xml:space="preserve"> </w:t>
      </w:r>
    </w:p>
    <w:p w14:paraId="66B9757C" w14:textId="4F094A0E" w:rsidR="00CD7062" w:rsidRPr="00E76A09" w:rsidRDefault="661E29FF" w:rsidP="6DA0B4ED">
      <w:pPr>
        <w:tabs>
          <w:tab w:val="right" w:leader="dot" w:pos="9710"/>
        </w:tabs>
        <w:spacing w:before="0" w:after="0" w:line="240" w:lineRule="auto"/>
        <w:rPr>
          <w:b/>
          <w:bCs/>
          <w:i/>
          <w:iCs/>
          <w:sz w:val="24"/>
          <w:szCs w:val="24"/>
        </w:rPr>
      </w:pPr>
      <w:r w:rsidRPr="00E76A09">
        <w:rPr>
          <w:b/>
          <w:bCs/>
          <w:i/>
          <w:iCs/>
          <w:sz w:val="24"/>
          <w:szCs w:val="24"/>
        </w:rPr>
        <w:lastRenderedPageBreak/>
        <w:t xml:space="preserve">2.2. Value for Money appraisal </w:t>
      </w:r>
    </w:p>
    <w:p w14:paraId="386D3AD4" w14:textId="77777777" w:rsidR="00920876" w:rsidRPr="00E76A09" w:rsidRDefault="00920876" w:rsidP="00920876">
      <w:pPr>
        <w:tabs>
          <w:tab w:val="right" w:leader="dot" w:pos="9710"/>
        </w:tabs>
        <w:spacing w:before="0" w:after="0" w:line="240" w:lineRule="auto"/>
        <w:ind w:left="284"/>
        <w:rPr>
          <w:b/>
          <w:bCs/>
          <w:sz w:val="22"/>
          <w:szCs w:val="22"/>
        </w:rPr>
      </w:pPr>
    </w:p>
    <w:p w14:paraId="30AE8E42" w14:textId="7074D782" w:rsidR="00307749" w:rsidRPr="00E76A09" w:rsidRDefault="00307749" w:rsidP="00307749">
      <w:pPr>
        <w:spacing w:before="0" w:line="240" w:lineRule="auto"/>
        <w:rPr>
          <w:rFonts w:cstheme="minorHAnsi"/>
          <w:sz w:val="22"/>
          <w:szCs w:val="22"/>
        </w:rPr>
      </w:pPr>
      <w:r w:rsidRPr="00E76A09">
        <w:rPr>
          <w:rFonts w:cstheme="minorHAnsi"/>
          <w:sz w:val="22"/>
          <w:szCs w:val="22"/>
        </w:rPr>
        <w:t>This section assesses the value for money (</w:t>
      </w:r>
      <w:proofErr w:type="spellStart"/>
      <w:r w:rsidRPr="00E76A09">
        <w:rPr>
          <w:rFonts w:cstheme="minorHAnsi"/>
          <w:sz w:val="22"/>
          <w:szCs w:val="22"/>
        </w:rPr>
        <w:t>VfM</w:t>
      </w:r>
      <w:proofErr w:type="spellEnd"/>
      <w:r w:rsidRPr="00E76A09">
        <w:rPr>
          <w:rFonts w:cstheme="minorHAnsi"/>
          <w:sz w:val="22"/>
          <w:szCs w:val="22"/>
        </w:rPr>
        <w:t xml:space="preserve">) of the </w:t>
      </w:r>
      <w:r w:rsidRPr="00E76A09">
        <w:rPr>
          <w:rFonts w:cstheme="minorHAnsi"/>
          <w:b/>
          <w:bCs/>
          <w:sz w:val="22"/>
          <w:szCs w:val="22"/>
        </w:rPr>
        <w:t>preferred option</w:t>
      </w:r>
      <w:r w:rsidRPr="00E76A09">
        <w:rPr>
          <w:rFonts w:cstheme="minorHAnsi"/>
          <w:sz w:val="22"/>
          <w:szCs w:val="22"/>
        </w:rPr>
        <w:t xml:space="preserve">, the proposed </w:t>
      </w:r>
      <w:r w:rsidRPr="00E76A09">
        <w:rPr>
          <w:rFonts w:cstheme="minorHAnsi"/>
          <w:b/>
          <w:bCs/>
          <w:sz w:val="22"/>
          <w:szCs w:val="22"/>
        </w:rPr>
        <w:t>£20.9 million AIM4Forests extension</w:t>
      </w:r>
      <w:r w:rsidRPr="00E76A09">
        <w:rPr>
          <w:rFonts w:cstheme="minorHAnsi"/>
          <w:sz w:val="22"/>
          <w:szCs w:val="22"/>
        </w:rPr>
        <w:t xml:space="preserve">. This option secures continuity of Output 5 (in-country technical assistance), </w:t>
      </w:r>
      <w:r w:rsidR="00C66318" w:rsidRPr="00E76A09">
        <w:rPr>
          <w:rFonts w:cstheme="minorHAnsi"/>
          <w:sz w:val="22"/>
          <w:szCs w:val="22"/>
        </w:rPr>
        <w:t>funds</w:t>
      </w:r>
      <w:r w:rsidRPr="00E76A09">
        <w:rPr>
          <w:rFonts w:cstheme="minorHAnsi"/>
          <w:sz w:val="22"/>
          <w:szCs w:val="22"/>
        </w:rPr>
        <w:t xml:space="preserve"> AIM4Commodities, and extends the programme to 2030. The analysis applies the HMG/ICF 5Es framework: Economy, Efficiency, Effectiveness, Cost-effectiveness, and Equity.</w:t>
      </w:r>
      <w:r w:rsidR="00A77FB5" w:rsidRPr="00E76A09">
        <w:rPr>
          <w:rFonts w:cstheme="minorHAnsi"/>
          <w:sz w:val="22"/>
          <w:szCs w:val="22"/>
        </w:rPr>
        <w:t xml:space="preserve"> </w:t>
      </w:r>
      <w:r w:rsidR="00741A16" w:rsidRPr="00E76A09">
        <w:rPr>
          <w:rFonts w:cstheme="minorHAnsi"/>
          <w:sz w:val="22"/>
          <w:szCs w:val="22"/>
        </w:rPr>
        <w:t>A</w:t>
      </w:r>
      <w:r w:rsidR="003D3D74" w:rsidRPr="00E76A09">
        <w:rPr>
          <w:rFonts w:cstheme="minorHAnsi"/>
          <w:sz w:val="22"/>
          <w:szCs w:val="22"/>
        </w:rPr>
        <w:t xml:space="preserve"> reduction</w:t>
      </w:r>
      <w:r w:rsidR="00624865" w:rsidRPr="00E76A09">
        <w:rPr>
          <w:rFonts w:cstheme="minorHAnsi"/>
          <w:sz w:val="22"/>
          <w:szCs w:val="22"/>
        </w:rPr>
        <w:t xml:space="preserve"> in spend to £1</w:t>
      </w:r>
      <w:r w:rsidR="00464AFC">
        <w:rPr>
          <w:rFonts w:cstheme="minorHAnsi"/>
          <w:sz w:val="22"/>
          <w:szCs w:val="22"/>
        </w:rPr>
        <w:t>6</w:t>
      </w:r>
      <w:r w:rsidR="00624865" w:rsidRPr="00E76A09">
        <w:rPr>
          <w:rFonts w:cstheme="minorHAnsi"/>
          <w:sz w:val="22"/>
          <w:szCs w:val="22"/>
        </w:rPr>
        <w:t>.9m</w:t>
      </w:r>
      <w:r w:rsidR="003D3D74" w:rsidRPr="00E76A09">
        <w:rPr>
          <w:rFonts w:cstheme="minorHAnsi"/>
          <w:sz w:val="22"/>
          <w:szCs w:val="22"/>
        </w:rPr>
        <w:t xml:space="preserve"> is not expected to have significant implications on the </w:t>
      </w:r>
      <w:proofErr w:type="spellStart"/>
      <w:r w:rsidR="0074123E" w:rsidRPr="00E76A09">
        <w:rPr>
          <w:rFonts w:cstheme="minorHAnsi"/>
          <w:sz w:val="22"/>
          <w:szCs w:val="22"/>
        </w:rPr>
        <w:t>VfM</w:t>
      </w:r>
      <w:proofErr w:type="spellEnd"/>
      <w:r w:rsidR="0074123E" w:rsidRPr="00E76A09">
        <w:rPr>
          <w:rFonts w:cstheme="minorHAnsi"/>
          <w:sz w:val="22"/>
          <w:szCs w:val="22"/>
        </w:rPr>
        <w:t xml:space="preserve"> of the </w:t>
      </w:r>
      <w:r w:rsidR="00D27601" w:rsidRPr="00E76A09">
        <w:rPr>
          <w:rFonts w:cstheme="minorHAnsi"/>
          <w:sz w:val="22"/>
          <w:szCs w:val="22"/>
        </w:rPr>
        <w:t>programme but</w:t>
      </w:r>
      <w:r w:rsidR="0074123E" w:rsidRPr="00E76A09">
        <w:rPr>
          <w:rFonts w:cstheme="minorHAnsi"/>
          <w:sz w:val="22"/>
          <w:szCs w:val="22"/>
        </w:rPr>
        <w:t xml:space="preserve"> will</w:t>
      </w:r>
      <w:r w:rsidR="001A4E6A" w:rsidRPr="00E76A09">
        <w:rPr>
          <w:rFonts w:cstheme="minorHAnsi"/>
          <w:sz w:val="22"/>
          <w:szCs w:val="22"/>
        </w:rPr>
        <w:t xml:space="preserve"> certainly</w:t>
      </w:r>
      <w:r w:rsidR="0074123E" w:rsidRPr="00E76A09">
        <w:rPr>
          <w:rFonts w:cstheme="minorHAnsi"/>
          <w:sz w:val="22"/>
          <w:szCs w:val="22"/>
        </w:rPr>
        <w:t xml:space="preserve"> mean that the extent of impact is reduced</w:t>
      </w:r>
      <w:r w:rsidR="00D27601" w:rsidRPr="00E76A09">
        <w:rPr>
          <w:rFonts w:cstheme="minorHAnsi"/>
          <w:sz w:val="22"/>
          <w:szCs w:val="22"/>
        </w:rPr>
        <w:t>. Reduced RDEL is likely to l</w:t>
      </w:r>
      <w:r w:rsidR="00624865" w:rsidRPr="00E76A09">
        <w:rPr>
          <w:rFonts w:cstheme="minorHAnsi"/>
          <w:sz w:val="22"/>
          <w:szCs w:val="22"/>
        </w:rPr>
        <w:t xml:space="preserve">ead to less in-country TA in future years, </w:t>
      </w:r>
      <w:r w:rsidR="001A4E6A" w:rsidRPr="00E76A09">
        <w:rPr>
          <w:rFonts w:cstheme="minorHAnsi"/>
          <w:sz w:val="22"/>
          <w:szCs w:val="22"/>
        </w:rPr>
        <w:t>and this has implications on</w:t>
      </w:r>
      <w:r w:rsidR="00624865" w:rsidRPr="00E76A09">
        <w:rPr>
          <w:rFonts w:cstheme="minorHAnsi"/>
          <w:sz w:val="22"/>
          <w:szCs w:val="22"/>
        </w:rPr>
        <w:t xml:space="preserve"> the targets we set and ultimately the </w:t>
      </w:r>
      <w:r w:rsidR="001A4E6A" w:rsidRPr="00E76A09">
        <w:rPr>
          <w:rFonts w:cstheme="minorHAnsi"/>
          <w:sz w:val="22"/>
          <w:szCs w:val="22"/>
        </w:rPr>
        <w:t>magnitude</w:t>
      </w:r>
      <w:r w:rsidR="00624865" w:rsidRPr="00E76A09">
        <w:rPr>
          <w:rFonts w:cstheme="minorHAnsi"/>
          <w:sz w:val="22"/>
          <w:szCs w:val="22"/>
        </w:rPr>
        <w:t xml:space="preserve"> of AIM4Forests </w:t>
      </w:r>
      <w:r w:rsidR="001A4E6A" w:rsidRPr="00E76A09">
        <w:rPr>
          <w:rFonts w:cstheme="minorHAnsi"/>
          <w:sz w:val="22"/>
          <w:szCs w:val="22"/>
        </w:rPr>
        <w:t>benefits</w:t>
      </w:r>
      <w:r w:rsidR="00F95F4B" w:rsidRPr="00E76A09">
        <w:rPr>
          <w:rFonts w:cstheme="minorHAnsi"/>
          <w:sz w:val="22"/>
          <w:szCs w:val="22"/>
        </w:rPr>
        <w:t xml:space="preserve"> (e.g., the volume of forest/land-use credits verified</w:t>
      </w:r>
      <w:r w:rsidR="00DE17C3" w:rsidRPr="00E76A09">
        <w:rPr>
          <w:rFonts w:cstheme="minorHAnsi"/>
          <w:sz w:val="22"/>
          <w:szCs w:val="22"/>
        </w:rPr>
        <w:t xml:space="preserve"> due to support from AIM</w:t>
      </w:r>
      <w:r w:rsidR="00022E82" w:rsidRPr="00E76A09">
        <w:rPr>
          <w:rFonts w:cstheme="minorHAnsi"/>
          <w:sz w:val="22"/>
          <w:szCs w:val="22"/>
        </w:rPr>
        <w:t xml:space="preserve"> would reduce</w:t>
      </w:r>
      <w:r w:rsidR="00DE17C3" w:rsidRPr="00E76A09">
        <w:rPr>
          <w:rFonts w:cstheme="minorHAnsi"/>
          <w:sz w:val="22"/>
          <w:szCs w:val="22"/>
        </w:rPr>
        <w:t>).</w:t>
      </w:r>
    </w:p>
    <w:p w14:paraId="3394505F" w14:textId="77777777" w:rsidR="00307749" w:rsidRPr="00E76A09" w:rsidRDefault="00307749" w:rsidP="00307749">
      <w:pPr>
        <w:spacing w:before="0" w:line="240" w:lineRule="auto"/>
        <w:rPr>
          <w:rFonts w:cstheme="minorHAnsi"/>
          <w:b/>
          <w:bCs/>
          <w:sz w:val="22"/>
          <w:szCs w:val="22"/>
        </w:rPr>
      </w:pPr>
      <w:r w:rsidRPr="00E76A09">
        <w:rPr>
          <w:rFonts w:cstheme="minorHAnsi"/>
          <w:b/>
          <w:bCs/>
          <w:sz w:val="22"/>
          <w:szCs w:val="22"/>
        </w:rPr>
        <w:t>Economy</w:t>
      </w:r>
    </w:p>
    <w:p w14:paraId="5BDC108C"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The preferred option demonstrates good economy by continuing to channel funds through established mechanisms and maximising existing assets. The Mid-Term Review (MTR) found that:</w:t>
      </w:r>
    </w:p>
    <w:p w14:paraId="2473A201" w14:textId="77777777" w:rsidR="00307749" w:rsidRPr="00E76A09" w:rsidRDefault="00307749" w:rsidP="006A43FC">
      <w:pPr>
        <w:pStyle w:val="Style3"/>
      </w:pPr>
      <w:r w:rsidRPr="00E76A09">
        <w:t>Using the UN-REDD Multi-Partner Trust Fund has saved around USD 1.5m annually (≈5%) and avoided 6–12 months of mobilisation delay.</w:t>
      </w:r>
    </w:p>
    <w:p w14:paraId="031ABD5C" w14:textId="77777777" w:rsidR="00307749" w:rsidRPr="00E76A09" w:rsidRDefault="00307749" w:rsidP="006A43FC">
      <w:pPr>
        <w:pStyle w:val="Style3"/>
      </w:pPr>
      <w:r w:rsidRPr="00E76A09">
        <w:t>FAO has built on platforms such as SEPAL and Open Foris rather than commissioning new tools.</w:t>
      </w:r>
    </w:p>
    <w:p w14:paraId="240D2C5B" w14:textId="1F9209B0" w:rsidR="00F4630D" w:rsidRPr="00F4630D" w:rsidRDefault="00307749" w:rsidP="00F4630D">
      <w:pPr>
        <w:pStyle w:val="Style3"/>
      </w:pPr>
      <w:r w:rsidRPr="00E76A09">
        <w:t>FAO’s global presence and expertise allow procurement and deployment at scale with lower overheads.</w:t>
      </w:r>
    </w:p>
    <w:p w14:paraId="3343978E" w14:textId="244C740F" w:rsidR="00307749" w:rsidRPr="00E76A09" w:rsidRDefault="00307749" w:rsidP="00F4630D">
      <w:pPr>
        <w:spacing w:after="160" w:line="240" w:lineRule="auto"/>
        <w:rPr>
          <w:rFonts w:cstheme="minorHAnsi"/>
          <w:sz w:val="22"/>
          <w:szCs w:val="22"/>
        </w:rPr>
      </w:pPr>
      <w:r w:rsidRPr="00E76A09">
        <w:rPr>
          <w:rFonts w:cstheme="minorHAnsi"/>
          <w:sz w:val="22"/>
          <w:szCs w:val="22"/>
        </w:rPr>
        <w:t>The extension retains these economies, while a new programme or gap in funding (Option 1) would lose them. Compared with a larger expansion (Option 3), it avoids the diseconomies of stretching delivery capacity into less certain new areas.</w:t>
      </w:r>
    </w:p>
    <w:p w14:paraId="4319F262" w14:textId="77777777" w:rsidR="00307749" w:rsidRPr="00E76A09" w:rsidRDefault="00307749" w:rsidP="00307749">
      <w:pPr>
        <w:spacing w:before="0" w:line="240" w:lineRule="auto"/>
        <w:rPr>
          <w:rFonts w:cstheme="minorHAnsi"/>
          <w:b/>
          <w:bCs/>
          <w:sz w:val="22"/>
          <w:szCs w:val="22"/>
        </w:rPr>
      </w:pPr>
      <w:r w:rsidRPr="00E76A09">
        <w:rPr>
          <w:rFonts w:cstheme="minorHAnsi"/>
          <w:b/>
          <w:bCs/>
          <w:sz w:val="22"/>
          <w:szCs w:val="22"/>
        </w:rPr>
        <w:t>Efficiency</w:t>
      </w:r>
    </w:p>
    <w:p w14:paraId="55748499" w14:textId="77777777" w:rsidR="00307749" w:rsidRPr="00E76A09" w:rsidRDefault="00307749" w:rsidP="00307749">
      <w:pPr>
        <w:spacing w:before="0" w:line="240" w:lineRule="auto"/>
        <w:rPr>
          <w:rFonts w:cstheme="minorHAnsi"/>
          <w:sz w:val="22"/>
          <w:szCs w:val="22"/>
        </w:rPr>
      </w:pPr>
      <w:r w:rsidRPr="00E76A09">
        <w:rPr>
          <w:rFonts w:cstheme="minorHAnsi"/>
          <w:sz w:val="22"/>
          <w:szCs w:val="22"/>
        </w:rPr>
        <w:t>The programme has generally converted inputs into outputs efficiently, although performance has varied across components.</w:t>
      </w:r>
    </w:p>
    <w:p w14:paraId="720FCA1B" w14:textId="77777777" w:rsidR="00307749" w:rsidRPr="00E76A09" w:rsidRDefault="00307749" w:rsidP="006A43FC">
      <w:pPr>
        <w:pStyle w:val="Style3"/>
      </w:pPr>
      <w:r w:rsidRPr="00E76A09">
        <w:t>The MTR found that funds have been disbursed in a timely and accountable manner, with only isolated under- and overspends at country level.</w:t>
      </w:r>
    </w:p>
    <w:p w14:paraId="62C9568E" w14:textId="77777777" w:rsidR="00307749" w:rsidRPr="00E76A09" w:rsidRDefault="00307749" w:rsidP="006A43FC">
      <w:pPr>
        <w:pStyle w:val="Style3"/>
      </w:pPr>
      <w:r w:rsidRPr="00E76A09">
        <w:t>Output 1 (technical innovation in monitoring tools and learning) and Output 2 (methodological improvements for REDD+ MRV) have delivered strongly by leveraging existing FAO investments.</w:t>
      </w:r>
    </w:p>
    <w:p w14:paraId="610A8364" w14:textId="77777777" w:rsidR="00307749" w:rsidRPr="00E76A09" w:rsidRDefault="00307749" w:rsidP="006A43FC">
      <w:pPr>
        <w:pStyle w:val="Style3"/>
      </w:pPr>
      <w:r w:rsidRPr="00E76A09">
        <w:t>Output 5 (in-country technical assistance) and Output 6 (monitoring for restoration and ecosystem services) have benefited from existing networks and tools.</w:t>
      </w:r>
    </w:p>
    <w:p w14:paraId="6B5F6C31" w14:textId="77777777" w:rsidR="00307749" w:rsidRPr="00E76A09" w:rsidRDefault="00307749" w:rsidP="006A43FC">
      <w:pPr>
        <w:pStyle w:val="Style3"/>
      </w:pPr>
      <w:r w:rsidRPr="00E76A09">
        <w:t>Large-scale online training courses (Massive Open Online Courses, MOOCs) have provided cost-efficient reach across multiple geographies compared with traditional workshops.</w:t>
      </w:r>
    </w:p>
    <w:p w14:paraId="46C67DF9" w14:textId="77777777" w:rsidR="00307749" w:rsidRPr="00E76A09" w:rsidRDefault="00307749" w:rsidP="006A43FC">
      <w:pPr>
        <w:pStyle w:val="Style3"/>
        <w:spacing w:after="240"/>
      </w:pPr>
      <w:r w:rsidRPr="00E76A09">
        <w:t xml:space="preserve">By contrast, Output 3 (engagement of Indigenous Peoples and Local Communities, IPLCs) and Output 4 (country-led planning for NFMS institutionalisation) mobilised later and overlapped with other outputs, reducing efficiency. </w:t>
      </w:r>
    </w:p>
    <w:p w14:paraId="47DBA222" w14:textId="77777777" w:rsidR="00307749" w:rsidRPr="00E76A09" w:rsidRDefault="00307749" w:rsidP="00307749">
      <w:pPr>
        <w:spacing w:before="0" w:line="240" w:lineRule="auto"/>
        <w:rPr>
          <w:rFonts w:cstheme="minorHAnsi"/>
          <w:sz w:val="22"/>
          <w:szCs w:val="22"/>
        </w:rPr>
      </w:pPr>
      <w:r w:rsidRPr="00E76A09">
        <w:rPr>
          <w:rFonts w:cstheme="minorHAnsi"/>
          <w:sz w:val="22"/>
          <w:szCs w:val="22"/>
        </w:rPr>
        <w:t>The extension directly tackles these issues: it fills the Output 5 budget gap (preventing a cliff-edge in technical assistance from 2026), provides targeted funding for AIM4Commodities with a clear workplan, and rebalances resources to avoid overlaps. In this way, the preferred option sustains past efficiency gains while improving weaker areas.</w:t>
      </w:r>
    </w:p>
    <w:p w14:paraId="4FE7C2AD" w14:textId="77777777" w:rsidR="00307749" w:rsidRPr="00E76A09" w:rsidRDefault="00307749" w:rsidP="00307749">
      <w:pPr>
        <w:spacing w:before="0" w:line="240" w:lineRule="auto"/>
        <w:rPr>
          <w:rFonts w:cstheme="minorHAnsi"/>
          <w:b/>
          <w:bCs/>
          <w:sz w:val="22"/>
          <w:szCs w:val="22"/>
        </w:rPr>
      </w:pPr>
      <w:r w:rsidRPr="00E76A09">
        <w:rPr>
          <w:rFonts w:cstheme="minorHAnsi"/>
          <w:b/>
          <w:bCs/>
          <w:sz w:val="22"/>
          <w:szCs w:val="22"/>
        </w:rPr>
        <w:t>Effectiveness</w:t>
      </w:r>
    </w:p>
    <w:p w14:paraId="092435E7"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The programme has delivered relevant and valued outputs, with overall effectiveness rated satisfactory by the MTR. Achievements to date include:</w:t>
      </w:r>
    </w:p>
    <w:p w14:paraId="4D34843B" w14:textId="77777777" w:rsidR="00307749" w:rsidRPr="00E76A09" w:rsidRDefault="00307749" w:rsidP="006A43FC">
      <w:pPr>
        <w:pStyle w:val="Style3"/>
      </w:pPr>
      <w:r w:rsidRPr="00E76A09">
        <w:t>Capacity development targets exceeded.</w:t>
      </w:r>
    </w:p>
    <w:p w14:paraId="72C1B6CE" w14:textId="77777777" w:rsidR="00307749" w:rsidRPr="00E76A09" w:rsidRDefault="00307749" w:rsidP="006A43FC">
      <w:pPr>
        <w:pStyle w:val="Style3"/>
      </w:pPr>
      <w:r w:rsidRPr="00E76A09">
        <w:t>Tools such as WHISP, Open Foris Arena upgrades, and South–South exchanges in place and recognised as innovative.</w:t>
      </w:r>
    </w:p>
    <w:p w14:paraId="0C8EE1D8" w14:textId="77777777" w:rsidR="00307749" w:rsidRPr="00E76A09" w:rsidRDefault="00307749" w:rsidP="006A43FC">
      <w:pPr>
        <w:pStyle w:val="Style3"/>
      </w:pPr>
      <w:r w:rsidRPr="00E76A09">
        <w:lastRenderedPageBreak/>
        <w:t>Alignment with the Paris Agreement, Kunming-Montreal Global Biodiversity Framework, and the EU Deforestation Regulation.</w:t>
      </w:r>
    </w:p>
    <w:p w14:paraId="607AC940" w14:textId="77777777" w:rsidR="00307749" w:rsidRPr="00E76A09" w:rsidRDefault="00307749" w:rsidP="006A43FC">
      <w:pPr>
        <w:pStyle w:val="Style3"/>
        <w:spacing w:after="240"/>
      </w:pPr>
      <w:r w:rsidRPr="00E76A09">
        <w:t>Country-led planning processes have increased national ownership of forest monitoring.</w:t>
      </w:r>
    </w:p>
    <w:p w14:paraId="24B04331" w14:textId="234C9AB9" w:rsidR="00307749" w:rsidRPr="00E76A09" w:rsidRDefault="00307749" w:rsidP="00307749">
      <w:pPr>
        <w:spacing w:before="0" w:line="240" w:lineRule="auto"/>
        <w:rPr>
          <w:rFonts w:cstheme="minorHAnsi"/>
          <w:sz w:val="22"/>
          <w:szCs w:val="22"/>
        </w:rPr>
      </w:pPr>
      <w:r w:rsidRPr="00E76A09">
        <w:rPr>
          <w:rFonts w:cstheme="minorHAnsi"/>
          <w:sz w:val="22"/>
          <w:szCs w:val="22"/>
        </w:rPr>
        <w:t xml:space="preserve">The extension strengthens effectiveness by aligning support with major milestones </w:t>
      </w:r>
      <w:r w:rsidR="00017364" w:rsidRPr="00E76A09">
        <w:rPr>
          <w:rFonts w:cstheme="minorHAnsi"/>
          <w:sz w:val="22"/>
          <w:szCs w:val="22"/>
        </w:rPr>
        <w:t>–</w:t>
      </w:r>
      <w:r w:rsidRPr="00E76A09">
        <w:rPr>
          <w:rFonts w:cstheme="minorHAnsi"/>
          <w:sz w:val="22"/>
          <w:szCs w:val="22"/>
        </w:rPr>
        <w:t xml:space="preserve"> KMGBF reporting in 2029, NDCs in 2030, and the EUDR review in 2030 </w:t>
      </w:r>
      <w:r w:rsidR="00017364" w:rsidRPr="00E76A09">
        <w:rPr>
          <w:rFonts w:cstheme="minorHAnsi"/>
          <w:sz w:val="22"/>
          <w:szCs w:val="22"/>
        </w:rPr>
        <w:t>–</w:t>
      </w:r>
      <w:r w:rsidRPr="00E76A09">
        <w:rPr>
          <w:rFonts w:cstheme="minorHAnsi"/>
          <w:sz w:val="22"/>
          <w:szCs w:val="22"/>
        </w:rPr>
        <w:t xml:space="preserve"> when demand for credible MRV and commodity transparency will peak. It also reallocates resources to Output 5, responding directly to the MTR’s concern that ambitions were high relative to budgets, and reinstates AIM4Commodities to meet urgent partner-country needs.</w:t>
      </w:r>
    </w:p>
    <w:p w14:paraId="190E86EB" w14:textId="77777777" w:rsidR="00307749" w:rsidRPr="00E76A09" w:rsidRDefault="00307749" w:rsidP="00307749">
      <w:pPr>
        <w:spacing w:before="0" w:line="240" w:lineRule="auto"/>
        <w:rPr>
          <w:rFonts w:cstheme="minorHAnsi"/>
          <w:b/>
          <w:bCs/>
          <w:sz w:val="22"/>
          <w:szCs w:val="22"/>
        </w:rPr>
      </w:pPr>
      <w:r w:rsidRPr="00E76A09">
        <w:rPr>
          <w:rFonts w:cstheme="minorHAnsi"/>
          <w:b/>
          <w:bCs/>
          <w:sz w:val="22"/>
          <w:szCs w:val="22"/>
        </w:rPr>
        <w:t>Cost-Effectiveness</w:t>
      </w:r>
    </w:p>
    <w:p w14:paraId="5D5AB039" w14:textId="77777777" w:rsidR="00307749" w:rsidRPr="00E76A09" w:rsidRDefault="00307749" w:rsidP="00307749">
      <w:pPr>
        <w:spacing w:before="0" w:line="240" w:lineRule="auto"/>
        <w:rPr>
          <w:rFonts w:cstheme="minorHAnsi"/>
          <w:sz w:val="22"/>
          <w:szCs w:val="22"/>
        </w:rPr>
      </w:pPr>
      <w:r w:rsidRPr="00E76A09">
        <w:rPr>
          <w:rFonts w:cstheme="minorHAnsi"/>
          <w:sz w:val="22"/>
          <w:szCs w:val="22"/>
        </w:rPr>
        <w:t>AIM4Forests provides good cost-effectiveness through use of existing platforms, efficient fund channelling, and innovative training.</w:t>
      </w:r>
    </w:p>
    <w:p w14:paraId="7B276627" w14:textId="77777777" w:rsidR="00307749" w:rsidRPr="00E76A09" w:rsidRDefault="00307749" w:rsidP="006A43FC">
      <w:pPr>
        <w:pStyle w:val="Style3"/>
      </w:pPr>
      <w:r w:rsidRPr="00E76A09">
        <w:t>Outputs 1, 2, 5 and 6 have delivered proportionate results.</w:t>
      </w:r>
    </w:p>
    <w:p w14:paraId="3186D224" w14:textId="77777777" w:rsidR="00307749" w:rsidRPr="00E76A09" w:rsidRDefault="00307749" w:rsidP="006A43FC">
      <w:pPr>
        <w:pStyle w:val="Style3"/>
      </w:pPr>
      <w:r w:rsidRPr="00E76A09">
        <w:t>MOOCs have delivered training at lower cost per participant than conventional workshops.</w:t>
      </w:r>
    </w:p>
    <w:p w14:paraId="1C387F2E" w14:textId="77777777" w:rsidR="00307749" w:rsidRPr="00E76A09" w:rsidRDefault="00307749" w:rsidP="006A43FC">
      <w:pPr>
        <w:pStyle w:val="Style3"/>
        <w:spacing w:after="240"/>
      </w:pPr>
      <w:r w:rsidRPr="00E76A09">
        <w:t>The UN-REDD channel has reduced overheads compared to alternatives.</w:t>
      </w:r>
    </w:p>
    <w:p w14:paraId="3E73C1DB" w14:textId="7643B9D3" w:rsidR="00307749" w:rsidRPr="00E76A09" w:rsidRDefault="002F3B5B" w:rsidP="00307749">
      <w:pPr>
        <w:spacing w:before="0" w:line="240" w:lineRule="auto"/>
        <w:rPr>
          <w:rFonts w:cstheme="minorHAnsi"/>
          <w:sz w:val="22"/>
          <w:szCs w:val="22"/>
        </w:rPr>
      </w:pPr>
      <w:r w:rsidRPr="00E76A09">
        <w:rPr>
          <w:rFonts w:cstheme="minorHAnsi"/>
          <w:sz w:val="22"/>
          <w:szCs w:val="22"/>
        </w:rPr>
        <w:t>The extension addresses these weaknesses by reallocating resources to Output 5, clarifying the scope of Outputs 3 and 4, and improving coordination to reduce overlaps</w:t>
      </w:r>
      <w:r w:rsidR="00307749" w:rsidRPr="00E76A09">
        <w:rPr>
          <w:rFonts w:cstheme="minorHAnsi"/>
          <w:sz w:val="22"/>
          <w:szCs w:val="22"/>
        </w:rPr>
        <w:t>.</w:t>
      </w:r>
    </w:p>
    <w:p w14:paraId="79E0C699" w14:textId="77777777" w:rsidR="00307749" w:rsidRPr="00E76A09" w:rsidRDefault="00307749" w:rsidP="00307749">
      <w:pPr>
        <w:spacing w:before="0" w:line="240" w:lineRule="auto"/>
        <w:rPr>
          <w:rFonts w:cstheme="minorHAnsi"/>
          <w:sz w:val="22"/>
          <w:szCs w:val="22"/>
          <w:u w:val="single"/>
        </w:rPr>
      </w:pPr>
      <w:r w:rsidRPr="00E76A09">
        <w:rPr>
          <w:rFonts w:cstheme="minorHAnsi"/>
          <w:sz w:val="22"/>
          <w:szCs w:val="22"/>
          <w:u w:val="single"/>
        </w:rPr>
        <w:t>Break-even analysis</w:t>
      </w:r>
    </w:p>
    <w:p w14:paraId="3F2FC5D5" w14:textId="77777777" w:rsidR="00307749" w:rsidRPr="00E76A09" w:rsidRDefault="00307749" w:rsidP="00307749">
      <w:pPr>
        <w:spacing w:before="0" w:line="240" w:lineRule="auto"/>
        <w:rPr>
          <w:rFonts w:cstheme="minorHAnsi"/>
          <w:sz w:val="22"/>
          <w:szCs w:val="22"/>
        </w:rPr>
      </w:pPr>
      <w:r w:rsidRPr="00E76A09">
        <w:rPr>
          <w:rFonts w:cstheme="minorHAnsi"/>
          <w:sz w:val="22"/>
          <w:szCs w:val="22"/>
        </w:rPr>
        <w:t>A supplementary break-even analysis was undertaken to test whether carbon benefits alone justify the extension’s cost, consistent with ICF Technical Assistance KPI 5 methodology.</w:t>
      </w:r>
    </w:p>
    <w:p w14:paraId="26C545BC" w14:textId="77777777" w:rsidR="00307749" w:rsidRPr="00E76A09" w:rsidRDefault="00307749" w:rsidP="006A43FC">
      <w:pPr>
        <w:pStyle w:val="Style3"/>
      </w:pPr>
      <w:r w:rsidRPr="00E76A09">
        <w:t>Programme cost: £20.9 million.</w:t>
      </w:r>
    </w:p>
    <w:p w14:paraId="79111077" w14:textId="558DA3BD" w:rsidR="00307749" w:rsidRPr="00E76A09" w:rsidRDefault="00307749" w:rsidP="006A43FC">
      <w:pPr>
        <w:pStyle w:val="Style3"/>
      </w:pPr>
      <w:r w:rsidRPr="00E76A09">
        <w:t xml:space="preserve">Benefit period: 2029–2035, reflecting </w:t>
      </w:r>
      <w:r w:rsidR="001C3F05" w:rsidRPr="00E76A09">
        <w:t xml:space="preserve">early </w:t>
      </w:r>
      <w:r w:rsidRPr="00E76A09">
        <w:t>mobilisation in 2026–28, avoiding double-counting with the original Business Case</w:t>
      </w:r>
      <w:r w:rsidR="001C3F05" w:rsidRPr="00E76A09">
        <w:t xml:space="preserve"> (2021–26)</w:t>
      </w:r>
      <w:r w:rsidRPr="00E76A09">
        <w:t>, and allowing persistence of NFMS impacts beyond programme close.</w:t>
      </w:r>
    </w:p>
    <w:p w14:paraId="53CEA8BF" w14:textId="50E2819F" w:rsidR="00094CEF" w:rsidRPr="00E76A09" w:rsidRDefault="00094CEF" w:rsidP="006A43FC">
      <w:pPr>
        <w:pStyle w:val="Style3"/>
      </w:pPr>
      <w:r w:rsidRPr="00E76A09">
        <w:t xml:space="preserve">Discount rate: </w:t>
      </w:r>
      <w:r w:rsidRPr="00E76A09">
        <w:rPr>
          <w:b/>
          <w:bCs/>
        </w:rPr>
        <w:t>3.5%</w:t>
      </w:r>
      <w:r w:rsidRPr="00E76A09">
        <w:t>.</w:t>
      </w:r>
    </w:p>
    <w:p w14:paraId="1EB196E6" w14:textId="7D1EE5EA" w:rsidR="00307749" w:rsidRPr="00E76A09" w:rsidRDefault="00307749" w:rsidP="006A43FC">
      <w:pPr>
        <w:pStyle w:val="Style3"/>
      </w:pPr>
      <w:r w:rsidRPr="00E76A09">
        <w:t xml:space="preserve">Attribution adjustment: </w:t>
      </w:r>
      <w:r w:rsidRPr="00E76A09">
        <w:rPr>
          <w:b/>
          <w:bCs/>
        </w:rPr>
        <w:t>0.1</w:t>
      </w:r>
      <w:r w:rsidR="00094CEF" w:rsidRPr="00E76A09">
        <w:rPr>
          <w:b/>
          <w:bCs/>
        </w:rPr>
        <w:t xml:space="preserve">% </w:t>
      </w:r>
      <w:r w:rsidRPr="00E76A09">
        <w:t>factor applied.</w:t>
      </w:r>
    </w:p>
    <w:p w14:paraId="1DF6BE2A" w14:textId="4DFE4143" w:rsidR="00307749" w:rsidRPr="00E76A09" w:rsidRDefault="00FA771C" w:rsidP="006A43FC">
      <w:pPr>
        <w:numPr>
          <w:ilvl w:val="1"/>
          <w:numId w:val="88"/>
        </w:numPr>
        <w:spacing w:before="0" w:after="0" w:line="240" w:lineRule="auto"/>
        <w:rPr>
          <w:rFonts w:cstheme="minorHAnsi"/>
          <w:sz w:val="22"/>
          <w:szCs w:val="22"/>
        </w:rPr>
      </w:pPr>
      <w:r w:rsidRPr="00E76A09">
        <w:rPr>
          <w:rFonts w:cstheme="minorHAnsi"/>
          <w:sz w:val="22"/>
          <w:szCs w:val="22"/>
        </w:rPr>
        <w:t>AIM4Forests provides enabling technical assistance rather than delivering emission cuts itself. If we just divided programme cost by HMG carbon values, we would get an attributed figure, as if AIM4F directly delivered those reductions</w:t>
      </w:r>
      <w:r w:rsidR="00307749" w:rsidRPr="00E76A09">
        <w:rPr>
          <w:rFonts w:cstheme="minorHAnsi"/>
          <w:sz w:val="22"/>
          <w:szCs w:val="22"/>
        </w:rPr>
        <w:t>.</w:t>
      </w:r>
    </w:p>
    <w:p w14:paraId="1DEA051C" w14:textId="1AB9815F" w:rsidR="00307749" w:rsidRPr="00E76A09" w:rsidRDefault="00A32708" w:rsidP="006A43FC">
      <w:pPr>
        <w:numPr>
          <w:ilvl w:val="1"/>
          <w:numId w:val="88"/>
        </w:numPr>
        <w:spacing w:before="0" w:after="0" w:line="240" w:lineRule="auto"/>
        <w:rPr>
          <w:rFonts w:cstheme="minorHAnsi"/>
          <w:sz w:val="22"/>
          <w:szCs w:val="22"/>
        </w:rPr>
      </w:pPr>
      <w:r w:rsidRPr="00E76A09">
        <w:rPr>
          <w:rFonts w:cstheme="minorHAnsi"/>
          <w:sz w:val="22"/>
          <w:szCs w:val="22"/>
        </w:rPr>
        <w:t>To reflect its contribution role instead, we adjust by applying a 0.1% factor – meaning the requirement is scaled up to show the much larger pool of reductions AIM4F is expected to influence indirectly</w:t>
      </w:r>
      <w:r w:rsidR="00307749" w:rsidRPr="00E76A09">
        <w:rPr>
          <w:rFonts w:cstheme="minorHAnsi"/>
          <w:sz w:val="22"/>
          <w:szCs w:val="22"/>
        </w:rPr>
        <w:t>.</w:t>
      </w:r>
    </w:p>
    <w:p w14:paraId="35D2D153" w14:textId="1659B9E6" w:rsidR="00307749" w:rsidRPr="00E76A09" w:rsidRDefault="00235C1C" w:rsidP="006A43FC">
      <w:pPr>
        <w:numPr>
          <w:ilvl w:val="1"/>
          <w:numId w:val="88"/>
        </w:numPr>
        <w:spacing w:before="0" w:after="0" w:line="240" w:lineRule="auto"/>
        <w:rPr>
          <w:rFonts w:cstheme="minorHAnsi"/>
          <w:sz w:val="22"/>
          <w:szCs w:val="22"/>
        </w:rPr>
      </w:pPr>
      <w:r w:rsidRPr="00E76A09">
        <w:rPr>
          <w:rFonts w:cstheme="minorHAnsi"/>
          <w:sz w:val="22"/>
          <w:szCs w:val="22"/>
        </w:rPr>
        <w:t>This rate is consistent with previous IFU programmes (e.g. FGMC). The team judge it to be within the realms of possibility, though it cannot be evidenced with greater precision. Sensitivity testing is provided later to show the effect of different attribution assumptions</w:t>
      </w:r>
      <w:r w:rsidR="00307749" w:rsidRPr="00E76A09">
        <w:rPr>
          <w:rFonts w:cstheme="minorHAnsi"/>
          <w:sz w:val="22"/>
          <w:szCs w:val="22"/>
        </w:rPr>
        <w:t>.</w:t>
      </w:r>
    </w:p>
    <w:p w14:paraId="73B521EF" w14:textId="77777777" w:rsidR="00307749" w:rsidRPr="00E76A09" w:rsidRDefault="00307749" w:rsidP="005F1FB6">
      <w:pPr>
        <w:numPr>
          <w:ilvl w:val="0"/>
          <w:numId w:val="88"/>
        </w:numPr>
        <w:spacing w:before="0" w:after="160" w:line="240" w:lineRule="auto"/>
        <w:rPr>
          <w:rFonts w:cstheme="minorHAnsi"/>
          <w:sz w:val="22"/>
          <w:szCs w:val="22"/>
        </w:rPr>
      </w:pPr>
      <w:r w:rsidRPr="00E76A09">
        <w:rPr>
          <w:rFonts w:cstheme="minorHAnsi"/>
          <w:sz w:val="22"/>
          <w:szCs w:val="22"/>
        </w:rPr>
        <w:t>Risk adjustment: 50 per cent reduction applied for non-permanence, leakage and additionality.</w:t>
      </w:r>
    </w:p>
    <w:p w14:paraId="06E3C44A" w14:textId="4EE13309" w:rsidR="00307749" w:rsidRPr="00E76A09" w:rsidRDefault="00307749" w:rsidP="00307749">
      <w:pPr>
        <w:spacing w:before="0" w:line="240" w:lineRule="auto"/>
        <w:rPr>
          <w:rFonts w:cstheme="minorHAnsi"/>
          <w:sz w:val="22"/>
          <w:szCs w:val="22"/>
        </w:rPr>
      </w:pPr>
      <w:r w:rsidRPr="00E76A09">
        <w:rPr>
          <w:rFonts w:cstheme="minorHAnsi"/>
          <w:b/>
          <w:bCs/>
          <w:sz w:val="22"/>
          <w:szCs w:val="22"/>
        </w:rPr>
        <w:t>Result:</w:t>
      </w:r>
      <w:r w:rsidRPr="00E76A09">
        <w:rPr>
          <w:rFonts w:cstheme="minorHAnsi"/>
          <w:sz w:val="22"/>
          <w:szCs w:val="22"/>
        </w:rPr>
        <w:t xml:space="preserve"> AIM4Forests would need to contribute towards c.144 million tonnes of </w:t>
      </w:r>
      <w:proofErr w:type="spellStart"/>
      <w:r w:rsidRPr="00E76A09">
        <w:rPr>
          <w:rFonts w:cstheme="minorHAnsi"/>
          <w:sz w:val="22"/>
          <w:szCs w:val="22"/>
        </w:rPr>
        <w:t>CO₂e</w:t>
      </w:r>
      <w:proofErr w:type="spellEnd"/>
      <w:r w:rsidRPr="00E76A09">
        <w:rPr>
          <w:rFonts w:cstheme="minorHAnsi"/>
          <w:sz w:val="22"/>
          <w:szCs w:val="22"/>
        </w:rPr>
        <w:t xml:space="preserve"> reductions for the extension to break even. Forecasts of 25 million verified credits annually imply around 150 million cumulative by 2034 (2029-2034), exceeding the break-even requirement.</w:t>
      </w:r>
      <w:r w:rsidR="00AC6969" w:rsidRPr="00E76A09">
        <w:rPr>
          <w:rFonts w:cstheme="minorHAnsi"/>
          <w:sz w:val="22"/>
          <w:szCs w:val="22"/>
        </w:rPr>
        <w:t xml:space="preserve"> </w:t>
      </w:r>
      <w:r w:rsidR="00AC5C3F" w:rsidRPr="00E76A09">
        <w:rPr>
          <w:rStyle w:val="FootnoteReference"/>
          <w:rFonts w:cstheme="minorHAnsi"/>
          <w:sz w:val="22"/>
          <w:szCs w:val="22"/>
        </w:rPr>
        <w:footnoteReference w:id="26"/>
      </w:r>
    </w:p>
    <w:p w14:paraId="6AEE051A" w14:textId="6A2C5121" w:rsidR="00307749" w:rsidRPr="00E76A09" w:rsidRDefault="00307749" w:rsidP="57AB4C69">
      <w:pPr>
        <w:spacing w:before="0" w:line="240" w:lineRule="auto"/>
        <w:rPr>
          <w:sz w:val="22"/>
          <w:szCs w:val="22"/>
        </w:rPr>
      </w:pPr>
      <w:r w:rsidRPr="57AB4C69">
        <w:rPr>
          <w:sz w:val="22"/>
          <w:szCs w:val="22"/>
        </w:rPr>
        <w:t xml:space="preserve">This is a carbon-only calculation. Wider benefits, including biodiversity, governance, trade compliance, and IPLC empowerment, are not captured here, meaning that overall </w:t>
      </w:r>
      <w:proofErr w:type="spellStart"/>
      <w:r w:rsidRPr="57AB4C69">
        <w:rPr>
          <w:sz w:val="22"/>
          <w:szCs w:val="22"/>
        </w:rPr>
        <w:t>VfM</w:t>
      </w:r>
      <w:proofErr w:type="spellEnd"/>
      <w:r w:rsidRPr="57AB4C69">
        <w:rPr>
          <w:sz w:val="22"/>
          <w:szCs w:val="22"/>
        </w:rPr>
        <w:t xml:space="preserve"> is likely to be higher.</w:t>
      </w:r>
      <w:r w:rsidR="001C15CB" w:rsidRPr="57AB4C69">
        <w:rPr>
          <w:sz w:val="22"/>
          <w:szCs w:val="22"/>
        </w:rPr>
        <w:t xml:space="preserve"> </w:t>
      </w:r>
      <w:r w:rsidR="009B2291" w:rsidRPr="57AB4C69">
        <w:rPr>
          <w:sz w:val="22"/>
          <w:szCs w:val="22"/>
        </w:rPr>
        <w:t xml:space="preserve">Plus, </w:t>
      </w:r>
      <w:r w:rsidR="00161303" w:rsidRPr="57AB4C69">
        <w:rPr>
          <w:sz w:val="22"/>
          <w:szCs w:val="22"/>
        </w:rPr>
        <w:t xml:space="preserve">the overall calculation </w:t>
      </w:r>
      <w:proofErr w:type="gramStart"/>
      <w:r w:rsidR="00161303" w:rsidRPr="57AB4C69">
        <w:rPr>
          <w:sz w:val="22"/>
          <w:szCs w:val="22"/>
        </w:rPr>
        <w:t>fall</w:t>
      </w:r>
      <w:proofErr w:type="gramEnd"/>
      <w:r w:rsidR="00161303" w:rsidRPr="57AB4C69">
        <w:rPr>
          <w:sz w:val="22"/>
          <w:szCs w:val="22"/>
        </w:rPr>
        <w:t xml:space="preserve"> on the conservative side given that </w:t>
      </w:r>
      <w:r w:rsidR="00770F18" w:rsidRPr="57AB4C69">
        <w:rPr>
          <w:sz w:val="22"/>
          <w:szCs w:val="22"/>
        </w:rPr>
        <w:t xml:space="preserve">a risk haircut of 50% is applied </w:t>
      </w:r>
      <w:r w:rsidR="00161303" w:rsidRPr="57AB4C69">
        <w:rPr>
          <w:sz w:val="22"/>
          <w:szCs w:val="22"/>
        </w:rPr>
        <w:t xml:space="preserve">by </w:t>
      </w:r>
      <w:r w:rsidR="00E679D6" w:rsidRPr="57AB4C69">
        <w:rPr>
          <w:sz w:val="22"/>
          <w:szCs w:val="22"/>
        </w:rPr>
        <w:t xml:space="preserve">how </w:t>
      </w:r>
      <w:r w:rsidR="00770F18" w:rsidRPr="57AB4C69">
        <w:rPr>
          <w:sz w:val="22"/>
          <w:szCs w:val="22"/>
        </w:rPr>
        <w:t>ART-TREES account</w:t>
      </w:r>
      <w:r w:rsidR="00E679D6" w:rsidRPr="57AB4C69">
        <w:rPr>
          <w:sz w:val="22"/>
          <w:szCs w:val="22"/>
        </w:rPr>
        <w:t>s</w:t>
      </w:r>
      <w:r w:rsidR="00770F18" w:rsidRPr="57AB4C69">
        <w:rPr>
          <w:sz w:val="22"/>
          <w:szCs w:val="22"/>
        </w:rPr>
        <w:t xml:space="preserve"> for additionality</w:t>
      </w:r>
      <w:r w:rsidR="00907A32" w:rsidRPr="57AB4C69">
        <w:rPr>
          <w:sz w:val="22"/>
          <w:szCs w:val="22"/>
        </w:rPr>
        <w:t>, leakage (via jurisdictional credits), and risk of non-permanence (via buffer pools).</w:t>
      </w:r>
    </w:p>
    <w:p w14:paraId="48469574" w14:textId="7716B9C8" w:rsidR="00307749" w:rsidRPr="00E76A09" w:rsidRDefault="00307749" w:rsidP="00307749">
      <w:pPr>
        <w:spacing w:before="0" w:line="240" w:lineRule="auto"/>
        <w:rPr>
          <w:rFonts w:cstheme="minorHAnsi"/>
          <w:sz w:val="22"/>
          <w:szCs w:val="22"/>
        </w:rPr>
      </w:pPr>
      <w:r w:rsidRPr="00E76A09">
        <w:rPr>
          <w:rFonts w:cstheme="minorHAnsi"/>
          <w:b/>
          <w:bCs/>
          <w:sz w:val="22"/>
          <w:szCs w:val="22"/>
        </w:rPr>
        <w:lastRenderedPageBreak/>
        <w:t>Sensitivity testing</w:t>
      </w:r>
      <w:r w:rsidRPr="00E76A09">
        <w:rPr>
          <w:rFonts w:cstheme="minorHAnsi"/>
          <w:sz w:val="22"/>
          <w:szCs w:val="22"/>
        </w:rPr>
        <w:t>: the conclusion is robust under a range of assumptions, though the timing of break-even shifts.</w:t>
      </w:r>
    </w:p>
    <w:tbl>
      <w:tblPr>
        <w:tblStyle w:val="TableGrid"/>
        <w:tblW w:w="0" w:type="auto"/>
        <w:tblInd w:w="-5" w:type="dxa"/>
        <w:tblLook w:val="04A0" w:firstRow="1" w:lastRow="0" w:firstColumn="1" w:lastColumn="0" w:noHBand="0" w:noVBand="1"/>
      </w:tblPr>
      <w:tblGrid>
        <w:gridCol w:w="1668"/>
        <w:gridCol w:w="1283"/>
        <w:gridCol w:w="2456"/>
        <w:gridCol w:w="4658"/>
      </w:tblGrid>
      <w:tr w:rsidR="004942B2" w:rsidRPr="00E76A09" w14:paraId="36D60D01" w14:textId="77777777" w:rsidTr="00BB3550">
        <w:tc>
          <w:tcPr>
            <w:tcW w:w="1668" w:type="dxa"/>
            <w:hideMark/>
          </w:tcPr>
          <w:p w14:paraId="56E06944" w14:textId="77777777" w:rsidR="00307749" w:rsidRPr="00E76A09" w:rsidRDefault="00307749" w:rsidP="00307749">
            <w:pPr>
              <w:spacing w:before="0" w:after="160" w:line="240" w:lineRule="auto"/>
              <w:rPr>
                <w:rFonts w:cstheme="minorHAnsi"/>
                <w:b/>
                <w:bCs/>
                <w:sz w:val="22"/>
                <w:szCs w:val="22"/>
              </w:rPr>
            </w:pPr>
            <w:r w:rsidRPr="00E76A09">
              <w:rPr>
                <w:rFonts w:cstheme="minorHAnsi"/>
                <w:b/>
                <w:bCs/>
                <w:sz w:val="22"/>
                <w:szCs w:val="22"/>
              </w:rPr>
              <w:t>Attribution</w:t>
            </w:r>
          </w:p>
        </w:tc>
        <w:tc>
          <w:tcPr>
            <w:tcW w:w="0" w:type="auto"/>
            <w:hideMark/>
          </w:tcPr>
          <w:p w14:paraId="7A3345A5" w14:textId="77777777" w:rsidR="00307749" w:rsidRPr="00E76A09" w:rsidRDefault="00307749" w:rsidP="00307749">
            <w:pPr>
              <w:spacing w:before="0" w:after="160" w:line="240" w:lineRule="auto"/>
              <w:rPr>
                <w:rFonts w:cstheme="minorHAnsi"/>
                <w:b/>
                <w:bCs/>
                <w:sz w:val="22"/>
                <w:szCs w:val="22"/>
              </w:rPr>
            </w:pPr>
            <w:r w:rsidRPr="00E76A09">
              <w:rPr>
                <w:rFonts w:cstheme="minorHAnsi"/>
                <w:b/>
                <w:bCs/>
                <w:sz w:val="22"/>
                <w:szCs w:val="22"/>
              </w:rPr>
              <w:t>Risk haircut</w:t>
            </w:r>
          </w:p>
        </w:tc>
        <w:tc>
          <w:tcPr>
            <w:tcW w:w="0" w:type="auto"/>
            <w:hideMark/>
          </w:tcPr>
          <w:p w14:paraId="1C03B305" w14:textId="77777777" w:rsidR="00307749" w:rsidRPr="00E76A09" w:rsidRDefault="00307749" w:rsidP="00307749">
            <w:pPr>
              <w:spacing w:before="0" w:after="160" w:line="240" w:lineRule="auto"/>
              <w:rPr>
                <w:rFonts w:cstheme="minorHAnsi"/>
                <w:b/>
                <w:bCs/>
                <w:sz w:val="22"/>
                <w:szCs w:val="22"/>
              </w:rPr>
            </w:pPr>
            <w:r w:rsidRPr="00E76A09">
              <w:rPr>
                <w:rFonts w:cstheme="minorHAnsi"/>
                <w:b/>
                <w:bCs/>
                <w:sz w:val="22"/>
                <w:szCs w:val="22"/>
              </w:rPr>
              <w:t>Break-even requirement</w:t>
            </w:r>
          </w:p>
        </w:tc>
        <w:tc>
          <w:tcPr>
            <w:tcW w:w="4658" w:type="dxa"/>
            <w:hideMark/>
          </w:tcPr>
          <w:p w14:paraId="54F785D5" w14:textId="7499F940" w:rsidR="00307749" w:rsidRPr="00E76A09" w:rsidRDefault="004942B2" w:rsidP="00307749">
            <w:pPr>
              <w:spacing w:before="0" w:after="160" w:line="240" w:lineRule="auto"/>
              <w:rPr>
                <w:rFonts w:cstheme="minorHAnsi"/>
                <w:b/>
                <w:bCs/>
                <w:sz w:val="22"/>
                <w:szCs w:val="22"/>
              </w:rPr>
            </w:pPr>
            <w:r w:rsidRPr="00E76A09">
              <w:rPr>
                <w:rFonts w:cstheme="minorHAnsi"/>
                <w:b/>
                <w:bCs/>
                <w:sz w:val="22"/>
                <w:szCs w:val="22"/>
              </w:rPr>
              <w:t>Years of benefits that need to be influenced</w:t>
            </w:r>
          </w:p>
        </w:tc>
      </w:tr>
      <w:tr w:rsidR="004942B2" w:rsidRPr="00E76A09" w14:paraId="62CD815B" w14:textId="77777777" w:rsidTr="00BB3550">
        <w:tc>
          <w:tcPr>
            <w:tcW w:w="1668" w:type="dxa"/>
            <w:hideMark/>
          </w:tcPr>
          <w:p w14:paraId="4CBDA3EC"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0.1%</w:t>
            </w:r>
          </w:p>
        </w:tc>
        <w:tc>
          <w:tcPr>
            <w:tcW w:w="0" w:type="auto"/>
            <w:hideMark/>
          </w:tcPr>
          <w:p w14:paraId="2246764B"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50%</w:t>
            </w:r>
          </w:p>
        </w:tc>
        <w:tc>
          <w:tcPr>
            <w:tcW w:w="0" w:type="auto"/>
            <w:hideMark/>
          </w:tcPr>
          <w:p w14:paraId="0434E1C2"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144m</w:t>
            </w:r>
          </w:p>
        </w:tc>
        <w:tc>
          <w:tcPr>
            <w:tcW w:w="4658" w:type="dxa"/>
            <w:hideMark/>
          </w:tcPr>
          <w:p w14:paraId="7BC58007" w14:textId="7D970545" w:rsidR="00307749" w:rsidRPr="00E76A09" w:rsidRDefault="0047399E" w:rsidP="00307749">
            <w:pPr>
              <w:spacing w:before="0" w:after="160" w:line="240" w:lineRule="auto"/>
              <w:rPr>
                <w:rFonts w:cstheme="minorHAnsi"/>
                <w:sz w:val="22"/>
                <w:szCs w:val="22"/>
              </w:rPr>
            </w:pPr>
            <w:r w:rsidRPr="00E76A09">
              <w:rPr>
                <w:rFonts w:cstheme="minorHAnsi"/>
                <w:sz w:val="22"/>
                <w:szCs w:val="22"/>
              </w:rPr>
              <w:t>5 (2029-2034)</w:t>
            </w:r>
          </w:p>
        </w:tc>
      </w:tr>
      <w:tr w:rsidR="004942B2" w:rsidRPr="00E76A09" w14:paraId="7D7C2F5F" w14:textId="77777777" w:rsidTr="00BB3550">
        <w:tc>
          <w:tcPr>
            <w:tcW w:w="1668" w:type="dxa"/>
            <w:hideMark/>
          </w:tcPr>
          <w:p w14:paraId="00E860CC"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0.05%</w:t>
            </w:r>
          </w:p>
        </w:tc>
        <w:tc>
          <w:tcPr>
            <w:tcW w:w="0" w:type="auto"/>
            <w:hideMark/>
          </w:tcPr>
          <w:p w14:paraId="6DD61253"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50%</w:t>
            </w:r>
          </w:p>
        </w:tc>
        <w:tc>
          <w:tcPr>
            <w:tcW w:w="0" w:type="auto"/>
            <w:hideMark/>
          </w:tcPr>
          <w:p w14:paraId="4889FE67"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304m</w:t>
            </w:r>
          </w:p>
        </w:tc>
        <w:tc>
          <w:tcPr>
            <w:tcW w:w="4658" w:type="dxa"/>
            <w:hideMark/>
          </w:tcPr>
          <w:p w14:paraId="70F18B5C" w14:textId="5B8E75B0" w:rsidR="00307749" w:rsidRPr="00E76A09" w:rsidRDefault="00160595" w:rsidP="00307749">
            <w:pPr>
              <w:spacing w:before="0" w:after="160" w:line="240" w:lineRule="auto"/>
              <w:rPr>
                <w:rFonts w:cstheme="minorHAnsi"/>
                <w:sz w:val="22"/>
                <w:szCs w:val="22"/>
              </w:rPr>
            </w:pPr>
            <w:r w:rsidRPr="00E76A09">
              <w:rPr>
                <w:rFonts w:cstheme="minorHAnsi"/>
                <w:sz w:val="22"/>
                <w:szCs w:val="22"/>
              </w:rPr>
              <w:t>12 (2029-2041)</w:t>
            </w:r>
          </w:p>
        </w:tc>
      </w:tr>
      <w:tr w:rsidR="004942B2" w:rsidRPr="00E76A09" w14:paraId="0D709C9A" w14:textId="77777777" w:rsidTr="00BB3550">
        <w:tc>
          <w:tcPr>
            <w:tcW w:w="1668" w:type="dxa"/>
            <w:hideMark/>
          </w:tcPr>
          <w:p w14:paraId="20323F88"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0.1%</w:t>
            </w:r>
          </w:p>
        </w:tc>
        <w:tc>
          <w:tcPr>
            <w:tcW w:w="0" w:type="auto"/>
            <w:hideMark/>
          </w:tcPr>
          <w:p w14:paraId="42BC0D29"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75%</w:t>
            </w:r>
          </w:p>
        </w:tc>
        <w:tc>
          <w:tcPr>
            <w:tcW w:w="0" w:type="auto"/>
            <w:hideMark/>
          </w:tcPr>
          <w:p w14:paraId="4351C60C"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304m</w:t>
            </w:r>
          </w:p>
        </w:tc>
        <w:tc>
          <w:tcPr>
            <w:tcW w:w="4658" w:type="dxa"/>
            <w:hideMark/>
          </w:tcPr>
          <w:p w14:paraId="33278045" w14:textId="56E543AF" w:rsidR="00307749" w:rsidRPr="00E76A09" w:rsidRDefault="00160595" w:rsidP="00307749">
            <w:pPr>
              <w:spacing w:before="0" w:after="160" w:line="240" w:lineRule="auto"/>
              <w:rPr>
                <w:rFonts w:cstheme="minorHAnsi"/>
                <w:sz w:val="22"/>
                <w:szCs w:val="22"/>
              </w:rPr>
            </w:pPr>
            <w:r w:rsidRPr="00E76A09">
              <w:rPr>
                <w:rFonts w:cstheme="minorHAnsi"/>
                <w:sz w:val="22"/>
                <w:szCs w:val="22"/>
              </w:rPr>
              <w:t>12 (2029-2041)</w:t>
            </w:r>
          </w:p>
        </w:tc>
      </w:tr>
      <w:tr w:rsidR="004942B2" w:rsidRPr="00E76A09" w14:paraId="12094825" w14:textId="77777777" w:rsidTr="00BB3550">
        <w:tc>
          <w:tcPr>
            <w:tcW w:w="1668" w:type="dxa"/>
            <w:hideMark/>
          </w:tcPr>
          <w:p w14:paraId="34348900"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0.2%</w:t>
            </w:r>
          </w:p>
        </w:tc>
        <w:tc>
          <w:tcPr>
            <w:tcW w:w="0" w:type="auto"/>
            <w:hideMark/>
          </w:tcPr>
          <w:p w14:paraId="5E78A2A9"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50%</w:t>
            </w:r>
          </w:p>
        </w:tc>
        <w:tc>
          <w:tcPr>
            <w:tcW w:w="0" w:type="auto"/>
            <w:hideMark/>
          </w:tcPr>
          <w:p w14:paraId="5505092E"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72m</w:t>
            </w:r>
          </w:p>
        </w:tc>
        <w:tc>
          <w:tcPr>
            <w:tcW w:w="4658" w:type="dxa"/>
            <w:hideMark/>
          </w:tcPr>
          <w:p w14:paraId="3D3E171B" w14:textId="0A25050F" w:rsidR="00307749" w:rsidRPr="00E76A09" w:rsidRDefault="00160595" w:rsidP="00307749">
            <w:pPr>
              <w:spacing w:before="0" w:after="160" w:line="240" w:lineRule="auto"/>
              <w:rPr>
                <w:rFonts w:cstheme="minorHAnsi"/>
                <w:sz w:val="22"/>
                <w:szCs w:val="22"/>
              </w:rPr>
            </w:pPr>
            <w:r w:rsidRPr="00E76A09">
              <w:rPr>
                <w:rFonts w:cstheme="minorHAnsi"/>
                <w:sz w:val="22"/>
                <w:szCs w:val="22"/>
              </w:rPr>
              <w:t>5 (2029-2034)</w:t>
            </w:r>
          </w:p>
        </w:tc>
      </w:tr>
    </w:tbl>
    <w:p w14:paraId="0921650C" w14:textId="77777777" w:rsidR="00307749" w:rsidRPr="00E76A09" w:rsidRDefault="00307749" w:rsidP="00307749">
      <w:pPr>
        <w:spacing w:before="0" w:line="240" w:lineRule="auto"/>
        <w:rPr>
          <w:rFonts w:cstheme="minorHAnsi"/>
          <w:sz w:val="22"/>
          <w:szCs w:val="22"/>
        </w:rPr>
      </w:pPr>
    </w:p>
    <w:p w14:paraId="612E3A46" w14:textId="77777777" w:rsidR="00307749" w:rsidRPr="00E76A09" w:rsidRDefault="00307749" w:rsidP="005F1FB6">
      <w:pPr>
        <w:pStyle w:val="ListParagraph"/>
        <w:numPr>
          <w:ilvl w:val="0"/>
          <w:numId w:val="89"/>
        </w:numPr>
        <w:spacing w:before="0" w:after="160" w:line="240" w:lineRule="auto"/>
        <w:rPr>
          <w:rFonts w:cstheme="minorHAnsi"/>
          <w:sz w:val="22"/>
          <w:szCs w:val="22"/>
        </w:rPr>
      </w:pPr>
      <w:r w:rsidRPr="00E76A09">
        <w:rPr>
          <w:rFonts w:cstheme="minorHAnsi"/>
          <w:sz w:val="22"/>
          <w:szCs w:val="22"/>
        </w:rPr>
        <w:t>Even under the stringent cases (0.05% attribution or 75% haircut), break-even is reached by 2041.</w:t>
      </w:r>
    </w:p>
    <w:p w14:paraId="457E831E" w14:textId="6F67718B" w:rsidR="00307749" w:rsidRPr="00E76A09" w:rsidRDefault="00307749" w:rsidP="005F1FB6">
      <w:pPr>
        <w:pStyle w:val="ListParagraph"/>
        <w:numPr>
          <w:ilvl w:val="0"/>
          <w:numId w:val="89"/>
        </w:numPr>
        <w:spacing w:before="0" w:after="160" w:line="240" w:lineRule="auto"/>
        <w:rPr>
          <w:rFonts w:cstheme="minorHAnsi"/>
          <w:sz w:val="22"/>
          <w:szCs w:val="22"/>
        </w:rPr>
      </w:pPr>
      <w:r w:rsidRPr="00E76A09">
        <w:rPr>
          <w:rFonts w:cstheme="minorHAnsi"/>
          <w:sz w:val="22"/>
          <w:szCs w:val="22"/>
        </w:rPr>
        <w:t xml:space="preserve">These cases are deliberately conservative, unlikely in practice given AIM4Forests’ catalytic role and ART-TREES </w:t>
      </w:r>
      <w:r w:rsidR="00087E18" w:rsidRPr="00E76A09">
        <w:rPr>
          <w:rFonts w:cstheme="minorHAnsi"/>
          <w:sz w:val="22"/>
          <w:szCs w:val="22"/>
        </w:rPr>
        <w:t>safeguards and</w:t>
      </w:r>
      <w:r w:rsidRPr="00E76A09">
        <w:rPr>
          <w:rFonts w:cstheme="minorHAnsi"/>
          <w:sz w:val="22"/>
          <w:szCs w:val="22"/>
        </w:rPr>
        <w:t xml:space="preserve"> fall beyond the formal appraisal </w:t>
      </w:r>
      <w:r w:rsidR="006F16B9" w:rsidRPr="00E76A09">
        <w:rPr>
          <w:rFonts w:cstheme="minorHAnsi"/>
          <w:sz w:val="22"/>
          <w:szCs w:val="22"/>
        </w:rPr>
        <w:t>period – though it is reasonable to expect benefits to persist into the early 2040s</w:t>
      </w:r>
      <w:r w:rsidRPr="00E76A09">
        <w:rPr>
          <w:rFonts w:cstheme="minorHAnsi"/>
          <w:sz w:val="22"/>
          <w:szCs w:val="22"/>
        </w:rPr>
        <w:t>.</w:t>
      </w:r>
    </w:p>
    <w:p w14:paraId="2179011F" w14:textId="77777777" w:rsidR="00307749" w:rsidRPr="00E76A09" w:rsidRDefault="00307749" w:rsidP="005F1FB6">
      <w:pPr>
        <w:pStyle w:val="ListParagraph"/>
        <w:numPr>
          <w:ilvl w:val="0"/>
          <w:numId w:val="89"/>
        </w:numPr>
        <w:spacing w:before="0" w:after="160" w:line="240" w:lineRule="auto"/>
        <w:rPr>
          <w:rFonts w:cstheme="minorHAnsi"/>
          <w:sz w:val="22"/>
          <w:szCs w:val="22"/>
        </w:rPr>
      </w:pPr>
      <w:r w:rsidRPr="00E76A09">
        <w:rPr>
          <w:rFonts w:cstheme="minorHAnsi"/>
          <w:sz w:val="22"/>
          <w:szCs w:val="22"/>
        </w:rPr>
        <w:t>More importantly, by the mid-2030s verified credits are expected to exceed 200m tonnes (around 2/3 of the highest requirement) with benefits on a clear path to outweigh costs; and wider biodiversity, governance and equity gains providing additional headroom.</w:t>
      </w:r>
    </w:p>
    <w:p w14:paraId="4B368FFC" w14:textId="60BBE989" w:rsidR="004304AB" w:rsidRPr="00E76A09" w:rsidRDefault="006C0474" w:rsidP="004304AB">
      <w:pPr>
        <w:pStyle w:val="ListParagraph"/>
        <w:numPr>
          <w:ilvl w:val="0"/>
          <w:numId w:val="89"/>
        </w:numPr>
        <w:spacing w:before="0" w:after="160" w:line="240" w:lineRule="auto"/>
        <w:rPr>
          <w:rFonts w:cstheme="minorHAnsi"/>
          <w:sz w:val="22"/>
          <w:szCs w:val="22"/>
        </w:rPr>
      </w:pPr>
      <w:r w:rsidRPr="00E76A09">
        <w:rPr>
          <w:rFonts w:cstheme="minorHAnsi"/>
          <w:sz w:val="22"/>
          <w:szCs w:val="22"/>
        </w:rPr>
        <w:t xml:space="preserve">Nevertheless, </w:t>
      </w:r>
      <w:r w:rsidR="00E803F6" w:rsidRPr="00E76A09">
        <w:rPr>
          <w:rFonts w:cstheme="minorHAnsi"/>
          <w:sz w:val="22"/>
          <w:szCs w:val="22"/>
        </w:rPr>
        <w:t>it is worth noting that the more stringent assumptions would make the BCR during the appraisal period (up until 2035) negative as it stands</w:t>
      </w:r>
      <w:r w:rsidR="004304AB" w:rsidRPr="00E76A09">
        <w:rPr>
          <w:rFonts w:cstheme="minorHAnsi"/>
          <w:sz w:val="22"/>
          <w:szCs w:val="22"/>
        </w:rPr>
        <w:t xml:space="preserve"> – hence the importance of ensuring qualitative benefits are delivered throughout the programme extension.</w:t>
      </w:r>
    </w:p>
    <w:p w14:paraId="3A2CD954" w14:textId="77777777" w:rsidR="00307749" w:rsidRPr="00E76A09" w:rsidRDefault="00307749" w:rsidP="00307749">
      <w:pPr>
        <w:spacing w:before="0" w:line="240" w:lineRule="auto"/>
        <w:rPr>
          <w:rFonts w:cstheme="minorHAnsi"/>
          <w:b/>
          <w:bCs/>
          <w:sz w:val="22"/>
          <w:szCs w:val="22"/>
        </w:rPr>
      </w:pPr>
      <w:r w:rsidRPr="00E76A09">
        <w:rPr>
          <w:rFonts w:cstheme="minorHAnsi"/>
          <w:b/>
          <w:bCs/>
          <w:sz w:val="22"/>
          <w:szCs w:val="22"/>
        </w:rPr>
        <w:t>Equity</w:t>
      </w:r>
    </w:p>
    <w:p w14:paraId="659A47E6"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Equity has been embedded in the programme and is reinforced under the extension:</w:t>
      </w:r>
    </w:p>
    <w:p w14:paraId="6AC54155" w14:textId="77777777" w:rsidR="00307749" w:rsidRPr="00E76A09" w:rsidRDefault="00307749" w:rsidP="006A43FC">
      <w:pPr>
        <w:numPr>
          <w:ilvl w:val="0"/>
          <w:numId w:val="93"/>
        </w:numPr>
        <w:spacing w:before="0" w:after="0" w:line="240" w:lineRule="auto"/>
        <w:rPr>
          <w:rFonts w:cstheme="minorHAnsi"/>
          <w:sz w:val="22"/>
          <w:szCs w:val="22"/>
        </w:rPr>
      </w:pPr>
      <w:r w:rsidRPr="00E76A09">
        <w:rPr>
          <w:rFonts w:cstheme="minorHAnsi"/>
          <w:sz w:val="22"/>
          <w:szCs w:val="22"/>
        </w:rPr>
        <w:t>Output 3 supports IPLC participation in forest monitoring.</w:t>
      </w:r>
    </w:p>
    <w:p w14:paraId="2C68409B" w14:textId="77777777" w:rsidR="00307749" w:rsidRPr="00E76A09" w:rsidRDefault="00307749" w:rsidP="006A43FC">
      <w:pPr>
        <w:numPr>
          <w:ilvl w:val="0"/>
          <w:numId w:val="93"/>
        </w:numPr>
        <w:spacing w:before="0" w:after="0" w:line="240" w:lineRule="auto"/>
        <w:rPr>
          <w:rFonts w:cstheme="minorHAnsi"/>
          <w:sz w:val="22"/>
          <w:szCs w:val="22"/>
        </w:rPr>
      </w:pPr>
      <w:r w:rsidRPr="00E76A09">
        <w:rPr>
          <w:rFonts w:cstheme="minorHAnsi"/>
          <w:sz w:val="22"/>
          <w:szCs w:val="22"/>
        </w:rPr>
        <w:t>Tools such as WHISP and SEPAL have been adapted to enable smallholders and IPLCs to access data and comply with new regulations.</w:t>
      </w:r>
    </w:p>
    <w:p w14:paraId="36835559" w14:textId="77777777" w:rsidR="00307749" w:rsidRPr="00E76A09" w:rsidRDefault="00307749" w:rsidP="006A43FC">
      <w:pPr>
        <w:numPr>
          <w:ilvl w:val="0"/>
          <w:numId w:val="93"/>
        </w:numPr>
        <w:spacing w:before="0" w:after="0" w:line="240" w:lineRule="auto"/>
        <w:rPr>
          <w:rFonts w:cstheme="minorHAnsi"/>
          <w:sz w:val="22"/>
          <w:szCs w:val="22"/>
        </w:rPr>
      </w:pPr>
      <w:r w:rsidRPr="00E76A09">
        <w:rPr>
          <w:rFonts w:cstheme="minorHAnsi"/>
          <w:sz w:val="22"/>
          <w:szCs w:val="22"/>
        </w:rPr>
        <w:t>Monitoring and evaluation systems collect gender-disaggregated data.</w:t>
      </w:r>
    </w:p>
    <w:p w14:paraId="676E0568" w14:textId="18842564" w:rsidR="00307749" w:rsidRPr="00E76A09" w:rsidRDefault="00307749" w:rsidP="006A43FC">
      <w:pPr>
        <w:numPr>
          <w:ilvl w:val="0"/>
          <w:numId w:val="93"/>
        </w:numPr>
        <w:spacing w:before="0" w:after="0" w:line="240" w:lineRule="auto"/>
        <w:rPr>
          <w:sz w:val="22"/>
          <w:szCs w:val="22"/>
        </w:rPr>
      </w:pPr>
      <w:r w:rsidRPr="00E76A09">
        <w:rPr>
          <w:sz w:val="22"/>
          <w:szCs w:val="22"/>
        </w:rPr>
        <w:t xml:space="preserve">The extension maintains </w:t>
      </w:r>
      <w:r w:rsidR="06C5C87B" w:rsidRPr="00E76A09">
        <w:rPr>
          <w:sz w:val="22"/>
          <w:szCs w:val="22"/>
        </w:rPr>
        <w:t>strong focus on</w:t>
      </w:r>
      <w:r w:rsidRPr="00E76A09">
        <w:rPr>
          <w:sz w:val="22"/>
          <w:szCs w:val="22"/>
        </w:rPr>
        <w:t xml:space="preserve"> participation by women, youth, and IPLCs.</w:t>
      </w:r>
    </w:p>
    <w:p w14:paraId="02D24AF7" w14:textId="77777777" w:rsidR="00307749" w:rsidRPr="00E76A09" w:rsidRDefault="00307749" w:rsidP="006A43FC">
      <w:pPr>
        <w:numPr>
          <w:ilvl w:val="0"/>
          <w:numId w:val="93"/>
        </w:numPr>
        <w:spacing w:before="0" w:after="0" w:line="240" w:lineRule="auto"/>
        <w:rPr>
          <w:rFonts w:cstheme="minorHAnsi"/>
          <w:sz w:val="22"/>
          <w:szCs w:val="22"/>
        </w:rPr>
      </w:pPr>
      <w:r w:rsidRPr="00E76A09">
        <w:rPr>
          <w:rFonts w:cstheme="minorHAnsi"/>
          <w:sz w:val="22"/>
          <w:szCs w:val="22"/>
        </w:rPr>
        <w:t>AIM4Commodities addresses risks of smallholder exclusion from supply chains by helping them meet new compliance requirements.</w:t>
      </w:r>
    </w:p>
    <w:p w14:paraId="0A34C1A2" w14:textId="241DA13F" w:rsidR="00307749" w:rsidRPr="00E76A09" w:rsidRDefault="00307749" w:rsidP="00307749">
      <w:pPr>
        <w:spacing w:before="0" w:line="240" w:lineRule="auto"/>
        <w:rPr>
          <w:rFonts w:cstheme="minorHAnsi"/>
          <w:sz w:val="22"/>
          <w:szCs w:val="22"/>
        </w:rPr>
      </w:pPr>
      <w:r w:rsidRPr="00E76A09">
        <w:rPr>
          <w:rFonts w:cstheme="minorHAnsi"/>
          <w:sz w:val="22"/>
          <w:szCs w:val="22"/>
        </w:rPr>
        <w:t>At present, evidence is stronger on participation than distribution of benefits. Future reporting should demonstrate how outcomes reduce compliance costs, strengthen tenure security, and improve equity outcomes.</w:t>
      </w:r>
    </w:p>
    <w:p w14:paraId="24F509B1" w14:textId="77777777" w:rsidR="00307749" w:rsidRPr="00E76A09" w:rsidRDefault="00307749" w:rsidP="00307749">
      <w:pPr>
        <w:spacing w:before="0" w:line="240" w:lineRule="auto"/>
        <w:rPr>
          <w:rFonts w:cstheme="minorHAnsi"/>
          <w:b/>
          <w:bCs/>
          <w:sz w:val="22"/>
          <w:szCs w:val="22"/>
        </w:rPr>
      </w:pPr>
      <w:r w:rsidRPr="00E76A09">
        <w:rPr>
          <w:rFonts w:cstheme="minorHAnsi"/>
          <w:b/>
          <w:bCs/>
          <w:sz w:val="22"/>
          <w:szCs w:val="22"/>
        </w:rPr>
        <w:t>Conclusion</w:t>
      </w:r>
    </w:p>
    <w:p w14:paraId="67819AB9"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The preferred option – a £20.9m extension delivered by FAO through the UN-REDD Multi-Partner Trust Fund – represents strong value for money:</w:t>
      </w:r>
    </w:p>
    <w:p w14:paraId="721999B9" w14:textId="77777777" w:rsidR="00307749" w:rsidRPr="00E76A09" w:rsidRDefault="00307749" w:rsidP="00F1161F">
      <w:pPr>
        <w:pStyle w:val="Style3"/>
      </w:pPr>
      <w:r w:rsidRPr="00E76A09">
        <w:rPr>
          <w:b/>
          <w:bCs/>
        </w:rPr>
        <w:t>Economy:</w:t>
      </w:r>
      <w:r w:rsidRPr="00E76A09">
        <w:t xml:space="preserve"> continues to realise savings through UN-REDD and the reuse of established FAO platforms.</w:t>
      </w:r>
    </w:p>
    <w:p w14:paraId="5B2B4B56" w14:textId="77777777" w:rsidR="00307749" w:rsidRPr="00E76A09" w:rsidRDefault="00307749" w:rsidP="00F1161F">
      <w:pPr>
        <w:pStyle w:val="Style3"/>
      </w:pPr>
      <w:r w:rsidRPr="00E76A09">
        <w:rPr>
          <w:b/>
          <w:bCs/>
        </w:rPr>
        <w:t>Efficiency:</w:t>
      </w:r>
      <w:r w:rsidRPr="00E76A09">
        <w:t xml:space="preserve"> closes the Output 5 budget gap and re-introduces AIM4Commodities on a clearly defined scope, addressing overlaps highlighted in the Mid-Term Review.</w:t>
      </w:r>
    </w:p>
    <w:p w14:paraId="26F60945" w14:textId="77777777" w:rsidR="00307749" w:rsidRPr="00E76A09" w:rsidRDefault="00307749" w:rsidP="00F1161F">
      <w:pPr>
        <w:pStyle w:val="Style3"/>
      </w:pPr>
      <w:r w:rsidRPr="00E76A09">
        <w:rPr>
          <w:b/>
          <w:bCs/>
        </w:rPr>
        <w:t>Effectiveness:</w:t>
      </w:r>
      <w:r w:rsidRPr="00E76A09">
        <w:t xml:space="preserve"> aligns delivery with the 2029–30 milestone moment for KMGBF, NDCs and EUDR review, ensuring outputs are converted into outcomes when most needed.</w:t>
      </w:r>
    </w:p>
    <w:p w14:paraId="47CE6C8A" w14:textId="77777777" w:rsidR="00307749" w:rsidRPr="00E76A09" w:rsidRDefault="00307749" w:rsidP="00F1161F">
      <w:pPr>
        <w:pStyle w:val="Style3"/>
      </w:pPr>
      <w:r w:rsidRPr="00E76A09">
        <w:rPr>
          <w:b/>
          <w:bCs/>
        </w:rPr>
        <w:t>Cost-effectiveness:</w:t>
      </w:r>
      <w:r w:rsidRPr="00E76A09">
        <w:t xml:space="preserve"> passes a conservative break-even test on carbon alone; wider biodiversity, governance and trade benefits add substantial further value.</w:t>
      </w:r>
    </w:p>
    <w:p w14:paraId="5526C71E" w14:textId="77777777" w:rsidR="00307749" w:rsidRPr="00E76A09" w:rsidRDefault="00307749" w:rsidP="00F1161F">
      <w:pPr>
        <w:pStyle w:val="Style3"/>
        <w:spacing w:after="240"/>
      </w:pPr>
      <w:r w:rsidRPr="00E76A09">
        <w:rPr>
          <w:b/>
          <w:bCs/>
        </w:rPr>
        <w:t>Equity:</w:t>
      </w:r>
      <w:r w:rsidRPr="00E76A09">
        <w:t xml:space="preserve"> participation of women, youth and IPLCs is embedded, with future reporting to evidence benefit distribution more fully.</w:t>
      </w:r>
    </w:p>
    <w:p w14:paraId="4BB1B3B2" w14:textId="77777777" w:rsidR="00307749" w:rsidRPr="00E76A09" w:rsidRDefault="00307749" w:rsidP="00307749">
      <w:pPr>
        <w:spacing w:before="0" w:after="160" w:line="240" w:lineRule="auto"/>
        <w:rPr>
          <w:rFonts w:cstheme="minorHAnsi"/>
          <w:sz w:val="22"/>
          <w:szCs w:val="22"/>
        </w:rPr>
      </w:pPr>
      <w:r w:rsidRPr="00E76A09">
        <w:rPr>
          <w:rFonts w:cstheme="minorHAnsi"/>
          <w:sz w:val="22"/>
          <w:szCs w:val="22"/>
        </w:rPr>
        <w:t>Overall, the preferred option is a prudent and strategically aligned investment: it protects past achievements, responds directly to the Mid-Term Review, and ensures AIM4Forests delivers at the right time and scale to advance HMG’s international climate and nature objectives.</w:t>
      </w:r>
    </w:p>
    <w:p w14:paraId="7B479FC8" w14:textId="77777777" w:rsidR="00307749" w:rsidRPr="00E76A09" w:rsidRDefault="00307749" w:rsidP="00307749">
      <w:pPr>
        <w:spacing w:before="0" w:after="160" w:line="240" w:lineRule="auto"/>
        <w:rPr>
          <w:rFonts w:cstheme="minorHAnsi"/>
          <w:sz w:val="22"/>
          <w:szCs w:val="22"/>
          <w:u w:val="single"/>
        </w:rPr>
      </w:pPr>
      <w:r w:rsidRPr="00E76A09">
        <w:rPr>
          <w:rFonts w:cstheme="minorHAnsi"/>
          <w:sz w:val="22"/>
          <w:szCs w:val="22"/>
          <w:u w:val="single"/>
        </w:rPr>
        <w:lastRenderedPageBreak/>
        <w:t>Points for attention</w:t>
      </w:r>
    </w:p>
    <w:p w14:paraId="05C9BFFC" w14:textId="01A7AF53" w:rsidR="00307749" w:rsidRPr="00E76A09" w:rsidRDefault="00307749" w:rsidP="00F1161F">
      <w:pPr>
        <w:pStyle w:val="Style3"/>
      </w:pPr>
      <w:r w:rsidRPr="00E76A09">
        <w:t xml:space="preserve">Ensuring that AIM4Commodities </w:t>
      </w:r>
      <w:proofErr w:type="gramStart"/>
      <w:r w:rsidRPr="00E76A09">
        <w:t>roll-outs</w:t>
      </w:r>
      <w:proofErr w:type="gramEnd"/>
      <w:r w:rsidRPr="00E76A09">
        <w:t xml:space="preserve"> are sequenced realistically, so FAO delivery capacity is not overstretched.</w:t>
      </w:r>
    </w:p>
    <w:p w14:paraId="27D6D1A2" w14:textId="77777777" w:rsidR="00307749" w:rsidRPr="00E76A09" w:rsidRDefault="00307749" w:rsidP="00F1161F">
      <w:pPr>
        <w:pStyle w:val="Style3"/>
      </w:pPr>
      <w:r w:rsidRPr="00E76A09">
        <w:t>Strengthening country-level uptake and institutionalisation of NFMS innovations, which the MTR flagged as uneven.</w:t>
      </w:r>
    </w:p>
    <w:p w14:paraId="7734F855" w14:textId="77777777" w:rsidR="00307749" w:rsidRPr="00E76A09" w:rsidRDefault="00307749" w:rsidP="00F1161F">
      <w:pPr>
        <w:pStyle w:val="Style3"/>
      </w:pPr>
      <w:r w:rsidRPr="00E76A09">
        <w:t>Demonstrating equity outcomes beyond participation, such as reduced compliance costs for smallholders and stronger IPLC tenure security.</w:t>
      </w:r>
    </w:p>
    <w:p w14:paraId="75A3A5FC" w14:textId="1ED056FB" w:rsidR="006138F9" w:rsidRPr="00E76A09" w:rsidRDefault="00307749" w:rsidP="00F1161F">
      <w:pPr>
        <w:pStyle w:val="Style3"/>
      </w:pPr>
      <w:r w:rsidRPr="00E76A09">
        <w:t>Managing the transition beyond 2030, so monitoring and TA gains remain embedded once programme funding closes.</w:t>
      </w:r>
    </w:p>
    <w:p w14:paraId="5B4B8003" w14:textId="399E2947" w:rsidR="4AE375E7" w:rsidRPr="00E76A09" w:rsidRDefault="4AE375E7">
      <w:r w:rsidRPr="00E76A09">
        <w:br w:type="page"/>
      </w:r>
    </w:p>
    <w:p w14:paraId="6D740338" w14:textId="4CC9D2AA" w:rsidR="006E546B" w:rsidRPr="00E76A09" w:rsidRDefault="006E546B" w:rsidP="005F1FB6">
      <w:pPr>
        <w:pStyle w:val="Heading1"/>
        <w:numPr>
          <w:ilvl w:val="0"/>
          <w:numId w:val="3"/>
        </w:numPr>
        <w:ind w:left="426"/>
      </w:pPr>
      <w:bookmarkStart w:id="3" w:name="_Toc997935380"/>
      <w:r>
        <w:lastRenderedPageBreak/>
        <w:t>Commercial Case</w:t>
      </w:r>
      <w:bookmarkEnd w:id="3"/>
      <w:r>
        <w:t xml:space="preserve"> </w:t>
      </w:r>
    </w:p>
    <w:p w14:paraId="156CEFB9" w14:textId="600F05E9" w:rsidR="006E546B" w:rsidRPr="00E76A09" w:rsidRDefault="006E546B" w:rsidP="0079589D">
      <w:pPr>
        <w:spacing w:before="0" w:after="0" w:line="240" w:lineRule="auto"/>
        <w:jc w:val="both"/>
        <w:rPr>
          <w:b/>
          <w:i/>
          <w:iCs/>
          <w:sz w:val="22"/>
          <w:szCs w:val="22"/>
        </w:rPr>
      </w:pPr>
    </w:p>
    <w:p w14:paraId="510A7C56" w14:textId="5E7404E6" w:rsidR="0079589D" w:rsidRPr="00E76A09" w:rsidRDefault="0079589D" w:rsidP="0079589D">
      <w:pPr>
        <w:spacing w:before="0" w:after="0" w:line="240" w:lineRule="auto"/>
        <w:jc w:val="both"/>
        <w:rPr>
          <w:bCs/>
          <w:sz w:val="22"/>
          <w:szCs w:val="22"/>
        </w:rPr>
      </w:pPr>
      <w:r w:rsidRPr="00E76A09">
        <w:rPr>
          <w:bCs/>
          <w:sz w:val="22"/>
          <w:szCs w:val="22"/>
        </w:rPr>
        <w:t>This section of the business case sets out the key commercial considerations for the programme and how the programme team have dealt with them.  </w:t>
      </w:r>
    </w:p>
    <w:p w14:paraId="5D3751E1" w14:textId="77777777" w:rsidR="0079589D" w:rsidRPr="00E76A09" w:rsidRDefault="0079589D" w:rsidP="0079589D">
      <w:pPr>
        <w:spacing w:before="0" w:after="0" w:line="240" w:lineRule="auto"/>
        <w:jc w:val="both"/>
        <w:rPr>
          <w:bCs/>
          <w:sz w:val="22"/>
          <w:szCs w:val="22"/>
        </w:rPr>
      </w:pPr>
    </w:p>
    <w:p w14:paraId="5CA3D05B" w14:textId="4C896B0B" w:rsidR="0079589D" w:rsidRPr="00E76A09" w:rsidRDefault="5826B242" w:rsidP="007D2CBB">
      <w:pPr>
        <w:pStyle w:val="Style1"/>
        <w:numPr>
          <w:ilvl w:val="0"/>
          <w:numId w:val="0"/>
        </w:numPr>
        <w:ind w:left="284" w:hanging="284"/>
        <w:rPr>
          <w:sz w:val="24"/>
          <w:szCs w:val="24"/>
        </w:rPr>
      </w:pPr>
      <w:r w:rsidRPr="00E76A09">
        <w:rPr>
          <w:sz w:val="24"/>
          <w:szCs w:val="24"/>
        </w:rPr>
        <w:t xml:space="preserve">3.1 </w:t>
      </w:r>
      <w:r w:rsidR="2051C682" w:rsidRPr="00E76A09">
        <w:rPr>
          <w:sz w:val="24"/>
          <w:szCs w:val="24"/>
        </w:rPr>
        <w:t xml:space="preserve">Procurement/ commercial strategy </w:t>
      </w:r>
    </w:p>
    <w:p w14:paraId="3A2A59A5" w14:textId="1870C531" w:rsidR="00F52375" w:rsidRPr="00E76A09" w:rsidRDefault="00185506" w:rsidP="57AB4C69">
      <w:pPr>
        <w:spacing w:before="0" w:after="0" w:line="240" w:lineRule="auto"/>
        <w:jc w:val="both"/>
        <w:rPr>
          <w:sz w:val="22"/>
          <w:szCs w:val="22"/>
        </w:rPr>
      </w:pPr>
      <w:r w:rsidRPr="57AB4C69">
        <w:rPr>
          <w:sz w:val="22"/>
          <w:szCs w:val="22"/>
        </w:rPr>
        <w:t>We propose to extend and amend the existing arrangement already in place with FAO, the current delivery partner for AIM4Forests. This means that there will not be any competitive tender or market engagement activities. While this is unusual for ICF business cases, this is an extension to an existing programme</w:t>
      </w:r>
      <w:r w:rsidR="00DC519C" w:rsidRPr="57AB4C69">
        <w:rPr>
          <w:sz w:val="22"/>
          <w:szCs w:val="22"/>
        </w:rPr>
        <w:t xml:space="preserve"> which </w:t>
      </w:r>
      <w:r w:rsidR="00E00921" w:rsidRPr="57AB4C69">
        <w:rPr>
          <w:sz w:val="22"/>
          <w:szCs w:val="22"/>
        </w:rPr>
        <w:t xml:space="preserve">was subject to a competitive </w:t>
      </w:r>
      <w:r w:rsidR="00DD0EB0">
        <w:rPr>
          <w:sz w:val="22"/>
          <w:szCs w:val="22"/>
        </w:rPr>
        <w:t>process</w:t>
      </w:r>
      <w:r w:rsidR="00E00921" w:rsidRPr="57AB4C69">
        <w:rPr>
          <w:sz w:val="22"/>
          <w:szCs w:val="22"/>
        </w:rPr>
        <w:t xml:space="preserve"> and </w:t>
      </w:r>
      <w:r w:rsidR="00DC519C" w:rsidRPr="57AB4C69">
        <w:rPr>
          <w:sz w:val="22"/>
          <w:szCs w:val="22"/>
        </w:rPr>
        <w:t>is performing well</w:t>
      </w:r>
      <w:r w:rsidR="00E00921" w:rsidRPr="57AB4C69">
        <w:rPr>
          <w:sz w:val="22"/>
          <w:szCs w:val="22"/>
        </w:rPr>
        <w:t>. W</w:t>
      </w:r>
      <w:r w:rsidRPr="57AB4C69">
        <w:rPr>
          <w:sz w:val="22"/>
          <w:szCs w:val="22"/>
        </w:rPr>
        <w:t>e consider that there are strong justifications for this approach:  </w:t>
      </w:r>
    </w:p>
    <w:p w14:paraId="1E3E8F29" w14:textId="717CF418" w:rsidR="60BBACC8" w:rsidRPr="00E76A09" w:rsidRDefault="415E052C" w:rsidP="00AC5C3F">
      <w:pPr>
        <w:pStyle w:val="ListParagraph"/>
        <w:numPr>
          <w:ilvl w:val="0"/>
          <w:numId w:val="96"/>
        </w:numPr>
        <w:spacing w:line="240" w:lineRule="auto"/>
        <w:rPr>
          <w:sz w:val="22"/>
          <w:szCs w:val="22"/>
        </w:rPr>
      </w:pPr>
      <w:r w:rsidRPr="00E76A09">
        <w:rPr>
          <w:b/>
          <w:bCs/>
          <w:sz w:val="22"/>
          <w:szCs w:val="22"/>
        </w:rPr>
        <w:t>A change of delivery partner</w:t>
      </w:r>
      <w:r w:rsidR="581FF971" w:rsidRPr="00E76A09">
        <w:rPr>
          <w:b/>
          <w:bCs/>
          <w:sz w:val="22"/>
          <w:szCs w:val="22"/>
        </w:rPr>
        <w:t xml:space="preserve"> may</w:t>
      </w:r>
      <w:r w:rsidR="2CC82823" w:rsidRPr="00E76A09">
        <w:rPr>
          <w:b/>
          <w:bCs/>
          <w:sz w:val="22"/>
          <w:szCs w:val="22"/>
        </w:rPr>
        <w:t xml:space="preserve"> result in services</w:t>
      </w:r>
      <w:r w:rsidR="406E9915" w:rsidRPr="00E76A09">
        <w:rPr>
          <w:b/>
          <w:bCs/>
          <w:sz w:val="22"/>
          <w:szCs w:val="22"/>
        </w:rPr>
        <w:t>/ outcomes incompatible with the existing programme</w:t>
      </w:r>
      <w:r w:rsidR="35DF6D74" w:rsidRPr="00E76A09">
        <w:rPr>
          <w:b/>
          <w:bCs/>
          <w:sz w:val="22"/>
          <w:szCs w:val="22"/>
        </w:rPr>
        <w:t xml:space="preserve">: </w:t>
      </w:r>
      <w:r w:rsidR="35DF6D74" w:rsidRPr="00E76A09">
        <w:rPr>
          <w:sz w:val="22"/>
          <w:szCs w:val="22"/>
        </w:rPr>
        <w:t xml:space="preserve">this proposal represents an extension to an existing programme which is due to end in 2028. </w:t>
      </w:r>
      <w:r w:rsidR="77A233F5" w:rsidRPr="00E76A09">
        <w:rPr>
          <w:sz w:val="22"/>
          <w:szCs w:val="22"/>
        </w:rPr>
        <w:t>T</w:t>
      </w:r>
      <w:r w:rsidR="54DB2287" w:rsidRPr="00E76A09">
        <w:rPr>
          <w:sz w:val="22"/>
          <w:szCs w:val="22"/>
        </w:rPr>
        <w:t xml:space="preserve">he current delivery partner has </w:t>
      </w:r>
      <w:r w:rsidR="77A233F5" w:rsidRPr="00E76A09">
        <w:rPr>
          <w:sz w:val="22"/>
          <w:szCs w:val="22"/>
        </w:rPr>
        <w:t xml:space="preserve">already </w:t>
      </w:r>
      <w:r w:rsidR="4CA002D9" w:rsidRPr="00E76A09">
        <w:rPr>
          <w:sz w:val="22"/>
          <w:szCs w:val="22"/>
        </w:rPr>
        <w:t xml:space="preserve">created delivery structures, </w:t>
      </w:r>
      <w:r w:rsidR="5EC7B43E" w:rsidRPr="00E76A09">
        <w:rPr>
          <w:sz w:val="22"/>
          <w:szCs w:val="22"/>
        </w:rPr>
        <w:t>work programmes</w:t>
      </w:r>
      <w:r w:rsidR="77A233F5" w:rsidRPr="00E76A09">
        <w:rPr>
          <w:sz w:val="22"/>
          <w:szCs w:val="22"/>
        </w:rPr>
        <w:t xml:space="preserve">, </w:t>
      </w:r>
      <w:r w:rsidR="342962CA" w:rsidRPr="00E76A09">
        <w:rPr>
          <w:sz w:val="22"/>
          <w:szCs w:val="22"/>
        </w:rPr>
        <w:t xml:space="preserve">and relevant tools and products </w:t>
      </w:r>
      <w:r w:rsidR="170D89CD" w:rsidRPr="00E76A09">
        <w:rPr>
          <w:sz w:val="22"/>
          <w:szCs w:val="22"/>
        </w:rPr>
        <w:t>for the AIM4Forests programme.</w:t>
      </w:r>
      <w:r w:rsidR="285A1FD5" w:rsidRPr="00E76A09">
        <w:rPr>
          <w:sz w:val="22"/>
          <w:szCs w:val="22"/>
        </w:rPr>
        <w:t xml:space="preserve"> </w:t>
      </w:r>
      <w:r w:rsidR="1F704FEB" w:rsidRPr="00E76A09">
        <w:rPr>
          <w:sz w:val="22"/>
          <w:szCs w:val="22"/>
        </w:rPr>
        <w:t>Appointing a separate delivery partner for the extension, while FAO is already delivering the current programme</w:t>
      </w:r>
      <w:r w:rsidR="47E8DC03" w:rsidRPr="00E76A09">
        <w:rPr>
          <w:sz w:val="22"/>
          <w:szCs w:val="22"/>
        </w:rPr>
        <w:t xml:space="preserve"> (until 2028)</w:t>
      </w:r>
      <w:r w:rsidR="4E6F85EB" w:rsidRPr="00E76A09">
        <w:rPr>
          <w:sz w:val="22"/>
          <w:szCs w:val="22"/>
        </w:rPr>
        <w:t xml:space="preserve">, risks </w:t>
      </w:r>
      <w:r w:rsidR="79F683F8" w:rsidRPr="00E76A09">
        <w:rPr>
          <w:sz w:val="22"/>
          <w:szCs w:val="22"/>
        </w:rPr>
        <w:t xml:space="preserve">the creation of </w:t>
      </w:r>
      <w:r w:rsidR="6EBC647D" w:rsidRPr="00E76A09">
        <w:rPr>
          <w:sz w:val="22"/>
          <w:szCs w:val="22"/>
        </w:rPr>
        <w:t xml:space="preserve">outcomes and services that are incompatible </w:t>
      </w:r>
      <w:r w:rsidR="2B2F6FA6" w:rsidRPr="00E76A09">
        <w:rPr>
          <w:sz w:val="22"/>
          <w:szCs w:val="22"/>
        </w:rPr>
        <w:t xml:space="preserve">with </w:t>
      </w:r>
      <w:r w:rsidR="2FC57BD5" w:rsidRPr="00E76A09">
        <w:rPr>
          <w:sz w:val="22"/>
          <w:szCs w:val="22"/>
        </w:rPr>
        <w:t xml:space="preserve">existing programme </w:t>
      </w:r>
      <w:r w:rsidR="5C4B804C" w:rsidRPr="00E76A09">
        <w:rPr>
          <w:sz w:val="22"/>
          <w:szCs w:val="22"/>
        </w:rPr>
        <w:t xml:space="preserve">outcomes and structures. </w:t>
      </w:r>
      <w:r w:rsidR="551F9B85" w:rsidRPr="00E76A09">
        <w:rPr>
          <w:sz w:val="22"/>
          <w:szCs w:val="22"/>
        </w:rPr>
        <w:t xml:space="preserve">This could lead </w:t>
      </w:r>
      <w:r w:rsidR="2BF5419D" w:rsidRPr="00E76A09">
        <w:rPr>
          <w:sz w:val="22"/>
          <w:szCs w:val="22"/>
        </w:rPr>
        <w:t xml:space="preserve">to implementation delays, </w:t>
      </w:r>
      <w:r w:rsidR="5C4F93BB" w:rsidRPr="00E76A09">
        <w:rPr>
          <w:sz w:val="22"/>
          <w:szCs w:val="22"/>
        </w:rPr>
        <w:t xml:space="preserve">additional implementation costs, and conflicting systems. </w:t>
      </w:r>
    </w:p>
    <w:p w14:paraId="73D03FAA" w14:textId="263F813A" w:rsidR="06ACC8DD" w:rsidRPr="00E76A09" w:rsidRDefault="348AC873" w:rsidP="00AC5C3F">
      <w:pPr>
        <w:pStyle w:val="ListParagraph"/>
        <w:numPr>
          <w:ilvl w:val="0"/>
          <w:numId w:val="96"/>
        </w:numPr>
        <w:spacing w:line="240" w:lineRule="auto"/>
        <w:rPr>
          <w:sz w:val="22"/>
          <w:szCs w:val="22"/>
        </w:rPr>
      </w:pPr>
      <w:r w:rsidRPr="00E76A09">
        <w:rPr>
          <w:b/>
          <w:bCs/>
          <w:sz w:val="22"/>
          <w:szCs w:val="22"/>
        </w:rPr>
        <w:t>I</w:t>
      </w:r>
      <w:r w:rsidR="298E6EB5" w:rsidRPr="00E76A09">
        <w:rPr>
          <w:b/>
          <w:bCs/>
          <w:sz w:val="22"/>
          <w:szCs w:val="22"/>
        </w:rPr>
        <w:t>ncompatibility with intellectual property rights</w:t>
      </w:r>
      <w:r w:rsidR="298E6EB5" w:rsidRPr="00E76A09">
        <w:rPr>
          <w:sz w:val="22"/>
          <w:szCs w:val="22"/>
        </w:rPr>
        <w:t xml:space="preserve">: </w:t>
      </w:r>
      <w:r w:rsidR="0580ACEF" w:rsidRPr="00E76A09">
        <w:rPr>
          <w:sz w:val="22"/>
          <w:szCs w:val="22"/>
        </w:rPr>
        <w:t xml:space="preserve">FAO’s global forest monitoring contributions under AIM4Forests leverage a series of systems and technical tools that FAO operates as their intellectual property (most notably the open-source and freely available Open Foris suite of technical solutions), which were built over several decades of investments in a string of engagements. </w:t>
      </w:r>
      <w:r w:rsidR="73F1522D" w:rsidRPr="00E76A09">
        <w:rPr>
          <w:sz w:val="22"/>
          <w:szCs w:val="22"/>
        </w:rPr>
        <w:t>The Programmatic Letter (which forms part of the legal agreement for AIM4Forests) only allows the use of materials, programmatic documents and data associated with the performance of the services under the legal agreement for non-commercial purposes. This means that use of such materials, documents and data could not be granted to a new delivery partner.</w:t>
      </w:r>
    </w:p>
    <w:p w14:paraId="4CBD0639" w14:textId="543FF311" w:rsidR="00F52375" w:rsidRPr="00E76A09" w:rsidRDefault="00F52375" w:rsidP="00F52375">
      <w:pPr>
        <w:pStyle w:val="ListParagraph"/>
        <w:numPr>
          <w:ilvl w:val="0"/>
          <w:numId w:val="96"/>
        </w:numPr>
        <w:spacing w:after="0" w:line="240" w:lineRule="auto"/>
        <w:rPr>
          <w:bCs/>
          <w:sz w:val="22"/>
          <w:szCs w:val="22"/>
        </w:rPr>
      </w:pPr>
      <w:r w:rsidRPr="00E76A09">
        <w:rPr>
          <w:b/>
          <w:sz w:val="22"/>
          <w:szCs w:val="22"/>
        </w:rPr>
        <w:t>Increased costs associated with changing delivery partner:</w:t>
      </w:r>
      <w:r w:rsidRPr="00E76A09">
        <w:rPr>
          <w:bCs/>
          <w:sz w:val="22"/>
          <w:szCs w:val="22"/>
        </w:rPr>
        <w:t xml:space="preserve"> to wind down the current AIM4Forests delivery structure and appoint a new delivery partner for the remaining years of the programme would create significant </w:t>
      </w:r>
      <w:proofErr w:type="gramStart"/>
      <w:r w:rsidRPr="00E76A09">
        <w:rPr>
          <w:bCs/>
          <w:sz w:val="22"/>
          <w:szCs w:val="22"/>
        </w:rPr>
        <w:t>costs, and</w:t>
      </w:r>
      <w:proofErr w:type="gramEnd"/>
      <w:r w:rsidRPr="00E76A09">
        <w:rPr>
          <w:bCs/>
          <w:sz w:val="22"/>
          <w:szCs w:val="22"/>
        </w:rPr>
        <w:t xml:space="preserve"> risks the efficiency and effectiveness of the programme. </w:t>
      </w:r>
    </w:p>
    <w:p w14:paraId="4DCA6F17" w14:textId="0729DD03" w:rsidR="00C25EB1" w:rsidRPr="00E76A09" w:rsidRDefault="00C25EB1" w:rsidP="00AC5C3F">
      <w:pPr>
        <w:pStyle w:val="ListParagraph"/>
        <w:numPr>
          <w:ilvl w:val="0"/>
          <w:numId w:val="96"/>
        </w:numPr>
        <w:spacing w:after="0" w:line="240" w:lineRule="auto"/>
        <w:rPr>
          <w:bCs/>
          <w:sz w:val="22"/>
          <w:szCs w:val="22"/>
        </w:rPr>
      </w:pPr>
      <w:r w:rsidRPr="00E76A09">
        <w:rPr>
          <w:b/>
          <w:sz w:val="22"/>
          <w:szCs w:val="22"/>
        </w:rPr>
        <w:t>A change in delivery partner would delay implementation of the extension:</w:t>
      </w:r>
      <w:r w:rsidRPr="00E76A09">
        <w:rPr>
          <w:bCs/>
          <w:sz w:val="22"/>
          <w:szCs w:val="22"/>
        </w:rPr>
        <w:t xml:space="preserve"> </w:t>
      </w:r>
      <w:r w:rsidR="008E4185" w:rsidRPr="00E76A09">
        <w:rPr>
          <w:bCs/>
          <w:sz w:val="22"/>
          <w:szCs w:val="22"/>
        </w:rPr>
        <w:t xml:space="preserve">implementation of the </w:t>
      </w:r>
      <w:r w:rsidR="00101D2B" w:rsidRPr="00E76A09">
        <w:rPr>
          <w:bCs/>
          <w:sz w:val="22"/>
          <w:szCs w:val="22"/>
        </w:rPr>
        <w:t xml:space="preserve">extension needs to occur </w:t>
      </w:r>
      <w:r w:rsidR="00125BCC" w:rsidRPr="00E76A09">
        <w:rPr>
          <w:bCs/>
          <w:sz w:val="22"/>
          <w:szCs w:val="22"/>
        </w:rPr>
        <w:t xml:space="preserve">by early 2026 as the budget for the in-country technical assistance workstream is due to run out in 2026, and </w:t>
      </w:r>
      <w:proofErr w:type="gramStart"/>
      <w:r w:rsidR="00125BCC" w:rsidRPr="00E76A09">
        <w:rPr>
          <w:bCs/>
          <w:sz w:val="22"/>
          <w:szCs w:val="22"/>
        </w:rPr>
        <w:t>a number of</w:t>
      </w:r>
      <w:proofErr w:type="gramEnd"/>
      <w:r w:rsidR="00125BCC" w:rsidRPr="00E76A09">
        <w:rPr>
          <w:bCs/>
          <w:sz w:val="22"/>
          <w:szCs w:val="22"/>
        </w:rPr>
        <w:t xml:space="preserve"> the activities such a</w:t>
      </w:r>
      <w:r w:rsidR="00246845" w:rsidRPr="00E76A09">
        <w:rPr>
          <w:bCs/>
          <w:sz w:val="22"/>
          <w:szCs w:val="22"/>
        </w:rPr>
        <w:t xml:space="preserve">s the AIM4Commodities workstream are due to start in 2026. A change in delivery partner will delay this </w:t>
      </w:r>
      <w:r w:rsidR="00EE50E8" w:rsidRPr="00E76A09">
        <w:rPr>
          <w:bCs/>
          <w:sz w:val="22"/>
          <w:szCs w:val="22"/>
        </w:rPr>
        <w:t>timeline</w:t>
      </w:r>
      <w:r w:rsidR="00731C09" w:rsidRPr="00E76A09">
        <w:rPr>
          <w:bCs/>
          <w:sz w:val="22"/>
          <w:szCs w:val="22"/>
        </w:rPr>
        <w:t xml:space="preserve">, impacting overall timelines for achieving the objectives of the programme and possibly halting work on the in-country technical assistance as there is a risk that budget would run out before funds could be delivered. </w:t>
      </w:r>
    </w:p>
    <w:p w14:paraId="7480DC4C" w14:textId="5C5DABAC" w:rsidR="00185506" w:rsidRPr="00E76A09" w:rsidRDefault="60B3D353" w:rsidP="005F1FB6">
      <w:pPr>
        <w:numPr>
          <w:ilvl w:val="0"/>
          <w:numId w:val="45"/>
        </w:numPr>
        <w:spacing w:before="0" w:after="0" w:line="240" w:lineRule="auto"/>
        <w:jc w:val="both"/>
        <w:rPr>
          <w:bCs/>
          <w:sz w:val="22"/>
          <w:szCs w:val="22"/>
        </w:rPr>
      </w:pPr>
      <w:r w:rsidRPr="00E76A09">
        <w:rPr>
          <w:b/>
          <w:bCs/>
          <w:sz w:val="22"/>
          <w:szCs w:val="22"/>
        </w:rPr>
        <w:t xml:space="preserve">Strong working relationship: </w:t>
      </w:r>
      <w:r w:rsidRPr="00E76A09">
        <w:rPr>
          <w:sz w:val="22"/>
          <w:szCs w:val="22"/>
        </w:rPr>
        <w:t>FAO is currently delivering AIM4Forests, and we have built a strong and productive working relationship with FAO which has allowed the programme to be delivered effectively, and to evolve and adapt to changing circumstances. The AIM4Forests Annual Review for 2024 found that strong coordination between DESNZ, FAO, and GFOI has contributed to smooth delivery. Communication has been proactive and across several formats, supporting timely and adaptive management.</w:t>
      </w:r>
      <w:r w:rsidR="00185506" w:rsidRPr="00E76A09">
        <w:rPr>
          <w:rStyle w:val="FootnoteReference"/>
          <w:sz w:val="22"/>
          <w:szCs w:val="22"/>
        </w:rPr>
        <w:footnoteReference w:id="27"/>
      </w:r>
      <w:r w:rsidR="2D146FAE" w:rsidRPr="00E76A09">
        <w:rPr>
          <w:sz w:val="22"/>
          <w:szCs w:val="22"/>
        </w:rPr>
        <w:t xml:space="preserve"> The mid-term review also concluded that the programme management by FAO, supported by DESNZ, has reinforced effective, flexible, and timely AIM4Forests implementation and engagement of strategic partners in its work, and has communicated and shared knowledge and information about programme activities and achievements effectively.</w:t>
      </w:r>
      <w:r w:rsidR="00F5545F" w:rsidRPr="00E76A09">
        <w:rPr>
          <w:rStyle w:val="FootnoteReference"/>
          <w:sz w:val="22"/>
          <w:szCs w:val="22"/>
        </w:rPr>
        <w:footnoteReference w:id="28"/>
      </w:r>
    </w:p>
    <w:p w14:paraId="0C9E36CA" w14:textId="5FE9B96D" w:rsidR="00F5545F" w:rsidRPr="00E76A09" w:rsidRDefault="00F5545F" w:rsidP="55E82529">
      <w:pPr>
        <w:numPr>
          <w:ilvl w:val="0"/>
          <w:numId w:val="45"/>
        </w:numPr>
        <w:spacing w:before="0" w:after="0" w:line="240" w:lineRule="auto"/>
        <w:jc w:val="both"/>
        <w:rPr>
          <w:sz w:val="22"/>
          <w:szCs w:val="22"/>
        </w:rPr>
      </w:pPr>
      <w:r w:rsidRPr="00E76A09">
        <w:rPr>
          <w:b/>
          <w:bCs/>
          <w:sz w:val="22"/>
          <w:szCs w:val="22"/>
        </w:rPr>
        <w:t>Expertise of FAO:</w:t>
      </w:r>
      <w:r w:rsidRPr="00E76A09">
        <w:rPr>
          <w:sz w:val="22"/>
          <w:szCs w:val="22"/>
        </w:rPr>
        <w:t xml:space="preserve"> FAO has well-established knowledge, expertise and international experience, as well as the convening and collaboration power of a UN agency. They are a global leader in providing technical assistance for multipurpose National Forest Monitoring Systems and REDD+ MRV. </w:t>
      </w:r>
      <w:r w:rsidR="50D4B7C3" w:rsidRPr="00E76A09">
        <w:rPr>
          <w:sz w:val="22"/>
          <w:szCs w:val="22"/>
        </w:rPr>
        <w:t xml:space="preserve">FAO’s ability to deliver work both at the country level leverages a network of existing contacts at the political and working level </w:t>
      </w:r>
      <w:r w:rsidR="50D4B7C3" w:rsidRPr="00E76A09">
        <w:rPr>
          <w:sz w:val="22"/>
          <w:szCs w:val="22"/>
        </w:rPr>
        <w:lastRenderedPageBreak/>
        <w:t xml:space="preserve">with governments in developing countries that work actively in the field of forests and climate change. </w:t>
      </w:r>
      <w:r w:rsidRPr="00E76A09">
        <w:rPr>
          <w:sz w:val="22"/>
          <w:szCs w:val="22"/>
        </w:rPr>
        <w:t>The mid-term review highlighted the technical comparative advantage that FAO has in NFMS and MRV, as well as the country and regional presence FAO has through its offices and established networks, including those related to REDD+ and strong working relationships with governments and convening power. </w:t>
      </w:r>
      <w:r w:rsidR="6D4EA454" w:rsidRPr="00E76A09">
        <w:rPr>
          <w:sz w:val="22"/>
          <w:szCs w:val="22"/>
        </w:rPr>
        <w:t xml:space="preserve">Most AIM4Forests activities are implemented by the FAO’s technical team of forest monitoring specialists with deep knowledge of technical matters and ongoing discussions in the scientific and policy arena. </w:t>
      </w:r>
    </w:p>
    <w:p w14:paraId="30442AF4" w14:textId="78F65DEC" w:rsidR="00F5545F" w:rsidRPr="00E76A09" w:rsidRDefault="1C39B248" w:rsidP="005F1FB6">
      <w:pPr>
        <w:numPr>
          <w:ilvl w:val="0"/>
          <w:numId w:val="45"/>
        </w:numPr>
        <w:spacing w:before="0" w:after="0" w:line="240" w:lineRule="auto"/>
        <w:jc w:val="both"/>
        <w:rPr>
          <w:bCs/>
          <w:sz w:val="22"/>
          <w:szCs w:val="22"/>
        </w:rPr>
      </w:pPr>
      <w:r w:rsidRPr="00E76A09">
        <w:rPr>
          <w:b/>
          <w:bCs/>
          <w:sz w:val="22"/>
          <w:szCs w:val="22"/>
        </w:rPr>
        <w:t xml:space="preserve">Ability to leverage support from UN-REDD: </w:t>
      </w:r>
      <w:r w:rsidRPr="00E76A09">
        <w:rPr>
          <w:sz w:val="22"/>
          <w:szCs w:val="22"/>
        </w:rPr>
        <w:t>UN-REDD is the flagship UN knowledge and advisory partnership on forests and climate for REDD+. It is the largest international provider of REDD+ assistance and has the historic expertise – having previously supported 65 partner countries in their REDD+ activities. AIM4Forests has been able to leverage FAO’s existing UN-REDD framework. The mid-term review found that it is not possible to identify a more efficient way of channelling UK funds to AIM4Forests implementation than the current one through the UN-REDD Programme Fund. Estimated savings compared to an alternative, amounted in 2024 to USD $357 398 (about 5% annually), and reach about USD 1.5 million over the programme implementation period while the time savings in terms of mobilizing the programme were estimated to be at least 6 months and even up to 12 months.</w:t>
      </w:r>
      <w:r w:rsidR="00397170" w:rsidRPr="00E76A09">
        <w:rPr>
          <w:rStyle w:val="FootnoteReference"/>
          <w:sz w:val="22"/>
          <w:szCs w:val="22"/>
        </w:rPr>
        <w:footnoteReference w:id="29"/>
      </w:r>
    </w:p>
    <w:p w14:paraId="64FEFEAA" w14:textId="7CA94563" w:rsidR="00397170" w:rsidRPr="00E76A09" w:rsidRDefault="00397170" w:rsidP="005F1FB6">
      <w:pPr>
        <w:numPr>
          <w:ilvl w:val="0"/>
          <w:numId w:val="45"/>
        </w:numPr>
        <w:spacing w:before="0" w:after="0" w:line="240" w:lineRule="auto"/>
        <w:jc w:val="both"/>
        <w:rPr>
          <w:bCs/>
          <w:sz w:val="22"/>
          <w:szCs w:val="22"/>
        </w:rPr>
      </w:pPr>
      <w:r w:rsidRPr="00E76A09">
        <w:rPr>
          <w:b/>
          <w:bCs/>
          <w:sz w:val="22"/>
          <w:szCs w:val="22"/>
        </w:rPr>
        <w:t xml:space="preserve">Convening function of GFOI: </w:t>
      </w:r>
      <w:r w:rsidRPr="00E76A09">
        <w:rPr>
          <w:bCs/>
          <w:sz w:val="22"/>
          <w:szCs w:val="22"/>
        </w:rPr>
        <w:t>GFOI is currently the only international platform that provides the specific convening function of an international partnership of donors that collaboratively assist developing countries report, advance, and progress REDD+, meet NDCs, and build capacity for GHG inventories. </w:t>
      </w:r>
    </w:p>
    <w:p w14:paraId="230518FC" w14:textId="0857C8DF" w:rsidR="00397170" w:rsidRPr="00E76A09" w:rsidRDefault="0C3371D4" w:rsidP="005F1FB6">
      <w:pPr>
        <w:numPr>
          <w:ilvl w:val="0"/>
          <w:numId w:val="45"/>
        </w:numPr>
        <w:spacing w:before="0" w:after="0" w:line="240" w:lineRule="auto"/>
        <w:jc w:val="both"/>
        <w:rPr>
          <w:bCs/>
          <w:sz w:val="22"/>
          <w:szCs w:val="22"/>
        </w:rPr>
      </w:pPr>
      <w:r w:rsidRPr="00E76A09">
        <w:rPr>
          <w:b/>
          <w:bCs/>
          <w:sz w:val="22"/>
          <w:szCs w:val="22"/>
        </w:rPr>
        <w:t>Continued momentum of the programme: </w:t>
      </w:r>
      <w:r w:rsidRPr="00E76A09">
        <w:rPr>
          <w:sz w:val="22"/>
          <w:szCs w:val="22"/>
        </w:rPr>
        <w:t xml:space="preserve"> AIM4Forests is a well-performing programme, that has made rapid progress made across its core outputs, notably avoiding the delays that typically accompany early-stage programming.</w:t>
      </w:r>
      <w:r w:rsidR="00FE5B45" w:rsidRPr="00E76A09">
        <w:rPr>
          <w:rStyle w:val="FootnoteReference"/>
          <w:sz w:val="22"/>
          <w:szCs w:val="22"/>
        </w:rPr>
        <w:footnoteReference w:id="30"/>
      </w:r>
      <w:r w:rsidRPr="00E76A09">
        <w:rPr>
          <w:rFonts w:ascii="Aptos" w:hAnsi="Aptos"/>
          <w:color w:val="000000"/>
          <w:sz w:val="22"/>
          <w:szCs w:val="22"/>
          <w:shd w:val="clear" w:color="auto" w:fill="FFFFFF"/>
        </w:rPr>
        <w:t xml:space="preserve"> </w:t>
      </w:r>
      <w:r w:rsidRPr="00E76A09">
        <w:rPr>
          <w:sz w:val="22"/>
          <w:szCs w:val="22"/>
        </w:rPr>
        <w:t>Changing delivery partner, at this stage in the programme, risks impacting the momentum of the programme and creating delays in its implementation.  </w:t>
      </w:r>
    </w:p>
    <w:p w14:paraId="712B2EA9" w14:textId="77777777" w:rsidR="009D061C" w:rsidRPr="00E76A09" w:rsidRDefault="009D061C" w:rsidP="009D061C">
      <w:pPr>
        <w:spacing w:before="0" w:after="0" w:line="240" w:lineRule="auto"/>
        <w:ind w:left="720"/>
        <w:jc w:val="both"/>
        <w:rPr>
          <w:bCs/>
          <w:sz w:val="22"/>
          <w:szCs w:val="22"/>
        </w:rPr>
      </w:pPr>
    </w:p>
    <w:p w14:paraId="2CD22698" w14:textId="3C1081E8" w:rsidR="00C668B3" w:rsidRPr="00E76A09" w:rsidRDefault="00C668B3" w:rsidP="004258E7">
      <w:pPr>
        <w:spacing w:before="0" w:after="0" w:line="240" w:lineRule="auto"/>
        <w:jc w:val="both"/>
        <w:rPr>
          <w:bCs/>
          <w:sz w:val="22"/>
          <w:szCs w:val="22"/>
        </w:rPr>
      </w:pPr>
      <w:r w:rsidRPr="00E76A09">
        <w:rPr>
          <w:bCs/>
          <w:sz w:val="22"/>
          <w:szCs w:val="22"/>
        </w:rPr>
        <w:t xml:space="preserve">A competitive </w:t>
      </w:r>
      <w:r w:rsidR="009D061C" w:rsidRPr="00E76A09">
        <w:rPr>
          <w:bCs/>
          <w:sz w:val="22"/>
          <w:szCs w:val="22"/>
        </w:rPr>
        <w:t xml:space="preserve">process </w:t>
      </w:r>
      <w:r w:rsidRPr="00E76A09">
        <w:rPr>
          <w:bCs/>
          <w:sz w:val="22"/>
          <w:szCs w:val="22"/>
        </w:rPr>
        <w:t>was</w:t>
      </w:r>
      <w:r w:rsidR="009D061C" w:rsidRPr="00E76A09">
        <w:rPr>
          <w:bCs/>
          <w:sz w:val="22"/>
          <w:szCs w:val="22"/>
        </w:rPr>
        <w:t xml:space="preserve"> already</w:t>
      </w:r>
      <w:r w:rsidRPr="00E76A09">
        <w:rPr>
          <w:bCs/>
          <w:sz w:val="22"/>
          <w:szCs w:val="22"/>
        </w:rPr>
        <w:t xml:space="preserve"> undertaken during the initial AIM4Forests Business Case,</w:t>
      </w:r>
      <w:r w:rsidR="003F0EBD" w:rsidRPr="00E76A09">
        <w:rPr>
          <w:bCs/>
          <w:sz w:val="22"/>
          <w:szCs w:val="22"/>
        </w:rPr>
        <w:t xml:space="preserve"> whereby a Competitive Request for Information (RFI) was sent to potential Delivery Partners to understand their capability, capacity, and flexibility to deliver</w:t>
      </w:r>
      <w:r w:rsidR="00DA1926" w:rsidRPr="00E76A09">
        <w:rPr>
          <w:bCs/>
          <w:sz w:val="22"/>
          <w:szCs w:val="22"/>
        </w:rPr>
        <w:t xml:space="preserve">. A shortlist of </w:t>
      </w:r>
      <w:r w:rsidR="008A0CDF" w:rsidRPr="00E76A09">
        <w:rPr>
          <w:bCs/>
          <w:sz w:val="22"/>
          <w:szCs w:val="22"/>
        </w:rPr>
        <w:t xml:space="preserve">multilateral organisations </w:t>
      </w:r>
      <w:proofErr w:type="gramStart"/>
      <w:r w:rsidR="007A44A2" w:rsidRPr="00E76A09">
        <w:rPr>
          <w:bCs/>
          <w:sz w:val="22"/>
          <w:szCs w:val="22"/>
        </w:rPr>
        <w:t>were</w:t>
      </w:r>
      <w:proofErr w:type="gramEnd"/>
      <w:r w:rsidR="007A44A2" w:rsidRPr="00E76A09">
        <w:rPr>
          <w:bCs/>
          <w:sz w:val="22"/>
          <w:szCs w:val="22"/>
        </w:rPr>
        <w:t xml:space="preserve"> then invited to provide a short proposal to meet the objectives of the programme</w:t>
      </w:r>
      <w:r w:rsidR="00CE2EA7" w:rsidRPr="00E76A09">
        <w:rPr>
          <w:bCs/>
          <w:sz w:val="22"/>
          <w:szCs w:val="22"/>
        </w:rPr>
        <w:t xml:space="preserve">. Following an assessment of the proposals received, </w:t>
      </w:r>
      <w:r w:rsidR="00EE229B" w:rsidRPr="00E76A09">
        <w:rPr>
          <w:bCs/>
          <w:sz w:val="22"/>
          <w:szCs w:val="22"/>
        </w:rPr>
        <w:t>the approach chose</w:t>
      </w:r>
      <w:r w:rsidR="00653CAF">
        <w:rPr>
          <w:bCs/>
          <w:sz w:val="22"/>
          <w:szCs w:val="22"/>
        </w:rPr>
        <w:t>n</w:t>
      </w:r>
      <w:r w:rsidR="00EE229B" w:rsidRPr="00E76A09">
        <w:rPr>
          <w:bCs/>
          <w:sz w:val="22"/>
          <w:szCs w:val="22"/>
        </w:rPr>
        <w:t xml:space="preserve"> was delivery by FAO in collaboration with UN-REDD and GFOI</w:t>
      </w:r>
      <w:r w:rsidR="00C35334" w:rsidRPr="00E76A09">
        <w:rPr>
          <w:bCs/>
          <w:sz w:val="22"/>
          <w:szCs w:val="22"/>
        </w:rPr>
        <w:t>.</w:t>
      </w:r>
      <w:r w:rsidR="006809E5" w:rsidRPr="00E76A09">
        <w:rPr>
          <w:bCs/>
          <w:sz w:val="22"/>
          <w:szCs w:val="22"/>
        </w:rPr>
        <w:t xml:space="preserve"> </w:t>
      </w:r>
      <w:r w:rsidR="00F16BB7" w:rsidRPr="00E76A09">
        <w:rPr>
          <w:bCs/>
          <w:sz w:val="22"/>
          <w:szCs w:val="22"/>
        </w:rPr>
        <w:t>Following the announcement on the AIM4Forests programme, concern</w:t>
      </w:r>
      <w:r w:rsidR="00894A11" w:rsidRPr="00E76A09">
        <w:rPr>
          <w:bCs/>
          <w:sz w:val="22"/>
          <w:szCs w:val="22"/>
        </w:rPr>
        <w:t xml:space="preserve">s were raised by some private sector organisations who </w:t>
      </w:r>
      <w:r w:rsidR="00B92BAF" w:rsidRPr="00E76A09">
        <w:rPr>
          <w:bCs/>
          <w:sz w:val="22"/>
          <w:szCs w:val="22"/>
        </w:rPr>
        <w:t xml:space="preserve">were not approached through the RFI process. </w:t>
      </w:r>
      <w:r w:rsidR="00AC5C3F" w:rsidRPr="00E76A09">
        <w:rPr>
          <w:bCs/>
          <w:sz w:val="22"/>
          <w:szCs w:val="22"/>
        </w:rPr>
        <w:t>However,</w:t>
      </w:r>
      <w:r w:rsidR="00B92BAF" w:rsidRPr="00E76A09">
        <w:rPr>
          <w:bCs/>
          <w:sz w:val="22"/>
          <w:szCs w:val="22"/>
        </w:rPr>
        <w:t xml:space="preserve"> during </w:t>
      </w:r>
      <w:r w:rsidR="00BD6516" w:rsidRPr="00E76A09">
        <w:rPr>
          <w:bCs/>
          <w:sz w:val="22"/>
          <w:szCs w:val="22"/>
        </w:rPr>
        <w:t xml:space="preserve">discussions </w:t>
      </w:r>
      <w:r w:rsidR="00B92BAF" w:rsidRPr="00E76A09">
        <w:rPr>
          <w:bCs/>
          <w:sz w:val="22"/>
          <w:szCs w:val="22"/>
        </w:rPr>
        <w:t>consensus was reached that given</w:t>
      </w:r>
      <w:r w:rsidR="00F16BB7" w:rsidRPr="00E76A09">
        <w:rPr>
          <w:bCs/>
          <w:sz w:val="22"/>
          <w:szCs w:val="22"/>
        </w:rPr>
        <w:t xml:space="preserve"> the level of ambition and global nature of the programme, FAO was one of the only entities able to deliver such a programme at scale.</w:t>
      </w:r>
      <w:r w:rsidRPr="00E76A09">
        <w:rPr>
          <w:bCs/>
          <w:sz w:val="22"/>
          <w:szCs w:val="22"/>
        </w:rPr>
        <w:t xml:space="preserve"> It is unlikely that another competitive </w:t>
      </w:r>
      <w:r w:rsidR="003C24B2" w:rsidRPr="00E76A09">
        <w:rPr>
          <w:bCs/>
          <w:sz w:val="22"/>
          <w:szCs w:val="22"/>
        </w:rPr>
        <w:t>process</w:t>
      </w:r>
      <w:r w:rsidRPr="00E76A09">
        <w:rPr>
          <w:bCs/>
          <w:sz w:val="22"/>
          <w:szCs w:val="22"/>
        </w:rPr>
        <w:t xml:space="preserve"> would give a different result for very similar objectives. A Value for Money assessment on FAO as the delivery partner has been undertaken in the Appraisal Case</w:t>
      </w:r>
      <w:r w:rsidR="003C24B2" w:rsidRPr="00E76A09">
        <w:rPr>
          <w:bCs/>
          <w:sz w:val="22"/>
          <w:szCs w:val="22"/>
        </w:rPr>
        <w:t xml:space="preserve"> above.</w:t>
      </w:r>
    </w:p>
    <w:p w14:paraId="151F6D90" w14:textId="77777777" w:rsidR="00C668B3" w:rsidRPr="00E76A09" w:rsidRDefault="00C668B3" w:rsidP="004258E7">
      <w:pPr>
        <w:spacing w:before="0" w:after="0" w:line="240" w:lineRule="auto"/>
        <w:jc w:val="both"/>
        <w:rPr>
          <w:bCs/>
          <w:sz w:val="22"/>
          <w:szCs w:val="22"/>
        </w:rPr>
      </w:pPr>
    </w:p>
    <w:p w14:paraId="674CC9CE" w14:textId="710A874E" w:rsidR="00C668B3" w:rsidRPr="00E76A09" w:rsidRDefault="00936BFB" w:rsidP="004258E7">
      <w:pPr>
        <w:spacing w:before="0" w:after="0" w:line="240" w:lineRule="auto"/>
        <w:jc w:val="both"/>
        <w:rPr>
          <w:b/>
          <w:sz w:val="22"/>
          <w:szCs w:val="22"/>
        </w:rPr>
      </w:pPr>
      <w:r w:rsidRPr="00E76A09">
        <w:rPr>
          <w:b/>
          <w:sz w:val="22"/>
          <w:szCs w:val="22"/>
        </w:rPr>
        <w:t xml:space="preserve">3.1.1 </w:t>
      </w:r>
      <w:r w:rsidR="00C668B3" w:rsidRPr="00E76A09">
        <w:rPr>
          <w:b/>
          <w:sz w:val="22"/>
          <w:szCs w:val="22"/>
        </w:rPr>
        <w:t xml:space="preserve">Existing arrangements </w:t>
      </w:r>
    </w:p>
    <w:p w14:paraId="324B62AA" w14:textId="77777777" w:rsidR="008B2FE5" w:rsidRPr="00E76A09" w:rsidRDefault="008B2FE5" w:rsidP="004258E7">
      <w:pPr>
        <w:spacing w:before="0" w:after="0" w:line="240" w:lineRule="auto"/>
        <w:jc w:val="both"/>
        <w:rPr>
          <w:bCs/>
          <w:sz w:val="22"/>
          <w:szCs w:val="22"/>
        </w:rPr>
      </w:pPr>
      <w:r w:rsidRPr="00E76A09">
        <w:rPr>
          <w:bCs/>
          <w:sz w:val="22"/>
          <w:szCs w:val="22"/>
        </w:rPr>
        <w:t xml:space="preserve">UK funding to the programme will be provided under amendments to the existing legally binding Standard Administrative Arrangement between DESNZ and the Multi-Partner Trust Fund (MPTF) which is hosted by the UNDP. UN-REDD does not have a legal personality of its own and so cannot be a </w:t>
      </w:r>
      <w:proofErr w:type="gramStart"/>
      <w:r w:rsidRPr="00E76A09">
        <w:rPr>
          <w:bCs/>
          <w:sz w:val="22"/>
          <w:szCs w:val="22"/>
        </w:rPr>
        <w:t>counter-party</w:t>
      </w:r>
      <w:proofErr w:type="gramEnd"/>
      <w:r w:rsidRPr="00E76A09">
        <w:rPr>
          <w:bCs/>
          <w:sz w:val="22"/>
          <w:szCs w:val="22"/>
        </w:rPr>
        <w:t xml:space="preserve"> to an Administrative Arrangement. UN-REDD is funded by MPTF, therefore the AIM4Forests Standard Administrative Arrangement (SAA) is between DESNZ and UNDP. UNDP, via the Fund, takes responsibility for distributing the funds to FAO, who hold them in a distinct account, acting as the principal delivery partner. The revised version will incorporate the additional funding and extension of the contribution period in the agreement and will be completed in Q4 2025, following business case sign-off. </w:t>
      </w:r>
    </w:p>
    <w:p w14:paraId="1114EA3A" w14:textId="77777777" w:rsidR="008B2FE5" w:rsidRPr="00E76A09" w:rsidRDefault="008B2FE5" w:rsidP="004258E7">
      <w:pPr>
        <w:spacing w:before="0" w:after="0" w:line="240" w:lineRule="auto"/>
        <w:jc w:val="both"/>
        <w:rPr>
          <w:bCs/>
          <w:sz w:val="22"/>
          <w:szCs w:val="22"/>
        </w:rPr>
      </w:pPr>
      <w:r w:rsidRPr="00E76A09">
        <w:rPr>
          <w:bCs/>
          <w:sz w:val="22"/>
          <w:szCs w:val="22"/>
        </w:rPr>
        <w:t> </w:t>
      </w:r>
    </w:p>
    <w:p w14:paraId="6A6A7E12" w14:textId="77777777" w:rsidR="008B2FE5" w:rsidRPr="00E76A09" w:rsidRDefault="008B2FE5" w:rsidP="004258E7">
      <w:pPr>
        <w:spacing w:before="0" w:after="0" w:line="240" w:lineRule="auto"/>
        <w:jc w:val="both"/>
        <w:rPr>
          <w:bCs/>
          <w:sz w:val="22"/>
          <w:szCs w:val="22"/>
        </w:rPr>
      </w:pPr>
      <w:r w:rsidRPr="00E76A09">
        <w:rPr>
          <w:bCs/>
          <w:sz w:val="22"/>
          <w:szCs w:val="22"/>
        </w:rPr>
        <w:lastRenderedPageBreak/>
        <w:t>The Standard Administrative Agreement also sets out an administrative fee of one percent (1%) of the contribution to cover the costs of UNDP in performing its functions as the Administrative Agent.  </w:t>
      </w:r>
    </w:p>
    <w:p w14:paraId="127371ED" w14:textId="77777777" w:rsidR="008B2FE5" w:rsidRPr="00E76A09" w:rsidRDefault="008B2FE5" w:rsidP="004258E7">
      <w:pPr>
        <w:spacing w:before="0" w:after="0" w:line="240" w:lineRule="auto"/>
        <w:jc w:val="both"/>
        <w:rPr>
          <w:bCs/>
          <w:sz w:val="22"/>
          <w:szCs w:val="22"/>
        </w:rPr>
      </w:pPr>
      <w:r w:rsidRPr="00E76A09">
        <w:rPr>
          <w:bCs/>
          <w:sz w:val="22"/>
          <w:szCs w:val="22"/>
        </w:rPr>
        <w:t> </w:t>
      </w:r>
    </w:p>
    <w:p w14:paraId="71E64E76" w14:textId="77777777" w:rsidR="008B2FE5" w:rsidRPr="00E76A09" w:rsidRDefault="008B2FE5" w:rsidP="004258E7">
      <w:pPr>
        <w:spacing w:before="0" w:after="0" w:line="240" w:lineRule="auto"/>
        <w:jc w:val="both"/>
        <w:rPr>
          <w:bCs/>
          <w:sz w:val="22"/>
          <w:szCs w:val="22"/>
        </w:rPr>
      </w:pPr>
      <w:r w:rsidRPr="00E76A09">
        <w:rPr>
          <w:bCs/>
          <w:sz w:val="22"/>
          <w:szCs w:val="22"/>
        </w:rPr>
        <w:t xml:space="preserve">A Steering Committee has been established that includes representatives from both FAO and DESNZ. The Steering Committee meets twice a year to agree annual workplans and budgets and to discuss progress.   FAO are required to provide </w:t>
      </w:r>
      <w:proofErr w:type="gramStart"/>
      <w:r w:rsidRPr="00E76A09">
        <w:rPr>
          <w:bCs/>
          <w:sz w:val="22"/>
          <w:szCs w:val="22"/>
        </w:rPr>
        <w:t>a number of</w:t>
      </w:r>
      <w:proofErr w:type="gramEnd"/>
      <w:r w:rsidRPr="00E76A09">
        <w:rPr>
          <w:bCs/>
          <w:sz w:val="22"/>
          <w:szCs w:val="22"/>
        </w:rPr>
        <w:t xml:space="preserve"> information and reporting productions to DESNZ including, annual consolidated narrative progress reports, and annual consolidated financial reports. The programme is scored on an annual basis in line with HMG ODA requirements. The Annual Review is part of a continuous process of review and improvement and a formal control point in DESNZ programme cycle. The programme has scored an A+ in each of its two previous Annual Reviews.  </w:t>
      </w:r>
    </w:p>
    <w:p w14:paraId="2B5CFC01" w14:textId="77777777" w:rsidR="008B2FE5" w:rsidRPr="00E76A09" w:rsidRDefault="008B2FE5" w:rsidP="004258E7">
      <w:pPr>
        <w:spacing w:before="0" w:after="0" w:line="240" w:lineRule="auto"/>
        <w:jc w:val="both"/>
        <w:rPr>
          <w:bCs/>
          <w:sz w:val="22"/>
          <w:szCs w:val="22"/>
        </w:rPr>
      </w:pPr>
      <w:r w:rsidRPr="00E76A09">
        <w:rPr>
          <w:bCs/>
          <w:sz w:val="22"/>
          <w:szCs w:val="22"/>
        </w:rPr>
        <w:t> </w:t>
      </w:r>
    </w:p>
    <w:p w14:paraId="293C8503" w14:textId="26F1CA1B" w:rsidR="008B2FE5" w:rsidRPr="00E76A09" w:rsidRDefault="335B0F56" w:rsidP="004258E7">
      <w:pPr>
        <w:spacing w:before="0" w:after="0" w:line="240" w:lineRule="auto"/>
        <w:jc w:val="both"/>
        <w:rPr>
          <w:bCs/>
          <w:sz w:val="22"/>
          <w:szCs w:val="22"/>
        </w:rPr>
      </w:pPr>
      <w:r w:rsidRPr="00E76A09">
        <w:rPr>
          <w:sz w:val="22"/>
          <w:szCs w:val="22"/>
        </w:rPr>
        <w:t>A mid-term review of the programme took place in early 2025. The end of Programme Evaluation will be conducted by the FAO’s independent Office of Evaluation (OED), which reports to the FAO Governing Bodies and FAO Director-General, in line with the recommendations and guidance laid out in the IEG-OECD DAC report.</w:t>
      </w:r>
      <w:r w:rsidR="008B2FE5" w:rsidRPr="00E76A09">
        <w:rPr>
          <w:rStyle w:val="FootnoteReference"/>
          <w:sz w:val="22"/>
          <w:szCs w:val="22"/>
        </w:rPr>
        <w:footnoteReference w:id="31"/>
      </w:r>
      <w:r w:rsidR="296C56DE" w:rsidRPr="00E76A09">
        <w:rPr>
          <w:rFonts w:ascii="Aptos" w:hAnsi="Aptos"/>
          <w:color w:val="000000"/>
          <w:sz w:val="22"/>
          <w:szCs w:val="22"/>
          <w:bdr w:val="none" w:sz="0" w:space="0" w:color="auto" w:frame="1"/>
        </w:rPr>
        <w:t xml:space="preserve"> </w:t>
      </w:r>
      <w:r w:rsidR="296C56DE" w:rsidRPr="00E76A09">
        <w:rPr>
          <w:sz w:val="22"/>
          <w:szCs w:val="22"/>
        </w:rPr>
        <w:t>If there is agreement to extending the term of the programme, we propose another mid-term review in 2027.</w:t>
      </w:r>
    </w:p>
    <w:p w14:paraId="5A24782F" w14:textId="77777777" w:rsidR="001210B5" w:rsidRPr="00E76A09" w:rsidRDefault="001210B5" w:rsidP="004258E7">
      <w:pPr>
        <w:spacing w:before="0" w:after="0" w:line="240" w:lineRule="auto"/>
        <w:jc w:val="both"/>
        <w:rPr>
          <w:bCs/>
          <w:sz w:val="22"/>
          <w:szCs w:val="22"/>
        </w:rPr>
      </w:pPr>
    </w:p>
    <w:p w14:paraId="20DDAA49" w14:textId="031C6C40" w:rsidR="001210B5" w:rsidRPr="00E76A09" w:rsidRDefault="00936BFB" w:rsidP="004258E7">
      <w:pPr>
        <w:spacing w:before="0" w:after="0" w:line="240" w:lineRule="auto"/>
        <w:jc w:val="both"/>
        <w:rPr>
          <w:b/>
          <w:sz w:val="22"/>
          <w:szCs w:val="22"/>
        </w:rPr>
      </w:pPr>
      <w:r w:rsidRPr="00E76A09">
        <w:rPr>
          <w:b/>
          <w:sz w:val="22"/>
          <w:szCs w:val="22"/>
        </w:rPr>
        <w:t xml:space="preserve">3.1.2 </w:t>
      </w:r>
      <w:r w:rsidR="001210B5" w:rsidRPr="00E76A09">
        <w:rPr>
          <w:b/>
          <w:sz w:val="22"/>
          <w:szCs w:val="22"/>
        </w:rPr>
        <w:t>Potential for risk transfer</w:t>
      </w:r>
    </w:p>
    <w:p w14:paraId="5138CB79" w14:textId="114A180C" w:rsidR="00E62CAB" w:rsidRPr="00E76A09" w:rsidRDefault="00E62CAB" w:rsidP="004258E7">
      <w:pPr>
        <w:spacing w:before="0" w:after="0" w:line="240" w:lineRule="auto"/>
        <w:jc w:val="both"/>
        <w:rPr>
          <w:bCs/>
          <w:sz w:val="22"/>
          <w:szCs w:val="22"/>
        </w:rPr>
      </w:pPr>
      <w:r w:rsidRPr="00E76A09">
        <w:rPr>
          <w:bCs/>
          <w:sz w:val="22"/>
          <w:szCs w:val="22"/>
        </w:rPr>
        <w:t>Commercial risk from delivery of projects is transferred from DESNZ to FAO. FAO, as the implementor of the programme activities, hold the responsibility for ensuring the deliverability of these projects. DESNZ will track delivery against the agreed logframe</w:t>
      </w:r>
      <w:r w:rsidR="008A2029" w:rsidRPr="00E76A09">
        <w:rPr>
          <w:bCs/>
          <w:sz w:val="22"/>
          <w:szCs w:val="22"/>
        </w:rPr>
        <w:t xml:space="preserve"> and through management responsibilities outlined in the Management Case below</w:t>
      </w:r>
      <w:r w:rsidRPr="00E76A09">
        <w:rPr>
          <w:bCs/>
          <w:sz w:val="22"/>
          <w:szCs w:val="22"/>
        </w:rPr>
        <w:t>.  </w:t>
      </w:r>
    </w:p>
    <w:p w14:paraId="0AE2CDE8" w14:textId="77777777" w:rsidR="00E62CAB" w:rsidRPr="00E76A09" w:rsidRDefault="00E62CAB" w:rsidP="004258E7">
      <w:pPr>
        <w:spacing w:before="0" w:after="0" w:line="240" w:lineRule="auto"/>
        <w:jc w:val="both"/>
        <w:rPr>
          <w:bCs/>
          <w:sz w:val="22"/>
          <w:szCs w:val="22"/>
        </w:rPr>
      </w:pPr>
      <w:r w:rsidRPr="00E76A09">
        <w:rPr>
          <w:bCs/>
          <w:sz w:val="22"/>
          <w:szCs w:val="22"/>
        </w:rPr>
        <w:t> </w:t>
      </w:r>
    </w:p>
    <w:p w14:paraId="385F365C" w14:textId="64179761" w:rsidR="001210B5" w:rsidRPr="00E76A09" w:rsidRDefault="00936BFB" w:rsidP="004258E7">
      <w:pPr>
        <w:spacing w:before="0" w:after="0" w:line="240" w:lineRule="auto"/>
        <w:jc w:val="both"/>
        <w:rPr>
          <w:b/>
          <w:sz w:val="22"/>
          <w:szCs w:val="22"/>
        </w:rPr>
      </w:pPr>
      <w:r w:rsidRPr="00E76A09">
        <w:rPr>
          <w:b/>
          <w:sz w:val="22"/>
          <w:szCs w:val="22"/>
        </w:rPr>
        <w:t xml:space="preserve">3.1.3 </w:t>
      </w:r>
      <w:r w:rsidR="00E62CAB" w:rsidRPr="00E76A09">
        <w:rPr>
          <w:b/>
          <w:sz w:val="22"/>
          <w:szCs w:val="22"/>
        </w:rPr>
        <w:t xml:space="preserve">Exit management </w:t>
      </w:r>
    </w:p>
    <w:p w14:paraId="083ACFA7" w14:textId="53125CE1" w:rsidR="00E62CAB" w:rsidRPr="00E76A09" w:rsidRDefault="00E62CAB" w:rsidP="004258E7">
      <w:pPr>
        <w:spacing w:before="0" w:after="0" w:line="240" w:lineRule="auto"/>
        <w:jc w:val="both"/>
        <w:rPr>
          <w:bCs/>
          <w:sz w:val="22"/>
          <w:szCs w:val="22"/>
        </w:rPr>
      </w:pPr>
      <w:r w:rsidRPr="00E76A09">
        <w:rPr>
          <w:bCs/>
          <w:sz w:val="22"/>
          <w:szCs w:val="22"/>
        </w:rPr>
        <w:t>The Side Letter to the Standard Administrative Agreement sets out that DESNZ may only terminate the agreement by giving 30 days</w:t>
      </w:r>
      <w:r w:rsidR="008A2029" w:rsidRPr="00E76A09">
        <w:rPr>
          <w:bCs/>
          <w:sz w:val="22"/>
          <w:szCs w:val="22"/>
        </w:rPr>
        <w:t xml:space="preserve"> </w:t>
      </w:r>
      <w:r w:rsidRPr="00E76A09">
        <w:rPr>
          <w:bCs/>
          <w:sz w:val="22"/>
          <w:szCs w:val="22"/>
        </w:rPr>
        <w:t>' notice upon the occurrence of an “extraordinary event”, which are defined in the Side Letter. </w:t>
      </w:r>
      <w:r w:rsidR="008A2029" w:rsidRPr="00E76A09">
        <w:rPr>
          <w:bCs/>
          <w:sz w:val="22"/>
          <w:szCs w:val="22"/>
        </w:rPr>
        <w:t xml:space="preserve">This will </w:t>
      </w:r>
      <w:r w:rsidR="0068058A" w:rsidRPr="00E76A09">
        <w:rPr>
          <w:bCs/>
          <w:sz w:val="22"/>
          <w:szCs w:val="22"/>
        </w:rPr>
        <w:t xml:space="preserve">need to also be applicable to the extension, through amendment. </w:t>
      </w:r>
    </w:p>
    <w:p w14:paraId="5DB0FAB0" w14:textId="77777777" w:rsidR="00E62CAB" w:rsidRPr="00E76A09" w:rsidRDefault="00E62CAB" w:rsidP="008B2FE5">
      <w:pPr>
        <w:spacing w:before="0" w:after="0" w:line="240" w:lineRule="auto"/>
        <w:ind w:left="360"/>
        <w:jc w:val="both"/>
        <w:rPr>
          <w:bCs/>
          <w:sz w:val="22"/>
          <w:szCs w:val="22"/>
        </w:rPr>
      </w:pPr>
    </w:p>
    <w:p w14:paraId="3497353C" w14:textId="68CB66A3" w:rsidR="00E80AD5" w:rsidRPr="00E76A09" w:rsidRDefault="007D2CBB" w:rsidP="00E80AD5">
      <w:pPr>
        <w:spacing w:before="0" w:after="0" w:line="240" w:lineRule="auto"/>
        <w:jc w:val="both"/>
        <w:rPr>
          <w:b/>
          <w:sz w:val="24"/>
          <w:szCs w:val="24"/>
        </w:rPr>
      </w:pPr>
      <w:r w:rsidRPr="00E76A09">
        <w:rPr>
          <w:b/>
          <w:i/>
          <w:iCs/>
          <w:sz w:val="24"/>
          <w:szCs w:val="24"/>
        </w:rPr>
        <w:t xml:space="preserve">3.2 </w:t>
      </w:r>
      <w:r w:rsidR="00E62CAB" w:rsidRPr="00E76A09">
        <w:rPr>
          <w:b/>
          <w:i/>
          <w:iCs/>
          <w:sz w:val="24"/>
          <w:szCs w:val="24"/>
        </w:rPr>
        <w:t>Commercial risks</w:t>
      </w:r>
      <w:r w:rsidR="00E62CAB" w:rsidRPr="00E76A09">
        <w:rPr>
          <w:b/>
          <w:sz w:val="24"/>
          <w:szCs w:val="24"/>
        </w:rPr>
        <w:t xml:space="preserve"> </w:t>
      </w:r>
    </w:p>
    <w:p w14:paraId="254F3D1D" w14:textId="4696972B" w:rsidR="003C491A" w:rsidRPr="00E76A09" w:rsidRDefault="00E80AD5" w:rsidP="004258E7">
      <w:pPr>
        <w:pStyle w:val="Style2"/>
        <w:ind w:left="0"/>
      </w:pPr>
      <w:r w:rsidRPr="00E76A09">
        <w:t xml:space="preserve">The table at Figure </w:t>
      </w:r>
      <w:r w:rsidR="00C643E9" w:rsidRPr="00E76A09">
        <w:t xml:space="preserve">4 summarises commercial risks to this programme and mitigation measures in place. </w:t>
      </w:r>
    </w:p>
    <w:p w14:paraId="44698756" w14:textId="77777777" w:rsidR="008A2029" w:rsidRPr="00E76A09" w:rsidRDefault="008A2029" w:rsidP="003C491A">
      <w:pPr>
        <w:pStyle w:val="Style2"/>
      </w:pPr>
    </w:p>
    <w:p w14:paraId="5535DE73" w14:textId="5E054988" w:rsidR="00C643E9" w:rsidRPr="00E76A09" w:rsidRDefault="003C491A" w:rsidP="00BB3550">
      <w:pPr>
        <w:pStyle w:val="Style2"/>
        <w:ind w:left="0"/>
        <w:rPr>
          <w:i/>
          <w:iCs/>
        </w:rPr>
      </w:pPr>
      <w:r w:rsidRPr="00E76A09">
        <w:rPr>
          <w:i/>
          <w:iCs/>
        </w:rPr>
        <w:t xml:space="preserve">Figure 4: Table of commercial risks and mitigation measures </w:t>
      </w:r>
    </w:p>
    <w:tbl>
      <w:tblPr>
        <w:tblW w:w="1006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8"/>
        <w:gridCol w:w="7177"/>
      </w:tblGrid>
      <w:tr w:rsidR="00C643E9" w:rsidRPr="00E76A09" w14:paraId="5E69A317" w14:textId="77777777" w:rsidTr="00BB3550">
        <w:trPr>
          <w:trHeight w:val="300"/>
        </w:trPr>
        <w:tc>
          <w:tcPr>
            <w:tcW w:w="2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hideMark/>
          </w:tcPr>
          <w:p w14:paraId="7C6B9C9B" w14:textId="2CDCC76E" w:rsidR="00C643E9" w:rsidRPr="00E76A09" w:rsidRDefault="003C491A"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Commercial</w:t>
            </w:r>
            <w:r w:rsidR="00C643E9" w:rsidRPr="00E76A09">
              <w:rPr>
                <w:rFonts w:ascii="Calibri" w:eastAsia="Times New Roman" w:hAnsi="Calibri" w:cs="Calibri"/>
                <w:b/>
                <w:bCs/>
                <w:sz w:val="22"/>
                <w:szCs w:val="22"/>
              </w:rPr>
              <w:t xml:space="preserve"> risk </w:t>
            </w:r>
            <w:r w:rsidR="00C643E9" w:rsidRPr="00E76A09">
              <w:rPr>
                <w:rFonts w:ascii="Calibri" w:eastAsia="Times New Roman" w:hAnsi="Calibri" w:cs="Calibri"/>
                <w:sz w:val="22"/>
                <w:szCs w:val="22"/>
              </w:rPr>
              <w:t> </w:t>
            </w:r>
          </w:p>
        </w:tc>
        <w:tc>
          <w:tcPr>
            <w:tcW w:w="71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hideMark/>
          </w:tcPr>
          <w:p w14:paraId="4763E589"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Mitigation measure </w:t>
            </w:r>
            <w:r w:rsidRPr="00E76A09">
              <w:rPr>
                <w:rFonts w:ascii="Calibri" w:eastAsia="Times New Roman" w:hAnsi="Calibri" w:cs="Calibri"/>
                <w:sz w:val="22"/>
                <w:szCs w:val="22"/>
              </w:rPr>
              <w:t> </w:t>
            </w:r>
          </w:p>
        </w:tc>
      </w:tr>
      <w:tr w:rsidR="00C643E9" w:rsidRPr="00E76A09" w14:paraId="223AD93D" w14:textId="77777777" w:rsidTr="00BB3550">
        <w:trPr>
          <w:trHeight w:val="300"/>
        </w:trPr>
        <w:tc>
          <w:tcPr>
            <w:tcW w:w="288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5A29FE5"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Non-commercial approach to procurement creates risk of challenge to DESNZ.  </w:t>
            </w:r>
          </w:p>
        </w:tc>
        <w:tc>
          <w:tcPr>
            <w:tcW w:w="71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DCD54F"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International Forests Unit to continue to work closely with DESNZ Commercial and Legal teams to ensure that we have sufficiently evidenced the strong justification for extending the existing arrangement with FAO, such that the risk of legal challenge over the procurement approach to this programme is minimised.  </w:t>
            </w:r>
          </w:p>
          <w:p w14:paraId="24EFE542"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Primary commercial risk allocation partner: DESNZ</w:t>
            </w:r>
            <w:r w:rsidRPr="00E76A09">
              <w:rPr>
                <w:rFonts w:ascii="Calibri" w:eastAsia="Times New Roman" w:hAnsi="Calibri" w:cs="Calibri"/>
                <w:sz w:val="22"/>
                <w:szCs w:val="22"/>
              </w:rPr>
              <w:t>   </w:t>
            </w:r>
          </w:p>
        </w:tc>
      </w:tr>
      <w:tr w:rsidR="00C643E9" w:rsidRPr="00E76A09" w14:paraId="454F4383" w14:textId="77777777" w:rsidTr="00BB3550">
        <w:trPr>
          <w:trHeight w:val="300"/>
        </w:trPr>
        <w:tc>
          <w:tcPr>
            <w:tcW w:w="288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ACBED8"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FAO is unable to deliver an extension of the programme  </w:t>
            </w:r>
          </w:p>
        </w:tc>
        <w:tc>
          <w:tcPr>
            <w:tcW w:w="71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223B75"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Key reviews during the duration of AIM4Forests, including the annual reviews and mid-term review have not revealed any issues with FAO’s ability to deliver the programme. Rather they have revealed that AIM4Forests is a high-performing programme that is being delivered well.  </w:t>
            </w:r>
          </w:p>
          <w:p w14:paraId="784FF348"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Termination clauses are included in the Standard Administrative Agreement (and Side Letter) in the case of persistent failure to deliver.  </w:t>
            </w:r>
          </w:p>
          <w:p w14:paraId="2E35140F"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Primary commercial risk allocation partner: DESNZ </w:t>
            </w:r>
            <w:r w:rsidRPr="00E76A09">
              <w:rPr>
                <w:rFonts w:ascii="Calibri" w:eastAsia="Times New Roman" w:hAnsi="Calibri" w:cs="Calibri"/>
                <w:sz w:val="22"/>
                <w:szCs w:val="22"/>
              </w:rPr>
              <w:t> </w:t>
            </w:r>
          </w:p>
        </w:tc>
      </w:tr>
      <w:tr w:rsidR="00C643E9" w:rsidRPr="00E76A09" w14:paraId="7AC6D72D" w14:textId="77777777" w:rsidTr="00BB3550">
        <w:trPr>
          <w:trHeight w:val="300"/>
        </w:trPr>
        <w:tc>
          <w:tcPr>
            <w:tcW w:w="288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CDDDE0C"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Amendments to the existing Agreement with Delivery Partner is not robust when compared to HMG principles  </w:t>
            </w:r>
          </w:p>
        </w:tc>
        <w:tc>
          <w:tcPr>
            <w:tcW w:w="71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69C2397" w14:textId="7C5803B1"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 xml:space="preserve">DESNZ will ensure that any amendments to the existing Standard Administrative Agreement (and any associated documents) signed with UNDP MPTF are in line with HMG principles. Legal, Finance, and </w:t>
            </w:r>
            <w:r w:rsidR="00DC6520" w:rsidRPr="00E76A09">
              <w:rPr>
                <w:rFonts w:ascii="Calibri" w:eastAsia="Times New Roman" w:hAnsi="Calibri" w:cs="Calibri"/>
                <w:sz w:val="22"/>
                <w:szCs w:val="22"/>
              </w:rPr>
              <w:t>Commercial</w:t>
            </w:r>
            <w:r w:rsidRPr="00E76A09">
              <w:rPr>
                <w:rFonts w:ascii="Calibri" w:eastAsia="Times New Roman" w:hAnsi="Calibri" w:cs="Calibri"/>
                <w:sz w:val="22"/>
                <w:szCs w:val="22"/>
              </w:rPr>
              <w:t xml:space="preserve"> colleagues will review and assist in negotiating terms on behalf of DESNZ. “Red </w:t>
            </w:r>
            <w:r w:rsidRPr="00E76A09">
              <w:rPr>
                <w:rFonts w:ascii="Calibri" w:eastAsia="Times New Roman" w:hAnsi="Calibri" w:cs="Calibri"/>
                <w:sz w:val="22"/>
                <w:szCs w:val="22"/>
              </w:rPr>
              <w:lastRenderedPageBreak/>
              <w:t xml:space="preserve">lines” will be identified including but not limited to fraud, corruption and reporting and where these are not met then an agreement will not be </w:t>
            </w:r>
            <w:proofErr w:type="gramStart"/>
            <w:r w:rsidRPr="00E76A09">
              <w:rPr>
                <w:rFonts w:ascii="Calibri" w:eastAsia="Times New Roman" w:hAnsi="Calibri" w:cs="Calibri"/>
                <w:sz w:val="22"/>
                <w:szCs w:val="22"/>
              </w:rPr>
              <w:t>entered into</w:t>
            </w:r>
            <w:proofErr w:type="gramEnd"/>
            <w:r w:rsidRPr="00E76A09">
              <w:rPr>
                <w:rFonts w:ascii="Calibri" w:eastAsia="Times New Roman" w:hAnsi="Calibri" w:cs="Calibri"/>
                <w:sz w:val="22"/>
                <w:szCs w:val="22"/>
              </w:rPr>
              <w:t>.  </w:t>
            </w:r>
          </w:p>
          <w:p w14:paraId="1F0E184C"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Primary commercial risk allocation partner: DESNZ</w:t>
            </w:r>
            <w:r w:rsidRPr="00E76A09">
              <w:rPr>
                <w:rFonts w:ascii="Calibri" w:eastAsia="Times New Roman" w:hAnsi="Calibri" w:cs="Calibri"/>
                <w:sz w:val="22"/>
                <w:szCs w:val="22"/>
              </w:rPr>
              <w:t>   </w:t>
            </w:r>
          </w:p>
        </w:tc>
      </w:tr>
      <w:tr w:rsidR="00C643E9" w:rsidRPr="00E76A09" w14:paraId="001CE972" w14:textId="77777777" w:rsidTr="00BB3550">
        <w:trPr>
          <w:trHeight w:val="300"/>
        </w:trPr>
        <w:tc>
          <w:tcPr>
            <w:tcW w:w="288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939C2B3"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lastRenderedPageBreak/>
              <w:t>Fraud and / or corruption affects Delivery Partner, reducing ability of programme to deliver outputs effectively and causing reputational damage to programme and wider HMG.    </w:t>
            </w:r>
          </w:p>
        </w:tc>
        <w:tc>
          <w:tcPr>
            <w:tcW w:w="71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EF0F7C"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 xml:space="preserve">Rigorous financial management procedures will reduce the risk of fraud, waste and abuse of finance. The programme is financially audited by the independent FAO office of the Inspector General. Financial reports are project-certified and issued by the FAO finance unit, rather than the programme team to ensure a third-party review of project financial data. There will be on going </w:t>
            </w:r>
            <w:proofErr w:type="spellStart"/>
            <w:r w:rsidRPr="00E76A09">
              <w:rPr>
                <w:rFonts w:ascii="Calibri" w:eastAsia="Times New Roman" w:hAnsi="Calibri" w:cs="Calibri"/>
                <w:sz w:val="22"/>
                <w:szCs w:val="22"/>
              </w:rPr>
              <w:t>VfM</w:t>
            </w:r>
            <w:proofErr w:type="spellEnd"/>
            <w:r w:rsidRPr="00E76A09">
              <w:rPr>
                <w:rFonts w:ascii="Calibri" w:eastAsia="Times New Roman" w:hAnsi="Calibri" w:cs="Calibri"/>
                <w:sz w:val="22"/>
                <w:szCs w:val="22"/>
              </w:rPr>
              <w:t xml:space="preserve"> assessments through DESNZ Annual Review process.  </w:t>
            </w:r>
          </w:p>
          <w:p w14:paraId="29320CAC"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Primary commercial risk allocation partner:  DESNZ</w:t>
            </w:r>
            <w:r w:rsidRPr="00E76A09">
              <w:rPr>
                <w:rFonts w:ascii="Calibri" w:eastAsia="Times New Roman" w:hAnsi="Calibri" w:cs="Calibri"/>
                <w:sz w:val="22"/>
                <w:szCs w:val="22"/>
              </w:rPr>
              <w:t> </w:t>
            </w:r>
          </w:p>
        </w:tc>
      </w:tr>
      <w:tr w:rsidR="00C643E9" w:rsidRPr="00E76A09" w14:paraId="593A7983" w14:textId="77777777" w:rsidTr="00BB3550">
        <w:trPr>
          <w:trHeight w:val="300"/>
        </w:trPr>
        <w:tc>
          <w:tcPr>
            <w:tcW w:w="288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0346E69"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Delivery Partner is engaged with activities which could reputationally damage DESNZ </w:t>
            </w:r>
          </w:p>
        </w:tc>
        <w:tc>
          <w:tcPr>
            <w:tcW w:w="71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67CB499" w14:textId="0A13C992"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A Delivery Partner Review was conducted during the original Business Case process to ensure that UNDP MPTF and FAO’s processes meet DESNZ requirements. There is currently no cause to re-run such exercises. Termin</w:t>
            </w:r>
            <w:r w:rsidR="00415FF7" w:rsidRPr="00E76A09">
              <w:rPr>
                <w:rFonts w:ascii="Calibri" w:eastAsia="Times New Roman" w:hAnsi="Calibri" w:cs="Calibri"/>
                <w:sz w:val="22"/>
                <w:szCs w:val="22"/>
              </w:rPr>
              <w:t>ation</w:t>
            </w:r>
            <w:r w:rsidRPr="00E76A09">
              <w:rPr>
                <w:rFonts w:ascii="Calibri" w:eastAsia="Times New Roman" w:hAnsi="Calibri" w:cs="Calibri"/>
                <w:sz w:val="22"/>
                <w:szCs w:val="22"/>
              </w:rPr>
              <w:t xml:space="preserve"> clauses are included in the Standard Administrative Agreement (and Side Letter).  </w:t>
            </w:r>
          </w:p>
          <w:p w14:paraId="19291C97" w14:textId="77777777" w:rsidR="00C643E9" w:rsidRPr="00E76A09" w:rsidRDefault="00C643E9" w:rsidP="00C643E9">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Primary commercial risk allocation partner: DESNZ </w:t>
            </w:r>
            <w:r w:rsidRPr="00E76A09">
              <w:rPr>
                <w:rFonts w:ascii="Calibri" w:eastAsia="Times New Roman" w:hAnsi="Calibri" w:cs="Calibri"/>
                <w:sz w:val="22"/>
                <w:szCs w:val="22"/>
              </w:rPr>
              <w:t> </w:t>
            </w:r>
          </w:p>
        </w:tc>
      </w:tr>
      <w:tr w:rsidR="4FE84DD6" w:rsidRPr="00E76A09" w14:paraId="30394809" w14:textId="77777777" w:rsidTr="00BB3550">
        <w:trPr>
          <w:trHeight w:val="300"/>
        </w:trPr>
        <w:tc>
          <w:tcPr>
            <w:tcW w:w="288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6A76F6" w14:textId="04F4D1FE" w:rsidR="011CAE45" w:rsidRPr="00E76A09" w:rsidRDefault="011CAE45" w:rsidP="028B516A">
            <w:pPr>
              <w:spacing w:before="0" w:after="0" w:line="240" w:lineRule="auto"/>
              <w:rPr>
                <w:rFonts w:ascii="Calibri" w:eastAsia="Times New Roman" w:hAnsi="Calibri" w:cs="Calibri"/>
                <w:sz w:val="22"/>
                <w:szCs w:val="22"/>
              </w:rPr>
            </w:pPr>
            <w:r w:rsidRPr="00E76A09">
              <w:rPr>
                <w:rFonts w:ascii="Calibri" w:eastAsia="Times New Roman" w:hAnsi="Calibri" w:cs="Calibri"/>
                <w:sz w:val="22"/>
                <w:szCs w:val="22"/>
              </w:rPr>
              <w:t xml:space="preserve">Use of Promissory notes limits DESNZ commercial rights such as </w:t>
            </w:r>
            <w:r w:rsidR="1C9172B4" w:rsidRPr="00E76A09">
              <w:rPr>
                <w:rFonts w:ascii="Calibri" w:eastAsia="Times New Roman" w:hAnsi="Calibri" w:cs="Calibri"/>
                <w:sz w:val="22"/>
                <w:szCs w:val="22"/>
              </w:rPr>
              <w:t>termination</w:t>
            </w:r>
            <w:r w:rsidRPr="00E76A09">
              <w:rPr>
                <w:rFonts w:ascii="Calibri" w:eastAsia="Times New Roman" w:hAnsi="Calibri" w:cs="Calibri"/>
                <w:sz w:val="22"/>
                <w:szCs w:val="22"/>
              </w:rPr>
              <w:t>, performance mana</w:t>
            </w:r>
            <w:r w:rsidR="1909B7BA" w:rsidRPr="00E76A09">
              <w:rPr>
                <w:rFonts w:ascii="Calibri" w:eastAsia="Times New Roman" w:hAnsi="Calibri" w:cs="Calibri"/>
                <w:sz w:val="22"/>
                <w:szCs w:val="22"/>
              </w:rPr>
              <w:t>gement etc.</w:t>
            </w:r>
            <w:r w:rsidRPr="00E76A09">
              <w:br/>
            </w:r>
          </w:p>
          <w:p w14:paraId="55B1498E" w14:textId="275189FB" w:rsidR="011CAE45" w:rsidRPr="00E76A09" w:rsidRDefault="488ACB39" w:rsidP="7E7271B2">
            <w:pPr>
              <w:spacing w:before="0" w:after="0" w:line="240" w:lineRule="auto"/>
              <w:rPr>
                <w:rFonts w:ascii="Calibri" w:eastAsia="Times New Roman" w:hAnsi="Calibri" w:cs="Calibri"/>
                <w:sz w:val="22"/>
                <w:szCs w:val="22"/>
              </w:rPr>
            </w:pPr>
            <w:proofErr w:type="gramStart"/>
            <w:r w:rsidRPr="00E76A09">
              <w:rPr>
                <w:rFonts w:ascii="Calibri" w:eastAsia="Times New Roman" w:hAnsi="Calibri" w:cs="Calibri"/>
                <w:sz w:val="22"/>
                <w:szCs w:val="22"/>
              </w:rPr>
              <w:t>Additionally</w:t>
            </w:r>
            <w:proofErr w:type="gramEnd"/>
            <w:r w:rsidRPr="00E76A09">
              <w:rPr>
                <w:rFonts w:ascii="Calibri" w:eastAsia="Times New Roman" w:hAnsi="Calibri" w:cs="Calibri"/>
                <w:sz w:val="22"/>
                <w:szCs w:val="22"/>
              </w:rPr>
              <w:t xml:space="preserve"> there are risks that promissory notes are either not enchased after work is </w:t>
            </w:r>
            <w:proofErr w:type="gramStart"/>
            <w:r w:rsidR="6BFA1FB2" w:rsidRPr="00E76A09">
              <w:rPr>
                <w:rFonts w:ascii="Calibri" w:eastAsia="Times New Roman" w:hAnsi="Calibri" w:cs="Calibri"/>
                <w:sz w:val="22"/>
                <w:szCs w:val="22"/>
              </w:rPr>
              <w:t>complete</w:t>
            </w:r>
            <w:r w:rsidRPr="00E76A09">
              <w:rPr>
                <w:rFonts w:ascii="Calibri" w:eastAsia="Times New Roman" w:hAnsi="Calibri" w:cs="Calibri"/>
                <w:sz w:val="22"/>
                <w:szCs w:val="22"/>
              </w:rPr>
              <w:t>, or</w:t>
            </w:r>
            <w:proofErr w:type="gramEnd"/>
            <w:r w:rsidRPr="00E76A09">
              <w:rPr>
                <w:rFonts w:ascii="Calibri" w:eastAsia="Times New Roman" w:hAnsi="Calibri" w:cs="Calibri"/>
                <w:sz w:val="22"/>
                <w:szCs w:val="22"/>
              </w:rPr>
              <w:t xml:space="preserve"> are encashed without work being completed. DESNZ loses control over the money.</w:t>
            </w:r>
          </w:p>
        </w:tc>
        <w:tc>
          <w:tcPr>
            <w:tcW w:w="71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AC5D5A" w14:textId="3B07FB8F" w:rsidR="4FE84DD6" w:rsidRPr="00E76A09" w:rsidRDefault="488ACB39" w:rsidP="67A1FB99">
            <w:pPr>
              <w:spacing w:before="0" w:after="0" w:line="240" w:lineRule="auto"/>
              <w:rPr>
                <w:rFonts w:ascii="Calibri" w:eastAsia="Times New Roman" w:hAnsi="Calibri" w:cs="Calibri"/>
                <w:sz w:val="22"/>
                <w:szCs w:val="22"/>
              </w:rPr>
            </w:pPr>
            <w:r w:rsidRPr="00E76A09">
              <w:rPr>
                <w:rFonts w:ascii="Calibri" w:eastAsia="Times New Roman" w:hAnsi="Calibri" w:cs="Calibri"/>
                <w:sz w:val="22"/>
                <w:szCs w:val="22"/>
              </w:rPr>
              <w:t>Multi-lateral organisations tend to be more trusted than private sector organisations. Encashment schedules written into the agreement and an understanding that</w:t>
            </w:r>
            <w:r w:rsidR="4549FCD0" w:rsidRPr="00E76A09">
              <w:rPr>
                <w:rFonts w:ascii="Calibri" w:eastAsia="Times New Roman" w:hAnsi="Calibri" w:cs="Calibri"/>
                <w:sz w:val="22"/>
                <w:szCs w:val="22"/>
              </w:rPr>
              <w:t xml:space="preserve"> work is signed off before encashment mitigates risk of underperformance. However, with PN’s</w:t>
            </w:r>
            <w:r w:rsidR="2F15B763" w:rsidRPr="00E76A09">
              <w:rPr>
                <w:rFonts w:ascii="Calibri" w:eastAsia="Times New Roman" w:hAnsi="Calibri" w:cs="Calibri"/>
                <w:sz w:val="22"/>
                <w:szCs w:val="22"/>
              </w:rPr>
              <w:t xml:space="preserve"> DESNZ relies on the good faith of delivery partners for this.</w:t>
            </w:r>
          </w:p>
          <w:p w14:paraId="26DA6EC9" w14:textId="0D4D3CC7" w:rsidR="4FE84DD6" w:rsidRPr="00E76A09" w:rsidRDefault="4FE84DD6" w:rsidP="67A1FB99">
            <w:pPr>
              <w:spacing w:before="0" w:after="0" w:line="240" w:lineRule="auto"/>
              <w:rPr>
                <w:rFonts w:ascii="Calibri" w:eastAsia="Times New Roman" w:hAnsi="Calibri" w:cs="Calibri"/>
                <w:sz w:val="22"/>
                <w:szCs w:val="22"/>
              </w:rPr>
            </w:pPr>
          </w:p>
          <w:p w14:paraId="1F83056C" w14:textId="171F139D" w:rsidR="4FE84DD6" w:rsidRPr="00E76A09" w:rsidRDefault="2F15B763" w:rsidP="67A1FB99">
            <w:pPr>
              <w:spacing w:before="0" w:after="0" w:line="240" w:lineRule="auto"/>
              <w:rPr>
                <w:rFonts w:ascii="Calibri" w:eastAsia="Times New Roman" w:hAnsi="Calibri" w:cs="Calibri"/>
                <w:sz w:val="22"/>
                <w:szCs w:val="22"/>
              </w:rPr>
            </w:pPr>
            <w:r w:rsidRPr="00E76A09">
              <w:rPr>
                <w:rFonts w:ascii="Calibri" w:eastAsia="Times New Roman" w:hAnsi="Calibri" w:cs="Calibri"/>
                <w:b/>
                <w:bCs/>
                <w:sz w:val="22"/>
                <w:szCs w:val="22"/>
              </w:rPr>
              <w:t>Primary commercial risk allocation partner: DESNZ </w:t>
            </w:r>
          </w:p>
        </w:tc>
      </w:tr>
    </w:tbl>
    <w:p w14:paraId="3BAEDF12" w14:textId="77777777" w:rsidR="00C643E9" w:rsidRPr="00E76A09" w:rsidRDefault="00C643E9" w:rsidP="00E80AD5">
      <w:pPr>
        <w:pStyle w:val="Style2"/>
      </w:pPr>
    </w:p>
    <w:p w14:paraId="6DA40C03" w14:textId="396E51C2" w:rsidR="00E62CAB" w:rsidRPr="00E76A09" w:rsidRDefault="002F65BD" w:rsidP="004258E7">
      <w:pPr>
        <w:pStyle w:val="Style1"/>
        <w:ind w:left="426" w:hanging="426"/>
        <w:rPr>
          <w:sz w:val="24"/>
          <w:szCs w:val="24"/>
        </w:rPr>
      </w:pPr>
      <w:r w:rsidRPr="00E76A09">
        <w:rPr>
          <w:sz w:val="24"/>
          <w:szCs w:val="24"/>
        </w:rPr>
        <w:t xml:space="preserve">Subsidy control </w:t>
      </w:r>
    </w:p>
    <w:p w14:paraId="58AE9864" w14:textId="0C600669" w:rsidR="00C002DA" w:rsidRPr="00E76A09" w:rsidRDefault="5FFB2EC0" w:rsidP="004258E7">
      <w:pPr>
        <w:pStyle w:val="Style2"/>
        <w:ind w:left="0"/>
      </w:pPr>
      <w:r>
        <w:t>In line with what was set out in the original AIM4Forests business case</w:t>
      </w:r>
      <w:r w:rsidR="009B4C27">
        <w:t>,</w:t>
      </w:r>
      <w:r>
        <w:t xml:space="preserve"> </w:t>
      </w:r>
      <w:r w:rsidR="00C002DA">
        <w:t>DESNZ does not consider that the proposed funding would fall within the definition of 'subsidy' within the meaning of the subsidy control provisions of the Subsidy Control Act 2022</w:t>
      </w:r>
      <w:r w:rsidR="34CCA5B1">
        <w:t xml:space="preserve"> (SCA 2022). This is because Limb B (economic advantage to an enterprise) and Limb D (effect on trade or investment) of the subsidy control test under the SCA 2022 are unlikely to be met.</w:t>
      </w:r>
      <w:r w:rsidR="00C002DA">
        <w:t xml:space="preserve"> </w:t>
      </w:r>
      <w:r w:rsidR="060880DE">
        <w:t xml:space="preserve">FAO, as a delivery partner, would not gain an </w:t>
      </w:r>
      <w:r w:rsidR="7190B56F">
        <w:t>economic</w:t>
      </w:r>
      <w:r w:rsidR="060880DE">
        <w:t xml:space="preserve"> advantage since </w:t>
      </w:r>
      <w:r w:rsidR="0DFD7D95">
        <w:t xml:space="preserve">they receive an administrative fee for </w:t>
      </w:r>
      <w:r w:rsidR="060880DE">
        <w:t xml:space="preserve">the </w:t>
      </w:r>
      <w:r w:rsidR="0DFD7D95">
        <w:t xml:space="preserve">work they undertake, which is expected to have been available on </w:t>
      </w:r>
      <w:r w:rsidR="060880DE">
        <w:t xml:space="preserve">the </w:t>
      </w:r>
      <w:r w:rsidR="0DFD7D95">
        <w:t>market for similar terms.</w:t>
      </w:r>
      <w:r w:rsidR="060880DE">
        <w:t xml:space="preserve"> Additionally</w:t>
      </w:r>
      <w:r w:rsidR="02C4C92B">
        <w:t>,</w:t>
      </w:r>
      <w:r w:rsidR="060880DE">
        <w:t xml:space="preserve"> </w:t>
      </w:r>
      <w:r w:rsidR="66F5314D">
        <w:t>s</w:t>
      </w:r>
      <w:r w:rsidR="00C002DA">
        <w:t>ince the beneficiaries of AIM</w:t>
      </w:r>
      <w:r w:rsidR="004438A2">
        <w:t>4</w:t>
      </w:r>
      <w:r w:rsidR="00C002DA">
        <w:t xml:space="preserve">Forests funding </w:t>
      </w:r>
      <w:proofErr w:type="gramStart"/>
      <w:r w:rsidR="00C002DA">
        <w:t>are located in</w:t>
      </w:r>
      <w:proofErr w:type="gramEnd"/>
      <w:r w:rsidR="00C002DA">
        <w:t xml:space="preserve"> third countries, and due to the nature of the activities being supported, DESNZ does not consider that the activity being supported by UK financial assistance would </w:t>
      </w:r>
      <w:proofErr w:type="gramStart"/>
      <w:r w:rsidR="00C002DA">
        <w:t>have an effect on</w:t>
      </w:r>
      <w:proofErr w:type="gramEnd"/>
      <w:r w:rsidR="00C002DA">
        <w:t xml:space="preserve"> trade and investment beyond local markets. </w:t>
      </w:r>
    </w:p>
    <w:p w14:paraId="26898EDF" w14:textId="77777777" w:rsidR="00EB2B83" w:rsidRPr="00E76A09" w:rsidRDefault="00EB2B83" w:rsidP="004258E7">
      <w:pPr>
        <w:pStyle w:val="Style2"/>
        <w:ind w:left="0"/>
      </w:pPr>
    </w:p>
    <w:p w14:paraId="141DF609" w14:textId="364A1068" w:rsidR="00892E50" w:rsidRPr="00BD678E" w:rsidRDefault="0DF57F28" w:rsidP="00BD678E">
      <w:pPr>
        <w:pStyle w:val="Style2"/>
        <w:ind w:left="0"/>
      </w:pPr>
      <w:r w:rsidRPr="00E76A09">
        <w:t>AIM4Commodities is a new workstream to the programme, that was not assessed in the original business case. We have considered these activities against the four limbs of the of the SCA</w:t>
      </w:r>
      <w:r w:rsidR="188C2ACD" w:rsidRPr="00E76A09">
        <w:t xml:space="preserve"> 2022 test, and like the remainder of the programme, we do not consider it meets </w:t>
      </w:r>
      <w:r w:rsidR="0768C8A8" w:rsidRPr="00E76A09">
        <w:t>the definition of subsidy within the Act. AIM4Commodities will support countries with forest monitoring to help ensure transparent commodity supply chains</w:t>
      </w:r>
      <w:r w:rsidR="1157FE02" w:rsidRPr="00E76A09">
        <w:t xml:space="preserve">. </w:t>
      </w:r>
      <w:r w:rsidR="247864E1" w:rsidRPr="00E76A09">
        <w:t>The programme engages with forest countries through officials who are primarily engaging in regulatory and policy development activities, which fall under state responsibilities and are not considered economic activities</w:t>
      </w:r>
      <w:r w:rsidR="4377303B" w:rsidRPr="00E76A09">
        <w:t xml:space="preserve"> therefore there would be no economic advantage (Limb B). We also consider that any impact on competition, trade, or investment resulting from the funding is likely to be incidental (Limb D</w:t>
      </w:r>
      <w:r w:rsidR="4377303B">
        <w:t>)</w:t>
      </w:r>
      <w:r w:rsidR="31371D1B">
        <w:t>, as the programme will engage</w:t>
      </w:r>
      <w:r w:rsidR="00AB7D7B">
        <w:t xml:space="preserve"> at the smallholder level</w:t>
      </w:r>
      <w:r w:rsidR="4377303B">
        <w:t>.</w:t>
      </w:r>
      <w:r w:rsidR="4377303B" w:rsidRPr="00E76A09">
        <w:t xml:space="preserve"> </w:t>
      </w:r>
      <w:r w:rsidR="79A88801" w:rsidRPr="00E76A09">
        <w:t xml:space="preserve">The overarching purpose of the funding for this output is to help address one of the key drivers of deforestation (commodity production), not to distort or influence markets. </w:t>
      </w:r>
    </w:p>
    <w:p w14:paraId="084A4165" w14:textId="7CE8B891" w:rsidR="73497B67" w:rsidRPr="00E76A09" w:rsidRDefault="73497B67">
      <w:r w:rsidRPr="00E76A09">
        <w:br w:type="page"/>
      </w:r>
    </w:p>
    <w:p w14:paraId="03703756" w14:textId="046A181F" w:rsidR="006E546B" w:rsidRPr="00E76A09" w:rsidRDefault="00E77003" w:rsidP="005F1FB6">
      <w:pPr>
        <w:pStyle w:val="Heading1"/>
        <w:numPr>
          <w:ilvl w:val="0"/>
          <w:numId w:val="3"/>
        </w:numPr>
        <w:ind w:left="426"/>
      </w:pPr>
      <w:bookmarkStart w:id="4" w:name="_Toc184658183"/>
      <w:r>
        <w:lastRenderedPageBreak/>
        <w:t>Financial Case</w:t>
      </w:r>
      <w:bookmarkEnd w:id="4"/>
      <w:r>
        <w:t xml:space="preserve"> </w:t>
      </w:r>
    </w:p>
    <w:p w14:paraId="438976BE" w14:textId="4174D90E" w:rsidR="00A23A2E" w:rsidRPr="00E76A09" w:rsidRDefault="00A23A2E" w:rsidP="00A23A2E">
      <w:pPr>
        <w:pStyle w:val="Style1"/>
        <w:numPr>
          <w:ilvl w:val="0"/>
          <w:numId w:val="0"/>
        </w:numPr>
        <w:ind w:left="284" w:hanging="284"/>
        <w:rPr>
          <w:sz w:val="24"/>
          <w:szCs w:val="24"/>
        </w:rPr>
      </w:pPr>
      <w:r w:rsidRPr="00E76A09">
        <w:rPr>
          <w:sz w:val="24"/>
          <w:szCs w:val="24"/>
        </w:rPr>
        <w:t xml:space="preserve">4.1 Financial resources and budgets </w:t>
      </w:r>
    </w:p>
    <w:p w14:paraId="387D7543" w14:textId="7BADA1F8" w:rsidR="00A23A2E" w:rsidRPr="00E76A09" w:rsidRDefault="00936BFB" w:rsidP="004258E7">
      <w:pPr>
        <w:pStyle w:val="Style1"/>
        <w:numPr>
          <w:ilvl w:val="0"/>
          <w:numId w:val="0"/>
        </w:numPr>
        <w:rPr>
          <w:i w:val="0"/>
          <w:iCs w:val="0"/>
        </w:rPr>
      </w:pPr>
      <w:r w:rsidRPr="00E76A09">
        <w:rPr>
          <w:i w:val="0"/>
          <w:iCs w:val="0"/>
        </w:rPr>
        <w:t xml:space="preserve">4.1.1 </w:t>
      </w:r>
      <w:r w:rsidR="00A23A2E" w:rsidRPr="00E76A09">
        <w:rPr>
          <w:i w:val="0"/>
          <w:iCs w:val="0"/>
        </w:rPr>
        <w:t xml:space="preserve">Spending power </w:t>
      </w:r>
    </w:p>
    <w:p w14:paraId="717EA420" w14:textId="5C243CA5" w:rsidR="00B238B9" w:rsidRPr="00E76A09" w:rsidRDefault="00EB2B83" w:rsidP="004258E7">
      <w:pPr>
        <w:pStyle w:val="Style2"/>
        <w:ind w:left="0"/>
      </w:pPr>
      <w:r w:rsidRPr="00E76A09">
        <w:t xml:space="preserve">As set </w:t>
      </w:r>
      <w:r w:rsidR="00A3600A" w:rsidRPr="00E76A09">
        <w:t>out in the section above, t</w:t>
      </w:r>
      <w:r w:rsidR="00B238B9" w:rsidRPr="00E76A09">
        <w:t xml:space="preserve">he spending power for the AIM4Forests extension business case derives from the International Development Act 2002. The programme contributes to reducing poverty and increasing sustainable development in beneficiary developing countries. As such, the proposed funding is capable of falling within the power granted by section 1(1) of the 2002 Act as there are rational grounds for the Secretary of State to be satisfied that the assistance provided will provide lasting benefits or improve the welfare of persons in countries outside the UK, and contribute to a reduction in poverty. Section 8 of the 2002 Act permits the Secretary of State to </w:t>
      </w:r>
      <w:proofErr w:type="gramStart"/>
      <w:r w:rsidR="00B238B9" w:rsidRPr="00E76A09">
        <w:t>enter into</w:t>
      </w:r>
      <w:proofErr w:type="gramEnd"/>
      <w:r w:rsidR="00B238B9" w:rsidRPr="00E76A09">
        <w:t xml:space="preserve"> arrangements for any person or body to </w:t>
      </w:r>
      <w:proofErr w:type="gramStart"/>
      <w:r w:rsidR="00B238B9" w:rsidRPr="00E76A09">
        <w:t>provide assistance</w:t>
      </w:r>
      <w:proofErr w:type="gramEnd"/>
      <w:r w:rsidR="00B238B9" w:rsidRPr="00E76A09">
        <w:t xml:space="preserve"> or carry on any other activities. As such, DESNZ may </w:t>
      </w:r>
      <w:proofErr w:type="gramStart"/>
      <w:r w:rsidR="00B238B9" w:rsidRPr="00E76A09">
        <w:t>enter into</w:t>
      </w:r>
      <w:proofErr w:type="gramEnd"/>
      <w:r w:rsidR="00B238B9" w:rsidRPr="00E76A09">
        <w:t xml:space="preserve"> an arrangement with FAO for it to provide the assistance on its behalf. </w:t>
      </w:r>
    </w:p>
    <w:p w14:paraId="188500E5" w14:textId="77777777" w:rsidR="00415FF7" w:rsidRPr="00E76A09" w:rsidRDefault="00415FF7" w:rsidP="004258E7">
      <w:pPr>
        <w:pStyle w:val="Style2"/>
        <w:ind w:left="0"/>
      </w:pPr>
    </w:p>
    <w:p w14:paraId="7472046B" w14:textId="12B6B10B" w:rsidR="00A23A2E" w:rsidRPr="00E76A09" w:rsidRDefault="00B238B9" w:rsidP="004258E7">
      <w:pPr>
        <w:pStyle w:val="Style2"/>
        <w:ind w:left="0"/>
      </w:pPr>
      <w:r w:rsidRPr="00E76A09">
        <w:t>Funding will be drawn from the UK’s International Climate Finance (ICF) Official Development Assistance (ODA) allocation, which is part of the UK’s international commitment under the Paris Agreement, and of its domestic legal requirement to spend 0.7% (temporarily reduced to 0.3%) of Gross National Income annually on overseas aid. All expenditure made under the programme is classified as ODA. </w:t>
      </w:r>
    </w:p>
    <w:p w14:paraId="6B02DA77" w14:textId="77777777" w:rsidR="00415FF7" w:rsidRPr="00E76A09" w:rsidRDefault="00415FF7" w:rsidP="004258E7">
      <w:pPr>
        <w:pStyle w:val="Style2"/>
        <w:ind w:left="0"/>
      </w:pPr>
    </w:p>
    <w:p w14:paraId="78BB8DEF" w14:textId="23F9BE2D" w:rsidR="00D54B3F" w:rsidRPr="00E76A09" w:rsidRDefault="00936BFB" w:rsidP="004258E7">
      <w:pPr>
        <w:pStyle w:val="Style2"/>
        <w:ind w:left="0"/>
        <w:rPr>
          <w:b/>
          <w:bCs/>
        </w:rPr>
      </w:pPr>
      <w:r w:rsidRPr="00E76A09">
        <w:rPr>
          <w:b/>
          <w:bCs/>
        </w:rPr>
        <w:t xml:space="preserve">4.1.2 </w:t>
      </w:r>
      <w:r w:rsidR="00D54B3F" w:rsidRPr="00E76A09">
        <w:rPr>
          <w:b/>
          <w:bCs/>
        </w:rPr>
        <w:t xml:space="preserve">Budget classification and project financial flows </w:t>
      </w:r>
    </w:p>
    <w:p w14:paraId="176CE8DA" w14:textId="704029A7" w:rsidR="002C673F" w:rsidRPr="00E76A09" w:rsidRDefault="00D54B3F" w:rsidP="004258E7">
      <w:pPr>
        <w:pStyle w:val="Style2"/>
        <w:ind w:left="0"/>
      </w:pPr>
      <w:r w:rsidRPr="00E76A09">
        <w:t>The proposed budget for this extension is £20.9 million</w:t>
      </w:r>
      <w:r w:rsidR="00325D6A" w:rsidRPr="00E76A09">
        <w:t>.</w:t>
      </w:r>
      <w:r w:rsidR="00062406" w:rsidRPr="00E76A09">
        <w:t xml:space="preserve"> </w:t>
      </w:r>
      <w:r w:rsidRPr="00E76A09">
        <w:t>This is divided into £10 million RDEL and £10.9 million CDEL. The RDEL component of the budget will be used to address the budget shortfall on the in-country technical assistance that the programme provides, through the programme</w:t>
      </w:r>
      <w:r w:rsidR="002C673F" w:rsidRPr="00E76A09">
        <w:t>’</w:t>
      </w:r>
      <w:r w:rsidRPr="00E76A09">
        <w:t>s only RDEL-funded output</w:t>
      </w:r>
      <w:r w:rsidR="005B359F" w:rsidRPr="00E76A09">
        <w:t xml:space="preserve"> - countries receive forest monitoring technical assistance to address technical and functional capacity gaps within their forest monitoring systems: forest data for better management, forest MRV, monitoring of nature restoration progress, and transparent commodity supply chains.</w:t>
      </w:r>
      <w:r w:rsidR="006D7A37" w:rsidRPr="00E76A09">
        <w:t xml:space="preserve"> However as stated previously, during the development of the business case, external pressures have resulted in a reduction of the available RDEL funding</w:t>
      </w:r>
      <w:r w:rsidR="004844ED" w:rsidRPr="00E76A09">
        <w:t xml:space="preserve"> and</w:t>
      </w:r>
      <w:r w:rsidR="002F689A" w:rsidRPr="00E76A09">
        <w:t xml:space="preserve"> </w:t>
      </w:r>
      <w:r w:rsidR="004844ED" w:rsidRPr="00E76A09">
        <w:t>£</w:t>
      </w:r>
      <w:r w:rsidR="00801DA7">
        <w:t>4</w:t>
      </w:r>
      <w:r w:rsidR="004844ED" w:rsidRPr="00E76A09">
        <w:t>m of the planned £10m RDEL, is no longer profiled within the FY 25/26 financial year. This means that £1</w:t>
      </w:r>
      <w:r w:rsidR="00801DA7">
        <w:t>6</w:t>
      </w:r>
      <w:r w:rsidR="004844ED" w:rsidRPr="00E76A09">
        <w:t>.9m of the proposed £20.9m extension would be spent within this financial year</w:t>
      </w:r>
      <w:r w:rsidR="00122EB8" w:rsidRPr="00E76A09">
        <w:t>, with the res</w:t>
      </w:r>
      <w:r w:rsidR="00656680" w:rsidRPr="00E76A09">
        <w:t>t unprofiled at this time</w:t>
      </w:r>
      <w:r w:rsidR="004844ED" w:rsidRPr="00E76A09">
        <w:t xml:space="preserve">. </w:t>
      </w:r>
      <w:r w:rsidRPr="00E76A09">
        <w:t xml:space="preserve"> </w:t>
      </w:r>
    </w:p>
    <w:p w14:paraId="52A1E977" w14:textId="77777777" w:rsidR="002C673F" w:rsidRPr="00E76A09" w:rsidRDefault="002C673F" w:rsidP="004258E7">
      <w:pPr>
        <w:pStyle w:val="Style2"/>
        <w:ind w:left="0"/>
      </w:pPr>
    </w:p>
    <w:p w14:paraId="2ECEF4EA" w14:textId="7A77B1A5" w:rsidR="00D54B3F" w:rsidRPr="00E76A09" w:rsidRDefault="00D54B3F" w:rsidP="004258E7">
      <w:pPr>
        <w:pStyle w:val="Style2"/>
        <w:ind w:left="0"/>
      </w:pPr>
      <w:r w:rsidRPr="00E76A09">
        <w:t xml:space="preserve">The CDEL component will be used to fund the additional output on forest monitoring for sustainable commodities, and the costs associated with extending the term of the programme for a further two years – </w:t>
      </w:r>
      <w:proofErr w:type="gramStart"/>
      <w:r w:rsidRPr="00E76A09">
        <w:t>all of</w:t>
      </w:r>
      <w:proofErr w:type="gramEnd"/>
      <w:r w:rsidRPr="00E76A09">
        <w:t xml:space="preserve"> these activities relate to CDEL-funded outputs. </w:t>
      </w:r>
      <w:r w:rsidR="00617353" w:rsidRPr="00E76A09">
        <w:t xml:space="preserve">These CDEL-funded outputs include: </w:t>
      </w:r>
    </w:p>
    <w:p w14:paraId="63ECD364" w14:textId="50821AB4" w:rsidR="00617353" w:rsidRPr="00E76A09" w:rsidRDefault="00617353" w:rsidP="00617353">
      <w:pPr>
        <w:pStyle w:val="Style2"/>
        <w:numPr>
          <w:ilvl w:val="0"/>
          <w:numId w:val="97"/>
        </w:numPr>
      </w:pPr>
      <w:r w:rsidRPr="00E76A09">
        <w:rPr>
          <w:b/>
          <w:bCs/>
        </w:rPr>
        <w:t>Forests for better management</w:t>
      </w:r>
      <w:r w:rsidRPr="00E76A09">
        <w:t>: Technical innovation is advanced through new datasets, innovative tools and platforms, and knowledge if disseminated through open-access learning programmes</w:t>
      </w:r>
    </w:p>
    <w:p w14:paraId="08C85585" w14:textId="196AA23E" w:rsidR="00617353" w:rsidRPr="00E76A09" w:rsidRDefault="00617353" w:rsidP="00617353">
      <w:pPr>
        <w:pStyle w:val="Style2"/>
        <w:numPr>
          <w:ilvl w:val="0"/>
          <w:numId w:val="97"/>
        </w:numPr>
      </w:pPr>
      <w:r w:rsidRPr="00E76A09">
        <w:rPr>
          <w:b/>
          <w:bCs/>
        </w:rPr>
        <w:t>Forest MRV</w:t>
      </w:r>
      <w:r w:rsidRPr="00E76A09">
        <w:t>: Methodological challenges are overcome through targeted and widely disseminated research. Enabling high-integrity green-house gas estimation and facilitating access to climate finance and conservation payments</w:t>
      </w:r>
    </w:p>
    <w:p w14:paraId="759C0FEE" w14:textId="3950943A" w:rsidR="00617353" w:rsidRPr="00E76A09" w:rsidRDefault="00617353" w:rsidP="00617353">
      <w:pPr>
        <w:pStyle w:val="Style2"/>
        <w:numPr>
          <w:ilvl w:val="0"/>
          <w:numId w:val="97"/>
        </w:numPr>
      </w:pPr>
      <w:r w:rsidRPr="00E76A09">
        <w:rPr>
          <w:b/>
          <w:bCs/>
        </w:rPr>
        <w:t>AIM4NatuRE</w:t>
      </w:r>
      <w:r w:rsidRPr="00E76A09">
        <w:t>: Monitoring of nature restoration progress is advanced through a country-driven global dataset based on improved national reporting, ensuring transparent monitoring and KMGBF reporting and thereby enabling the implementation of restoration commitments</w:t>
      </w:r>
    </w:p>
    <w:p w14:paraId="171F2CE3" w14:textId="7BEE2DDE" w:rsidR="00617353" w:rsidRPr="00E76A09" w:rsidRDefault="00617353" w:rsidP="00617353">
      <w:pPr>
        <w:pStyle w:val="Style2"/>
        <w:numPr>
          <w:ilvl w:val="0"/>
          <w:numId w:val="97"/>
        </w:numPr>
      </w:pPr>
      <w:r w:rsidRPr="00E76A09">
        <w:rPr>
          <w:b/>
          <w:bCs/>
        </w:rPr>
        <w:t>AIM4Commodities:</w:t>
      </w:r>
      <w:r w:rsidRPr="00E76A09">
        <w:t xml:space="preserve"> The technical components of a digital public infrastructure are developed, and a group of countries is engaged for its roll-out to progress towards transparent commodity supply chains</w:t>
      </w:r>
    </w:p>
    <w:p w14:paraId="42666BD8" w14:textId="2AF56B68" w:rsidR="00617353" w:rsidRPr="00E76A09" w:rsidRDefault="00617353" w:rsidP="00617353">
      <w:pPr>
        <w:pStyle w:val="Style2"/>
        <w:numPr>
          <w:ilvl w:val="0"/>
          <w:numId w:val="97"/>
        </w:numPr>
      </w:pPr>
      <w:r w:rsidRPr="00E76A09">
        <w:rPr>
          <w:b/>
          <w:bCs/>
        </w:rPr>
        <w:t>Forest monitoring for Indigenous Peoples and forest communities</w:t>
      </w:r>
      <w:r w:rsidRPr="00E76A09">
        <w:t>: Indigenous Peoples are engaged in a community of practise to build capacity, showcase their forest stewardship, and help guide monitoring and reporting environments to accommodate contributions from Indigenous Peoples</w:t>
      </w:r>
    </w:p>
    <w:p w14:paraId="2FED5368" w14:textId="11C3F722" w:rsidR="00617353" w:rsidRPr="00E76A09" w:rsidRDefault="00617353" w:rsidP="007B73C9">
      <w:pPr>
        <w:pStyle w:val="Style2"/>
        <w:numPr>
          <w:ilvl w:val="0"/>
          <w:numId w:val="97"/>
        </w:numPr>
      </w:pPr>
      <w:r w:rsidRPr="00E76A09">
        <w:t xml:space="preserve">Forest country governments are engaged in </w:t>
      </w:r>
      <w:r w:rsidRPr="00E76A09">
        <w:rPr>
          <w:b/>
          <w:bCs/>
        </w:rPr>
        <w:t>Country-Led Planning</w:t>
      </w:r>
      <w:r w:rsidRPr="00E76A09">
        <w:t xml:space="preserve"> towards strengthening technical and functional capacity for forest monitoring and embedding forest monitoring into national institutions</w:t>
      </w:r>
    </w:p>
    <w:p w14:paraId="4F20DEDE" w14:textId="77777777" w:rsidR="00415FF7" w:rsidRPr="00E76A09" w:rsidRDefault="00415FF7" w:rsidP="004258E7">
      <w:pPr>
        <w:pStyle w:val="Style2"/>
        <w:ind w:left="0"/>
      </w:pPr>
    </w:p>
    <w:p w14:paraId="2F350988" w14:textId="44C04DC0" w:rsidR="00D54B3F" w:rsidRPr="00E76A09" w:rsidRDefault="00936BFB" w:rsidP="004258E7">
      <w:pPr>
        <w:pStyle w:val="Style2"/>
        <w:ind w:left="0"/>
        <w:rPr>
          <w:b/>
          <w:bCs/>
        </w:rPr>
      </w:pPr>
      <w:r w:rsidRPr="00E76A09">
        <w:rPr>
          <w:b/>
          <w:bCs/>
        </w:rPr>
        <w:t xml:space="preserve">4.1.3 </w:t>
      </w:r>
      <w:r w:rsidR="00D54B3F" w:rsidRPr="00E76A09">
        <w:rPr>
          <w:b/>
          <w:bCs/>
        </w:rPr>
        <w:t xml:space="preserve">Payment mechanism and schedules </w:t>
      </w:r>
    </w:p>
    <w:p w14:paraId="2E07D5D7" w14:textId="46EFFB2D" w:rsidR="00856041" w:rsidRPr="00E76A09" w:rsidRDefault="00856041" w:rsidP="004258E7">
      <w:pPr>
        <w:pStyle w:val="Style2"/>
        <w:ind w:left="0"/>
      </w:pPr>
      <w:r>
        <w:t xml:space="preserve">The payment mechanism for the extension, would continue the approach of the AIM4Forests programme to date by making payments to MPTF Office via a Promissory Note (PN). PNs enable </w:t>
      </w:r>
      <w:r w:rsidR="00C76DB6">
        <w:t xml:space="preserve">HMG </w:t>
      </w:r>
      <w:r>
        <w:t xml:space="preserve">to deliver finance </w:t>
      </w:r>
      <w:proofErr w:type="gramStart"/>
      <w:r>
        <w:t>on the basis of</w:t>
      </w:r>
      <w:proofErr w:type="gramEnd"/>
      <w:r>
        <w:t xml:space="preserve"> need, provide certainty for the UNDP MPTF and FAO (as principal delivery partner), to secure and contract </w:t>
      </w:r>
      <w:r>
        <w:lastRenderedPageBreak/>
        <w:t>downstream partners, while also enabling manageable accounting process for a large volume of funds. A PN of £</w:t>
      </w:r>
      <w:r w:rsidR="00A52A77">
        <w:t>1</w:t>
      </w:r>
      <w:r w:rsidR="00801DA7">
        <w:t>6</w:t>
      </w:r>
      <w:r>
        <w:t>.9m signed on behalf of DESNZ will be lodged with The Bank of England during the 2025/2026 Financial Year, naming the UNDP MPTF as beneficiary. </w:t>
      </w:r>
      <w:r w:rsidR="0042771C">
        <w:t>This will be made up of £</w:t>
      </w:r>
      <w:r w:rsidR="002144D1">
        <w:t>10.9m CDEL and £</w:t>
      </w:r>
      <w:r w:rsidR="00801DA7">
        <w:t>6</w:t>
      </w:r>
      <w:r w:rsidR="002144D1">
        <w:t xml:space="preserve">m RDEL. </w:t>
      </w:r>
      <w:r w:rsidR="00B31EBE">
        <w:t xml:space="preserve">The </w:t>
      </w:r>
      <w:r w:rsidR="002144D1">
        <w:t xml:space="preserve">schedule for the </w:t>
      </w:r>
      <w:r w:rsidR="00B31EBE">
        <w:t>remaining £</w:t>
      </w:r>
      <w:r w:rsidR="00801DA7">
        <w:t>4</w:t>
      </w:r>
      <w:r w:rsidR="0042771C">
        <w:t xml:space="preserve">m </w:t>
      </w:r>
      <w:r w:rsidR="002144D1">
        <w:t xml:space="preserve">RDEL </w:t>
      </w:r>
      <w:r w:rsidR="00316CD9">
        <w:t xml:space="preserve">will be determined </w:t>
      </w:r>
      <w:proofErr w:type="gramStart"/>
      <w:r w:rsidR="00822B3A">
        <w:t>at a later date</w:t>
      </w:r>
      <w:proofErr w:type="gramEnd"/>
      <w:r w:rsidR="00316CD9">
        <w:t xml:space="preserve"> (see section 4.2). </w:t>
      </w:r>
    </w:p>
    <w:p w14:paraId="7DA3642E" w14:textId="77777777" w:rsidR="00856041" w:rsidRPr="00E76A09" w:rsidRDefault="00856041" w:rsidP="004258E7">
      <w:pPr>
        <w:pStyle w:val="Style2"/>
        <w:ind w:left="0"/>
      </w:pPr>
      <w:r w:rsidRPr="00E76A09">
        <w:t>  </w:t>
      </w:r>
    </w:p>
    <w:p w14:paraId="35EE40D6" w14:textId="27620BBC" w:rsidR="00856041" w:rsidRPr="00E76A09" w:rsidRDefault="65CBBF49" w:rsidP="004258E7">
      <w:pPr>
        <w:pStyle w:val="Style2"/>
        <w:ind w:left="0"/>
      </w:pPr>
      <w:r w:rsidRPr="00E76A09">
        <w:t>Although promissory notes stipulate that the amount concerned, or any part of it, is payable on demand, the SAA already includes an indicative payment schedule. According to this schedule disbursements take place annually between March –April. The schedule sets out the amounts and dates of the payments that the beneficiary will request but will be subject to change by mutual agreement with both partners.  We would propose to combine any further funds for the programme into that payment schedule.</w:t>
      </w:r>
      <w:r w:rsidR="78DC4E64" w:rsidRPr="00E76A09">
        <w:t xml:space="preserve"> An indicative payment schedule for the PN of £1</w:t>
      </w:r>
      <w:r w:rsidR="00801DA7">
        <w:t>6</w:t>
      </w:r>
      <w:r w:rsidR="78DC4E64" w:rsidRPr="00E76A09">
        <w:t>.9 is set out below</w:t>
      </w:r>
      <w:r w:rsidR="00143333" w:rsidRPr="00E76A09">
        <w:t xml:space="preserve"> at Figure 5</w:t>
      </w:r>
      <w:r w:rsidR="78DC4E64" w:rsidRPr="00E76A09">
        <w:t xml:space="preserve">. </w:t>
      </w:r>
    </w:p>
    <w:p w14:paraId="294DEFF5" w14:textId="37355487" w:rsidR="7B059936" w:rsidRPr="00E76A09" w:rsidRDefault="7B059936" w:rsidP="7B059936">
      <w:pPr>
        <w:pStyle w:val="Style2"/>
        <w:ind w:left="0"/>
      </w:pPr>
    </w:p>
    <w:p w14:paraId="024C4B67" w14:textId="2DBFD5BE" w:rsidR="004E49AC" w:rsidRPr="00E76A09" w:rsidRDefault="004E49AC" w:rsidP="7B059936">
      <w:pPr>
        <w:pStyle w:val="Style2"/>
        <w:ind w:left="0"/>
        <w:rPr>
          <w:i/>
          <w:iCs/>
        </w:rPr>
      </w:pPr>
      <w:r w:rsidRPr="00E76A09">
        <w:rPr>
          <w:i/>
          <w:iCs/>
        </w:rPr>
        <w:t xml:space="preserve">Figure </w:t>
      </w:r>
      <w:r w:rsidR="001C5D61" w:rsidRPr="00E76A09">
        <w:rPr>
          <w:i/>
          <w:iCs/>
        </w:rPr>
        <w:t xml:space="preserve">5: Indicative encashment schedule for </w:t>
      </w:r>
      <w:r w:rsidR="006E5DC3" w:rsidRPr="00E76A09">
        <w:rPr>
          <w:i/>
          <w:iCs/>
        </w:rPr>
        <w:t>PN</w:t>
      </w:r>
    </w:p>
    <w:tbl>
      <w:tblPr>
        <w:tblStyle w:val="TableGrid"/>
        <w:tblW w:w="0" w:type="auto"/>
        <w:tblInd w:w="-5" w:type="dxa"/>
        <w:tblLook w:val="04A0" w:firstRow="1" w:lastRow="0" w:firstColumn="1" w:lastColumn="0" w:noHBand="0" w:noVBand="1"/>
      </w:tblPr>
      <w:tblGrid>
        <w:gridCol w:w="2694"/>
        <w:gridCol w:w="3260"/>
      </w:tblGrid>
      <w:tr w:rsidR="00992153" w:rsidRPr="00E76A09" w14:paraId="14605F07" w14:textId="77777777" w:rsidTr="004E49AC">
        <w:tc>
          <w:tcPr>
            <w:tcW w:w="2694" w:type="dxa"/>
          </w:tcPr>
          <w:p w14:paraId="409EA417" w14:textId="4C1CA007" w:rsidR="00992153" w:rsidRPr="00E76A09" w:rsidRDefault="00992153" w:rsidP="7B059936">
            <w:pPr>
              <w:pStyle w:val="Style2"/>
              <w:ind w:left="0"/>
              <w:rPr>
                <w:b/>
                <w:bCs/>
                <w:i/>
                <w:iCs/>
              </w:rPr>
            </w:pPr>
            <w:r w:rsidRPr="00E76A09">
              <w:rPr>
                <w:b/>
                <w:bCs/>
                <w:i/>
                <w:iCs/>
              </w:rPr>
              <w:t>Encashment Date</w:t>
            </w:r>
          </w:p>
        </w:tc>
        <w:tc>
          <w:tcPr>
            <w:tcW w:w="3260" w:type="dxa"/>
          </w:tcPr>
          <w:p w14:paraId="2109E9F0" w14:textId="7F08624E" w:rsidR="00992153" w:rsidRPr="00E76A09" w:rsidRDefault="00992153" w:rsidP="7B059936">
            <w:pPr>
              <w:pStyle w:val="Style2"/>
              <w:ind w:left="0"/>
              <w:rPr>
                <w:b/>
                <w:bCs/>
                <w:i/>
                <w:iCs/>
              </w:rPr>
            </w:pPr>
            <w:r w:rsidRPr="00E76A09">
              <w:rPr>
                <w:b/>
                <w:bCs/>
                <w:i/>
                <w:iCs/>
              </w:rPr>
              <w:t xml:space="preserve">Encashment Amount </w:t>
            </w:r>
          </w:p>
        </w:tc>
      </w:tr>
      <w:tr w:rsidR="00765020" w:rsidRPr="00E76A09" w14:paraId="4FEAA07C" w14:textId="77777777" w:rsidTr="004E49AC">
        <w:tc>
          <w:tcPr>
            <w:tcW w:w="2694" w:type="dxa"/>
          </w:tcPr>
          <w:p w14:paraId="26F70C18" w14:textId="3698AA86" w:rsidR="00765020" w:rsidRPr="00E76A09" w:rsidRDefault="00867DB5" w:rsidP="7B059936">
            <w:pPr>
              <w:pStyle w:val="Style2"/>
              <w:ind w:left="0"/>
            </w:pPr>
            <w:r w:rsidRPr="00E76A09">
              <w:t>April 2026</w:t>
            </w:r>
          </w:p>
        </w:tc>
        <w:tc>
          <w:tcPr>
            <w:tcW w:w="3260" w:type="dxa"/>
          </w:tcPr>
          <w:p w14:paraId="6E97C843" w14:textId="293EE4D4" w:rsidR="00765020" w:rsidRPr="00E76A09" w:rsidRDefault="00FF7242" w:rsidP="7B059936">
            <w:pPr>
              <w:pStyle w:val="Style2"/>
              <w:ind w:left="0"/>
            </w:pPr>
            <w:r w:rsidRPr="00E76A09">
              <w:t>£</w:t>
            </w:r>
            <w:r w:rsidR="005F07F9" w:rsidRPr="00E76A09">
              <w:t>2</w:t>
            </w:r>
            <w:r w:rsidR="00182A83">
              <w:t>.8</w:t>
            </w:r>
            <w:r w:rsidRPr="00E76A09">
              <w:t xml:space="preserve"> million</w:t>
            </w:r>
          </w:p>
        </w:tc>
      </w:tr>
      <w:tr w:rsidR="00765020" w:rsidRPr="00E76A09" w14:paraId="2F85A361" w14:textId="77777777" w:rsidTr="004E49AC">
        <w:tc>
          <w:tcPr>
            <w:tcW w:w="2694" w:type="dxa"/>
          </w:tcPr>
          <w:p w14:paraId="771B8F7B" w14:textId="739EC49A" w:rsidR="00765020" w:rsidRPr="00E76A09" w:rsidRDefault="00867DB5" w:rsidP="7B059936">
            <w:pPr>
              <w:pStyle w:val="Style2"/>
              <w:ind w:left="0"/>
            </w:pPr>
            <w:r w:rsidRPr="00E76A09">
              <w:t>April 2027</w:t>
            </w:r>
          </w:p>
        </w:tc>
        <w:tc>
          <w:tcPr>
            <w:tcW w:w="3260" w:type="dxa"/>
          </w:tcPr>
          <w:p w14:paraId="775C6B19" w14:textId="218996C7" w:rsidR="00765020" w:rsidRPr="00E76A09" w:rsidRDefault="00FF7242" w:rsidP="7B059936">
            <w:pPr>
              <w:pStyle w:val="Style2"/>
              <w:ind w:left="0"/>
            </w:pPr>
            <w:r w:rsidRPr="00E76A09">
              <w:t>£</w:t>
            </w:r>
            <w:r w:rsidR="00FE41F5">
              <w:t>3</w:t>
            </w:r>
            <w:r w:rsidR="00465AE3">
              <w:t>.4</w:t>
            </w:r>
            <w:r w:rsidRPr="00E76A09">
              <w:t xml:space="preserve"> million </w:t>
            </w:r>
          </w:p>
        </w:tc>
      </w:tr>
      <w:tr w:rsidR="00765020" w:rsidRPr="00E76A09" w14:paraId="582912B4" w14:textId="77777777" w:rsidTr="004E49AC">
        <w:tc>
          <w:tcPr>
            <w:tcW w:w="2694" w:type="dxa"/>
          </w:tcPr>
          <w:p w14:paraId="34D99F79" w14:textId="7BBC595F" w:rsidR="00765020" w:rsidRPr="00E76A09" w:rsidRDefault="00867DB5" w:rsidP="7B059936">
            <w:pPr>
              <w:pStyle w:val="Style2"/>
              <w:ind w:left="0"/>
            </w:pPr>
            <w:r w:rsidRPr="00E76A09">
              <w:t xml:space="preserve">April </w:t>
            </w:r>
            <w:r w:rsidR="00490D9D" w:rsidRPr="00E76A09">
              <w:t>2028</w:t>
            </w:r>
          </w:p>
        </w:tc>
        <w:tc>
          <w:tcPr>
            <w:tcW w:w="3260" w:type="dxa"/>
          </w:tcPr>
          <w:p w14:paraId="1BC7B9A1" w14:textId="06322D78" w:rsidR="00765020" w:rsidRPr="00E76A09" w:rsidRDefault="00227B38" w:rsidP="7B059936">
            <w:pPr>
              <w:pStyle w:val="Style2"/>
              <w:ind w:left="0"/>
            </w:pPr>
            <w:r w:rsidRPr="00E76A09">
              <w:t>£</w:t>
            </w:r>
            <w:r w:rsidR="00FE41F5">
              <w:t>4</w:t>
            </w:r>
            <w:r w:rsidR="00465AE3">
              <w:t>.3</w:t>
            </w:r>
            <w:r w:rsidRPr="00E76A09">
              <w:t xml:space="preserve"> million </w:t>
            </w:r>
          </w:p>
        </w:tc>
      </w:tr>
      <w:tr w:rsidR="00765020" w:rsidRPr="00E76A09" w14:paraId="42511AC9" w14:textId="77777777" w:rsidTr="004E49AC">
        <w:tc>
          <w:tcPr>
            <w:tcW w:w="2694" w:type="dxa"/>
          </w:tcPr>
          <w:p w14:paraId="3ABF6C97" w14:textId="7E5492C8" w:rsidR="00765020" w:rsidRPr="00E76A09" w:rsidRDefault="00490D9D" w:rsidP="7B059936">
            <w:pPr>
              <w:pStyle w:val="Style2"/>
              <w:ind w:left="0"/>
            </w:pPr>
            <w:r w:rsidRPr="00E76A09">
              <w:t xml:space="preserve">April 2029 </w:t>
            </w:r>
          </w:p>
        </w:tc>
        <w:tc>
          <w:tcPr>
            <w:tcW w:w="3260" w:type="dxa"/>
          </w:tcPr>
          <w:p w14:paraId="5CB5B798" w14:textId="1179FA48" w:rsidR="00765020" w:rsidRPr="00E76A09" w:rsidRDefault="00992153" w:rsidP="7B059936">
            <w:pPr>
              <w:pStyle w:val="Style2"/>
              <w:ind w:left="0"/>
            </w:pPr>
            <w:r w:rsidRPr="00E76A09">
              <w:t>£</w:t>
            </w:r>
            <w:r w:rsidR="00465AE3">
              <w:t>3.6</w:t>
            </w:r>
            <w:r w:rsidR="00F0711F" w:rsidRPr="00E76A09">
              <w:t xml:space="preserve"> million</w:t>
            </w:r>
          </w:p>
        </w:tc>
      </w:tr>
      <w:tr w:rsidR="00765020" w:rsidRPr="00E76A09" w14:paraId="1BFA2C73" w14:textId="77777777" w:rsidTr="004E49AC">
        <w:tc>
          <w:tcPr>
            <w:tcW w:w="2694" w:type="dxa"/>
          </w:tcPr>
          <w:p w14:paraId="3C7D5F52" w14:textId="3C4A9BED" w:rsidR="00765020" w:rsidRPr="00E76A09" w:rsidRDefault="00490D9D" w:rsidP="7B059936">
            <w:pPr>
              <w:pStyle w:val="Style2"/>
              <w:ind w:left="0"/>
            </w:pPr>
            <w:r w:rsidRPr="00E76A09">
              <w:t xml:space="preserve">April 2030 </w:t>
            </w:r>
          </w:p>
        </w:tc>
        <w:tc>
          <w:tcPr>
            <w:tcW w:w="3260" w:type="dxa"/>
          </w:tcPr>
          <w:p w14:paraId="30BE9F83" w14:textId="30978084" w:rsidR="00765020" w:rsidRPr="00E76A09" w:rsidRDefault="00F0711F" w:rsidP="7B059936">
            <w:pPr>
              <w:pStyle w:val="Style2"/>
              <w:ind w:left="0"/>
            </w:pPr>
            <w:r w:rsidRPr="00E76A09">
              <w:t>£</w:t>
            </w:r>
            <w:r w:rsidR="00465AE3">
              <w:t>2.8</w:t>
            </w:r>
            <w:r w:rsidRPr="00E76A09">
              <w:t xml:space="preserve"> million </w:t>
            </w:r>
          </w:p>
        </w:tc>
      </w:tr>
    </w:tbl>
    <w:p w14:paraId="09F0BF49" w14:textId="77777777" w:rsidR="007E5C76" w:rsidRPr="00E76A09" w:rsidRDefault="007E5C76" w:rsidP="7B059936">
      <w:pPr>
        <w:pStyle w:val="Style2"/>
        <w:ind w:left="0"/>
      </w:pPr>
    </w:p>
    <w:p w14:paraId="0876821E" w14:textId="3DD9822D" w:rsidR="007E5C76" w:rsidRPr="00E76A09" w:rsidRDefault="007E5C76" w:rsidP="7B059936">
      <w:pPr>
        <w:pStyle w:val="Style2"/>
        <w:ind w:left="0"/>
      </w:pPr>
      <w:r w:rsidRPr="00E76A09">
        <w:t xml:space="preserve">If additional RDEL funding did become available in future, we could include </w:t>
      </w:r>
      <w:r w:rsidR="00EF02DA" w:rsidRPr="00E76A09">
        <w:t>any additional</w:t>
      </w:r>
      <w:r w:rsidR="00E11260" w:rsidRPr="00E76A09">
        <w:t xml:space="preserve"> funding in the indicative payment schedule set out above. </w:t>
      </w:r>
    </w:p>
    <w:p w14:paraId="595968F8" w14:textId="77777777" w:rsidR="00415FF7" w:rsidRPr="00E76A09" w:rsidRDefault="00415FF7" w:rsidP="00856041">
      <w:pPr>
        <w:pStyle w:val="Style2"/>
      </w:pPr>
    </w:p>
    <w:p w14:paraId="1981DF2B" w14:textId="3BD0966F" w:rsidR="00856041" w:rsidRPr="00E76A09" w:rsidRDefault="00856041" w:rsidP="00856041">
      <w:pPr>
        <w:pStyle w:val="Style2"/>
        <w:ind w:left="0"/>
        <w:rPr>
          <w:b/>
          <w:bCs/>
          <w:i/>
          <w:iCs/>
          <w:sz w:val="24"/>
          <w:szCs w:val="24"/>
        </w:rPr>
      </w:pPr>
      <w:r w:rsidRPr="00E76A09">
        <w:rPr>
          <w:b/>
          <w:bCs/>
          <w:i/>
          <w:iCs/>
          <w:sz w:val="24"/>
          <w:szCs w:val="24"/>
        </w:rPr>
        <w:t xml:space="preserve">4.2 Budget arrangements and business planning </w:t>
      </w:r>
    </w:p>
    <w:p w14:paraId="6F1B75C9" w14:textId="63A071FA" w:rsidR="00F944AB" w:rsidRPr="00E76A09" w:rsidRDefault="004E04DD" w:rsidP="007B73C9">
      <w:pPr>
        <w:pStyle w:val="Style2"/>
        <w:ind w:left="0"/>
      </w:pPr>
      <w:r w:rsidRPr="00E76A09">
        <w:t>The majority of s</w:t>
      </w:r>
      <w:r w:rsidR="00F944AB" w:rsidRPr="00E76A09">
        <w:t>pend for this extension</w:t>
      </w:r>
      <w:r w:rsidRPr="00E76A09">
        <w:t>(£1</w:t>
      </w:r>
      <w:r w:rsidR="00FE60A8">
        <w:t>6</w:t>
      </w:r>
      <w:r w:rsidRPr="00E76A09">
        <w:t>.9m),</w:t>
      </w:r>
      <w:r w:rsidR="00F944AB" w:rsidRPr="00E76A09">
        <w:t xml:space="preserve"> will take place in this financial year (FY 25/26)</w:t>
      </w:r>
      <w:r w:rsidR="00633E29" w:rsidRPr="00E76A09">
        <w:t xml:space="preserve"> and is within the ICF SR25 budget</w:t>
      </w:r>
      <w:r w:rsidRPr="00E76A09">
        <w:t>.</w:t>
      </w:r>
      <w:r w:rsidR="00F944AB" w:rsidRPr="00E76A09">
        <w:t xml:space="preserve"> </w:t>
      </w:r>
      <w:r w:rsidRPr="00E76A09">
        <w:t xml:space="preserve"> During business case development, </w:t>
      </w:r>
      <w:r w:rsidR="005A2C79" w:rsidRPr="00E76A09">
        <w:t>external pressures on RDEL budget mean that £</w:t>
      </w:r>
      <w:r w:rsidR="00FE60A8">
        <w:t>4</w:t>
      </w:r>
      <w:r w:rsidR="005A2C79" w:rsidRPr="00E76A09">
        <w:t xml:space="preserve">m of planned AIM RDEL is </w:t>
      </w:r>
      <w:r w:rsidR="0035238C" w:rsidRPr="00E76A09">
        <w:t xml:space="preserve">no longer profiled within the FY25/26 </w:t>
      </w:r>
      <w:r w:rsidR="007B73C9" w:rsidRPr="00E76A09">
        <w:t>financial year</w:t>
      </w:r>
      <w:r w:rsidR="0035238C" w:rsidRPr="00E76A09">
        <w:t xml:space="preserve">. </w:t>
      </w:r>
      <w:r w:rsidR="00F944AB" w:rsidRPr="00E76A09">
        <w:t>AIM4Forests is a priority programme within the ICF pipeline</w:t>
      </w:r>
      <w:r w:rsidR="00633E29" w:rsidRPr="00E76A09">
        <w:t>, and should further RDEL funding become available, w</w:t>
      </w:r>
      <w:r w:rsidR="00F65924" w:rsidRPr="00E76A09">
        <w:t xml:space="preserve">ill be amongst the priority considerations for that funding. </w:t>
      </w:r>
      <w:r w:rsidR="00EF0748" w:rsidRPr="00E76A09">
        <w:t xml:space="preserve">At this point in time, the </w:t>
      </w:r>
      <w:r w:rsidR="00CE1A60" w:rsidRPr="00E76A09">
        <w:t xml:space="preserve">strategic and economic case for the full AIM4Forests extension still stand, and </w:t>
      </w:r>
      <w:r w:rsidR="00964675" w:rsidRPr="00E76A09">
        <w:t xml:space="preserve">the business case continues to seek </w:t>
      </w:r>
      <w:r w:rsidR="00032EC2" w:rsidRPr="00E76A09">
        <w:t>provisional approval</w:t>
      </w:r>
      <w:r w:rsidR="00964675" w:rsidRPr="00E76A09">
        <w:t xml:space="preserve"> for the full £20.9m, to allow for the take-up of additional budget should it become available. </w:t>
      </w:r>
      <w:r w:rsidR="00F944AB" w:rsidRPr="00E76A09">
        <w:t xml:space="preserve"> </w:t>
      </w:r>
    </w:p>
    <w:p w14:paraId="32A218A0" w14:textId="77777777" w:rsidR="007B73C9" w:rsidRPr="00E76A09" w:rsidRDefault="007B73C9" w:rsidP="007B73C9">
      <w:pPr>
        <w:pStyle w:val="Style2"/>
        <w:ind w:left="0"/>
      </w:pPr>
    </w:p>
    <w:p w14:paraId="77F5CB5C" w14:textId="7EA70134" w:rsidR="3CF834DB" w:rsidRPr="00E76A09" w:rsidRDefault="02471ED3" w:rsidP="007B73C9">
      <w:pPr>
        <w:pStyle w:val="Style2"/>
        <w:ind w:left="0"/>
      </w:pPr>
      <w:r w:rsidRPr="00E76A09">
        <w:t>While further funding needs (£</w:t>
      </w:r>
      <w:r w:rsidR="00FE60A8">
        <w:t>4</w:t>
      </w:r>
      <w:r w:rsidRPr="00E76A09">
        <w:t xml:space="preserve">m RDEL) may be made available, this cannot be guaranteed at the point of writing this extension Business Case. If further funding is not available, the programme will undertake a review </w:t>
      </w:r>
      <w:r w:rsidR="7D1E9E78" w:rsidRPr="00E76A09">
        <w:t xml:space="preserve">to reconsider pipeline planning and reprioritise existing available budgets where needed accordingly. </w:t>
      </w:r>
      <w:r w:rsidR="2E5EF838" w:rsidRPr="00E76A09">
        <w:t>With such programme review and planning, and the additional £</w:t>
      </w:r>
      <w:r w:rsidR="00FE60A8">
        <w:t>6</w:t>
      </w:r>
      <w:r w:rsidR="2E5EF838" w:rsidRPr="00E76A09">
        <w:t xml:space="preserve">m RDEL </w:t>
      </w:r>
      <w:r w:rsidR="6C5B3A42" w:rsidRPr="00E76A09">
        <w:t xml:space="preserve">that is </w:t>
      </w:r>
      <w:r w:rsidR="2E5EF838" w:rsidRPr="00E76A09">
        <w:t>available for country work</w:t>
      </w:r>
      <w:r w:rsidR="04C14466" w:rsidRPr="00E76A09">
        <w:t xml:space="preserve"> now</w:t>
      </w:r>
      <w:r w:rsidR="2E5EF838" w:rsidRPr="00E76A09">
        <w:t xml:space="preserve">, it is expected that the programme will be able to deliver. </w:t>
      </w:r>
      <w:r w:rsidR="53AF802A" w:rsidRPr="00E76A09">
        <w:t>In this instance, t</w:t>
      </w:r>
      <w:r w:rsidR="7D1E9E78" w:rsidRPr="00E76A09">
        <w:t xml:space="preserve">he Programme Management Team will take every ambition to </w:t>
      </w:r>
      <w:r w:rsidR="0C155EB5" w:rsidRPr="00E76A09">
        <w:t>achieve</w:t>
      </w:r>
      <w:r w:rsidR="7D1E9E78" w:rsidRPr="00E76A09">
        <w:t xml:space="preserve"> the same </w:t>
      </w:r>
      <w:r w:rsidR="7A4D9F99" w:rsidRPr="00E76A09">
        <w:t xml:space="preserve">(/very similar) </w:t>
      </w:r>
      <w:r w:rsidR="7D1E9E78" w:rsidRPr="00E76A09">
        <w:t>end of programme results, however, this may need to be adapted depending on overall funding</w:t>
      </w:r>
      <w:r w:rsidR="48DC62E7" w:rsidRPr="00E76A09">
        <w:t xml:space="preserve"> and potentially scaled back</w:t>
      </w:r>
      <w:r w:rsidR="7D1E9E78" w:rsidRPr="00E76A09">
        <w:t xml:space="preserve">. </w:t>
      </w:r>
    </w:p>
    <w:p w14:paraId="2CE49DAD" w14:textId="77777777" w:rsidR="00415FF7" w:rsidRPr="00E76A09" w:rsidRDefault="00415FF7" w:rsidP="00856041">
      <w:pPr>
        <w:pStyle w:val="Style2"/>
      </w:pPr>
    </w:p>
    <w:p w14:paraId="1671A967" w14:textId="0E9CAEA2" w:rsidR="00F944AB" w:rsidRPr="00E76A09" w:rsidRDefault="00F944AB" w:rsidP="00F944AB">
      <w:pPr>
        <w:pStyle w:val="Style2"/>
        <w:ind w:left="0"/>
        <w:rPr>
          <w:b/>
          <w:bCs/>
          <w:i/>
          <w:iCs/>
          <w:sz w:val="24"/>
          <w:szCs w:val="24"/>
        </w:rPr>
      </w:pPr>
      <w:r w:rsidRPr="00E76A09">
        <w:rPr>
          <w:b/>
          <w:bCs/>
          <w:i/>
          <w:iCs/>
          <w:sz w:val="24"/>
          <w:szCs w:val="24"/>
        </w:rPr>
        <w:t xml:space="preserve">4.3 Financial risk </w:t>
      </w:r>
    </w:p>
    <w:p w14:paraId="2A6E44DA" w14:textId="77777777" w:rsidR="006E5DC3" w:rsidRPr="00E76A09" w:rsidRDefault="00F944AB" w:rsidP="004258E7">
      <w:pPr>
        <w:tabs>
          <w:tab w:val="right" w:leader="dot" w:pos="9710"/>
        </w:tabs>
        <w:spacing w:before="0" w:after="0" w:line="240" w:lineRule="auto"/>
        <w:rPr>
          <w:sz w:val="22"/>
          <w:szCs w:val="22"/>
        </w:rPr>
      </w:pPr>
      <w:r w:rsidRPr="00E76A09">
        <w:rPr>
          <w:sz w:val="22"/>
          <w:szCs w:val="22"/>
        </w:rPr>
        <w:t xml:space="preserve">The table at Figure </w:t>
      </w:r>
      <w:r w:rsidR="00143333" w:rsidRPr="00E76A09">
        <w:rPr>
          <w:sz w:val="22"/>
          <w:szCs w:val="22"/>
        </w:rPr>
        <w:t>6</w:t>
      </w:r>
      <w:r w:rsidRPr="00E76A09">
        <w:rPr>
          <w:sz w:val="22"/>
          <w:szCs w:val="22"/>
        </w:rPr>
        <w:t xml:space="preserve"> below summarises key financial risks and mitigation plans. </w:t>
      </w:r>
      <w:r w:rsidR="000A2441" w:rsidRPr="00E76A09">
        <w:rPr>
          <w:sz w:val="22"/>
          <w:szCs w:val="22"/>
        </w:rPr>
        <w:t>Overall,</w:t>
      </w:r>
      <w:r w:rsidRPr="00E76A09">
        <w:rPr>
          <w:sz w:val="22"/>
          <w:szCs w:val="22"/>
        </w:rPr>
        <w:t xml:space="preserve"> the financial risk level is moderate.</w:t>
      </w:r>
    </w:p>
    <w:p w14:paraId="2A624933" w14:textId="0C68C585" w:rsidR="00A23A2E" w:rsidRPr="00E76A09" w:rsidRDefault="00F944AB" w:rsidP="004258E7">
      <w:pPr>
        <w:tabs>
          <w:tab w:val="right" w:leader="dot" w:pos="9710"/>
        </w:tabs>
        <w:spacing w:before="0" w:after="0" w:line="240" w:lineRule="auto"/>
        <w:rPr>
          <w:sz w:val="22"/>
          <w:szCs w:val="22"/>
        </w:rPr>
      </w:pPr>
      <w:r w:rsidRPr="00E76A09">
        <w:rPr>
          <w:sz w:val="22"/>
          <w:szCs w:val="22"/>
        </w:rPr>
        <w:t xml:space="preserve"> </w:t>
      </w:r>
    </w:p>
    <w:p w14:paraId="17EF101C" w14:textId="0DAB0C9D" w:rsidR="00F944AB" w:rsidRPr="00E76A09" w:rsidRDefault="006E5DC3" w:rsidP="006E5DC3">
      <w:pPr>
        <w:tabs>
          <w:tab w:val="right" w:leader="dot" w:pos="9710"/>
        </w:tabs>
        <w:spacing w:before="0" w:after="0" w:line="240" w:lineRule="auto"/>
        <w:rPr>
          <w:i/>
          <w:iCs/>
          <w:sz w:val="22"/>
          <w:szCs w:val="22"/>
        </w:rPr>
      </w:pPr>
      <w:r w:rsidRPr="00E76A09">
        <w:rPr>
          <w:i/>
          <w:iCs/>
          <w:sz w:val="22"/>
          <w:szCs w:val="22"/>
        </w:rPr>
        <w:t xml:space="preserve">Figure 6: Table of key financial risks and associated mitigations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305"/>
        <w:gridCol w:w="1035"/>
        <w:gridCol w:w="1293"/>
        <w:gridCol w:w="4765"/>
      </w:tblGrid>
      <w:tr w:rsidR="009E506D" w:rsidRPr="00E76A09" w14:paraId="12F291AC" w14:textId="77777777" w:rsidTr="089EE967">
        <w:trPr>
          <w:trHeight w:val="30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hideMark/>
          </w:tcPr>
          <w:p w14:paraId="75C01F61" w14:textId="58F82605" w:rsidR="006B63F2" w:rsidRPr="00E76A09" w:rsidRDefault="006B63F2" w:rsidP="006B63F2">
            <w:pPr>
              <w:tabs>
                <w:tab w:val="right" w:leader="dot" w:pos="9710"/>
              </w:tabs>
              <w:spacing w:before="0" w:after="0" w:line="240" w:lineRule="auto"/>
              <w:rPr>
                <w:b/>
                <w:bCs/>
                <w:sz w:val="22"/>
                <w:szCs w:val="22"/>
              </w:rPr>
            </w:pPr>
            <w:r w:rsidRPr="00E76A09">
              <w:rPr>
                <w:b/>
                <w:bCs/>
                <w:sz w:val="22"/>
                <w:szCs w:val="22"/>
              </w:rPr>
              <w:t>Risk summary</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hideMark/>
          </w:tcPr>
          <w:p w14:paraId="6680BFA0" w14:textId="42D776F1" w:rsidR="006B63F2" w:rsidRPr="00E76A09" w:rsidRDefault="006B63F2" w:rsidP="006B63F2">
            <w:pPr>
              <w:tabs>
                <w:tab w:val="right" w:leader="dot" w:pos="9710"/>
              </w:tabs>
              <w:spacing w:before="0" w:after="0" w:line="240" w:lineRule="auto"/>
              <w:rPr>
                <w:b/>
                <w:bCs/>
                <w:sz w:val="22"/>
                <w:szCs w:val="22"/>
              </w:rPr>
            </w:pPr>
            <w:r w:rsidRPr="00E76A09">
              <w:rPr>
                <w:b/>
                <w:bCs/>
                <w:sz w:val="22"/>
                <w:szCs w:val="22"/>
              </w:rPr>
              <w:t>Likelihood</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hideMark/>
          </w:tcPr>
          <w:p w14:paraId="744452D6" w14:textId="5EFACF52" w:rsidR="006B63F2" w:rsidRPr="00E76A09" w:rsidRDefault="006B63F2" w:rsidP="006B63F2">
            <w:pPr>
              <w:tabs>
                <w:tab w:val="right" w:leader="dot" w:pos="9710"/>
              </w:tabs>
              <w:spacing w:before="0" w:after="0" w:line="240" w:lineRule="auto"/>
              <w:rPr>
                <w:b/>
                <w:bCs/>
                <w:sz w:val="22"/>
                <w:szCs w:val="22"/>
              </w:rPr>
            </w:pPr>
            <w:r w:rsidRPr="00E76A09">
              <w:rPr>
                <w:b/>
                <w:bCs/>
                <w:sz w:val="22"/>
                <w:szCs w:val="22"/>
              </w:rPr>
              <w:t>Impact</w:t>
            </w:r>
          </w:p>
        </w:tc>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hideMark/>
          </w:tcPr>
          <w:p w14:paraId="7C2AC34A" w14:textId="56F05979" w:rsidR="006B63F2" w:rsidRPr="00E76A09" w:rsidRDefault="006B63F2" w:rsidP="006B63F2">
            <w:pPr>
              <w:tabs>
                <w:tab w:val="right" w:leader="dot" w:pos="9710"/>
              </w:tabs>
              <w:spacing w:before="0" w:after="0" w:line="240" w:lineRule="auto"/>
              <w:rPr>
                <w:b/>
                <w:bCs/>
                <w:sz w:val="22"/>
                <w:szCs w:val="22"/>
              </w:rPr>
            </w:pPr>
            <w:r w:rsidRPr="00E76A09">
              <w:rPr>
                <w:b/>
                <w:bCs/>
                <w:sz w:val="22"/>
                <w:szCs w:val="22"/>
              </w:rPr>
              <w:t>Level</w:t>
            </w:r>
          </w:p>
        </w:tc>
        <w:tc>
          <w:tcPr>
            <w:tcW w:w="4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hideMark/>
          </w:tcPr>
          <w:p w14:paraId="0F92EF4A" w14:textId="5DA56B3F" w:rsidR="006B63F2" w:rsidRPr="00E76A09" w:rsidRDefault="006B63F2" w:rsidP="006B63F2">
            <w:pPr>
              <w:tabs>
                <w:tab w:val="right" w:leader="dot" w:pos="9710"/>
              </w:tabs>
              <w:spacing w:before="0" w:after="0" w:line="240" w:lineRule="auto"/>
              <w:rPr>
                <w:b/>
                <w:bCs/>
                <w:sz w:val="22"/>
                <w:szCs w:val="22"/>
              </w:rPr>
            </w:pPr>
            <w:r w:rsidRPr="00E76A09">
              <w:rPr>
                <w:b/>
                <w:bCs/>
                <w:sz w:val="22"/>
                <w:szCs w:val="22"/>
              </w:rPr>
              <w:t>Mitigation Plan</w:t>
            </w:r>
          </w:p>
        </w:tc>
      </w:tr>
      <w:tr w:rsidR="009E506D" w:rsidRPr="00E76A09" w14:paraId="41C439A3" w14:textId="77777777" w:rsidTr="089EE967">
        <w:trPr>
          <w:trHeight w:val="30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1EEB4A" w14:textId="6C0ED89D" w:rsidR="00647662" w:rsidRPr="00E76A09" w:rsidRDefault="00647662" w:rsidP="006B63F2">
            <w:pPr>
              <w:tabs>
                <w:tab w:val="right" w:leader="dot" w:pos="9710"/>
              </w:tabs>
              <w:spacing w:before="0" w:after="0" w:line="240" w:lineRule="auto"/>
              <w:rPr>
                <w:sz w:val="22"/>
                <w:szCs w:val="22"/>
              </w:rPr>
            </w:pPr>
            <w:r w:rsidRPr="00E76A09">
              <w:rPr>
                <w:sz w:val="22"/>
                <w:szCs w:val="22"/>
              </w:rPr>
              <w:t>Additional funding does not become available</w:t>
            </w:r>
            <w:r w:rsidR="00983A24" w:rsidRPr="00E76A09">
              <w:rPr>
                <w:sz w:val="22"/>
                <w:szCs w:val="22"/>
              </w:rPr>
              <w:t xml:space="preserve"> to meet budget shortfall</w:t>
            </w:r>
            <w:r w:rsidRPr="00E76A09">
              <w:rPr>
                <w:sz w:val="22"/>
                <w:szCs w:val="22"/>
              </w:rPr>
              <w:t xml:space="preserve">.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F1DD" w:themeFill="accent3" w:themeFillTint="33"/>
          </w:tcPr>
          <w:p w14:paraId="7B355124" w14:textId="27EAE6C7" w:rsidR="00647662" w:rsidRPr="00E76A09" w:rsidRDefault="009E506D" w:rsidP="005F256B">
            <w:pPr>
              <w:tabs>
                <w:tab w:val="right" w:leader="dot" w:pos="9710"/>
              </w:tabs>
              <w:spacing w:before="0" w:after="0" w:line="240" w:lineRule="auto"/>
              <w:rPr>
                <w:sz w:val="22"/>
                <w:szCs w:val="22"/>
              </w:rPr>
            </w:pPr>
            <w:r w:rsidRPr="00E76A09">
              <w:rPr>
                <w:sz w:val="22"/>
                <w:szCs w:val="22"/>
              </w:rPr>
              <w:t>Likely</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76DB6C" w14:textId="2240EE49" w:rsidR="00647662" w:rsidRPr="00E76A09" w:rsidRDefault="00647662" w:rsidP="007B73C9">
            <w:pPr>
              <w:tabs>
                <w:tab w:val="right" w:leader="dot" w:pos="9710"/>
              </w:tabs>
              <w:spacing w:before="0" w:after="0" w:line="240" w:lineRule="auto"/>
              <w:rPr>
                <w:sz w:val="22"/>
                <w:szCs w:val="22"/>
              </w:rPr>
            </w:pPr>
            <w:r w:rsidRPr="00E76A09">
              <w:rPr>
                <w:sz w:val="22"/>
                <w:szCs w:val="22"/>
              </w:rPr>
              <w:t>M</w:t>
            </w:r>
            <w:r w:rsidR="004A1274" w:rsidRPr="00E76A09">
              <w:rPr>
                <w:sz w:val="22"/>
                <w:szCs w:val="22"/>
              </w:rPr>
              <w:t>ajor</w:t>
            </w:r>
          </w:p>
        </w:tc>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C9620" w14:textId="176C0C3D" w:rsidR="00647662" w:rsidRPr="00E76A09" w:rsidRDefault="00EF3D9A" w:rsidP="006B63F2">
            <w:pPr>
              <w:tabs>
                <w:tab w:val="right" w:leader="dot" w:pos="9710"/>
              </w:tabs>
              <w:spacing w:before="0" w:after="0" w:line="240" w:lineRule="auto"/>
              <w:rPr>
                <w:sz w:val="22"/>
                <w:szCs w:val="22"/>
              </w:rPr>
            </w:pPr>
            <w:r w:rsidRPr="00E76A09">
              <w:rPr>
                <w:sz w:val="22"/>
                <w:szCs w:val="22"/>
              </w:rPr>
              <w:t xml:space="preserve">Major </w:t>
            </w:r>
          </w:p>
        </w:tc>
        <w:tc>
          <w:tcPr>
            <w:tcW w:w="4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A825F1" w14:textId="65C0F3CB" w:rsidR="00647662" w:rsidRPr="00E76A09" w:rsidRDefault="00C331AE" w:rsidP="006B63F2">
            <w:pPr>
              <w:tabs>
                <w:tab w:val="right" w:leader="dot" w:pos="9710"/>
              </w:tabs>
              <w:spacing w:before="0" w:after="0" w:line="240" w:lineRule="auto"/>
              <w:rPr>
                <w:sz w:val="22"/>
                <w:szCs w:val="22"/>
              </w:rPr>
            </w:pPr>
            <w:r w:rsidRPr="00E76A09">
              <w:rPr>
                <w:sz w:val="22"/>
                <w:szCs w:val="22"/>
              </w:rPr>
              <w:t>Sufficient funding is in place for FY26</w:t>
            </w:r>
            <w:r w:rsidR="28888753" w:rsidRPr="00E76A09">
              <w:rPr>
                <w:sz w:val="22"/>
                <w:szCs w:val="22"/>
              </w:rPr>
              <w:t>/27</w:t>
            </w:r>
            <w:r w:rsidRPr="00E76A09">
              <w:rPr>
                <w:sz w:val="22"/>
                <w:szCs w:val="22"/>
              </w:rPr>
              <w:t xml:space="preserve">, at which point, should further funding </w:t>
            </w:r>
            <w:r w:rsidR="77AD5EF6" w:rsidRPr="00E76A09">
              <w:rPr>
                <w:sz w:val="22"/>
                <w:szCs w:val="22"/>
              </w:rPr>
              <w:t>have not</w:t>
            </w:r>
            <w:r w:rsidR="003461C8" w:rsidRPr="00E76A09">
              <w:rPr>
                <w:sz w:val="22"/>
                <w:szCs w:val="22"/>
              </w:rPr>
              <w:t xml:space="preserve"> been made</w:t>
            </w:r>
            <w:r w:rsidRPr="00E76A09">
              <w:rPr>
                <w:sz w:val="22"/>
                <w:szCs w:val="22"/>
              </w:rPr>
              <w:t xml:space="preserve"> available, the programme will undertake a review </w:t>
            </w:r>
            <w:r w:rsidR="003461C8" w:rsidRPr="00E76A09">
              <w:rPr>
                <w:sz w:val="22"/>
                <w:szCs w:val="22"/>
              </w:rPr>
              <w:t>to</w:t>
            </w:r>
            <w:r w:rsidRPr="00E76A09">
              <w:rPr>
                <w:sz w:val="22"/>
                <w:szCs w:val="22"/>
              </w:rPr>
              <w:t xml:space="preserve"> reconsider pipeline planning </w:t>
            </w:r>
            <w:r w:rsidR="00423BBE" w:rsidRPr="00E76A09">
              <w:rPr>
                <w:sz w:val="22"/>
                <w:szCs w:val="22"/>
              </w:rPr>
              <w:t xml:space="preserve">and reprioritise budgets </w:t>
            </w:r>
            <w:r w:rsidR="00983A24" w:rsidRPr="00E76A09">
              <w:rPr>
                <w:sz w:val="22"/>
                <w:szCs w:val="22"/>
              </w:rPr>
              <w:t xml:space="preserve">accordingly. </w:t>
            </w:r>
            <w:r w:rsidR="4CE89F64" w:rsidRPr="00E76A09">
              <w:rPr>
                <w:sz w:val="22"/>
                <w:szCs w:val="22"/>
              </w:rPr>
              <w:t xml:space="preserve">This will be planned for discussion at, </w:t>
            </w:r>
            <w:r w:rsidR="4CE89F64" w:rsidRPr="00E76A09">
              <w:rPr>
                <w:sz w:val="22"/>
                <w:szCs w:val="22"/>
              </w:rPr>
              <w:lastRenderedPageBreak/>
              <w:t xml:space="preserve">and in the lead up to, the </w:t>
            </w:r>
            <w:r w:rsidR="004C56EB" w:rsidRPr="00E76A09">
              <w:rPr>
                <w:sz w:val="22"/>
                <w:szCs w:val="22"/>
              </w:rPr>
              <w:t xml:space="preserve">Steering Committee meeting in late 2026. </w:t>
            </w:r>
          </w:p>
        </w:tc>
      </w:tr>
      <w:tr w:rsidR="009E506D" w:rsidRPr="00E76A09" w14:paraId="562B95BA" w14:textId="77777777" w:rsidTr="089EE967">
        <w:trPr>
          <w:trHeight w:val="30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CB3844" w14:textId="2E102621" w:rsidR="006B63F2" w:rsidRPr="00E76A09" w:rsidRDefault="006B63F2" w:rsidP="006B63F2">
            <w:pPr>
              <w:tabs>
                <w:tab w:val="right" w:leader="dot" w:pos="9710"/>
              </w:tabs>
              <w:spacing w:before="0" w:after="0" w:line="240" w:lineRule="auto"/>
              <w:rPr>
                <w:sz w:val="22"/>
                <w:szCs w:val="22"/>
              </w:rPr>
            </w:pPr>
            <w:r w:rsidRPr="00E76A09">
              <w:rPr>
                <w:sz w:val="22"/>
                <w:szCs w:val="22"/>
              </w:rPr>
              <w:lastRenderedPageBreak/>
              <w:t>Funds are not used for their intended purposes</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F1DD" w:themeFill="accent3" w:themeFillTint="33"/>
            <w:hideMark/>
          </w:tcPr>
          <w:p w14:paraId="553A7F2A" w14:textId="571615B4" w:rsidR="006B63F2" w:rsidRPr="00E76A09" w:rsidRDefault="00EC4F33" w:rsidP="007B73C9">
            <w:pPr>
              <w:tabs>
                <w:tab w:val="right" w:leader="dot" w:pos="9710"/>
              </w:tabs>
              <w:spacing w:before="0" w:after="0" w:line="240" w:lineRule="auto"/>
              <w:rPr>
                <w:sz w:val="22"/>
                <w:szCs w:val="22"/>
              </w:rPr>
            </w:pPr>
            <w:r w:rsidRPr="00E76A09">
              <w:rPr>
                <w:sz w:val="22"/>
                <w:szCs w:val="22"/>
              </w:rPr>
              <w:t>Moderate</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02D4ED7" w14:textId="685C6154" w:rsidR="006B63F2" w:rsidRPr="00E76A09" w:rsidRDefault="006B63F2" w:rsidP="007B73C9">
            <w:pPr>
              <w:tabs>
                <w:tab w:val="right" w:leader="dot" w:pos="9710"/>
              </w:tabs>
              <w:spacing w:before="0" w:after="0" w:line="240" w:lineRule="auto"/>
              <w:rPr>
                <w:sz w:val="22"/>
                <w:szCs w:val="22"/>
              </w:rPr>
            </w:pPr>
            <w:r w:rsidRPr="00E76A09">
              <w:rPr>
                <w:sz w:val="22"/>
                <w:szCs w:val="22"/>
              </w:rPr>
              <w:t>M</w:t>
            </w:r>
            <w:r w:rsidR="00E74F7A" w:rsidRPr="00E76A09">
              <w:rPr>
                <w:sz w:val="22"/>
                <w:szCs w:val="22"/>
              </w:rPr>
              <w:t>ajor</w:t>
            </w:r>
          </w:p>
        </w:tc>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366D1E" w14:textId="5B165280" w:rsidR="006B63F2" w:rsidRPr="00E76A09" w:rsidRDefault="006B63F2" w:rsidP="006B63F2">
            <w:pPr>
              <w:tabs>
                <w:tab w:val="right" w:leader="dot" w:pos="9710"/>
              </w:tabs>
              <w:spacing w:before="0" w:after="0" w:line="240" w:lineRule="auto"/>
              <w:rPr>
                <w:sz w:val="22"/>
                <w:szCs w:val="22"/>
              </w:rPr>
            </w:pPr>
            <w:r w:rsidRPr="00E76A09">
              <w:rPr>
                <w:sz w:val="22"/>
                <w:szCs w:val="22"/>
              </w:rPr>
              <w:t>Moderate</w:t>
            </w:r>
          </w:p>
        </w:tc>
        <w:tc>
          <w:tcPr>
            <w:tcW w:w="47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404D7AA" w14:textId="0267D3D7" w:rsidR="006B63F2" w:rsidRPr="00E76A09" w:rsidRDefault="006B63F2" w:rsidP="006B63F2">
            <w:pPr>
              <w:tabs>
                <w:tab w:val="right" w:leader="dot" w:pos="9710"/>
              </w:tabs>
              <w:spacing w:before="0" w:after="0" w:line="240" w:lineRule="auto"/>
              <w:rPr>
                <w:sz w:val="22"/>
                <w:szCs w:val="22"/>
              </w:rPr>
            </w:pPr>
            <w:r w:rsidRPr="00E76A09">
              <w:rPr>
                <w:sz w:val="22"/>
                <w:szCs w:val="22"/>
              </w:rPr>
              <w:t>The Standard Administrative Arrangement with the UNDP MPTF sets out clear provisions for addressing any potential case of misuse of programme funding including the expectation that DESNZ will claw back any such funding where possible, and provisions for DESNZ to exit the agreement and provide no further funding.</w:t>
            </w:r>
          </w:p>
          <w:p w14:paraId="38D25E57" w14:textId="6436A2B0" w:rsidR="006B63F2" w:rsidRPr="00E76A09" w:rsidRDefault="006B63F2" w:rsidP="006B63F2">
            <w:pPr>
              <w:tabs>
                <w:tab w:val="right" w:leader="dot" w:pos="9710"/>
              </w:tabs>
              <w:spacing w:before="0" w:after="0" w:line="240" w:lineRule="auto"/>
              <w:ind w:left="284"/>
              <w:rPr>
                <w:sz w:val="22"/>
                <w:szCs w:val="22"/>
              </w:rPr>
            </w:pPr>
          </w:p>
          <w:p w14:paraId="7979F150" w14:textId="03E70AAB" w:rsidR="006B63F2" w:rsidRPr="00E76A09" w:rsidRDefault="006B63F2" w:rsidP="006B63F2">
            <w:pPr>
              <w:tabs>
                <w:tab w:val="right" w:leader="dot" w:pos="9710"/>
              </w:tabs>
              <w:spacing w:before="0" w:after="0" w:line="240" w:lineRule="auto"/>
              <w:rPr>
                <w:sz w:val="22"/>
                <w:szCs w:val="22"/>
              </w:rPr>
            </w:pPr>
            <w:r w:rsidRPr="00E76A09">
              <w:rPr>
                <w:sz w:val="22"/>
                <w:szCs w:val="22"/>
              </w:rPr>
              <w:t xml:space="preserve">The programme will also be audited independently on an annual </w:t>
            </w:r>
            <w:proofErr w:type="gramStart"/>
            <w:r w:rsidRPr="00E76A09">
              <w:rPr>
                <w:sz w:val="22"/>
                <w:szCs w:val="22"/>
              </w:rPr>
              <w:t>basis</w:t>
            </w:r>
            <w:proofErr w:type="gramEnd"/>
            <w:r w:rsidRPr="00E76A09">
              <w:rPr>
                <w:sz w:val="22"/>
                <w:szCs w:val="22"/>
              </w:rPr>
              <w:t xml:space="preserve"> and the UNDP MPTF will also be required to produce annual audited accounts in line with International Standards of Auditing (ISA). DESNZ will also have scope to request audits/financial investigations outside this annual schedule to respond to any concerns or discrepancies.</w:t>
            </w:r>
          </w:p>
        </w:tc>
      </w:tr>
      <w:tr w:rsidR="009E506D" w:rsidRPr="00E76A09" w14:paraId="0B25A086" w14:textId="77777777" w:rsidTr="089EE967">
        <w:trPr>
          <w:trHeight w:val="30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1BF096" w14:textId="3233AA5C" w:rsidR="006B63F2" w:rsidRPr="00E76A09" w:rsidRDefault="006B63F2" w:rsidP="006B63F2">
            <w:pPr>
              <w:tabs>
                <w:tab w:val="right" w:leader="dot" w:pos="9710"/>
              </w:tabs>
              <w:spacing w:before="0" w:after="0" w:line="240" w:lineRule="auto"/>
              <w:rPr>
                <w:sz w:val="22"/>
                <w:szCs w:val="22"/>
              </w:rPr>
            </w:pPr>
            <w:r w:rsidRPr="00E76A09">
              <w:rPr>
                <w:sz w:val="22"/>
                <w:szCs w:val="22"/>
              </w:rPr>
              <w:t>Expenditure is not properly accounted for</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F1DD" w:themeFill="accent3" w:themeFillTint="33"/>
            <w:hideMark/>
          </w:tcPr>
          <w:p w14:paraId="07E9998A" w14:textId="1BB0C49F" w:rsidR="006B63F2" w:rsidRPr="00E76A09" w:rsidRDefault="00F52714" w:rsidP="007B73C9">
            <w:pPr>
              <w:tabs>
                <w:tab w:val="right" w:leader="dot" w:pos="9710"/>
              </w:tabs>
              <w:spacing w:before="0" w:after="0" w:line="240" w:lineRule="auto"/>
              <w:rPr>
                <w:sz w:val="22"/>
                <w:szCs w:val="22"/>
              </w:rPr>
            </w:pPr>
            <w:r w:rsidRPr="00E76A09">
              <w:rPr>
                <w:sz w:val="22"/>
                <w:szCs w:val="22"/>
              </w:rPr>
              <w:t>Unlikely</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B3FDF4" w14:textId="5A6837F1" w:rsidR="006B63F2" w:rsidRPr="00E76A09" w:rsidRDefault="006B63F2" w:rsidP="006B63F2">
            <w:pPr>
              <w:tabs>
                <w:tab w:val="right" w:leader="dot" w:pos="9710"/>
              </w:tabs>
              <w:spacing w:before="0" w:after="0" w:line="240" w:lineRule="auto"/>
              <w:rPr>
                <w:sz w:val="22"/>
                <w:szCs w:val="22"/>
              </w:rPr>
            </w:pPr>
            <w:r w:rsidRPr="00E76A09">
              <w:rPr>
                <w:sz w:val="22"/>
                <w:szCs w:val="22"/>
              </w:rPr>
              <w:t>M</w:t>
            </w:r>
            <w:r w:rsidR="00F52714" w:rsidRPr="00E76A09">
              <w:rPr>
                <w:sz w:val="22"/>
                <w:szCs w:val="22"/>
              </w:rPr>
              <w:t>oderate</w:t>
            </w:r>
          </w:p>
        </w:tc>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2243AC" w14:textId="70337414" w:rsidR="006B63F2" w:rsidRPr="00E76A09" w:rsidRDefault="006B63F2" w:rsidP="006B63F2">
            <w:pPr>
              <w:tabs>
                <w:tab w:val="right" w:leader="dot" w:pos="9710"/>
              </w:tabs>
              <w:spacing w:before="0" w:after="0" w:line="240" w:lineRule="auto"/>
              <w:rPr>
                <w:sz w:val="22"/>
                <w:szCs w:val="22"/>
              </w:rPr>
            </w:pPr>
            <w:r w:rsidRPr="00E76A09">
              <w:rPr>
                <w:sz w:val="22"/>
                <w:szCs w:val="22"/>
              </w:rPr>
              <w:t>Moderate</w:t>
            </w:r>
          </w:p>
        </w:tc>
        <w:tc>
          <w:tcPr>
            <w:tcW w:w="47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8AE2A5" w14:textId="00F9274B" w:rsidR="006B63F2" w:rsidRPr="00E76A09" w:rsidRDefault="006B63F2" w:rsidP="006B63F2">
            <w:pPr>
              <w:tabs>
                <w:tab w:val="right" w:leader="dot" w:pos="9710"/>
              </w:tabs>
              <w:spacing w:before="0" w:after="0" w:line="240" w:lineRule="auto"/>
              <w:rPr>
                <w:sz w:val="22"/>
                <w:szCs w:val="22"/>
              </w:rPr>
            </w:pPr>
            <w:r w:rsidRPr="00E76A09">
              <w:rPr>
                <w:sz w:val="22"/>
                <w:szCs w:val="22"/>
              </w:rPr>
              <w:t>DESNZ conduced a Delivery Partner Review during the original business case. DESNZ requires annual consolidate financial reports and consolidate narrative progress reports to be provided</w:t>
            </w:r>
          </w:p>
        </w:tc>
      </w:tr>
      <w:tr w:rsidR="009E506D" w:rsidRPr="00E76A09" w14:paraId="6F42A56F" w14:textId="77777777" w:rsidTr="089EE967">
        <w:trPr>
          <w:trHeight w:val="30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8BDA38" w14:textId="71651DD1" w:rsidR="006B63F2" w:rsidRPr="00E76A09" w:rsidRDefault="006B63F2" w:rsidP="006B63F2">
            <w:pPr>
              <w:tabs>
                <w:tab w:val="right" w:leader="dot" w:pos="9710"/>
              </w:tabs>
              <w:spacing w:before="0" w:after="0" w:line="240" w:lineRule="auto"/>
              <w:rPr>
                <w:sz w:val="22"/>
                <w:szCs w:val="22"/>
              </w:rPr>
            </w:pPr>
            <w:r w:rsidRPr="00E76A09">
              <w:rPr>
                <w:sz w:val="22"/>
                <w:szCs w:val="22"/>
              </w:rPr>
              <w:t xml:space="preserve">Programme expenditure does not represent good </w:t>
            </w:r>
            <w:proofErr w:type="spellStart"/>
            <w:r w:rsidRPr="00E76A09">
              <w:rPr>
                <w:sz w:val="22"/>
                <w:szCs w:val="22"/>
              </w:rPr>
              <w:t>VfM</w:t>
            </w:r>
            <w:proofErr w:type="spellEnd"/>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F1DD" w:themeFill="accent3" w:themeFillTint="33"/>
            <w:hideMark/>
          </w:tcPr>
          <w:p w14:paraId="393F7042" w14:textId="350B725A" w:rsidR="006B63F2" w:rsidRPr="00E76A09" w:rsidRDefault="002E001F" w:rsidP="007B73C9">
            <w:pPr>
              <w:tabs>
                <w:tab w:val="right" w:leader="dot" w:pos="9710"/>
              </w:tabs>
              <w:spacing w:before="0" w:after="0" w:line="240" w:lineRule="auto"/>
              <w:rPr>
                <w:sz w:val="22"/>
                <w:szCs w:val="22"/>
              </w:rPr>
            </w:pPr>
            <w:r w:rsidRPr="00E76A09">
              <w:rPr>
                <w:sz w:val="22"/>
                <w:szCs w:val="22"/>
              </w:rPr>
              <w:t>Possible</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1C26C9E" w14:textId="16B2A2DB" w:rsidR="006B63F2" w:rsidRPr="00E76A09" w:rsidRDefault="006B63F2" w:rsidP="007B73C9">
            <w:pPr>
              <w:tabs>
                <w:tab w:val="right" w:leader="dot" w:pos="9710"/>
              </w:tabs>
              <w:spacing w:before="0" w:after="0" w:line="240" w:lineRule="auto"/>
              <w:rPr>
                <w:sz w:val="22"/>
                <w:szCs w:val="22"/>
              </w:rPr>
            </w:pPr>
            <w:r w:rsidRPr="00E76A09">
              <w:rPr>
                <w:sz w:val="22"/>
                <w:szCs w:val="22"/>
              </w:rPr>
              <w:t>M</w:t>
            </w:r>
            <w:r w:rsidR="002E001F" w:rsidRPr="00E76A09">
              <w:rPr>
                <w:sz w:val="22"/>
                <w:szCs w:val="22"/>
              </w:rPr>
              <w:t>oderate</w:t>
            </w:r>
          </w:p>
        </w:tc>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CDBEAB" w14:textId="6E5DBFF9" w:rsidR="006B63F2" w:rsidRPr="00E76A09" w:rsidRDefault="006B63F2" w:rsidP="006B63F2">
            <w:pPr>
              <w:tabs>
                <w:tab w:val="right" w:leader="dot" w:pos="9710"/>
              </w:tabs>
              <w:spacing w:before="0" w:after="0" w:line="240" w:lineRule="auto"/>
              <w:rPr>
                <w:sz w:val="22"/>
                <w:szCs w:val="22"/>
              </w:rPr>
            </w:pPr>
            <w:r w:rsidRPr="00E76A09">
              <w:rPr>
                <w:sz w:val="22"/>
                <w:szCs w:val="22"/>
              </w:rPr>
              <w:t>Moderate</w:t>
            </w:r>
          </w:p>
        </w:tc>
        <w:tc>
          <w:tcPr>
            <w:tcW w:w="47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1874B9" w14:textId="1D9AA13B" w:rsidR="006B63F2" w:rsidRPr="00E76A09" w:rsidRDefault="006B63F2" w:rsidP="006B63F2">
            <w:pPr>
              <w:tabs>
                <w:tab w:val="right" w:leader="dot" w:pos="9710"/>
              </w:tabs>
              <w:spacing w:before="0" w:after="0" w:line="240" w:lineRule="auto"/>
              <w:rPr>
                <w:sz w:val="22"/>
                <w:szCs w:val="22"/>
              </w:rPr>
            </w:pPr>
            <w:r w:rsidRPr="00E76A09">
              <w:rPr>
                <w:sz w:val="22"/>
                <w:szCs w:val="22"/>
              </w:rPr>
              <w:t xml:space="preserve">A full programme review is conducted by DESNZ on an annual basis, including a </w:t>
            </w:r>
            <w:proofErr w:type="spellStart"/>
            <w:r w:rsidRPr="00E76A09">
              <w:rPr>
                <w:sz w:val="22"/>
                <w:szCs w:val="22"/>
              </w:rPr>
              <w:t>VfM</w:t>
            </w:r>
            <w:proofErr w:type="spellEnd"/>
            <w:r w:rsidRPr="00E76A09">
              <w:rPr>
                <w:sz w:val="22"/>
                <w:szCs w:val="22"/>
              </w:rPr>
              <w:t xml:space="preserve"> assessment. If </w:t>
            </w:r>
            <w:proofErr w:type="spellStart"/>
            <w:r w:rsidRPr="00E76A09">
              <w:rPr>
                <w:sz w:val="22"/>
                <w:szCs w:val="22"/>
              </w:rPr>
              <w:t>VfM</w:t>
            </w:r>
            <w:proofErr w:type="spellEnd"/>
            <w:r w:rsidRPr="00E76A09">
              <w:rPr>
                <w:sz w:val="22"/>
                <w:szCs w:val="22"/>
              </w:rPr>
              <w:t xml:space="preserve"> is no longer being delivered, corrective action will be taken, which could involve changing or stopping specific elements of the programme. The programme recently underwent a mid-term review which highlighted that the programme is providing excellent </w:t>
            </w:r>
            <w:proofErr w:type="spellStart"/>
            <w:r w:rsidRPr="00E76A09">
              <w:rPr>
                <w:sz w:val="22"/>
                <w:szCs w:val="22"/>
              </w:rPr>
              <w:t>VfM</w:t>
            </w:r>
            <w:proofErr w:type="spellEnd"/>
            <w:r w:rsidRPr="00E76A09">
              <w:rPr>
                <w:sz w:val="22"/>
                <w:szCs w:val="22"/>
              </w:rPr>
              <w:t xml:space="preserve"> already.</w:t>
            </w:r>
          </w:p>
        </w:tc>
      </w:tr>
      <w:tr w:rsidR="009E506D" w:rsidRPr="00E76A09" w14:paraId="752D6BB0" w14:textId="77777777" w:rsidTr="089EE967">
        <w:trPr>
          <w:trHeight w:val="300"/>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D1976C" w14:textId="50280BF4" w:rsidR="006B63F2" w:rsidRPr="00E76A09" w:rsidRDefault="006B63F2" w:rsidP="006B63F2">
            <w:pPr>
              <w:tabs>
                <w:tab w:val="right" w:leader="dot" w:pos="9710"/>
              </w:tabs>
              <w:spacing w:before="0" w:after="0" w:line="240" w:lineRule="auto"/>
              <w:rPr>
                <w:sz w:val="22"/>
                <w:szCs w:val="22"/>
              </w:rPr>
            </w:pPr>
            <w:r w:rsidRPr="00E76A09">
              <w:rPr>
                <w:sz w:val="22"/>
                <w:szCs w:val="22"/>
              </w:rPr>
              <w:t>Slow disbursement of the PN</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F1DD" w:themeFill="accent3" w:themeFillTint="33"/>
            <w:hideMark/>
          </w:tcPr>
          <w:p w14:paraId="05AAED12" w14:textId="2BD54388" w:rsidR="006B63F2" w:rsidRPr="00E76A09" w:rsidRDefault="00F52714" w:rsidP="007B73C9">
            <w:pPr>
              <w:tabs>
                <w:tab w:val="right" w:leader="dot" w:pos="9710"/>
              </w:tabs>
              <w:spacing w:before="0" w:after="0" w:line="240" w:lineRule="auto"/>
              <w:rPr>
                <w:sz w:val="22"/>
                <w:szCs w:val="22"/>
              </w:rPr>
            </w:pPr>
            <w:r w:rsidRPr="00E76A09">
              <w:rPr>
                <w:sz w:val="22"/>
                <w:szCs w:val="22"/>
              </w:rPr>
              <w:t>Possible</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9556F22" w14:textId="146BE7A8" w:rsidR="006B63F2" w:rsidRPr="00E76A09" w:rsidRDefault="006B63F2" w:rsidP="007B73C9">
            <w:pPr>
              <w:tabs>
                <w:tab w:val="right" w:leader="dot" w:pos="9710"/>
              </w:tabs>
              <w:spacing w:before="0" w:after="0" w:line="240" w:lineRule="auto"/>
              <w:rPr>
                <w:sz w:val="22"/>
                <w:szCs w:val="22"/>
              </w:rPr>
            </w:pPr>
            <w:r w:rsidRPr="00E76A09">
              <w:rPr>
                <w:sz w:val="22"/>
                <w:szCs w:val="22"/>
              </w:rPr>
              <w:t>M</w:t>
            </w:r>
            <w:r w:rsidR="00F52714" w:rsidRPr="00E76A09">
              <w:rPr>
                <w:sz w:val="22"/>
                <w:szCs w:val="22"/>
              </w:rPr>
              <w:t>oderate</w:t>
            </w:r>
          </w:p>
        </w:tc>
        <w:tc>
          <w:tcPr>
            <w:tcW w:w="12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95298B" w14:textId="5047561A" w:rsidR="006B63F2" w:rsidRPr="00E76A09" w:rsidRDefault="006B63F2" w:rsidP="006B63F2">
            <w:pPr>
              <w:tabs>
                <w:tab w:val="right" w:leader="dot" w:pos="9710"/>
              </w:tabs>
              <w:spacing w:before="0" w:after="0" w:line="240" w:lineRule="auto"/>
              <w:rPr>
                <w:sz w:val="22"/>
                <w:szCs w:val="22"/>
              </w:rPr>
            </w:pPr>
            <w:r w:rsidRPr="00E76A09">
              <w:rPr>
                <w:sz w:val="22"/>
                <w:szCs w:val="22"/>
              </w:rPr>
              <w:t>Moderate</w:t>
            </w:r>
          </w:p>
        </w:tc>
        <w:tc>
          <w:tcPr>
            <w:tcW w:w="47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678A31" w14:textId="5BBEF0D8" w:rsidR="006B63F2" w:rsidRPr="00E76A09" w:rsidRDefault="006B63F2" w:rsidP="006B63F2">
            <w:pPr>
              <w:tabs>
                <w:tab w:val="right" w:leader="dot" w:pos="9710"/>
              </w:tabs>
              <w:spacing w:before="0" w:after="0" w:line="240" w:lineRule="auto"/>
              <w:rPr>
                <w:sz w:val="22"/>
                <w:szCs w:val="22"/>
              </w:rPr>
            </w:pPr>
            <w:r w:rsidRPr="00E76A09">
              <w:rPr>
                <w:sz w:val="22"/>
                <w:szCs w:val="22"/>
              </w:rPr>
              <w:t>The programme team will work with FAO and financial teams to ensure timely delivery of activities and utilisation of funding.</w:t>
            </w:r>
          </w:p>
        </w:tc>
      </w:tr>
    </w:tbl>
    <w:p w14:paraId="2C2C2E95" w14:textId="77777777" w:rsidR="00F944AB" w:rsidRPr="00E76A09" w:rsidRDefault="00F944AB" w:rsidP="00F944AB">
      <w:pPr>
        <w:tabs>
          <w:tab w:val="right" w:leader="dot" w:pos="9710"/>
        </w:tabs>
        <w:spacing w:before="0" w:after="0" w:line="240" w:lineRule="auto"/>
        <w:ind w:left="284"/>
        <w:rPr>
          <w:sz w:val="22"/>
          <w:szCs w:val="22"/>
        </w:rPr>
      </w:pPr>
    </w:p>
    <w:p w14:paraId="3D5DD0C9" w14:textId="20D33C99" w:rsidR="00747389" w:rsidRPr="00E76A09" w:rsidRDefault="00936BFB" w:rsidP="004258E7">
      <w:pPr>
        <w:tabs>
          <w:tab w:val="right" w:leader="dot" w:pos="9710"/>
        </w:tabs>
        <w:spacing w:before="0" w:after="0" w:line="240" w:lineRule="auto"/>
        <w:rPr>
          <w:b/>
          <w:bCs/>
          <w:sz w:val="22"/>
          <w:szCs w:val="22"/>
        </w:rPr>
      </w:pPr>
      <w:r w:rsidRPr="00E76A09">
        <w:rPr>
          <w:b/>
          <w:bCs/>
          <w:sz w:val="22"/>
          <w:szCs w:val="22"/>
        </w:rPr>
        <w:t xml:space="preserve">4.3.1 </w:t>
      </w:r>
      <w:r w:rsidR="00747389" w:rsidRPr="00E76A09">
        <w:rPr>
          <w:b/>
          <w:bCs/>
          <w:sz w:val="22"/>
          <w:szCs w:val="22"/>
        </w:rPr>
        <w:t xml:space="preserve">Fraud impact assessment </w:t>
      </w:r>
    </w:p>
    <w:p w14:paraId="60349B5E" w14:textId="1CE6DD0E" w:rsidR="006E546B" w:rsidRPr="00E76A09" w:rsidRDefault="200A7F8B" w:rsidP="004258E7">
      <w:pPr>
        <w:tabs>
          <w:tab w:val="right" w:leader="dot" w:pos="9710"/>
        </w:tabs>
        <w:spacing w:before="0" w:after="0" w:line="240" w:lineRule="auto"/>
        <w:rPr>
          <w:sz w:val="22"/>
          <w:szCs w:val="22"/>
        </w:rPr>
      </w:pPr>
      <w:r w:rsidRPr="00E76A09">
        <w:rPr>
          <w:sz w:val="22"/>
          <w:szCs w:val="22"/>
        </w:rPr>
        <w:t xml:space="preserve">An </w:t>
      </w:r>
      <w:r w:rsidR="00CD3869" w:rsidRPr="00E76A09">
        <w:rPr>
          <w:sz w:val="22"/>
          <w:szCs w:val="22"/>
        </w:rPr>
        <w:t>i</w:t>
      </w:r>
      <w:r w:rsidRPr="00E76A09">
        <w:rPr>
          <w:sz w:val="22"/>
          <w:szCs w:val="22"/>
        </w:rPr>
        <w:t xml:space="preserve">nitial Fraud Impact Assessment has been completed and is attached at </w:t>
      </w:r>
      <w:r w:rsidRPr="00E76A09">
        <w:rPr>
          <w:b/>
          <w:bCs/>
          <w:sz w:val="22"/>
          <w:szCs w:val="22"/>
        </w:rPr>
        <w:t xml:space="preserve">Annex </w:t>
      </w:r>
      <w:r w:rsidR="00B0370F" w:rsidRPr="00E76A09">
        <w:rPr>
          <w:b/>
          <w:bCs/>
          <w:sz w:val="22"/>
          <w:szCs w:val="22"/>
        </w:rPr>
        <w:t>L</w:t>
      </w:r>
      <w:r w:rsidRPr="00E76A09">
        <w:rPr>
          <w:b/>
          <w:bCs/>
          <w:sz w:val="22"/>
          <w:szCs w:val="22"/>
        </w:rPr>
        <w:t xml:space="preserve">. </w:t>
      </w:r>
      <w:r w:rsidR="37113F06" w:rsidRPr="00E76A09">
        <w:rPr>
          <w:b/>
          <w:bCs/>
          <w:sz w:val="22"/>
          <w:szCs w:val="22"/>
        </w:rPr>
        <w:t xml:space="preserve"> </w:t>
      </w:r>
      <w:r w:rsidR="37113F06" w:rsidRPr="00E76A09">
        <w:rPr>
          <w:sz w:val="22"/>
          <w:szCs w:val="22"/>
        </w:rPr>
        <w:t xml:space="preserve">The Fraud Impact Score for the extension is medium. </w:t>
      </w:r>
      <w:r w:rsidR="53E2235E" w:rsidRPr="00E76A09">
        <w:rPr>
          <w:sz w:val="22"/>
          <w:szCs w:val="22"/>
        </w:rPr>
        <w:t xml:space="preserve">This reflects that most fraud impacts were rated between low and medium, and the counter fraud approach was rated as medium. </w:t>
      </w:r>
      <w:r w:rsidR="5B0E723B" w:rsidRPr="00E76A09">
        <w:rPr>
          <w:sz w:val="22"/>
          <w:szCs w:val="22"/>
        </w:rPr>
        <w:t xml:space="preserve"> A Fraud Risk Assessment will be carried out for the entire AIM4Forests </w:t>
      </w:r>
      <w:proofErr w:type="gramStart"/>
      <w:r w:rsidR="5B0E723B" w:rsidRPr="00E76A09">
        <w:rPr>
          <w:sz w:val="22"/>
          <w:szCs w:val="22"/>
        </w:rPr>
        <w:t>programme</w:t>
      </w:r>
      <w:proofErr w:type="gramEnd"/>
      <w:r w:rsidR="5B0E723B" w:rsidRPr="00E76A09">
        <w:rPr>
          <w:sz w:val="22"/>
          <w:szCs w:val="22"/>
        </w:rPr>
        <w:t xml:space="preserve"> and this will be sent to the counter-fraud team to assess. When we negotiate the amendments to the Standard Administration Agreement, we will work with commercial colleagues to ensure counter-fraud provisions are included in funding agreements (that are based on FCDO best practice). We will use Promissory Notes, a payment mechanism which has counter-fraud measures built into it</w:t>
      </w:r>
      <w:r w:rsidR="00F66C5E" w:rsidRPr="00E76A09">
        <w:rPr>
          <w:sz w:val="22"/>
          <w:szCs w:val="22"/>
        </w:rPr>
        <w:t>,</w:t>
      </w:r>
      <w:r w:rsidR="00A1217A" w:rsidRPr="00E76A09">
        <w:rPr>
          <w:sz w:val="22"/>
          <w:szCs w:val="22"/>
        </w:rPr>
        <w:t xml:space="preserve"> as the MPTF Office has an existing Bank of England account; opening such an account requires KYC and anti-terrorism funding checks</w:t>
      </w:r>
      <w:r w:rsidR="5B0E723B" w:rsidRPr="00E76A09">
        <w:rPr>
          <w:sz w:val="22"/>
          <w:szCs w:val="22"/>
        </w:rPr>
        <w:t>. We will continue to conduct annual reviews. Fraud is included as a specific risk in both DESNZ ICF risk reporting and in cross-Whitehall ICF risk reporting.</w:t>
      </w:r>
    </w:p>
    <w:p w14:paraId="5F070E03" w14:textId="77777777" w:rsidR="006E546B" w:rsidRPr="00E76A09" w:rsidRDefault="006E546B">
      <w:pPr>
        <w:rPr>
          <w:caps/>
          <w:color w:val="FFFFFF" w:themeColor="background1"/>
          <w:spacing w:val="15"/>
          <w:sz w:val="22"/>
          <w:szCs w:val="22"/>
        </w:rPr>
      </w:pPr>
      <w:r w:rsidRPr="00E76A09">
        <w:rPr>
          <w:sz w:val="22"/>
          <w:szCs w:val="22"/>
        </w:rPr>
        <w:br w:type="page"/>
      </w:r>
    </w:p>
    <w:p w14:paraId="00C94866" w14:textId="08B585BF" w:rsidR="006E546B" w:rsidRPr="006907FB" w:rsidRDefault="00E77003" w:rsidP="006907FB">
      <w:pPr>
        <w:pStyle w:val="Heading1"/>
        <w:numPr>
          <w:ilvl w:val="0"/>
          <w:numId w:val="3"/>
        </w:numPr>
        <w:ind w:left="426"/>
      </w:pPr>
      <w:bookmarkStart w:id="5" w:name="_Toc597635309"/>
      <w:r>
        <w:lastRenderedPageBreak/>
        <w:t>Management Case</w:t>
      </w:r>
      <w:bookmarkEnd w:id="5"/>
      <w:r>
        <w:t xml:space="preserve"> </w:t>
      </w:r>
    </w:p>
    <w:p w14:paraId="1B92B18D" w14:textId="76F41E5B" w:rsidR="0037708D" w:rsidRPr="00E76A09" w:rsidRDefault="00025691" w:rsidP="0037708D">
      <w:pPr>
        <w:rPr>
          <w:rFonts w:cs="Arial"/>
          <w:b/>
          <w:i/>
          <w:iCs/>
          <w:sz w:val="24"/>
          <w:szCs w:val="24"/>
        </w:rPr>
      </w:pPr>
      <w:r w:rsidRPr="00E76A09">
        <w:rPr>
          <w:rFonts w:cs="Arial"/>
          <w:b/>
          <w:bCs/>
          <w:i/>
          <w:iCs/>
          <w:sz w:val="24"/>
          <w:szCs w:val="24"/>
        </w:rPr>
        <w:t xml:space="preserve">5.1. </w:t>
      </w:r>
      <w:r w:rsidR="006E546B" w:rsidRPr="00E76A09">
        <w:rPr>
          <w:rFonts w:cs="Arial"/>
          <w:b/>
          <w:i/>
          <w:iCs/>
          <w:sz w:val="24"/>
          <w:szCs w:val="24"/>
        </w:rPr>
        <w:t>Milestones</w:t>
      </w:r>
      <w:r w:rsidRPr="00E76A09">
        <w:rPr>
          <w:rFonts w:cs="Arial"/>
          <w:b/>
          <w:bCs/>
          <w:i/>
          <w:iCs/>
          <w:sz w:val="24"/>
          <w:szCs w:val="24"/>
        </w:rPr>
        <w:t xml:space="preserve"> </w:t>
      </w:r>
    </w:p>
    <w:p w14:paraId="032D9DDD" w14:textId="5DF187F2" w:rsidR="00035B49" w:rsidRPr="00E76A09" w:rsidRDefault="00B20082" w:rsidP="00B0370F">
      <w:pPr>
        <w:spacing w:line="240" w:lineRule="auto"/>
        <w:rPr>
          <w:rFonts w:cs="Arial"/>
          <w:sz w:val="22"/>
          <w:szCs w:val="22"/>
        </w:rPr>
      </w:pPr>
      <w:r w:rsidRPr="00E76A09">
        <w:rPr>
          <w:rFonts w:cs="Arial"/>
          <w:sz w:val="22"/>
          <w:szCs w:val="22"/>
        </w:rPr>
        <w:t xml:space="preserve">DESNZ ICF Portfolio Committee is </w:t>
      </w:r>
      <w:r w:rsidR="00DB5494" w:rsidRPr="00E76A09">
        <w:rPr>
          <w:rFonts w:cs="Arial"/>
          <w:sz w:val="22"/>
          <w:szCs w:val="22"/>
        </w:rPr>
        <w:t xml:space="preserve">scheduled to provide a decision on </w:t>
      </w:r>
      <w:r w:rsidRPr="00E76A09">
        <w:rPr>
          <w:rFonts w:cs="Arial"/>
          <w:sz w:val="22"/>
          <w:szCs w:val="22"/>
        </w:rPr>
        <w:t>approval</w:t>
      </w:r>
      <w:r w:rsidR="0023427B" w:rsidRPr="00E76A09">
        <w:rPr>
          <w:rFonts w:cs="Arial"/>
          <w:sz w:val="22"/>
          <w:szCs w:val="22"/>
        </w:rPr>
        <w:t xml:space="preserve"> for this Extension Business Case</w:t>
      </w:r>
      <w:r w:rsidR="00DB5494" w:rsidRPr="00E76A09">
        <w:rPr>
          <w:rFonts w:cs="Arial"/>
          <w:sz w:val="22"/>
          <w:szCs w:val="22"/>
        </w:rPr>
        <w:t xml:space="preserve"> in October 2025. </w:t>
      </w:r>
      <w:r w:rsidR="00B50BDC" w:rsidRPr="00E76A09">
        <w:rPr>
          <w:rFonts w:cs="Arial"/>
          <w:sz w:val="22"/>
          <w:szCs w:val="22"/>
        </w:rPr>
        <w:t>Following this, t</w:t>
      </w:r>
      <w:r w:rsidR="00DB5494" w:rsidRPr="00E76A09">
        <w:rPr>
          <w:rFonts w:cs="Arial"/>
          <w:sz w:val="22"/>
          <w:szCs w:val="22"/>
        </w:rPr>
        <w:t>he Promissory Notes (PNs) will be laid on completion and signature of the amended administrative arrangements</w:t>
      </w:r>
      <w:r w:rsidR="000A1BB7" w:rsidRPr="00E76A09">
        <w:rPr>
          <w:rFonts w:cs="Arial"/>
          <w:sz w:val="22"/>
          <w:szCs w:val="22"/>
        </w:rPr>
        <w:t xml:space="preserve"> (see Financial Case for more information on Promissory Notes). </w:t>
      </w:r>
      <w:r w:rsidR="00632CEB" w:rsidRPr="00E76A09">
        <w:rPr>
          <w:rFonts w:cs="Arial"/>
          <w:sz w:val="22"/>
          <w:szCs w:val="22"/>
        </w:rPr>
        <w:t>The announcement of this additional funding and extension of the AIM4Forests programme is intended to be made at COP</w:t>
      </w:r>
      <w:r w:rsidR="003D562B" w:rsidRPr="00E76A09">
        <w:rPr>
          <w:rFonts w:cs="Arial"/>
          <w:sz w:val="22"/>
          <w:szCs w:val="22"/>
        </w:rPr>
        <w:t>30</w:t>
      </w:r>
      <w:r w:rsidR="00632CEB" w:rsidRPr="00E76A09">
        <w:rPr>
          <w:rFonts w:cs="Arial"/>
          <w:sz w:val="22"/>
          <w:szCs w:val="22"/>
        </w:rPr>
        <w:t>.</w:t>
      </w:r>
      <w:r w:rsidR="00035B49" w:rsidRPr="00E76A09">
        <w:rPr>
          <w:rFonts w:cs="Arial"/>
          <w:sz w:val="22"/>
          <w:szCs w:val="22"/>
        </w:rPr>
        <w:t xml:space="preserve"> The table below provides indicative timelines for anticipated milestones. </w:t>
      </w:r>
    </w:p>
    <w:p w14:paraId="69B9B04B" w14:textId="219071F4" w:rsidR="00035B49" w:rsidRPr="00E76A09" w:rsidRDefault="00035B49" w:rsidP="003D235A">
      <w:pPr>
        <w:spacing w:after="0"/>
        <w:rPr>
          <w:rFonts w:cs="Arial"/>
          <w:i/>
          <w:iCs/>
          <w:sz w:val="22"/>
          <w:szCs w:val="22"/>
        </w:rPr>
      </w:pPr>
      <w:r w:rsidRPr="00E76A09">
        <w:rPr>
          <w:rFonts w:cs="Arial"/>
          <w:i/>
          <w:iCs/>
          <w:sz w:val="22"/>
          <w:szCs w:val="22"/>
        </w:rPr>
        <w:t xml:space="preserve">Table </w:t>
      </w:r>
      <w:r w:rsidR="00143333" w:rsidRPr="00E76A09">
        <w:rPr>
          <w:rFonts w:cs="Arial"/>
          <w:i/>
          <w:iCs/>
          <w:sz w:val="22"/>
          <w:szCs w:val="22"/>
        </w:rPr>
        <w:t>7</w:t>
      </w:r>
      <w:r w:rsidR="00C42C2C" w:rsidRPr="00E76A09">
        <w:rPr>
          <w:rFonts w:cs="Arial"/>
          <w:i/>
          <w:iCs/>
          <w:sz w:val="22"/>
          <w:szCs w:val="22"/>
        </w:rPr>
        <w:t>. Indicative timelines for programme milestones</w:t>
      </w:r>
    </w:p>
    <w:tbl>
      <w:tblPr>
        <w:tblStyle w:val="TableGrid"/>
        <w:tblW w:w="0" w:type="auto"/>
        <w:tblLook w:val="04A0" w:firstRow="1" w:lastRow="0" w:firstColumn="1" w:lastColumn="0" w:noHBand="0" w:noVBand="1"/>
      </w:tblPr>
      <w:tblGrid>
        <w:gridCol w:w="4611"/>
        <w:gridCol w:w="2797"/>
        <w:gridCol w:w="2650"/>
      </w:tblGrid>
      <w:tr w:rsidR="00035B49" w:rsidRPr="00E76A09" w14:paraId="0624101B" w14:textId="77777777" w:rsidTr="00BB7634">
        <w:trPr>
          <w:trHeight w:val="470"/>
        </w:trPr>
        <w:tc>
          <w:tcPr>
            <w:tcW w:w="4611" w:type="dxa"/>
            <w:shd w:val="clear" w:color="auto" w:fill="DBE5F1" w:themeFill="accent1" w:themeFillTint="33"/>
          </w:tcPr>
          <w:p w14:paraId="2ABEAF3B" w14:textId="72C41F0B" w:rsidR="00035B49" w:rsidRPr="00E76A09" w:rsidRDefault="00C42C2C" w:rsidP="00BB7634">
            <w:pPr>
              <w:spacing w:before="0" w:line="240" w:lineRule="auto"/>
              <w:rPr>
                <w:rFonts w:cs="Arial"/>
                <w:b/>
                <w:bCs/>
                <w:sz w:val="22"/>
                <w:szCs w:val="22"/>
              </w:rPr>
            </w:pPr>
            <w:r w:rsidRPr="00E76A09">
              <w:rPr>
                <w:rFonts w:cs="Arial"/>
                <w:b/>
                <w:bCs/>
                <w:sz w:val="22"/>
                <w:szCs w:val="22"/>
              </w:rPr>
              <w:t>Milestone</w:t>
            </w:r>
          </w:p>
        </w:tc>
        <w:tc>
          <w:tcPr>
            <w:tcW w:w="2797" w:type="dxa"/>
            <w:shd w:val="clear" w:color="auto" w:fill="DBE5F1" w:themeFill="accent1" w:themeFillTint="33"/>
          </w:tcPr>
          <w:p w14:paraId="70552A0C" w14:textId="63CA95C1" w:rsidR="00035B49" w:rsidRPr="00E76A09" w:rsidRDefault="00C42C2C" w:rsidP="00BB7634">
            <w:pPr>
              <w:spacing w:before="0" w:line="240" w:lineRule="auto"/>
              <w:rPr>
                <w:rFonts w:cs="Arial"/>
                <w:b/>
                <w:bCs/>
                <w:sz w:val="22"/>
                <w:szCs w:val="22"/>
              </w:rPr>
            </w:pPr>
            <w:r w:rsidRPr="00E76A09">
              <w:rPr>
                <w:rFonts w:cs="Arial"/>
                <w:b/>
                <w:bCs/>
                <w:sz w:val="22"/>
                <w:szCs w:val="22"/>
              </w:rPr>
              <w:t>Start date (indicative)</w:t>
            </w:r>
          </w:p>
        </w:tc>
        <w:tc>
          <w:tcPr>
            <w:tcW w:w="2650" w:type="dxa"/>
            <w:shd w:val="clear" w:color="auto" w:fill="DBE5F1" w:themeFill="accent1" w:themeFillTint="33"/>
          </w:tcPr>
          <w:p w14:paraId="0E3AF05E" w14:textId="339F6297" w:rsidR="00035B49" w:rsidRPr="00E76A09" w:rsidRDefault="00C42C2C" w:rsidP="00BB7634">
            <w:pPr>
              <w:spacing w:before="0" w:line="240" w:lineRule="auto"/>
              <w:rPr>
                <w:rFonts w:cs="Arial"/>
                <w:b/>
                <w:bCs/>
                <w:sz w:val="22"/>
                <w:szCs w:val="22"/>
              </w:rPr>
            </w:pPr>
            <w:r w:rsidRPr="00E76A09">
              <w:rPr>
                <w:rFonts w:cs="Arial"/>
                <w:b/>
                <w:bCs/>
                <w:sz w:val="22"/>
                <w:szCs w:val="22"/>
              </w:rPr>
              <w:t>End date (indicative)</w:t>
            </w:r>
          </w:p>
        </w:tc>
      </w:tr>
      <w:tr w:rsidR="00035B49" w:rsidRPr="00E76A09" w14:paraId="659EDD05" w14:textId="77777777" w:rsidTr="00BB7634">
        <w:trPr>
          <w:trHeight w:val="482"/>
        </w:trPr>
        <w:tc>
          <w:tcPr>
            <w:tcW w:w="4611" w:type="dxa"/>
          </w:tcPr>
          <w:p w14:paraId="308A9A00" w14:textId="7E7D9C96" w:rsidR="00035B49" w:rsidRPr="00E76A09" w:rsidRDefault="00F961F7" w:rsidP="00BB7634">
            <w:pPr>
              <w:spacing w:before="0" w:line="240" w:lineRule="auto"/>
              <w:rPr>
                <w:rFonts w:cs="Arial"/>
                <w:sz w:val="22"/>
                <w:szCs w:val="22"/>
              </w:rPr>
            </w:pPr>
            <w:r w:rsidRPr="00E76A09">
              <w:rPr>
                <w:rFonts w:cs="Arial"/>
                <w:sz w:val="22"/>
                <w:szCs w:val="22"/>
              </w:rPr>
              <w:t>Portfolio Committee approval</w:t>
            </w:r>
          </w:p>
        </w:tc>
        <w:tc>
          <w:tcPr>
            <w:tcW w:w="2797" w:type="dxa"/>
          </w:tcPr>
          <w:p w14:paraId="5042C2B2" w14:textId="6D3F78B7" w:rsidR="00035B49" w:rsidRPr="00E76A09" w:rsidRDefault="00C00ED5" w:rsidP="00BB7634">
            <w:pPr>
              <w:spacing w:before="0" w:line="240" w:lineRule="auto"/>
              <w:rPr>
                <w:rFonts w:cs="Arial"/>
                <w:sz w:val="22"/>
                <w:szCs w:val="22"/>
              </w:rPr>
            </w:pPr>
            <w:r w:rsidRPr="00E76A09">
              <w:rPr>
                <w:rFonts w:cs="Arial"/>
                <w:sz w:val="22"/>
                <w:szCs w:val="22"/>
              </w:rPr>
              <w:t>7</w:t>
            </w:r>
            <w:r w:rsidRPr="00E76A09">
              <w:rPr>
                <w:rFonts w:cs="Arial"/>
                <w:sz w:val="22"/>
                <w:szCs w:val="22"/>
                <w:vertAlign w:val="superscript"/>
              </w:rPr>
              <w:t>th</w:t>
            </w:r>
            <w:r w:rsidRPr="00E76A09">
              <w:rPr>
                <w:rFonts w:cs="Arial"/>
                <w:sz w:val="22"/>
                <w:szCs w:val="22"/>
              </w:rPr>
              <w:t xml:space="preserve"> </w:t>
            </w:r>
            <w:r w:rsidR="00820C99" w:rsidRPr="00E76A09">
              <w:rPr>
                <w:rFonts w:cs="Arial"/>
                <w:sz w:val="22"/>
                <w:szCs w:val="22"/>
              </w:rPr>
              <w:t>October 2025</w:t>
            </w:r>
          </w:p>
        </w:tc>
        <w:tc>
          <w:tcPr>
            <w:tcW w:w="2650" w:type="dxa"/>
          </w:tcPr>
          <w:p w14:paraId="2C34188E" w14:textId="77EB6389" w:rsidR="00035B49" w:rsidRPr="00E76A09" w:rsidRDefault="00DB54E1" w:rsidP="00BB7634">
            <w:pPr>
              <w:spacing w:before="0" w:line="240" w:lineRule="auto"/>
              <w:rPr>
                <w:rFonts w:cs="Arial"/>
                <w:sz w:val="22"/>
                <w:szCs w:val="22"/>
              </w:rPr>
            </w:pPr>
            <w:r w:rsidRPr="00E76A09">
              <w:rPr>
                <w:rFonts w:cs="Arial"/>
                <w:sz w:val="22"/>
                <w:szCs w:val="22"/>
              </w:rPr>
              <w:t>7</w:t>
            </w:r>
            <w:r w:rsidR="00B446EA" w:rsidRPr="00E76A09">
              <w:rPr>
                <w:rFonts w:cs="Arial"/>
                <w:sz w:val="22"/>
                <w:szCs w:val="22"/>
                <w:vertAlign w:val="superscript"/>
              </w:rPr>
              <w:t>th</w:t>
            </w:r>
            <w:r w:rsidR="00B446EA" w:rsidRPr="00E76A09">
              <w:rPr>
                <w:rFonts w:cs="Arial"/>
                <w:sz w:val="22"/>
                <w:szCs w:val="22"/>
              </w:rPr>
              <w:t xml:space="preserve"> October 2025</w:t>
            </w:r>
          </w:p>
        </w:tc>
      </w:tr>
      <w:tr w:rsidR="00035B49" w:rsidRPr="00E76A09" w14:paraId="5AC70D66" w14:textId="77777777" w:rsidTr="00BB7634">
        <w:trPr>
          <w:trHeight w:val="470"/>
        </w:trPr>
        <w:tc>
          <w:tcPr>
            <w:tcW w:w="4611" w:type="dxa"/>
          </w:tcPr>
          <w:p w14:paraId="1A91F611" w14:textId="243BBBD8" w:rsidR="00035B49" w:rsidRPr="00E76A09" w:rsidRDefault="00F961F7" w:rsidP="00BB7634">
            <w:pPr>
              <w:spacing w:before="0" w:line="240" w:lineRule="auto"/>
              <w:rPr>
                <w:rFonts w:cs="Arial"/>
                <w:sz w:val="22"/>
                <w:szCs w:val="22"/>
              </w:rPr>
            </w:pPr>
            <w:r w:rsidRPr="00E76A09">
              <w:rPr>
                <w:rFonts w:cs="Arial"/>
                <w:sz w:val="22"/>
                <w:szCs w:val="22"/>
              </w:rPr>
              <w:t>Ministerial approval</w:t>
            </w:r>
          </w:p>
        </w:tc>
        <w:tc>
          <w:tcPr>
            <w:tcW w:w="2797" w:type="dxa"/>
          </w:tcPr>
          <w:p w14:paraId="6C999735" w14:textId="4BE9C5B0" w:rsidR="00035B49" w:rsidRPr="00E76A09" w:rsidRDefault="00516B5B" w:rsidP="00BB7634">
            <w:pPr>
              <w:spacing w:before="0" w:line="240" w:lineRule="auto"/>
              <w:rPr>
                <w:rFonts w:cs="Arial"/>
                <w:sz w:val="22"/>
                <w:szCs w:val="22"/>
              </w:rPr>
            </w:pPr>
            <w:r w:rsidRPr="00E76A09">
              <w:rPr>
                <w:rFonts w:cs="Arial"/>
                <w:sz w:val="22"/>
                <w:szCs w:val="22"/>
              </w:rPr>
              <w:t>2</w:t>
            </w:r>
            <w:r w:rsidR="00F16B8B" w:rsidRPr="00E76A09">
              <w:rPr>
                <w:rFonts w:cs="Arial"/>
                <w:sz w:val="22"/>
                <w:szCs w:val="22"/>
              </w:rPr>
              <w:t>1st</w:t>
            </w:r>
            <w:r w:rsidRPr="00E76A09">
              <w:rPr>
                <w:rFonts w:cs="Arial"/>
                <w:sz w:val="22"/>
                <w:szCs w:val="22"/>
              </w:rPr>
              <w:t xml:space="preserve"> October 2025</w:t>
            </w:r>
          </w:p>
        </w:tc>
        <w:tc>
          <w:tcPr>
            <w:tcW w:w="2650" w:type="dxa"/>
          </w:tcPr>
          <w:p w14:paraId="5B4AAC76" w14:textId="028C0BAC" w:rsidR="00035B49" w:rsidRPr="00E76A09" w:rsidRDefault="00C872AC" w:rsidP="00BB7634">
            <w:pPr>
              <w:spacing w:before="0" w:line="240" w:lineRule="auto"/>
              <w:rPr>
                <w:rFonts w:cs="Arial"/>
                <w:sz w:val="22"/>
                <w:szCs w:val="22"/>
              </w:rPr>
            </w:pPr>
            <w:r w:rsidRPr="00E76A09">
              <w:rPr>
                <w:rFonts w:cs="Arial"/>
                <w:sz w:val="22"/>
                <w:szCs w:val="22"/>
              </w:rPr>
              <w:t>10</w:t>
            </w:r>
            <w:r w:rsidRPr="00E76A09">
              <w:rPr>
                <w:rFonts w:cs="Arial"/>
                <w:sz w:val="22"/>
                <w:szCs w:val="22"/>
                <w:vertAlign w:val="superscript"/>
              </w:rPr>
              <w:t>th</w:t>
            </w:r>
            <w:r w:rsidRPr="00E76A09">
              <w:rPr>
                <w:rFonts w:cs="Arial"/>
                <w:sz w:val="22"/>
                <w:szCs w:val="22"/>
              </w:rPr>
              <w:t xml:space="preserve"> November 2025</w:t>
            </w:r>
          </w:p>
        </w:tc>
      </w:tr>
      <w:tr w:rsidR="00035B49" w:rsidRPr="00E76A09" w14:paraId="39B59046" w14:textId="77777777" w:rsidTr="00BB7634">
        <w:trPr>
          <w:trHeight w:val="952"/>
        </w:trPr>
        <w:tc>
          <w:tcPr>
            <w:tcW w:w="4611" w:type="dxa"/>
          </w:tcPr>
          <w:p w14:paraId="2159D66D" w14:textId="7AF4B8AC" w:rsidR="00035B49" w:rsidRPr="00E76A09" w:rsidRDefault="00F961F7" w:rsidP="00BB7634">
            <w:pPr>
              <w:spacing w:before="0" w:line="240" w:lineRule="auto"/>
              <w:rPr>
                <w:rFonts w:cs="Arial"/>
                <w:sz w:val="22"/>
                <w:szCs w:val="22"/>
              </w:rPr>
            </w:pPr>
            <w:r w:rsidRPr="00E76A09">
              <w:rPr>
                <w:rFonts w:cs="Arial"/>
                <w:sz w:val="22"/>
                <w:szCs w:val="22"/>
              </w:rPr>
              <w:t xml:space="preserve">Standard </w:t>
            </w:r>
            <w:r w:rsidR="00E74C45" w:rsidRPr="00E76A09">
              <w:rPr>
                <w:rFonts w:cs="Arial"/>
                <w:sz w:val="22"/>
                <w:szCs w:val="22"/>
              </w:rPr>
              <w:t>Administrative</w:t>
            </w:r>
            <w:r w:rsidRPr="00E76A09">
              <w:rPr>
                <w:rFonts w:cs="Arial"/>
                <w:sz w:val="22"/>
                <w:szCs w:val="22"/>
              </w:rPr>
              <w:t xml:space="preserve"> Arrangement amendment </w:t>
            </w:r>
            <w:r w:rsidR="0015206C" w:rsidRPr="00E76A09">
              <w:rPr>
                <w:rFonts w:cs="Arial"/>
                <w:sz w:val="22"/>
                <w:szCs w:val="22"/>
              </w:rPr>
              <w:t xml:space="preserve">negotiated, </w:t>
            </w:r>
            <w:r w:rsidR="00FB0858" w:rsidRPr="00E76A09">
              <w:rPr>
                <w:rFonts w:cs="Arial"/>
                <w:sz w:val="22"/>
                <w:szCs w:val="22"/>
              </w:rPr>
              <w:t xml:space="preserve">agreed and </w:t>
            </w:r>
            <w:r w:rsidRPr="00E76A09">
              <w:rPr>
                <w:rFonts w:cs="Arial"/>
                <w:sz w:val="22"/>
                <w:szCs w:val="22"/>
              </w:rPr>
              <w:t>signed with DESNZ and UNDP MPTF Office</w:t>
            </w:r>
          </w:p>
        </w:tc>
        <w:tc>
          <w:tcPr>
            <w:tcW w:w="2797" w:type="dxa"/>
          </w:tcPr>
          <w:p w14:paraId="0E83DB4F" w14:textId="0520BACE" w:rsidR="00035B49" w:rsidRPr="00E76A09" w:rsidRDefault="0015206C" w:rsidP="00BB7634">
            <w:pPr>
              <w:spacing w:before="0" w:line="240" w:lineRule="auto"/>
              <w:rPr>
                <w:rFonts w:cs="Arial"/>
                <w:sz w:val="22"/>
                <w:szCs w:val="22"/>
              </w:rPr>
            </w:pPr>
            <w:r w:rsidRPr="00E76A09">
              <w:rPr>
                <w:rFonts w:cs="Arial"/>
                <w:sz w:val="22"/>
                <w:szCs w:val="22"/>
              </w:rPr>
              <w:t>September 2025</w:t>
            </w:r>
          </w:p>
        </w:tc>
        <w:tc>
          <w:tcPr>
            <w:tcW w:w="2650" w:type="dxa"/>
          </w:tcPr>
          <w:p w14:paraId="738112A7" w14:textId="6976E472" w:rsidR="00035B49" w:rsidRPr="00E76A09" w:rsidRDefault="00B72910" w:rsidP="00BB7634">
            <w:pPr>
              <w:spacing w:before="0" w:line="240" w:lineRule="auto"/>
              <w:rPr>
                <w:rFonts w:cs="Arial"/>
                <w:sz w:val="22"/>
                <w:szCs w:val="22"/>
              </w:rPr>
            </w:pPr>
            <w:r w:rsidRPr="00E76A09">
              <w:rPr>
                <w:rFonts w:cs="Arial"/>
                <w:sz w:val="22"/>
                <w:szCs w:val="22"/>
              </w:rPr>
              <w:t>10</w:t>
            </w:r>
            <w:r w:rsidR="0024424B" w:rsidRPr="00E76A09">
              <w:rPr>
                <w:rFonts w:cs="Arial"/>
                <w:sz w:val="22"/>
                <w:szCs w:val="22"/>
                <w:vertAlign w:val="superscript"/>
              </w:rPr>
              <w:t>th</w:t>
            </w:r>
            <w:r w:rsidR="0024424B" w:rsidRPr="00E76A09">
              <w:rPr>
                <w:rFonts w:cs="Arial"/>
                <w:sz w:val="22"/>
                <w:szCs w:val="22"/>
              </w:rPr>
              <w:t xml:space="preserve"> November 2025</w:t>
            </w:r>
          </w:p>
        </w:tc>
      </w:tr>
      <w:tr w:rsidR="004018E8" w:rsidRPr="00E76A09" w14:paraId="0B5CEC08" w14:textId="77777777" w:rsidTr="00BB7634">
        <w:trPr>
          <w:trHeight w:val="717"/>
        </w:trPr>
        <w:tc>
          <w:tcPr>
            <w:tcW w:w="4611" w:type="dxa"/>
          </w:tcPr>
          <w:p w14:paraId="1E5BF5FB" w14:textId="3C224A91" w:rsidR="004018E8" w:rsidRPr="00E76A09" w:rsidRDefault="004018E8" w:rsidP="00BB7634">
            <w:pPr>
              <w:spacing w:before="0" w:line="240" w:lineRule="auto"/>
              <w:rPr>
                <w:rFonts w:cs="Arial"/>
                <w:sz w:val="22"/>
                <w:szCs w:val="22"/>
              </w:rPr>
            </w:pPr>
            <w:r w:rsidRPr="00E76A09">
              <w:rPr>
                <w:rFonts w:cs="Arial"/>
                <w:sz w:val="22"/>
                <w:szCs w:val="22"/>
              </w:rPr>
              <w:t>Announcement of AIM4Forests extension at COP30</w:t>
            </w:r>
          </w:p>
        </w:tc>
        <w:tc>
          <w:tcPr>
            <w:tcW w:w="2797" w:type="dxa"/>
          </w:tcPr>
          <w:p w14:paraId="48F8606C" w14:textId="59D756D0" w:rsidR="004018E8" w:rsidRPr="00E76A09" w:rsidRDefault="00C80D06" w:rsidP="00BB7634">
            <w:pPr>
              <w:spacing w:before="0" w:line="240" w:lineRule="auto"/>
              <w:rPr>
                <w:rFonts w:cs="Arial"/>
                <w:sz w:val="22"/>
                <w:szCs w:val="22"/>
              </w:rPr>
            </w:pPr>
            <w:r w:rsidRPr="00E76A09">
              <w:rPr>
                <w:rFonts w:cs="Arial"/>
                <w:sz w:val="22"/>
                <w:szCs w:val="22"/>
              </w:rPr>
              <w:t>10</w:t>
            </w:r>
            <w:r w:rsidRPr="00E76A09">
              <w:rPr>
                <w:rFonts w:cs="Arial"/>
                <w:sz w:val="22"/>
                <w:szCs w:val="22"/>
                <w:vertAlign w:val="superscript"/>
              </w:rPr>
              <w:t xml:space="preserve">th </w:t>
            </w:r>
            <w:r w:rsidRPr="00E76A09">
              <w:rPr>
                <w:rFonts w:cs="Arial"/>
                <w:sz w:val="22"/>
                <w:szCs w:val="22"/>
              </w:rPr>
              <w:t>November 2025</w:t>
            </w:r>
          </w:p>
        </w:tc>
        <w:tc>
          <w:tcPr>
            <w:tcW w:w="2650" w:type="dxa"/>
          </w:tcPr>
          <w:p w14:paraId="7B97D896" w14:textId="062A95DF" w:rsidR="004018E8" w:rsidRPr="00E76A09" w:rsidRDefault="00C80D06" w:rsidP="00BB7634">
            <w:pPr>
              <w:spacing w:before="0" w:line="240" w:lineRule="auto"/>
              <w:rPr>
                <w:rFonts w:cs="Arial"/>
                <w:sz w:val="22"/>
                <w:szCs w:val="22"/>
              </w:rPr>
            </w:pPr>
            <w:r w:rsidRPr="00E76A09">
              <w:rPr>
                <w:rFonts w:cs="Arial"/>
                <w:sz w:val="22"/>
                <w:szCs w:val="22"/>
              </w:rPr>
              <w:t>21</w:t>
            </w:r>
            <w:r w:rsidRPr="00E76A09">
              <w:rPr>
                <w:rFonts w:cs="Arial"/>
                <w:sz w:val="22"/>
                <w:szCs w:val="22"/>
                <w:vertAlign w:val="superscript"/>
              </w:rPr>
              <w:t>st</w:t>
            </w:r>
            <w:r w:rsidRPr="00E76A09">
              <w:rPr>
                <w:rFonts w:cs="Arial"/>
                <w:sz w:val="22"/>
                <w:szCs w:val="22"/>
              </w:rPr>
              <w:t xml:space="preserve"> November 2025</w:t>
            </w:r>
          </w:p>
        </w:tc>
      </w:tr>
      <w:tr w:rsidR="00035B49" w:rsidRPr="00E76A09" w14:paraId="0C7EE303" w14:textId="77777777" w:rsidTr="00BB7634">
        <w:trPr>
          <w:trHeight w:val="470"/>
        </w:trPr>
        <w:tc>
          <w:tcPr>
            <w:tcW w:w="4611" w:type="dxa"/>
          </w:tcPr>
          <w:p w14:paraId="056C8DCC" w14:textId="5575AC1E" w:rsidR="00035B49" w:rsidRPr="00E76A09" w:rsidRDefault="00F961F7" w:rsidP="00BB7634">
            <w:pPr>
              <w:spacing w:before="0" w:line="240" w:lineRule="auto"/>
              <w:rPr>
                <w:rFonts w:cs="Arial"/>
                <w:sz w:val="22"/>
                <w:szCs w:val="22"/>
              </w:rPr>
            </w:pPr>
            <w:r w:rsidRPr="00E76A09">
              <w:rPr>
                <w:rFonts w:cs="Arial"/>
                <w:sz w:val="22"/>
                <w:szCs w:val="22"/>
              </w:rPr>
              <w:t>Promissory Note laid</w:t>
            </w:r>
            <w:r w:rsidR="00CE3E24" w:rsidRPr="00E76A09">
              <w:rPr>
                <w:rFonts w:cs="Arial"/>
                <w:sz w:val="22"/>
                <w:szCs w:val="22"/>
              </w:rPr>
              <w:t xml:space="preserve"> for extension</w:t>
            </w:r>
          </w:p>
        </w:tc>
        <w:tc>
          <w:tcPr>
            <w:tcW w:w="2797" w:type="dxa"/>
          </w:tcPr>
          <w:p w14:paraId="30887FB6" w14:textId="5670145E" w:rsidR="00035B49" w:rsidRPr="00E76A09" w:rsidRDefault="00BB0B3E" w:rsidP="00BB7634">
            <w:pPr>
              <w:spacing w:before="0" w:line="240" w:lineRule="auto"/>
              <w:rPr>
                <w:rFonts w:cs="Arial"/>
                <w:sz w:val="22"/>
                <w:szCs w:val="22"/>
              </w:rPr>
            </w:pPr>
            <w:r w:rsidRPr="00E76A09">
              <w:rPr>
                <w:rFonts w:cs="Arial"/>
                <w:sz w:val="22"/>
                <w:szCs w:val="22"/>
              </w:rPr>
              <w:t>November 2025</w:t>
            </w:r>
          </w:p>
        </w:tc>
        <w:tc>
          <w:tcPr>
            <w:tcW w:w="2650" w:type="dxa"/>
          </w:tcPr>
          <w:p w14:paraId="7F983038" w14:textId="10E033A5" w:rsidR="00035B49" w:rsidRPr="00E76A09" w:rsidRDefault="00BB0B3E" w:rsidP="00BB7634">
            <w:pPr>
              <w:spacing w:before="0" w:line="240" w:lineRule="auto"/>
              <w:rPr>
                <w:rFonts w:cs="Arial"/>
                <w:sz w:val="22"/>
                <w:szCs w:val="22"/>
              </w:rPr>
            </w:pPr>
            <w:r w:rsidRPr="00E76A09">
              <w:rPr>
                <w:rFonts w:cs="Arial"/>
                <w:sz w:val="22"/>
                <w:szCs w:val="22"/>
              </w:rPr>
              <w:t>December 2025</w:t>
            </w:r>
          </w:p>
        </w:tc>
      </w:tr>
      <w:tr w:rsidR="00F961F7" w:rsidRPr="00E76A09" w14:paraId="2DB80A43" w14:textId="77777777" w:rsidTr="00BB7634">
        <w:trPr>
          <w:trHeight w:val="964"/>
        </w:trPr>
        <w:tc>
          <w:tcPr>
            <w:tcW w:w="4611" w:type="dxa"/>
          </w:tcPr>
          <w:p w14:paraId="3825A921" w14:textId="7F34F4ED" w:rsidR="00F961F7" w:rsidRPr="00E76A09" w:rsidRDefault="00F961F7" w:rsidP="00BB7634">
            <w:pPr>
              <w:spacing w:before="0" w:line="240" w:lineRule="auto"/>
              <w:rPr>
                <w:rFonts w:cs="Arial"/>
                <w:sz w:val="22"/>
                <w:szCs w:val="22"/>
              </w:rPr>
            </w:pPr>
            <w:r w:rsidRPr="00E76A09">
              <w:rPr>
                <w:rFonts w:cs="Arial"/>
                <w:sz w:val="22"/>
                <w:szCs w:val="22"/>
              </w:rPr>
              <w:t>Key MEL products finalised, amended and approved (Theory of Change, Logframe and MEL framework)</w:t>
            </w:r>
          </w:p>
        </w:tc>
        <w:tc>
          <w:tcPr>
            <w:tcW w:w="2797" w:type="dxa"/>
          </w:tcPr>
          <w:p w14:paraId="17D62956" w14:textId="78A3602A" w:rsidR="00F961F7" w:rsidRPr="00E76A09" w:rsidRDefault="00386D16" w:rsidP="00BB7634">
            <w:pPr>
              <w:spacing w:before="0" w:line="240" w:lineRule="auto"/>
              <w:rPr>
                <w:rFonts w:cs="Arial"/>
                <w:sz w:val="22"/>
                <w:szCs w:val="22"/>
              </w:rPr>
            </w:pPr>
            <w:r w:rsidRPr="00E76A09">
              <w:rPr>
                <w:rFonts w:cs="Arial"/>
                <w:sz w:val="22"/>
                <w:szCs w:val="22"/>
              </w:rPr>
              <w:t>Novembe</w:t>
            </w:r>
            <w:r w:rsidR="00C80D06" w:rsidRPr="00E76A09">
              <w:rPr>
                <w:rFonts w:cs="Arial"/>
                <w:sz w:val="22"/>
                <w:szCs w:val="22"/>
              </w:rPr>
              <w:t>r 2025</w:t>
            </w:r>
          </w:p>
        </w:tc>
        <w:tc>
          <w:tcPr>
            <w:tcW w:w="2650" w:type="dxa"/>
          </w:tcPr>
          <w:p w14:paraId="0DFC93A0" w14:textId="347294B3" w:rsidR="00F961F7" w:rsidRPr="00E76A09" w:rsidRDefault="00174D9F" w:rsidP="00BB7634">
            <w:pPr>
              <w:spacing w:before="0" w:line="240" w:lineRule="auto"/>
              <w:rPr>
                <w:rFonts w:cs="Arial"/>
                <w:sz w:val="22"/>
                <w:szCs w:val="22"/>
              </w:rPr>
            </w:pPr>
            <w:r w:rsidRPr="00E76A09">
              <w:rPr>
                <w:rFonts w:cs="Arial"/>
                <w:sz w:val="22"/>
                <w:szCs w:val="22"/>
              </w:rPr>
              <w:t>End of 2025</w:t>
            </w:r>
          </w:p>
        </w:tc>
      </w:tr>
      <w:tr w:rsidR="00F961F7" w:rsidRPr="00E76A09" w14:paraId="5738968A" w14:textId="77777777" w:rsidTr="00BB7634">
        <w:trPr>
          <w:trHeight w:val="470"/>
        </w:trPr>
        <w:tc>
          <w:tcPr>
            <w:tcW w:w="4611" w:type="dxa"/>
          </w:tcPr>
          <w:p w14:paraId="4172FD81" w14:textId="432F4383" w:rsidR="00F961F7" w:rsidRPr="00E76A09" w:rsidRDefault="00434899" w:rsidP="00BB7634">
            <w:pPr>
              <w:spacing w:before="0" w:line="240" w:lineRule="auto"/>
              <w:rPr>
                <w:rFonts w:cs="Arial"/>
                <w:sz w:val="22"/>
                <w:szCs w:val="22"/>
              </w:rPr>
            </w:pPr>
            <w:r w:rsidRPr="00E76A09">
              <w:rPr>
                <w:rFonts w:cs="Arial"/>
                <w:sz w:val="22"/>
                <w:szCs w:val="22"/>
              </w:rPr>
              <w:t>Updated Annual Workplan and Budget sign off</w:t>
            </w:r>
          </w:p>
        </w:tc>
        <w:tc>
          <w:tcPr>
            <w:tcW w:w="2797" w:type="dxa"/>
          </w:tcPr>
          <w:p w14:paraId="73740E8F" w14:textId="1BA6137D" w:rsidR="00F961F7" w:rsidRPr="00E76A09" w:rsidRDefault="00F174C2" w:rsidP="00BB7634">
            <w:pPr>
              <w:spacing w:before="0" w:line="240" w:lineRule="auto"/>
              <w:rPr>
                <w:rFonts w:cs="Arial"/>
                <w:sz w:val="22"/>
                <w:szCs w:val="22"/>
              </w:rPr>
            </w:pPr>
            <w:r w:rsidRPr="00E76A09">
              <w:rPr>
                <w:rFonts w:cs="Arial"/>
                <w:sz w:val="22"/>
                <w:szCs w:val="22"/>
              </w:rPr>
              <w:t>Q1 2026</w:t>
            </w:r>
          </w:p>
        </w:tc>
        <w:tc>
          <w:tcPr>
            <w:tcW w:w="2650" w:type="dxa"/>
          </w:tcPr>
          <w:p w14:paraId="465F75D7" w14:textId="51EB47E2" w:rsidR="00F961F7" w:rsidRPr="00E76A09" w:rsidRDefault="00F174C2" w:rsidP="00BB7634">
            <w:pPr>
              <w:spacing w:before="0" w:line="240" w:lineRule="auto"/>
              <w:rPr>
                <w:rFonts w:cs="Arial"/>
                <w:sz w:val="22"/>
                <w:szCs w:val="22"/>
              </w:rPr>
            </w:pPr>
            <w:r w:rsidRPr="00E76A09">
              <w:rPr>
                <w:rFonts w:cs="Arial"/>
                <w:sz w:val="22"/>
                <w:szCs w:val="22"/>
              </w:rPr>
              <w:t>Q1 2026</w:t>
            </w:r>
          </w:p>
        </w:tc>
      </w:tr>
      <w:tr w:rsidR="00434899" w:rsidRPr="00E76A09" w14:paraId="42475C0D" w14:textId="77777777" w:rsidTr="00BB7634">
        <w:trPr>
          <w:trHeight w:val="952"/>
        </w:trPr>
        <w:tc>
          <w:tcPr>
            <w:tcW w:w="4611" w:type="dxa"/>
          </w:tcPr>
          <w:p w14:paraId="4790A5D5" w14:textId="6E5E7EFF" w:rsidR="00434899" w:rsidRPr="00E76A09" w:rsidRDefault="003E510D" w:rsidP="00BB7634">
            <w:pPr>
              <w:spacing w:before="0" w:line="240" w:lineRule="auto"/>
              <w:rPr>
                <w:rFonts w:cs="Arial"/>
                <w:sz w:val="22"/>
                <w:szCs w:val="22"/>
              </w:rPr>
            </w:pPr>
            <w:r w:rsidRPr="00E76A09">
              <w:rPr>
                <w:rFonts w:cs="Arial"/>
                <w:sz w:val="22"/>
                <w:szCs w:val="22"/>
              </w:rPr>
              <w:t>Steering Committee Meeting</w:t>
            </w:r>
            <w:r w:rsidR="00E74C45" w:rsidRPr="00E76A09">
              <w:rPr>
                <w:rFonts w:cs="Arial"/>
                <w:sz w:val="22"/>
                <w:szCs w:val="22"/>
              </w:rPr>
              <w:t xml:space="preserve"> reflecting extension of AIM4Forests (including one day for AIM4Commodities</w:t>
            </w:r>
            <w:r w:rsidR="00FF30A4" w:rsidRPr="00E76A09">
              <w:rPr>
                <w:rFonts w:cs="Arial"/>
                <w:sz w:val="22"/>
                <w:szCs w:val="22"/>
              </w:rPr>
              <w:t xml:space="preserve"> with GIZ</w:t>
            </w:r>
            <w:r w:rsidR="00E74C45" w:rsidRPr="00E76A09">
              <w:rPr>
                <w:rFonts w:cs="Arial"/>
                <w:sz w:val="22"/>
                <w:szCs w:val="22"/>
              </w:rPr>
              <w:t>)</w:t>
            </w:r>
          </w:p>
        </w:tc>
        <w:tc>
          <w:tcPr>
            <w:tcW w:w="2797" w:type="dxa"/>
          </w:tcPr>
          <w:p w14:paraId="1336BEFD" w14:textId="66A9FCDB" w:rsidR="00434899" w:rsidRPr="00E76A09" w:rsidRDefault="00F174C2" w:rsidP="00BB7634">
            <w:pPr>
              <w:spacing w:before="0" w:line="240" w:lineRule="auto"/>
              <w:rPr>
                <w:rFonts w:cs="Arial"/>
                <w:sz w:val="22"/>
                <w:szCs w:val="22"/>
              </w:rPr>
            </w:pPr>
            <w:r w:rsidRPr="00E76A09">
              <w:rPr>
                <w:rFonts w:cs="Arial"/>
                <w:sz w:val="22"/>
                <w:szCs w:val="22"/>
              </w:rPr>
              <w:t>March/April 2026</w:t>
            </w:r>
          </w:p>
        </w:tc>
        <w:tc>
          <w:tcPr>
            <w:tcW w:w="2650" w:type="dxa"/>
          </w:tcPr>
          <w:p w14:paraId="3649A4E3" w14:textId="4FB88667" w:rsidR="00434899" w:rsidRPr="00E76A09" w:rsidRDefault="00F174C2" w:rsidP="00BB7634">
            <w:pPr>
              <w:spacing w:before="0" w:line="240" w:lineRule="auto"/>
              <w:rPr>
                <w:rFonts w:cs="Arial"/>
                <w:sz w:val="22"/>
                <w:szCs w:val="22"/>
              </w:rPr>
            </w:pPr>
            <w:r w:rsidRPr="00E76A09">
              <w:rPr>
                <w:rFonts w:cs="Arial"/>
                <w:sz w:val="22"/>
                <w:szCs w:val="22"/>
              </w:rPr>
              <w:t>March/April 2026</w:t>
            </w:r>
          </w:p>
        </w:tc>
      </w:tr>
      <w:tr w:rsidR="00415D2D" w:rsidRPr="00E76A09" w14:paraId="668F8050" w14:textId="77777777" w:rsidTr="00BB7634">
        <w:trPr>
          <w:trHeight w:val="470"/>
        </w:trPr>
        <w:tc>
          <w:tcPr>
            <w:tcW w:w="4611" w:type="dxa"/>
          </w:tcPr>
          <w:p w14:paraId="3FF5616C" w14:textId="1D88B39C" w:rsidR="00415D2D" w:rsidRPr="00E76A09" w:rsidRDefault="00415D2D" w:rsidP="00BB7634">
            <w:pPr>
              <w:spacing w:before="0" w:line="240" w:lineRule="auto"/>
              <w:rPr>
                <w:rFonts w:cs="Arial"/>
                <w:sz w:val="22"/>
                <w:szCs w:val="22"/>
              </w:rPr>
            </w:pPr>
            <w:r w:rsidRPr="00E76A09">
              <w:rPr>
                <w:rFonts w:cs="Arial"/>
                <w:sz w:val="22"/>
                <w:szCs w:val="22"/>
              </w:rPr>
              <w:t xml:space="preserve">Annual Review </w:t>
            </w:r>
          </w:p>
        </w:tc>
        <w:tc>
          <w:tcPr>
            <w:tcW w:w="2797" w:type="dxa"/>
          </w:tcPr>
          <w:p w14:paraId="43A752BD" w14:textId="1AD3F338" w:rsidR="00415D2D" w:rsidRPr="00E76A09" w:rsidRDefault="00C62943" w:rsidP="00BB7634">
            <w:pPr>
              <w:spacing w:before="0" w:line="240" w:lineRule="auto"/>
              <w:rPr>
                <w:rFonts w:cs="Arial"/>
                <w:sz w:val="22"/>
                <w:szCs w:val="22"/>
              </w:rPr>
            </w:pPr>
            <w:r w:rsidRPr="00E76A09">
              <w:rPr>
                <w:rFonts w:cs="Arial"/>
                <w:sz w:val="22"/>
                <w:szCs w:val="22"/>
              </w:rPr>
              <w:t>March/April 2025</w:t>
            </w:r>
          </w:p>
        </w:tc>
        <w:tc>
          <w:tcPr>
            <w:tcW w:w="2650" w:type="dxa"/>
          </w:tcPr>
          <w:p w14:paraId="051DE2B9" w14:textId="624F1981" w:rsidR="00415D2D" w:rsidRPr="00E76A09" w:rsidRDefault="00974681" w:rsidP="00BB7634">
            <w:pPr>
              <w:spacing w:before="0" w:line="240" w:lineRule="auto"/>
              <w:rPr>
                <w:rFonts w:cs="Arial"/>
                <w:sz w:val="22"/>
                <w:szCs w:val="22"/>
              </w:rPr>
            </w:pPr>
            <w:r w:rsidRPr="00E76A09">
              <w:rPr>
                <w:rFonts w:cs="Arial"/>
                <w:sz w:val="22"/>
                <w:szCs w:val="22"/>
              </w:rPr>
              <w:t>March/April 2026</w:t>
            </w:r>
          </w:p>
        </w:tc>
      </w:tr>
    </w:tbl>
    <w:p w14:paraId="24BD48E3" w14:textId="427CEA06" w:rsidR="00025691" w:rsidRPr="00E76A09" w:rsidRDefault="00025691" w:rsidP="0037708D">
      <w:pPr>
        <w:rPr>
          <w:rFonts w:cs="Arial"/>
          <w:b/>
          <w:bCs/>
          <w:i/>
          <w:iCs/>
          <w:sz w:val="24"/>
          <w:szCs w:val="24"/>
        </w:rPr>
      </w:pPr>
      <w:r w:rsidRPr="00E76A09">
        <w:rPr>
          <w:rFonts w:cs="Arial"/>
          <w:b/>
          <w:bCs/>
          <w:i/>
          <w:iCs/>
          <w:sz w:val="24"/>
          <w:szCs w:val="24"/>
        </w:rPr>
        <w:t xml:space="preserve">5.2. Stakeholder management and communications </w:t>
      </w:r>
    </w:p>
    <w:p w14:paraId="6B33B576" w14:textId="764AD14F" w:rsidR="00E764EF" w:rsidRPr="00E76A09" w:rsidRDefault="00E764EF" w:rsidP="00936BFB">
      <w:pPr>
        <w:spacing w:line="240" w:lineRule="auto"/>
        <w:rPr>
          <w:rFonts w:cs="Arial"/>
          <w:sz w:val="22"/>
          <w:szCs w:val="22"/>
        </w:rPr>
      </w:pPr>
      <w:r w:rsidRPr="57AB4C69">
        <w:rPr>
          <w:rFonts w:cs="Arial"/>
          <w:sz w:val="22"/>
          <w:szCs w:val="22"/>
        </w:rPr>
        <w:t>As AIM4Forests is</w:t>
      </w:r>
      <w:r w:rsidR="009F3836" w:rsidRPr="57AB4C69">
        <w:rPr>
          <w:rFonts w:cs="Arial"/>
          <w:sz w:val="22"/>
          <w:szCs w:val="22"/>
        </w:rPr>
        <w:t xml:space="preserve"> currently</w:t>
      </w:r>
      <w:r w:rsidRPr="57AB4C69">
        <w:rPr>
          <w:rFonts w:cs="Arial"/>
          <w:sz w:val="22"/>
          <w:szCs w:val="22"/>
        </w:rPr>
        <w:t xml:space="preserve"> managed </w:t>
      </w:r>
      <w:r w:rsidR="00311433" w:rsidRPr="57AB4C69">
        <w:rPr>
          <w:rFonts w:cs="Arial"/>
          <w:sz w:val="22"/>
          <w:szCs w:val="22"/>
        </w:rPr>
        <w:t xml:space="preserve">as a single-donor programme, ongoing connections with international stakeholders for alignment, strategic value-add, coherence and effectiveness </w:t>
      </w:r>
      <w:r w:rsidR="003A4F78" w:rsidRPr="57AB4C69">
        <w:rPr>
          <w:rFonts w:cs="Arial"/>
          <w:sz w:val="22"/>
          <w:szCs w:val="22"/>
        </w:rPr>
        <w:t>are</w:t>
      </w:r>
      <w:r w:rsidR="00311433" w:rsidRPr="57AB4C69">
        <w:rPr>
          <w:rFonts w:cs="Arial"/>
          <w:sz w:val="22"/>
          <w:szCs w:val="22"/>
        </w:rPr>
        <w:t xml:space="preserve"> key</w:t>
      </w:r>
      <w:r w:rsidR="003A4F78" w:rsidRPr="57AB4C69">
        <w:rPr>
          <w:rFonts w:cs="Arial"/>
          <w:sz w:val="22"/>
          <w:szCs w:val="22"/>
        </w:rPr>
        <w:t xml:space="preserve"> elements</w:t>
      </w:r>
      <w:r w:rsidR="00311433" w:rsidRPr="57AB4C69">
        <w:rPr>
          <w:rFonts w:cs="Arial"/>
          <w:sz w:val="22"/>
          <w:szCs w:val="22"/>
        </w:rPr>
        <w:t xml:space="preserve"> for the success of various </w:t>
      </w:r>
      <w:r w:rsidR="007B61E2" w:rsidRPr="57AB4C69">
        <w:rPr>
          <w:rFonts w:cs="Arial"/>
          <w:sz w:val="22"/>
          <w:szCs w:val="22"/>
        </w:rPr>
        <w:t>activities</w:t>
      </w:r>
      <w:r w:rsidR="00311433" w:rsidRPr="57AB4C69">
        <w:rPr>
          <w:rFonts w:cs="Arial"/>
          <w:sz w:val="22"/>
          <w:szCs w:val="22"/>
        </w:rPr>
        <w:t>. There are multiple fora in which AIM4Forests (through DESNZ Programme Management and FAO Programme Management) currently connect</w:t>
      </w:r>
      <w:r w:rsidR="00E63AEB" w:rsidRPr="57AB4C69">
        <w:rPr>
          <w:rFonts w:cs="Arial"/>
          <w:sz w:val="22"/>
          <w:szCs w:val="22"/>
        </w:rPr>
        <w:t xml:space="preserve"> with key partners.</w:t>
      </w:r>
    </w:p>
    <w:p w14:paraId="04A7FC42" w14:textId="162482EB" w:rsidR="00E63AEB" w:rsidRPr="00E76A09" w:rsidRDefault="00E63AEB" w:rsidP="005F1FB6">
      <w:pPr>
        <w:pStyle w:val="ListParagraph"/>
        <w:numPr>
          <w:ilvl w:val="0"/>
          <w:numId w:val="83"/>
        </w:numPr>
        <w:spacing w:line="240" w:lineRule="auto"/>
        <w:rPr>
          <w:rFonts w:cs="Arial"/>
          <w:sz w:val="22"/>
          <w:szCs w:val="22"/>
        </w:rPr>
      </w:pPr>
      <w:r w:rsidRPr="57AB4C69">
        <w:rPr>
          <w:rFonts w:cs="Arial"/>
          <w:sz w:val="22"/>
          <w:szCs w:val="22"/>
        </w:rPr>
        <w:t>GNU</w:t>
      </w:r>
      <w:r w:rsidR="004A5090" w:rsidRPr="57AB4C69">
        <w:rPr>
          <w:rFonts w:cs="Arial"/>
          <w:sz w:val="22"/>
          <w:szCs w:val="22"/>
        </w:rPr>
        <w:t xml:space="preserve">: The UK has worked closely with </w:t>
      </w:r>
      <w:r w:rsidR="00F66427" w:rsidRPr="57AB4C69">
        <w:rPr>
          <w:rFonts w:cs="Arial"/>
          <w:sz w:val="22"/>
          <w:szCs w:val="22"/>
        </w:rPr>
        <w:t xml:space="preserve">the governments of </w:t>
      </w:r>
      <w:r w:rsidR="004A5090" w:rsidRPr="57AB4C69">
        <w:rPr>
          <w:rFonts w:cs="Arial"/>
          <w:sz w:val="22"/>
          <w:szCs w:val="22"/>
        </w:rPr>
        <w:t xml:space="preserve">Germany and Norway for many years on climate and forests through the GNU partnership. Within HMG, IFU/DESNZ holds this relationship and participates in coordination meetings </w:t>
      </w:r>
      <w:proofErr w:type="gramStart"/>
      <w:r w:rsidR="004A5090" w:rsidRPr="57AB4C69">
        <w:rPr>
          <w:rFonts w:cs="Arial"/>
          <w:sz w:val="22"/>
          <w:szCs w:val="22"/>
        </w:rPr>
        <w:t>on a monthly basis</w:t>
      </w:r>
      <w:proofErr w:type="gramEnd"/>
      <w:r w:rsidR="004A5090" w:rsidRPr="57AB4C69">
        <w:rPr>
          <w:rFonts w:cs="Arial"/>
          <w:sz w:val="22"/>
          <w:szCs w:val="22"/>
        </w:rPr>
        <w:t xml:space="preserve"> to advance shared goals and priorities. IFU/DESNZ also engage bilaterally with these partners on specific programmes and policy areas.</w:t>
      </w:r>
      <w:r w:rsidR="00E76346" w:rsidRPr="57AB4C69">
        <w:rPr>
          <w:rFonts w:cs="Arial"/>
          <w:sz w:val="22"/>
          <w:szCs w:val="22"/>
        </w:rPr>
        <w:t xml:space="preserve"> In addition, with the inclusion of AIM4Commodities, engagements with Germany will increase – both on the DESNZ Programme Management side and FAO Programme Management. </w:t>
      </w:r>
    </w:p>
    <w:p w14:paraId="6187F440" w14:textId="48A78C7E" w:rsidR="004A5090" w:rsidRPr="00E76A09" w:rsidRDefault="004A5090" w:rsidP="005F1FB6">
      <w:pPr>
        <w:pStyle w:val="ListParagraph"/>
        <w:numPr>
          <w:ilvl w:val="0"/>
          <w:numId w:val="83"/>
        </w:numPr>
        <w:spacing w:line="240" w:lineRule="auto"/>
        <w:rPr>
          <w:rFonts w:cs="Arial"/>
          <w:sz w:val="22"/>
          <w:szCs w:val="22"/>
        </w:rPr>
      </w:pPr>
      <w:r w:rsidRPr="00E76A09">
        <w:rPr>
          <w:rFonts w:cs="Arial"/>
          <w:sz w:val="22"/>
          <w:szCs w:val="22"/>
        </w:rPr>
        <w:t>GFOI Leads Meeting: The UK is a lead partner</w:t>
      </w:r>
      <w:r w:rsidR="00CC6CA5" w:rsidRPr="00E76A09">
        <w:rPr>
          <w:rFonts w:cs="Arial"/>
          <w:sz w:val="22"/>
          <w:szCs w:val="22"/>
        </w:rPr>
        <w:t xml:space="preserve"> on the GFOI Leads Group, that meets monthly online to </w:t>
      </w:r>
      <w:r w:rsidR="003315B0" w:rsidRPr="00E76A09">
        <w:rPr>
          <w:rFonts w:cs="Arial"/>
          <w:sz w:val="22"/>
          <w:szCs w:val="22"/>
        </w:rPr>
        <w:t>collaborate on international support on forest monitoring</w:t>
      </w:r>
      <w:r w:rsidR="00F82557" w:rsidRPr="00E76A09">
        <w:rPr>
          <w:rFonts w:cs="Arial"/>
          <w:sz w:val="22"/>
          <w:szCs w:val="22"/>
        </w:rPr>
        <w:t>.</w:t>
      </w:r>
      <w:r w:rsidR="003A4F78" w:rsidRPr="00E76A09">
        <w:rPr>
          <w:rFonts w:cs="Arial"/>
          <w:sz w:val="22"/>
          <w:szCs w:val="22"/>
        </w:rPr>
        <w:t xml:space="preserve"> FAO, the delivery partner, is also a member of the leads group. Other members include Australia, Germany, Norway, the UK, as well as the international </w:t>
      </w:r>
      <w:r w:rsidR="003A4F78" w:rsidRPr="00E76A09">
        <w:rPr>
          <w:rFonts w:cs="Arial"/>
          <w:sz w:val="22"/>
          <w:szCs w:val="22"/>
        </w:rPr>
        <w:lastRenderedPageBreak/>
        <w:t>Committee on Earth Observation Satellites (CEOS), the European Space Agency (ESA), the Green Climate Fund (GCF) and the World Bank</w:t>
      </w:r>
      <w:r w:rsidR="003F1A04" w:rsidRPr="00E76A09">
        <w:rPr>
          <w:rFonts w:cs="Arial"/>
          <w:sz w:val="22"/>
          <w:szCs w:val="22"/>
        </w:rPr>
        <w:t>.</w:t>
      </w:r>
    </w:p>
    <w:p w14:paraId="564FA831" w14:textId="6251DF3B" w:rsidR="00E91C10" w:rsidRPr="00E76A09" w:rsidRDefault="00E91C10" w:rsidP="005F1FB6">
      <w:pPr>
        <w:pStyle w:val="ListParagraph"/>
        <w:numPr>
          <w:ilvl w:val="0"/>
          <w:numId w:val="83"/>
        </w:numPr>
        <w:spacing w:line="240" w:lineRule="auto"/>
        <w:rPr>
          <w:rFonts w:cs="Arial"/>
          <w:sz w:val="22"/>
          <w:szCs w:val="22"/>
        </w:rPr>
      </w:pPr>
      <w:r w:rsidRPr="00E76A09">
        <w:rPr>
          <w:rFonts w:cs="Arial"/>
          <w:sz w:val="22"/>
          <w:szCs w:val="22"/>
        </w:rPr>
        <w:t>Engagement across</w:t>
      </w:r>
      <w:r w:rsidR="003F1A04" w:rsidRPr="00E76A09">
        <w:rPr>
          <w:rFonts w:cs="Arial"/>
          <w:sz w:val="22"/>
          <w:szCs w:val="22"/>
        </w:rPr>
        <w:t xml:space="preserve"> UK </w:t>
      </w:r>
      <w:r w:rsidRPr="00E76A09">
        <w:rPr>
          <w:rFonts w:cs="Arial"/>
          <w:sz w:val="22"/>
          <w:szCs w:val="22"/>
        </w:rPr>
        <w:t>Govt</w:t>
      </w:r>
      <w:r w:rsidR="003F1A04" w:rsidRPr="00E76A09">
        <w:rPr>
          <w:rFonts w:cs="Arial"/>
          <w:sz w:val="22"/>
          <w:szCs w:val="22"/>
        </w:rPr>
        <w:t xml:space="preserve">, including country posts: </w:t>
      </w:r>
      <w:r w:rsidR="007857EF" w:rsidRPr="00E76A09">
        <w:rPr>
          <w:rFonts w:cs="Arial"/>
          <w:sz w:val="22"/>
          <w:szCs w:val="22"/>
        </w:rPr>
        <w:t xml:space="preserve">The UK </w:t>
      </w:r>
      <w:r w:rsidR="00BE061E" w:rsidRPr="00E76A09">
        <w:rPr>
          <w:rFonts w:cs="Arial"/>
          <w:sz w:val="22"/>
          <w:szCs w:val="22"/>
        </w:rPr>
        <w:t xml:space="preserve">International Forest Unit engages </w:t>
      </w:r>
      <w:r w:rsidR="001C737E" w:rsidRPr="00E76A09">
        <w:rPr>
          <w:rFonts w:cs="Arial"/>
          <w:sz w:val="22"/>
          <w:szCs w:val="22"/>
        </w:rPr>
        <w:t xml:space="preserve">with </w:t>
      </w:r>
      <w:r w:rsidR="00B644C0" w:rsidRPr="00E76A09">
        <w:rPr>
          <w:rFonts w:cs="Arial"/>
          <w:sz w:val="22"/>
          <w:szCs w:val="22"/>
        </w:rPr>
        <w:t>UK country posts on semi-regular and ad-hoc basis.</w:t>
      </w:r>
      <w:r w:rsidR="2ABB13B1" w:rsidRPr="00E76A09">
        <w:rPr>
          <w:rFonts w:cs="Arial"/>
          <w:sz w:val="22"/>
          <w:szCs w:val="22"/>
        </w:rPr>
        <w:t xml:space="preserve"> </w:t>
      </w:r>
      <w:r w:rsidR="467D33ED" w:rsidRPr="00E76A09">
        <w:rPr>
          <w:rFonts w:cs="Arial"/>
          <w:sz w:val="22"/>
          <w:szCs w:val="22"/>
        </w:rPr>
        <w:t>This includes either monthly or 6-weekly calls with country posts where various programmes co-exist</w:t>
      </w:r>
      <w:r w:rsidR="00B644C0" w:rsidRPr="00E76A09">
        <w:rPr>
          <w:rFonts w:cs="Arial"/>
          <w:sz w:val="22"/>
          <w:szCs w:val="22"/>
        </w:rPr>
        <w:t xml:space="preserve"> </w:t>
      </w:r>
      <w:r w:rsidR="467D33ED" w:rsidRPr="00E76A09">
        <w:rPr>
          <w:rFonts w:cs="Arial"/>
          <w:sz w:val="22"/>
          <w:szCs w:val="22"/>
        </w:rPr>
        <w:t>(e.g., Brazil, Colombia, Peru</w:t>
      </w:r>
      <w:r w:rsidR="24D0989B" w:rsidRPr="00E76A09">
        <w:rPr>
          <w:rFonts w:cs="Arial"/>
          <w:sz w:val="22"/>
          <w:szCs w:val="22"/>
        </w:rPr>
        <w:t>, Ghana, and others), or ad-hoc where needs arise to discuss work</w:t>
      </w:r>
      <w:r w:rsidR="00F16B8B" w:rsidRPr="00E76A09">
        <w:rPr>
          <w:rFonts w:cs="Arial"/>
          <w:sz w:val="22"/>
          <w:szCs w:val="22"/>
        </w:rPr>
        <w:t xml:space="preserve"> </w:t>
      </w:r>
      <w:r w:rsidR="24D0989B" w:rsidRPr="00E76A09">
        <w:rPr>
          <w:rFonts w:cs="Arial"/>
          <w:sz w:val="22"/>
          <w:szCs w:val="22"/>
        </w:rPr>
        <w:t>planning.</w:t>
      </w:r>
      <w:r w:rsidR="00B644C0" w:rsidRPr="00E76A09">
        <w:rPr>
          <w:rFonts w:cs="Arial"/>
          <w:sz w:val="22"/>
          <w:szCs w:val="22"/>
        </w:rPr>
        <w:t xml:space="preserve"> As AIM4Forests, including the proposed extension, works across multiple countries </w:t>
      </w:r>
      <w:r w:rsidR="00686887" w:rsidRPr="00E76A09">
        <w:rPr>
          <w:rFonts w:cs="Arial"/>
          <w:sz w:val="22"/>
          <w:szCs w:val="22"/>
        </w:rPr>
        <w:t>and regions, it is important that we continue to interlink with post contacts who will often be the first to detect risks or unblock barriers in implementation. The AIM4Forests Programme Manager will maintain these dialogues.</w:t>
      </w:r>
      <w:r w:rsidR="0048624C" w:rsidRPr="00E76A09">
        <w:rPr>
          <w:rFonts w:cs="Arial"/>
          <w:sz w:val="22"/>
          <w:szCs w:val="22"/>
        </w:rPr>
        <w:t xml:space="preserve"> </w:t>
      </w:r>
      <w:proofErr w:type="gramStart"/>
      <w:r w:rsidR="0048624C" w:rsidRPr="00E76A09">
        <w:rPr>
          <w:rFonts w:cs="Arial"/>
          <w:sz w:val="22"/>
          <w:szCs w:val="22"/>
        </w:rPr>
        <w:t>In particular, where</w:t>
      </w:r>
      <w:proofErr w:type="gramEnd"/>
      <w:r w:rsidR="0048624C" w:rsidRPr="00E76A09">
        <w:rPr>
          <w:rFonts w:cs="Arial"/>
          <w:sz w:val="22"/>
          <w:szCs w:val="22"/>
        </w:rPr>
        <w:t xml:space="preserve"> country workplans are developed and updated, these will continue to be consulted through country posts</w:t>
      </w:r>
      <w:r w:rsidR="003B5B34" w:rsidRPr="00E76A09">
        <w:rPr>
          <w:rFonts w:cs="Arial"/>
          <w:sz w:val="22"/>
          <w:szCs w:val="22"/>
        </w:rPr>
        <w:t xml:space="preserve"> and relevant policy teams (as there are often cross-cutting activities)</w:t>
      </w:r>
      <w:r w:rsidR="0048624C" w:rsidRPr="00E76A09">
        <w:rPr>
          <w:rFonts w:cs="Arial"/>
          <w:sz w:val="22"/>
          <w:szCs w:val="22"/>
        </w:rPr>
        <w:t xml:space="preserve">. </w:t>
      </w:r>
      <w:r w:rsidR="003B5B34" w:rsidRPr="00E76A09">
        <w:rPr>
          <w:rFonts w:cs="Arial"/>
          <w:sz w:val="22"/>
          <w:szCs w:val="22"/>
        </w:rPr>
        <w:t>Cross-G</w:t>
      </w:r>
      <w:r w:rsidR="002C63B2" w:rsidRPr="00E76A09">
        <w:rPr>
          <w:rFonts w:cs="Arial"/>
          <w:sz w:val="22"/>
          <w:szCs w:val="22"/>
        </w:rPr>
        <w:t xml:space="preserve">overnment engagement with policy </w:t>
      </w:r>
      <w:r w:rsidR="003B5B34" w:rsidRPr="00E76A09">
        <w:rPr>
          <w:rFonts w:cs="Arial"/>
          <w:sz w:val="22"/>
          <w:szCs w:val="22"/>
        </w:rPr>
        <w:t>teams is</w:t>
      </w:r>
      <w:r w:rsidR="002C63B2" w:rsidRPr="00E76A09">
        <w:rPr>
          <w:rFonts w:cs="Arial"/>
          <w:sz w:val="22"/>
          <w:szCs w:val="22"/>
        </w:rPr>
        <w:t xml:space="preserve"> particularly important with the inclusion of AIM4Commodities and AIM4NatuRe – and proactive and consistent </w:t>
      </w:r>
      <w:r w:rsidR="009F3836" w:rsidRPr="00E76A09">
        <w:rPr>
          <w:rFonts w:cs="Arial"/>
          <w:sz w:val="22"/>
          <w:szCs w:val="22"/>
        </w:rPr>
        <w:t>engagement</w:t>
      </w:r>
      <w:r w:rsidR="00E36041" w:rsidRPr="00E76A09">
        <w:rPr>
          <w:rFonts w:cs="Arial"/>
          <w:sz w:val="22"/>
          <w:szCs w:val="22"/>
        </w:rPr>
        <w:t xml:space="preserve"> </w:t>
      </w:r>
      <w:r w:rsidR="009F3836" w:rsidRPr="00E76A09">
        <w:rPr>
          <w:rFonts w:cs="Arial"/>
          <w:sz w:val="22"/>
          <w:szCs w:val="22"/>
        </w:rPr>
        <w:t xml:space="preserve">will continue </w:t>
      </w:r>
      <w:r w:rsidR="00E36041" w:rsidRPr="00E76A09">
        <w:rPr>
          <w:rFonts w:cs="Arial"/>
          <w:sz w:val="22"/>
          <w:szCs w:val="22"/>
        </w:rPr>
        <w:t xml:space="preserve">with the IFU Supply Chains team and the Defra Ecosystem Restoration team </w:t>
      </w:r>
      <w:r w:rsidR="009F3836" w:rsidRPr="00E76A09">
        <w:rPr>
          <w:rFonts w:cs="Arial"/>
          <w:sz w:val="22"/>
          <w:szCs w:val="22"/>
        </w:rPr>
        <w:t>respectively.</w:t>
      </w:r>
      <w:r w:rsidR="00221896" w:rsidRPr="00E76A09">
        <w:rPr>
          <w:rFonts w:cs="Arial"/>
          <w:sz w:val="22"/>
          <w:szCs w:val="22"/>
        </w:rPr>
        <w:t xml:space="preserve"> Ongoing engagements will occur with</w:t>
      </w:r>
      <w:r w:rsidR="00CD7624" w:rsidRPr="00E76A09">
        <w:rPr>
          <w:rFonts w:cs="Arial"/>
          <w:sz w:val="22"/>
          <w:szCs w:val="22"/>
        </w:rPr>
        <w:t xml:space="preserve"> </w:t>
      </w:r>
      <w:r w:rsidR="00221896" w:rsidRPr="00E76A09">
        <w:rPr>
          <w:rFonts w:cs="Arial"/>
          <w:sz w:val="22"/>
          <w:szCs w:val="22"/>
        </w:rPr>
        <w:t xml:space="preserve">relevant policy teams in UK Government, including those on Global Carbon Markets (PMI, </w:t>
      </w:r>
      <w:r w:rsidR="009D0868" w:rsidRPr="00E76A09">
        <w:rPr>
          <w:rFonts w:cs="Arial"/>
          <w:sz w:val="22"/>
          <w:szCs w:val="22"/>
        </w:rPr>
        <w:t xml:space="preserve">Ci-Dev, </w:t>
      </w:r>
      <w:r w:rsidR="00CD7624" w:rsidRPr="00E76A09">
        <w:rPr>
          <w:rFonts w:cs="Arial"/>
          <w:sz w:val="22"/>
          <w:szCs w:val="22"/>
        </w:rPr>
        <w:t xml:space="preserve">Voluntary Carbon Markets, </w:t>
      </w:r>
      <w:r w:rsidR="009D0868" w:rsidRPr="00E76A09">
        <w:rPr>
          <w:rFonts w:cs="Arial"/>
          <w:sz w:val="22"/>
          <w:szCs w:val="22"/>
        </w:rPr>
        <w:t xml:space="preserve">Article 6), Forest governance, tenure and inclusion (FGMC, AMCAT, and FCDO Tenure Team), </w:t>
      </w:r>
      <w:r w:rsidR="00096B2B" w:rsidRPr="00E76A09">
        <w:rPr>
          <w:rFonts w:cs="Arial"/>
          <w:sz w:val="22"/>
          <w:szCs w:val="22"/>
        </w:rPr>
        <w:t>and other DESNZ teams (NDC Partnership, GCF, CIFs).</w:t>
      </w:r>
      <w:r w:rsidR="009D0868" w:rsidRPr="00E76A09">
        <w:rPr>
          <w:rFonts w:cs="Arial"/>
          <w:sz w:val="22"/>
          <w:szCs w:val="22"/>
        </w:rPr>
        <w:t xml:space="preserve"> </w:t>
      </w:r>
    </w:p>
    <w:p w14:paraId="43956B32" w14:textId="380F8AFD" w:rsidR="003A4F78" w:rsidRPr="00E76A09" w:rsidRDefault="00D939C3" w:rsidP="005F1FB6">
      <w:pPr>
        <w:pStyle w:val="ListParagraph"/>
        <w:numPr>
          <w:ilvl w:val="0"/>
          <w:numId w:val="83"/>
        </w:numPr>
        <w:spacing w:line="240" w:lineRule="auto"/>
        <w:rPr>
          <w:rFonts w:cs="Arial"/>
          <w:sz w:val="22"/>
          <w:szCs w:val="22"/>
        </w:rPr>
      </w:pPr>
      <w:r w:rsidRPr="00E76A09">
        <w:rPr>
          <w:rFonts w:cs="Arial"/>
          <w:sz w:val="22"/>
          <w:szCs w:val="22"/>
        </w:rPr>
        <w:t>Specialist teams</w:t>
      </w:r>
      <w:r w:rsidR="00E76346" w:rsidRPr="00E76A09">
        <w:rPr>
          <w:rFonts w:cs="Arial"/>
          <w:sz w:val="22"/>
          <w:szCs w:val="22"/>
        </w:rPr>
        <w:t xml:space="preserve"> and consultants</w:t>
      </w:r>
      <w:r w:rsidRPr="00E76A09">
        <w:rPr>
          <w:rFonts w:cs="Arial"/>
          <w:sz w:val="22"/>
          <w:szCs w:val="22"/>
        </w:rPr>
        <w:t xml:space="preserve">: </w:t>
      </w:r>
      <w:r w:rsidR="003F1A04" w:rsidRPr="00E76A09">
        <w:rPr>
          <w:rFonts w:cs="Arial"/>
          <w:sz w:val="22"/>
          <w:szCs w:val="22"/>
        </w:rPr>
        <w:t>The FAO Programme Team have regular contact with a range of specialist teams on delivering the AIM4Forests Programme</w:t>
      </w:r>
      <w:r w:rsidR="00E76346" w:rsidRPr="00E76A09">
        <w:rPr>
          <w:rFonts w:cs="Arial"/>
          <w:sz w:val="22"/>
          <w:szCs w:val="22"/>
        </w:rPr>
        <w:t>, including sub-contracting specialist consultants to undertake specific activities</w:t>
      </w:r>
      <w:r w:rsidR="003F1A04" w:rsidRPr="00E76A09">
        <w:rPr>
          <w:rFonts w:cs="Arial"/>
          <w:sz w:val="22"/>
          <w:szCs w:val="22"/>
        </w:rPr>
        <w:t>. This will continue</w:t>
      </w:r>
      <w:r w:rsidR="00DE7E52" w:rsidRPr="00E76A09">
        <w:rPr>
          <w:rFonts w:cs="Arial"/>
          <w:sz w:val="22"/>
          <w:szCs w:val="22"/>
        </w:rPr>
        <w:t xml:space="preserve"> and be amplified through the extension. </w:t>
      </w:r>
    </w:p>
    <w:p w14:paraId="21B3C968" w14:textId="342C823F" w:rsidR="00025691" w:rsidRPr="00E76A09" w:rsidRDefault="00025691" w:rsidP="0037708D">
      <w:pPr>
        <w:rPr>
          <w:rFonts w:cs="Arial"/>
          <w:b/>
          <w:bCs/>
          <w:i/>
          <w:iCs/>
          <w:sz w:val="24"/>
          <w:szCs w:val="24"/>
        </w:rPr>
      </w:pPr>
      <w:r w:rsidRPr="00E76A09">
        <w:rPr>
          <w:rFonts w:cs="Arial"/>
          <w:b/>
          <w:bCs/>
          <w:i/>
          <w:iCs/>
          <w:sz w:val="24"/>
          <w:szCs w:val="24"/>
        </w:rPr>
        <w:t xml:space="preserve">5.3. Programme </w:t>
      </w:r>
      <w:r w:rsidR="00790231" w:rsidRPr="00E76A09">
        <w:rPr>
          <w:rFonts w:cs="Arial"/>
          <w:b/>
          <w:bCs/>
          <w:i/>
          <w:iCs/>
          <w:sz w:val="24"/>
          <w:szCs w:val="24"/>
        </w:rPr>
        <w:t>g</w:t>
      </w:r>
      <w:r w:rsidRPr="00E76A09">
        <w:rPr>
          <w:rFonts w:cs="Arial"/>
          <w:b/>
          <w:bCs/>
          <w:i/>
          <w:iCs/>
          <w:sz w:val="24"/>
          <w:szCs w:val="24"/>
        </w:rPr>
        <w:t>overnance</w:t>
      </w:r>
    </w:p>
    <w:p w14:paraId="10BFC219" w14:textId="2D7B7C85" w:rsidR="00790231" w:rsidRPr="00E76A09" w:rsidRDefault="00790231" w:rsidP="0037708D">
      <w:pPr>
        <w:rPr>
          <w:rFonts w:cs="Arial"/>
          <w:b/>
          <w:bCs/>
          <w:sz w:val="22"/>
          <w:szCs w:val="22"/>
        </w:rPr>
      </w:pPr>
      <w:r w:rsidRPr="00E76A09">
        <w:rPr>
          <w:rFonts w:cs="Arial"/>
          <w:b/>
          <w:bCs/>
          <w:sz w:val="22"/>
          <w:szCs w:val="22"/>
        </w:rPr>
        <w:t>5.3.1. Overarching governance arrangements</w:t>
      </w:r>
    </w:p>
    <w:p w14:paraId="4D0480B3" w14:textId="39C7226D" w:rsidR="00ED301E" w:rsidRPr="00E76A09" w:rsidRDefault="00A85B4D" w:rsidP="00936BFB">
      <w:pPr>
        <w:spacing w:line="240" w:lineRule="auto"/>
        <w:rPr>
          <w:rFonts w:cs="Arial"/>
          <w:sz w:val="22"/>
          <w:szCs w:val="22"/>
        </w:rPr>
      </w:pPr>
      <w:r w:rsidRPr="00E76A09">
        <w:rPr>
          <w:rFonts w:cs="Arial"/>
          <w:sz w:val="22"/>
          <w:szCs w:val="22"/>
        </w:rPr>
        <w:t xml:space="preserve">DESNZ funding for the AIM4Forests programme is through contribution to the UNDP Multi-Partner Trust Fund (MPTF), </w:t>
      </w:r>
      <w:r w:rsidR="006570CD" w:rsidRPr="00E76A09">
        <w:rPr>
          <w:rFonts w:cs="Arial"/>
          <w:sz w:val="22"/>
          <w:szCs w:val="22"/>
        </w:rPr>
        <w:t>the Administrative Agent for the UN-REDD Programme Fund which acts as the interface between donors and recipients of the Fund.</w:t>
      </w:r>
      <w:r w:rsidR="00BA61EF" w:rsidRPr="00E76A09">
        <w:rPr>
          <w:rFonts w:cs="Arial"/>
          <w:sz w:val="22"/>
          <w:szCs w:val="22"/>
        </w:rPr>
        <w:t xml:space="preserve"> </w:t>
      </w:r>
      <w:r w:rsidR="006570CD" w:rsidRPr="00E76A09">
        <w:rPr>
          <w:rFonts w:cs="Arial"/>
          <w:sz w:val="22"/>
          <w:szCs w:val="22"/>
        </w:rPr>
        <w:t xml:space="preserve">The MPTF Office, located in UNDP’s Bureau for Management Services in New York, is responsible for the receipt, administration and management of contributions from donors, disbursement of funds to organizations participating in UN-REDD, and consolidation and dissemination of progress reports to donors.  DESNZ has an existing administrative agreement (Standard Administrative Arrangement) with the UNDP MPTF Office (see Figure </w:t>
      </w:r>
      <w:r w:rsidR="0064024C" w:rsidRPr="00E76A09">
        <w:rPr>
          <w:rFonts w:cs="Arial"/>
          <w:sz w:val="22"/>
          <w:szCs w:val="22"/>
        </w:rPr>
        <w:t>7</w:t>
      </w:r>
      <w:r w:rsidR="006570CD" w:rsidRPr="00E76A09">
        <w:rPr>
          <w:rFonts w:cs="Arial"/>
          <w:sz w:val="22"/>
          <w:szCs w:val="22"/>
        </w:rPr>
        <w:t xml:space="preserve">). </w:t>
      </w:r>
    </w:p>
    <w:p w14:paraId="03665D82" w14:textId="7C4BF731" w:rsidR="006570CD" w:rsidRPr="00E76A09" w:rsidRDefault="006570CD" w:rsidP="00936BFB">
      <w:pPr>
        <w:spacing w:line="240" w:lineRule="auto"/>
        <w:rPr>
          <w:rFonts w:cs="Arial"/>
          <w:sz w:val="22"/>
          <w:szCs w:val="22"/>
        </w:rPr>
      </w:pPr>
      <w:r w:rsidRPr="00E76A09">
        <w:rPr>
          <w:rFonts w:cs="Arial"/>
          <w:sz w:val="22"/>
          <w:szCs w:val="22"/>
        </w:rPr>
        <w:t>Funding for the AIM for Forests programme will be earmarked as a contribution to FAO’s Forestry Division</w:t>
      </w:r>
      <w:r w:rsidR="00ED301E" w:rsidRPr="00E76A09">
        <w:rPr>
          <w:rFonts w:cs="Arial"/>
          <w:sz w:val="22"/>
          <w:szCs w:val="22"/>
        </w:rPr>
        <w:t xml:space="preserve">. DESNZ </w:t>
      </w:r>
      <w:r w:rsidRPr="00E76A09">
        <w:rPr>
          <w:rFonts w:cs="Arial"/>
          <w:sz w:val="22"/>
          <w:szCs w:val="22"/>
        </w:rPr>
        <w:t xml:space="preserve">specific requirements for the management and delivery of the project, including monitoring, evaluation and reporting requirements </w:t>
      </w:r>
      <w:r w:rsidR="00ED301E" w:rsidRPr="00E76A09">
        <w:rPr>
          <w:rFonts w:cs="Arial"/>
          <w:sz w:val="22"/>
          <w:szCs w:val="22"/>
        </w:rPr>
        <w:t xml:space="preserve">are specified </w:t>
      </w:r>
      <w:r w:rsidRPr="00E76A09">
        <w:rPr>
          <w:rFonts w:cs="Arial"/>
          <w:sz w:val="22"/>
          <w:szCs w:val="22"/>
        </w:rPr>
        <w:t xml:space="preserve">through annexes to the SAA. </w:t>
      </w:r>
      <w:r w:rsidR="00ED301E" w:rsidRPr="00E76A09">
        <w:rPr>
          <w:rFonts w:cs="Arial"/>
          <w:sz w:val="22"/>
          <w:szCs w:val="22"/>
        </w:rPr>
        <w:t xml:space="preserve">For an extension, the existing SAA will be amended to provide details on the </w:t>
      </w:r>
      <w:r w:rsidR="00D26888" w:rsidRPr="00E76A09">
        <w:rPr>
          <w:rFonts w:cs="Arial"/>
          <w:sz w:val="22"/>
          <w:szCs w:val="22"/>
        </w:rPr>
        <w:t>timeline extension of the programme as well as the expansion of project outputs.</w:t>
      </w:r>
      <w:r w:rsidR="00EC2B78" w:rsidRPr="00E76A09">
        <w:rPr>
          <w:rFonts w:cs="Arial"/>
          <w:sz w:val="22"/>
          <w:szCs w:val="22"/>
        </w:rPr>
        <w:t xml:space="preserve"> </w:t>
      </w:r>
      <w:r w:rsidRPr="00E76A09">
        <w:rPr>
          <w:rFonts w:cs="Arial"/>
          <w:sz w:val="22"/>
          <w:szCs w:val="22"/>
        </w:rPr>
        <w:t xml:space="preserve">The </w:t>
      </w:r>
      <w:r w:rsidR="00ED301E" w:rsidRPr="00E76A09">
        <w:rPr>
          <w:rFonts w:cs="Arial"/>
          <w:sz w:val="22"/>
          <w:szCs w:val="22"/>
        </w:rPr>
        <w:t>amended</w:t>
      </w:r>
      <w:r w:rsidRPr="00E76A09">
        <w:rPr>
          <w:rFonts w:cs="Arial"/>
          <w:sz w:val="22"/>
          <w:szCs w:val="22"/>
        </w:rPr>
        <w:t xml:space="preserve"> administrative arrangement will </w:t>
      </w:r>
      <w:r w:rsidR="00EC2B78" w:rsidRPr="00E76A09">
        <w:rPr>
          <w:rFonts w:cs="Arial"/>
          <w:sz w:val="22"/>
          <w:szCs w:val="22"/>
        </w:rPr>
        <w:t>be</w:t>
      </w:r>
      <w:r w:rsidRPr="00E76A09">
        <w:rPr>
          <w:rFonts w:cs="Arial"/>
          <w:sz w:val="22"/>
          <w:szCs w:val="22"/>
        </w:rPr>
        <w:t xml:space="preserve"> agreed by </w:t>
      </w:r>
      <w:r w:rsidR="00EC2B78" w:rsidRPr="00E76A09">
        <w:rPr>
          <w:rFonts w:cs="Arial"/>
          <w:sz w:val="22"/>
          <w:szCs w:val="22"/>
        </w:rPr>
        <w:t>DESNZ</w:t>
      </w:r>
      <w:r w:rsidRPr="00E76A09">
        <w:rPr>
          <w:rFonts w:cs="Arial"/>
          <w:sz w:val="22"/>
          <w:szCs w:val="22"/>
        </w:rPr>
        <w:t xml:space="preserve"> legal and</w:t>
      </w:r>
      <w:r w:rsidR="00EC2B78" w:rsidRPr="00E76A09">
        <w:rPr>
          <w:rFonts w:cs="Arial"/>
          <w:sz w:val="22"/>
          <w:szCs w:val="22"/>
        </w:rPr>
        <w:t xml:space="preserve"> DENSZ</w:t>
      </w:r>
      <w:r w:rsidRPr="00E76A09">
        <w:rPr>
          <w:rFonts w:cs="Arial"/>
          <w:sz w:val="22"/>
          <w:szCs w:val="22"/>
        </w:rPr>
        <w:t xml:space="preserve"> ICF finance advisors to ensure it aligns with </w:t>
      </w:r>
      <w:r w:rsidR="00EC2B78" w:rsidRPr="00E76A09">
        <w:rPr>
          <w:rFonts w:cs="Arial"/>
          <w:sz w:val="22"/>
          <w:szCs w:val="22"/>
        </w:rPr>
        <w:t>Departmental</w:t>
      </w:r>
      <w:r w:rsidRPr="00E76A09">
        <w:rPr>
          <w:rFonts w:cs="Arial"/>
          <w:sz w:val="22"/>
          <w:szCs w:val="22"/>
        </w:rPr>
        <w:t xml:space="preserve"> legal requirements and that the fees are competitive and appropriate. </w:t>
      </w:r>
    </w:p>
    <w:p w14:paraId="091DED37" w14:textId="1E32BD4F" w:rsidR="006570CD" w:rsidRPr="00E76A09" w:rsidRDefault="006570CD" w:rsidP="00936BFB">
      <w:pPr>
        <w:spacing w:line="240" w:lineRule="auto"/>
        <w:rPr>
          <w:rFonts w:cs="Arial"/>
          <w:sz w:val="22"/>
          <w:szCs w:val="22"/>
        </w:rPr>
      </w:pPr>
      <w:r w:rsidRPr="00E76A09">
        <w:rPr>
          <w:rFonts w:cs="Arial"/>
          <w:sz w:val="22"/>
          <w:szCs w:val="22"/>
        </w:rPr>
        <w:t xml:space="preserve">FAO is required to submit certified financial and narrative reports twice a year to the Administrative Agent via the MPTF Office gateway for onward transmission to </w:t>
      </w:r>
      <w:r w:rsidR="00EC2B78" w:rsidRPr="00E76A09">
        <w:rPr>
          <w:rFonts w:cs="Arial"/>
          <w:sz w:val="22"/>
          <w:szCs w:val="22"/>
        </w:rPr>
        <w:t>DESNZ.</w:t>
      </w:r>
      <w:r w:rsidRPr="00E76A09">
        <w:rPr>
          <w:rFonts w:cs="Arial"/>
          <w:sz w:val="22"/>
          <w:szCs w:val="22"/>
        </w:rPr>
        <w:t xml:space="preserve"> These are generally submitted in Quarter 1 and mid-year, after June. FAO can also provide informal reports at other times including in the templates/formats required by </w:t>
      </w:r>
      <w:r w:rsidR="00EC2B78" w:rsidRPr="00E76A09">
        <w:rPr>
          <w:rFonts w:cs="Arial"/>
          <w:sz w:val="22"/>
          <w:szCs w:val="22"/>
        </w:rPr>
        <w:t>DESNZ</w:t>
      </w:r>
      <w:r w:rsidRPr="00E76A09">
        <w:rPr>
          <w:rFonts w:cs="Arial"/>
          <w:sz w:val="22"/>
          <w:szCs w:val="22"/>
        </w:rPr>
        <w:t xml:space="preserve"> and will adhere to </w:t>
      </w:r>
      <w:r w:rsidR="00EC2B78" w:rsidRPr="00E76A09">
        <w:rPr>
          <w:rFonts w:cs="Arial"/>
          <w:sz w:val="22"/>
          <w:szCs w:val="22"/>
        </w:rPr>
        <w:t>DESNZ</w:t>
      </w:r>
      <w:r w:rsidRPr="00E76A09">
        <w:rPr>
          <w:rFonts w:cs="Arial"/>
          <w:sz w:val="22"/>
          <w:szCs w:val="22"/>
        </w:rPr>
        <w:t xml:space="preserve">’s requirements as specified through the SAA or other legal agreement. </w:t>
      </w:r>
      <w:r w:rsidR="00780840" w:rsidRPr="00E76A09">
        <w:rPr>
          <w:rFonts w:cs="Arial"/>
          <w:sz w:val="22"/>
          <w:szCs w:val="22"/>
        </w:rPr>
        <w:t xml:space="preserve">A current </w:t>
      </w:r>
      <w:r w:rsidR="00FD7CB6" w:rsidRPr="00E76A09">
        <w:rPr>
          <w:rFonts w:cs="Arial"/>
          <w:sz w:val="22"/>
          <w:szCs w:val="22"/>
        </w:rPr>
        <w:t>rhythm of financial and narrative reports submitted at</w:t>
      </w:r>
      <w:r w:rsidR="00707255" w:rsidRPr="00E76A09">
        <w:rPr>
          <w:rFonts w:cs="Arial"/>
          <w:sz w:val="22"/>
          <w:szCs w:val="22"/>
        </w:rPr>
        <w:t xml:space="preserve"> </w:t>
      </w:r>
      <w:r w:rsidR="00F85DDA" w:rsidRPr="00E76A09">
        <w:rPr>
          <w:rFonts w:cs="Arial"/>
          <w:sz w:val="22"/>
          <w:szCs w:val="22"/>
        </w:rPr>
        <w:t xml:space="preserve">the end of Q1 to prepare for </w:t>
      </w:r>
      <w:r w:rsidR="00FB1F83" w:rsidRPr="00E76A09">
        <w:rPr>
          <w:rFonts w:cs="Arial"/>
          <w:sz w:val="22"/>
          <w:szCs w:val="22"/>
        </w:rPr>
        <w:t>annual work</w:t>
      </w:r>
      <w:r w:rsidR="00DC0917" w:rsidRPr="00E76A09">
        <w:rPr>
          <w:rFonts w:cs="Arial"/>
          <w:sz w:val="22"/>
          <w:szCs w:val="22"/>
        </w:rPr>
        <w:t xml:space="preserve"> </w:t>
      </w:r>
      <w:r w:rsidR="00FB1F83" w:rsidRPr="00E76A09">
        <w:rPr>
          <w:rFonts w:cs="Arial"/>
          <w:sz w:val="22"/>
          <w:szCs w:val="22"/>
        </w:rPr>
        <w:t xml:space="preserve">planning and annual disbursement of funding </w:t>
      </w:r>
      <w:r w:rsidR="00C8283E" w:rsidRPr="00E76A09">
        <w:rPr>
          <w:rFonts w:cs="Arial"/>
          <w:sz w:val="22"/>
          <w:szCs w:val="22"/>
        </w:rPr>
        <w:t xml:space="preserve">is underway. The extension of the programme will be coordinated and merged with this for </w:t>
      </w:r>
      <w:r w:rsidR="000E3AB4" w:rsidRPr="00E76A09">
        <w:rPr>
          <w:rFonts w:cs="Arial"/>
          <w:sz w:val="22"/>
          <w:szCs w:val="22"/>
        </w:rPr>
        <w:t>effective management streams.</w:t>
      </w:r>
    </w:p>
    <w:p w14:paraId="39A1A7D8" w14:textId="5A5D8464" w:rsidR="001C4501" w:rsidRPr="00E76A09" w:rsidRDefault="006570CD" w:rsidP="00936BFB">
      <w:pPr>
        <w:spacing w:line="240" w:lineRule="auto"/>
        <w:rPr>
          <w:rFonts w:cs="Arial"/>
          <w:sz w:val="22"/>
          <w:szCs w:val="22"/>
        </w:rPr>
      </w:pPr>
      <w:r w:rsidRPr="00E76A09">
        <w:rPr>
          <w:rFonts w:cs="Arial"/>
          <w:sz w:val="22"/>
          <w:szCs w:val="22"/>
        </w:rPr>
        <w:t xml:space="preserve">As a contributor to UN-REDD, the UK </w:t>
      </w:r>
      <w:r w:rsidR="000E3AB4" w:rsidRPr="00E76A09">
        <w:rPr>
          <w:rFonts w:cs="Arial"/>
          <w:sz w:val="22"/>
          <w:szCs w:val="22"/>
        </w:rPr>
        <w:t>is</w:t>
      </w:r>
      <w:r w:rsidRPr="00E76A09">
        <w:rPr>
          <w:rFonts w:cs="Arial"/>
          <w:sz w:val="22"/>
          <w:szCs w:val="22"/>
        </w:rPr>
        <w:t xml:space="preserve"> a member of the UN-REDD Executive Board (noting that UK is already a member subject to a separate programme with UN-REDD</w:t>
      </w:r>
      <w:r w:rsidR="000E3AB4" w:rsidRPr="00E76A09">
        <w:rPr>
          <w:rFonts w:cs="Arial"/>
          <w:sz w:val="22"/>
          <w:szCs w:val="22"/>
        </w:rPr>
        <w:t xml:space="preserve"> Technical Assistance</w:t>
      </w:r>
      <w:r w:rsidRPr="00E76A09">
        <w:rPr>
          <w:rFonts w:cs="Arial"/>
          <w:sz w:val="22"/>
          <w:szCs w:val="22"/>
        </w:rPr>
        <w:t>). However, as the funds will be earmarked as a contribution to FAO, the Board</w:t>
      </w:r>
      <w:r w:rsidR="000E3AB4" w:rsidRPr="00E76A09">
        <w:rPr>
          <w:rFonts w:cs="Arial"/>
          <w:sz w:val="22"/>
          <w:szCs w:val="22"/>
        </w:rPr>
        <w:t xml:space="preserve"> does not have</w:t>
      </w:r>
      <w:r w:rsidRPr="00E76A09">
        <w:rPr>
          <w:rFonts w:cs="Arial"/>
          <w:sz w:val="22"/>
          <w:szCs w:val="22"/>
        </w:rPr>
        <w:t xml:space="preserve"> direct oversight over the AIM</w:t>
      </w:r>
      <w:r w:rsidR="000E3AB4" w:rsidRPr="00E76A09">
        <w:rPr>
          <w:rFonts w:cs="Arial"/>
          <w:sz w:val="22"/>
          <w:szCs w:val="22"/>
        </w:rPr>
        <w:t>4</w:t>
      </w:r>
      <w:r w:rsidRPr="00E76A09">
        <w:rPr>
          <w:rFonts w:cs="Arial"/>
          <w:sz w:val="22"/>
          <w:szCs w:val="22"/>
        </w:rPr>
        <w:t xml:space="preserve">Forests programme. The UN-REDD Secretariat will, however, provide some general services at no additional cost, such as supporting the consolidation and submission of annual narrative reports, and ensuring synergies with other initiatives under </w:t>
      </w:r>
      <w:r w:rsidRPr="00E76A09">
        <w:rPr>
          <w:rFonts w:cs="Arial"/>
          <w:sz w:val="22"/>
          <w:szCs w:val="22"/>
        </w:rPr>
        <w:lastRenderedPageBreak/>
        <w:t>the UN-REDD programme. Additionally, FAO will establish an AIM</w:t>
      </w:r>
      <w:r w:rsidR="000E3AB4" w:rsidRPr="00E76A09">
        <w:rPr>
          <w:rFonts w:cs="Arial"/>
          <w:sz w:val="22"/>
          <w:szCs w:val="22"/>
        </w:rPr>
        <w:t>4</w:t>
      </w:r>
      <w:r w:rsidRPr="00E76A09">
        <w:rPr>
          <w:rFonts w:cs="Arial"/>
          <w:sz w:val="22"/>
          <w:szCs w:val="22"/>
        </w:rPr>
        <w:t xml:space="preserve">Forests programme Steering Committee with representation from </w:t>
      </w:r>
      <w:r w:rsidR="00895BD2" w:rsidRPr="00E76A09">
        <w:rPr>
          <w:rFonts w:cs="Arial"/>
          <w:sz w:val="22"/>
          <w:szCs w:val="22"/>
        </w:rPr>
        <w:t>DESNZ</w:t>
      </w:r>
      <w:r w:rsidRPr="00E76A09">
        <w:rPr>
          <w:rFonts w:cs="Arial"/>
          <w:sz w:val="22"/>
          <w:szCs w:val="22"/>
        </w:rPr>
        <w:t xml:space="preserve"> to guide and oversee programme delivery (see later).</w:t>
      </w:r>
    </w:p>
    <w:p w14:paraId="0DAD6BB8" w14:textId="3A32874E" w:rsidR="003A6D5C" w:rsidRPr="00E76A09" w:rsidRDefault="00F07B88" w:rsidP="006570CD">
      <w:pPr>
        <w:rPr>
          <w:rFonts w:cs="Arial"/>
          <w:sz w:val="22"/>
          <w:szCs w:val="22"/>
        </w:rPr>
      </w:pPr>
      <w:r w:rsidRPr="004D2825">
        <w:rPr>
          <w:noProof/>
        </w:rPr>
        <w:drawing>
          <wp:inline distT="0" distB="0" distL="0" distR="0" wp14:anchorId="3F7D7C39" wp14:editId="306AF4CA">
            <wp:extent cx="6096561" cy="3012103"/>
            <wp:effectExtent l="0" t="0" r="0" b="0"/>
            <wp:docPr id="3" name="Picture 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timeline&#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t="3725"/>
                    <a:stretch>
                      <a:fillRect/>
                    </a:stretch>
                  </pic:blipFill>
                  <pic:spPr bwMode="auto">
                    <a:xfrm>
                      <a:off x="0" y="0"/>
                      <a:ext cx="6103861" cy="3015709"/>
                    </a:xfrm>
                    <a:prstGeom prst="rect">
                      <a:avLst/>
                    </a:prstGeom>
                    <a:noFill/>
                    <a:ln>
                      <a:noFill/>
                    </a:ln>
                    <a:extLst>
                      <a:ext uri="{53640926-AAD7-44D8-BBD7-CCE9431645EC}">
                        <a14:shadowObscured xmlns:a14="http://schemas.microsoft.com/office/drawing/2010/main"/>
                      </a:ext>
                    </a:extLst>
                  </pic:spPr>
                </pic:pic>
              </a:graphicData>
            </a:graphic>
          </wp:inline>
        </w:drawing>
      </w:r>
    </w:p>
    <w:p w14:paraId="10D5C378" w14:textId="169D3E29" w:rsidR="003A6D5C" w:rsidRPr="00E76A09" w:rsidRDefault="003A6D5C" w:rsidP="00080653">
      <w:pPr>
        <w:spacing w:before="0"/>
        <w:rPr>
          <w:rFonts w:cs="Arial"/>
          <w:i/>
          <w:iCs/>
          <w:sz w:val="22"/>
          <w:szCs w:val="22"/>
        </w:rPr>
      </w:pPr>
      <w:r w:rsidRPr="00E76A09">
        <w:rPr>
          <w:rFonts w:cs="Arial"/>
          <w:i/>
          <w:iCs/>
          <w:sz w:val="22"/>
          <w:szCs w:val="22"/>
        </w:rPr>
        <w:t xml:space="preserve">Figure </w:t>
      </w:r>
      <w:r w:rsidR="00143333" w:rsidRPr="00E76A09">
        <w:rPr>
          <w:rFonts w:cs="Arial"/>
          <w:i/>
          <w:iCs/>
          <w:sz w:val="22"/>
          <w:szCs w:val="22"/>
        </w:rPr>
        <w:t>8</w:t>
      </w:r>
      <w:r w:rsidRPr="00E76A09">
        <w:rPr>
          <w:rFonts w:cs="Arial"/>
          <w:i/>
          <w:iCs/>
          <w:sz w:val="22"/>
          <w:szCs w:val="22"/>
        </w:rPr>
        <w:t>. AIM4Forests governance arrangements between</w:t>
      </w:r>
      <w:r w:rsidR="00895BD2" w:rsidRPr="00E76A09">
        <w:rPr>
          <w:rFonts w:cs="Arial"/>
          <w:i/>
          <w:iCs/>
          <w:sz w:val="22"/>
          <w:szCs w:val="22"/>
        </w:rPr>
        <w:t xml:space="preserve"> UK</w:t>
      </w:r>
      <w:r w:rsidRPr="00E76A09">
        <w:rPr>
          <w:rFonts w:cs="Arial"/>
          <w:i/>
          <w:iCs/>
          <w:sz w:val="22"/>
          <w:szCs w:val="22"/>
        </w:rPr>
        <w:t xml:space="preserve"> DESNZ</w:t>
      </w:r>
      <w:r w:rsidR="00DF2AA4" w:rsidRPr="00E76A09">
        <w:rPr>
          <w:rFonts w:cs="Arial"/>
          <w:i/>
          <w:iCs/>
          <w:sz w:val="22"/>
          <w:szCs w:val="22"/>
        </w:rPr>
        <w:t>, UNDP MPTF Office, UN-REDD and FAO</w:t>
      </w:r>
    </w:p>
    <w:p w14:paraId="0DC2D7F1" w14:textId="0487A3FC" w:rsidR="00790231" w:rsidRPr="00E76A09" w:rsidRDefault="00790231" w:rsidP="006570CD">
      <w:pPr>
        <w:rPr>
          <w:rFonts w:cs="Arial"/>
          <w:b/>
          <w:bCs/>
          <w:sz w:val="22"/>
          <w:szCs w:val="22"/>
        </w:rPr>
      </w:pPr>
      <w:r w:rsidRPr="00E76A09">
        <w:rPr>
          <w:rFonts w:cs="Arial"/>
          <w:b/>
          <w:bCs/>
          <w:sz w:val="22"/>
          <w:szCs w:val="22"/>
        </w:rPr>
        <w:t xml:space="preserve">5.3.2. </w:t>
      </w:r>
      <w:r w:rsidR="009715FD" w:rsidRPr="00E76A09">
        <w:rPr>
          <w:rFonts w:cs="Arial"/>
          <w:b/>
          <w:bCs/>
          <w:sz w:val="22"/>
          <w:szCs w:val="22"/>
        </w:rPr>
        <w:t xml:space="preserve">DESNZ Governance </w:t>
      </w:r>
    </w:p>
    <w:p w14:paraId="5836818D" w14:textId="2E38927C" w:rsidR="00A94AA5" w:rsidRPr="00E76A09" w:rsidRDefault="00D01214" w:rsidP="00936BFB">
      <w:pPr>
        <w:spacing w:line="240" w:lineRule="auto"/>
        <w:rPr>
          <w:rFonts w:cs="Arial"/>
          <w:sz w:val="22"/>
          <w:szCs w:val="22"/>
        </w:rPr>
      </w:pPr>
      <w:r w:rsidRPr="00E76A09">
        <w:rPr>
          <w:rFonts w:cs="Arial"/>
          <w:sz w:val="22"/>
          <w:szCs w:val="22"/>
        </w:rPr>
        <w:t xml:space="preserve">DESNZ ICF </w:t>
      </w:r>
      <w:r w:rsidR="001C24BD" w:rsidRPr="00E76A09">
        <w:rPr>
          <w:rFonts w:cs="Arial"/>
          <w:sz w:val="22"/>
          <w:szCs w:val="22"/>
        </w:rPr>
        <w:t>has adopted a programme governance approach which is aligned with FCDO’s Programme Operating Framework (</w:t>
      </w:r>
      <w:proofErr w:type="spellStart"/>
      <w:r w:rsidR="001C24BD" w:rsidRPr="00E76A09">
        <w:rPr>
          <w:rFonts w:cs="Arial"/>
          <w:sz w:val="22"/>
          <w:szCs w:val="22"/>
        </w:rPr>
        <w:t>PrOF</w:t>
      </w:r>
      <w:proofErr w:type="spellEnd"/>
      <w:r w:rsidR="001C24BD" w:rsidRPr="00E76A09">
        <w:rPr>
          <w:rFonts w:cs="Arial"/>
          <w:sz w:val="22"/>
          <w:szCs w:val="22"/>
        </w:rPr>
        <w:t>) and ensures a clear separation between those delivering pr</w:t>
      </w:r>
      <w:r w:rsidR="002A579C" w:rsidRPr="00E76A09">
        <w:rPr>
          <w:rFonts w:cs="Arial"/>
          <w:sz w:val="22"/>
          <w:szCs w:val="22"/>
        </w:rPr>
        <w:t xml:space="preserve">ogrammes and those </w:t>
      </w:r>
      <w:r w:rsidR="00CD502C" w:rsidRPr="00E76A09">
        <w:rPr>
          <w:rFonts w:cs="Arial"/>
          <w:sz w:val="22"/>
          <w:szCs w:val="22"/>
        </w:rPr>
        <w:t xml:space="preserve">checking against compliance and performance as described in the Independent </w:t>
      </w:r>
      <w:r w:rsidR="00E66C54" w:rsidRPr="00E76A09">
        <w:rPr>
          <w:rFonts w:cs="Arial"/>
          <w:sz w:val="22"/>
          <w:szCs w:val="22"/>
        </w:rPr>
        <w:t xml:space="preserve">Assurance and Approvals Plan (IAAP) at </w:t>
      </w:r>
      <w:r w:rsidR="00E66C54" w:rsidRPr="00E76A09">
        <w:rPr>
          <w:rFonts w:cs="Arial"/>
          <w:b/>
          <w:bCs/>
          <w:sz w:val="22"/>
          <w:szCs w:val="22"/>
        </w:rPr>
        <w:t xml:space="preserve">Annex </w:t>
      </w:r>
      <w:r w:rsidR="00DC0917" w:rsidRPr="00E76A09">
        <w:rPr>
          <w:rFonts w:cs="Arial"/>
          <w:b/>
          <w:bCs/>
          <w:sz w:val="22"/>
          <w:szCs w:val="22"/>
        </w:rPr>
        <w:t>M</w:t>
      </w:r>
      <w:r w:rsidR="001B2908" w:rsidRPr="00E76A09">
        <w:rPr>
          <w:rFonts w:cs="Arial"/>
          <w:sz w:val="22"/>
          <w:szCs w:val="22"/>
        </w:rPr>
        <w:t>. This approach is aligned with DESNZ ICF Portfolio Programme Management (PPM) best practice guidance embedded across the ICF portfolio</w:t>
      </w:r>
      <w:r w:rsidR="005C6478" w:rsidRPr="00E76A09">
        <w:rPr>
          <w:rFonts w:cs="Arial"/>
          <w:sz w:val="22"/>
          <w:szCs w:val="22"/>
        </w:rPr>
        <w:t xml:space="preserve">. </w:t>
      </w:r>
    </w:p>
    <w:p w14:paraId="0A4F65F7" w14:textId="7E746E79" w:rsidR="006660BF" w:rsidRPr="00E76A09" w:rsidRDefault="006660BF" w:rsidP="00936BFB">
      <w:pPr>
        <w:spacing w:line="240" w:lineRule="auto"/>
        <w:rPr>
          <w:rFonts w:cs="Arial"/>
          <w:sz w:val="22"/>
          <w:szCs w:val="22"/>
        </w:rPr>
      </w:pPr>
      <w:r w:rsidRPr="00E76A09">
        <w:rPr>
          <w:rFonts w:cs="Arial"/>
          <w:sz w:val="22"/>
          <w:szCs w:val="22"/>
        </w:rPr>
        <w:t>AIM4Forests has a full Project Delivery Plan (PDP)</w:t>
      </w:r>
      <w:r w:rsidR="00BA3852" w:rsidRPr="00E76A09">
        <w:rPr>
          <w:rFonts w:cs="Arial"/>
          <w:sz w:val="22"/>
          <w:szCs w:val="22"/>
        </w:rPr>
        <w:t xml:space="preserve"> developed in line with ICF Portfolio Management Office best practice. </w:t>
      </w:r>
      <w:r w:rsidR="0076737B" w:rsidRPr="00E76A09">
        <w:rPr>
          <w:rFonts w:cs="Arial"/>
          <w:sz w:val="22"/>
          <w:szCs w:val="22"/>
        </w:rPr>
        <w:t>The AIM4Forests Extension will be embedded within the existing PDP to streamline management</w:t>
      </w:r>
      <w:r w:rsidR="00057BD7" w:rsidRPr="00E76A09">
        <w:rPr>
          <w:rFonts w:cs="Arial"/>
          <w:sz w:val="22"/>
          <w:szCs w:val="22"/>
        </w:rPr>
        <w:t>. The PDP will continue to be monitored and regularly reviewed with ICF PMO, in line with the proposed schedule in the IAAP (</w:t>
      </w:r>
      <w:r w:rsidR="00FC0819" w:rsidRPr="00E76A09">
        <w:rPr>
          <w:rFonts w:cs="Arial"/>
          <w:b/>
          <w:bCs/>
          <w:sz w:val="22"/>
          <w:szCs w:val="22"/>
        </w:rPr>
        <w:t>Annex M</w:t>
      </w:r>
      <w:r w:rsidR="00FC0819" w:rsidRPr="00E76A09">
        <w:rPr>
          <w:rFonts w:cs="Arial"/>
          <w:sz w:val="22"/>
          <w:szCs w:val="22"/>
        </w:rPr>
        <w:t>).</w:t>
      </w:r>
      <w:r w:rsidR="00057BD7" w:rsidRPr="00E76A09">
        <w:rPr>
          <w:rFonts w:cs="Arial"/>
          <w:sz w:val="22"/>
          <w:szCs w:val="22"/>
        </w:rPr>
        <w:t xml:space="preserve"> </w:t>
      </w:r>
    </w:p>
    <w:p w14:paraId="709048F2" w14:textId="2F82BBF1" w:rsidR="008B4B50" w:rsidRPr="00E76A09" w:rsidRDefault="007A40BF" w:rsidP="00936BFB">
      <w:pPr>
        <w:spacing w:line="240" w:lineRule="auto"/>
        <w:rPr>
          <w:rFonts w:cs="Arial"/>
          <w:sz w:val="22"/>
          <w:szCs w:val="22"/>
        </w:rPr>
      </w:pPr>
      <w:r w:rsidRPr="00E76A09">
        <w:rPr>
          <w:rFonts w:cs="Arial"/>
          <w:sz w:val="22"/>
          <w:szCs w:val="22"/>
        </w:rPr>
        <w:t xml:space="preserve">AIM4Forests has an existing Steering Committee that includes representation of the relevant teams within the Forestry Division, DESNZ and other relevant partners. The Steering Committee </w:t>
      </w:r>
      <w:r w:rsidR="00F37E9B" w:rsidRPr="00E76A09">
        <w:rPr>
          <w:rFonts w:cs="Arial"/>
          <w:sz w:val="22"/>
          <w:szCs w:val="22"/>
        </w:rPr>
        <w:t>meets</w:t>
      </w:r>
      <w:r w:rsidRPr="00E76A09">
        <w:rPr>
          <w:rFonts w:cs="Arial"/>
          <w:sz w:val="22"/>
          <w:szCs w:val="22"/>
        </w:rPr>
        <w:t xml:space="preserve"> in person twice a year to agree annual workplans and budgets and to discuss progress. The FAO Budget Holder will prepare a detailed annual workplan and budget in consultation with relevant Forestry Division teams for discussion with DESNZ before submitting for approval by the Programme Steering Committee in Q1 of each year. </w:t>
      </w:r>
      <w:r w:rsidR="00BC50D5" w:rsidRPr="00E76A09">
        <w:rPr>
          <w:rFonts w:cs="Arial"/>
          <w:sz w:val="22"/>
          <w:szCs w:val="22"/>
        </w:rPr>
        <w:t xml:space="preserve">For 2026 this will include extended activities and </w:t>
      </w:r>
      <w:r w:rsidR="00A66DCE" w:rsidRPr="00E76A09">
        <w:rPr>
          <w:rFonts w:cs="Arial"/>
          <w:sz w:val="22"/>
          <w:szCs w:val="22"/>
        </w:rPr>
        <w:t>AIM4Commodities.</w:t>
      </w:r>
    </w:p>
    <w:p w14:paraId="10363C18" w14:textId="31B3EBE2" w:rsidR="05BEC14E" w:rsidRPr="00E76A09" w:rsidRDefault="05BEC14E" w:rsidP="00E6423A">
      <w:pPr>
        <w:spacing w:line="240" w:lineRule="auto"/>
        <w:rPr>
          <w:rFonts w:cs="Arial"/>
          <w:sz w:val="22"/>
          <w:szCs w:val="22"/>
        </w:rPr>
      </w:pPr>
      <w:r w:rsidRPr="57AB4C69">
        <w:rPr>
          <w:rFonts w:cs="Arial"/>
          <w:sz w:val="22"/>
          <w:szCs w:val="22"/>
        </w:rPr>
        <w:t>Due to ICF pipeline pressures during Business Case development, as discussed above, there is only £</w:t>
      </w:r>
      <w:r w:rsidR="00BE2D45">
        <w:rPr>
          <w:rFonts w:cs="Arial"/>
          <w:sz w:val="22"/>
          <w:szCs w:val="22"/>
        </w:rPr>
        <w:t>6</w:t>
      </w:r>
      <w:r w:rsidRPr="57AB4C69">
        <w:rPr>
          <w:rFonts w:cs="Arial"/>
          <w:sz w:val="22"/>
          <w:szCs w:val="22"/>
        </w:rPr>
        <w:t>m of the requested £10m in RDEL available at 2025</w:t>
      </w:r>
      <w:r w:rsidR="21B5D527" w:rsidRPr="57AB4C69">
        <w:rPr>
          <w:rFonts w:cs="Arial"/>
          <w:sz w:val="22"/>
          <w:szCs w:val="22"/>
        </w:rPr>
        <w:t>/26</w:t>
      </w:r>
      <w:r w:rsidRPr="57AB4C69">
        <w:rPr>
          <w:rFonts w:cs="Arial"/>
          <w:sz w:val="22"/>
          <w:szCs w:val="22"/>
        </w:rPr>
        <w:t xml:space="preserve"> </w:t>
      </w:r>
      <w:r w:rsidR="5AFC98AA" w:rsidRPr="57AB4C69">
        <w:rPr>
          <w:rFonts w:cs="Arial"/>
          <w:sz w:val="22"/>
          <w:szCs w:val="22"/>
        </w:rPr>
        <w:t>financial</w:t>
      </w:r>
      <w:r w:rsidRPr="57AB4C69">
        <w:rPr>
          <w:rFonts w:cs="Arial"/>
          <w:sz w:val="22"/>
          <w:szCs w:val="22"/>
        </w:rPr>
        <w:t xml:space="preserve"> year. While further funding needs (£</w:t>
      </w:r>
      <w:r w:rsidR="00BE2D45">
        <w:rPr>
          <w:rFonts w:cs="Arial"/>
          <w:sz w:val="22"/>
          <w:szCs w:val="22"/>
        </w:rPr>
        <w:t>4</w:t>
      </w:r>
      <w:r w:rsidRPr="57AB4C69">
        <w:rPr>
          <w:rFonts w:cs="Arial"/>
          <w:sz w:val="22"/>
          <w:szCs w:val="22"/>
        </w:rPr>
        <w:t xml:space="preserve">m RDEL) may be made available, this cannot be guaranteed. However, as the programme is agile and responsive, the AIM4Forests Programme Management Team (FAO and DESNZ) will reassess funding availability in the lead up to and during the 2027 Steering Committee (Spring 2027). Should further funding have not been made available, the programme will undertake a review to reconsider pipeline planning and reprioritise budgets within the programme accordingly. </w:t>
      </w:r>
      <w:r w:rsidR="6EC814DE" w:rsidRPr="57AB4C69">
        <w:rPr>
          <w:rFonts w:cs="Arial"/>
          <w:sz w:val="22"/>
          <w:szCs w:val="22"/>
        </w:rPr>
        <w:t>With such programme review and planning, and the additional £</w:t>
      </w:r>
      <w:r w:rsidR="00BE2D45">
        <w:rPr>
          <w:rFonts w:cs="Arial"/>
          <w:sz w:val="22"/>
          <w:szCs w:val="22"/>
        </w:rPr>
        <w:t>6</w:t>
      </w:r>
      <w:r w:rsidR="6EC814DE" w:rsidRPr="57AB4C69">
        <w:rPr>
          <w:rFonts w:cs="Arial"/>
          <w:sz w:val="22"/>
          <w:szCs w:val="22"/>
        </w:rPr>
        <w:t>m RDEL that is available for country work now, it is expected that the programme will be able to deliver. In this instance, the</w:t>
      </w:r>
      <w:r w:rsidRPr="57AB4C69">
        <w:rPr>
          <w:rFonts w:cs="Arial"/>
          <w:sz w:val="22"/>
          <w:szCs w:val="22"/>
        </w:rPr>
        <w:t xml:space="preserve"> Programme Management Team will take every ambition to </w:t>
      </w:r>
      <w:r w:rsidR="6EC814DE" w:rsidRPr="57AB4C69">
        <w:rPr>
          <w:rFonts w:cs="Arial"/>
          <w:sz w:val="22"/>
          <w:szCs w:val="22"/>
        </w:rPr>
        <w:t>achieve</w:t>
      </w:r>
      <w:r w:rsidRPr="57AB4C69">
        <w:rPr>
          <w:rFonts w:cs="Arial"/>
          <w:sz w:val="22"/>
          <w:szCs w:val="22"/>
        </w:rPr>
        <w:t xml:space="preserve"> the end of programme results, however, this may need to be adapted depending on overall funding</w:t>
      </w:r>
      <w:r w:rsidR="6EC814DE" w:rsidRPr="57AB4C69">
        <w:rPr>
          <w:rFonts w:cs="Arial"/>
          <w:sz w:val="22"/>
          <w:szCs w:val="22"/>
        </w:rPr>
        <w:t xml:space="preserve"> and potentially scaled back</w:t>
      </w:r>
      <w:r w:rsidRPr="57AB4C69">
        <w:rPr>
          <w:rFonts w:cs="Arial"/>
          <w:sz w:val="22"/>
          <w:szCs w:val="22"/>
        </w:rPr>
        <w:t>.</w:t>
      </w:r>
      <w:r w:rsidR="42995467" w:rsidRPr="57AB4C69">
        <w:rPr>
          <w:rFonts w:cs="Arial"/>
          <w:sz w:val="22"/>
          <w:szCs w:val="22"/>
        </w:rPr>
        <w:t xml:space="preserve"> This will be discussed and agreed at the 2027 Steering Committee. </w:t>
      </w:r>
    </w:p>
    <w:p w14:paraId="3E62B1E0" w14:textId="68EFE471" w:rsidR="00F56A0D" w:rsidRPr="00E76A09" w:rsidRDefault="00A43603" w:rsidP="00936BFB">
      <w:pPr>
        <w:spacing w:line="240" w:lineRule="auto"/>
        <w:rPr>
          <w:rFonts w:cs="Arial"/>
          <w:sz w:val="22"/>
          <w:szCs w:val="22"/>
        </w:rPr>
      </w:pPr>
      <w:r w:rsidRPr="57AB4C69">
        <w:rPr>
          <w:rFonts w:cs="Arial"/>
          <w:sz w:val="22"/>
          <w:szCs w:val="22"/>
        </w:rPr>
        <w:lastRenderedPageBreak/>
        <w:t xml:space="preserve">The </w:t>
      </w:r>
      <w:r w:rsidR="00336DA9" w:rsidRPr="57AB4C69">
        <w:rPr>
          <w:rFonts w:cs="Arial"/>
          <w:sz w:val="22"/>
          <w:szCs w:val="22"/>
        </w:rPr>
        <w:t>DESNZ AIM4Forests programme manager will continue to engage with FAO informally on a</w:t>
      </w:r>
      <w:r w:rsidR="00CA4360" w:rsidRPr="57AB4C69">
        <w:rPr>
          <w:rFonts w:cs="Arial"/>
          <w:sz w:val="22"/>
          <w:szCs w:val="22"/>
        </w:rPr>
        <w:t>n at-least</w:t>
      </w:r>
      <w:r w:rsidR="00336DA9" w:rsidRPr="57AB4C69">
        <w:rPr>
          <w:rFonts w:cs="Arial"/>
          <w:sz w:val="22"/>
          <w:szCs w:val="22"/>
        </w:rPr>
        <w:t xml:space="preserve"> monthly basis, throughout the programme cycle to support day to day programme management and delivery on the ground. These engagements will feed into wider DESNZ governance structures including PDP meetings. This allows for ongoing oversight of spend, results as well as horizon scanning and provide an opportunity for the programme lead to account and challenge relevant assumptions</w:t>
      </w:r>
      <w:r w:rsidR="00901D5C" w:rsidRPr="57AB4C69">
        <w:rPr>
          <w:rFonts w:cs="Arial"/>
          <w:sz w:val="22"/>
          <w:szCs w:val="22"/>
        </w:rPr>
        <w:t>.</w:t>
      </w:r>
    </w:p>
    <w:p w14:paraId="4BBD8DEB" w14:textId="60F310B5" w:rsidR="00F56A0D" w:rsidRPr="00E76A09" w:rsidRDefault="00F56A0D" w:rsidP="00936BFB">
      <w:pPr>
        <w:spacing w:line="240" w:lineRule="auto"/>
        <w:rPr>
          <w:rFonts w:cs="Arial"/>
          <w:sz w:val="22"/>
          <w:szCs w:val="22"/>
        </w:rPr>
      </w:pPr>
      <w:r w:rsidRPr="00E76A09">
        <w:rPr>
          <w:rFonts w:cs="Arial"/>
          <w:sz w:val="22"/>
          <w:szCs w:val="22"/>
        </w:rPr>
        <w:t xml:space="preserve">The DESNZ programme team will continue to ensure internal coherence and added value of AIM4Forests through information and knowledge sharing with other relevant teams to identify complementarities and synergies. Mechanisms for this include </w:t>
      </w:r>
      <w:r w:rsidR="00345662" w:rsidRPr="00E76A09">
        <w:rPr>
          <w:rFonts w:cs="Arial"/>
          <w:sz w:val="22"/>
          <w:szCs w:val="22"/>
        </w:rPr>
        <w:t xml:space="preserve">cross-Govt Working Groups on Carbon Markets, and </w:t>
      </w:r>
      <w:r w:rsidR="00186ECE" w:rsidRPr="00E76A09">
        <w:rPr>
          <w:rFonts w:cs="Arial"/>
          <w:sz w:val="22"/>
          <w:szCs w:val="22"/>
        </w:rPr>
        <w:t xml:space="preserve">ongoing </w:t>
      </w:r>
      <w:r w:rsidR="007C697A" w:rsidRPr="00E76A09">
        <w:rPr>
          <w:rFonts w:cs="Arial"/>
          <w:sz w:val="22"/>
          <w:szCs w:val="22"/>
        </w:rPr>
        <w:t>regular engagements with key country offices.</w:t>
      </w:r>
      <w:r w:rsidR="00221896" w:rsidRPr="00E76A09">
        <w:rPr>
          <w:rFonts w:cs="Arial"/>
          <w:sz w:val="22"/>
          <w:szCs w:val="22"/>
        </w:rPr>
        <w:t xml:space="preserve"> </w:t>
      </w:r>
      <w:r w:rsidRPr="00E76A09">
        <w:rPr>
          <w:rFonts w:cs="Arial"/>
          <w:sz w:val="22"/>
          <w:szCs w:val="22"/>
        </w:rPr>
        <w:t xml:space="preserve">Externally, </w:t>
      </w:r>
      <w:r w:rsidR="007C697A" w:rsidRPr="00E76A09">
        <w:rPr>
          <w:rFonts w:cs="Arial"/>
          <w:sz w:val="22"/>
          <w:szCs w:val="22"/>
        </w:rPr>
        <w:t>DESNZ</w:t>
      </w:r>
      <w:r w:rsidRPr="00E76A09">
        <w:rPr>
          <w:rFonts w:cs="Arial"/>
          <w:sz w:val="22"/>
          <w:szCs w:val="22"/>
        </w:rPr>
        <w:t xml:space="preserve"> will promote strategic coherence and synergies by engaging with other key donor partners of GFOI, including </w:t>
      </w:r>
      <w:r w:rsidR="007C697A" w:rsidRPr="00E76A09">
        <w:rPr>
          <w:rFonts w:cs="Arial"/>
          <w:sz w:val="22"/>
          <w:szCs w:val="22"/>
        </w:rPr>
        <w:t xml:space="preserve">Germany, </w:t>
      </w:r>
      <w:r w:rsidRPr="00E76A09">
        <w:rPr>
          <w:rFonts w:cs="Arial"/>
          <w:sz w:val="22"/>
          <w:szCs w:val="22"/>
        </w:rPr>
        <w:t>Norway, World Bank</w:t>
      </w:r>
      <w:r w:rsidR="00E037B9" w:rsidRPr="00E76A09">
        <w:rPr>
          <w:rFonts w:cs="Arial"/>
          <w:sz w:val="22"/>
          <w:szCs w:val="22"/>
        </w:rPr>
        <w:t>, as discussed in the earlier section</w:t>
      </w:r>
      <w:r w:rsidRPr="00E76A09">
        <w:rPr>
          <w:rFonts w:cs="Arial"/>
          <w:sz w:val="22"/>
          <w:szCs w:val="22"/>
        </w:rPr>
        <w:t xml:space="preserve">.  </w:t>
      </w:r>
    </w:p>
    <w:p w14:paraId="736737A1" w14:textId="7B95C790" w:rsidR="00F174C2" w:rsidRPr="00E76A09" w:rsidRDefault="00F174C2" w:rsidP="006570CD">
      <w:pPr>
        <w:rPr>
          <w:rFonts w:cs="Arial"/>
          <w:b/>
          <w:bCs/>
          <w:sz w:val="22"/>
          <w:szCs w:val="22"/>
        </w:rPr>
      </w:pPr>
      <w:r w:rsidRPr="00E76A09">
        <w:rPr>
          <w:rFonts w:cs="Arial"/>
          <w:b/>
          <w:bCs/>
          <w:sz w:val="22"/>
          <w:szCs w:val="22"/>
        </w:rPr>
        <w:t xml:space="preserve">5.3.3. AIM4Commodities </w:t>
      </w:r>
      <w:r w:rsidR="00220A9B" w:rsidRPr="00E76A09">
        <w:rPr>
          <w:rFonts w:cs="Arial"/>
          <w:b/>
          <w:bCs/>
          <w:sz w:val="22"/>
          <w:szCs w:val="22"/>
        </w:rPr>
        <w:t>g</w:t>
      </w:r>
      <w:r w:rsidR="00312F5A" w:rsidRPr="00E76A09">
        <w:rPr>
          <w:rFonts w:cs="Arial"/>
          <w:b/>
          <w:bCs/>
          <w:sz w:val="22"/>
          <w:szCs w:val="22"/>
        </w:rPr>
        <w:t>overnance with GIZ co-funding</w:t>
      </w:r>
    </w:p>
    <w:p w14:paraId="2D937150" w14:textId="77777777" w:rsidR="00312F5A" w:rsidRPr="00E76A09" w:rsidRDefault="00003C51" w:rsidP="00936BFB">
      <w:pPr>
        <w:spacing w:line="240" w:lineRule="auto"/>
        <w:rPr>
          <w:sz w:val="22"/>
          <w:szCs w:val="22"/>
        </w:rPr>
      </w:pPr>
      <w:r w:rsidRPr="00E76A09">
        <w:rPr>
          <w:sz w:val="22"/>
          <w:szCs w:val="22"/>
        </w:rPr>
        <w:t xml:space="preserve">As funding for AIM4Commodities partners with funding from </w:t>
      </w:r>
      <w:r w:rsidR="00BC59BB" w:rsidRPr="00E76A09">
        <w:rPr>
          <w:sz w:val="22"/>
          <w:szCs w:val="22"/>
        </w:rPr>
        <w:t>GIZ</w:t>
      </w:r>
      <w:r w:rsidR="00017A2C" w:rsidRPr="00E76A09">
        <w:rPr>
          <w:sz w:val="22"/>
          <w:szCs w:val="22"/>
        </w:rPr>
        <w:t xml:space="preserve">, an additional one-day Steering Committee is proposed </w:t>
      </w:r>
      <w:r w:rsidR="00A27B58" w:rsidRPr="00E76A09">
        <w:rPr>
          <w:sz w:val="22"/>
          <w:szCs w:val="22"/>
        </w:rPr>
        <w:t xml:space="preserve">dedicated to coordinate and align activities for AIM4Commodities. The </w:t>
      </w:r>
      <w:r w:rsidR="00864AA5" w:rsidRPr="00E76A09">
        <w:rPr>
          <w:sz w:val="22"/>
          <w:szCs w:val="22"/>
        </w:rPr>
        <w:t>AIM4Commodities Steering Committee (SC) would be composed of representatives from the UK, GIZ and FAO.  The SC would ensure complementarity and transparency in UK and GIZ support to AIM4Commodities and would meet every 6 months (alongside planned AIM4Forests SC meetings – once in Q1 and once in Q3). The AIM4Commodities SC would be the key decision-making body enabling alignment and agreement on which geographies to support, which technical solutions need enhancement, and which stakeholders need support.</w:t>
      </w:r>
    </w:p>
    <w:p w14:paraId="32261987" w14:textId="6D75F6B8" w:rsidR="00545E12" w:rsidRPr="00E76A09" w:rsidRDefault="00312F5A" w:rsidP="00936BFB">
      <w:pPr>
        <w:spacing w:line="240" w:lineRule="auto"/>
        <w:rPr>
          <w:sz w:val="22"/>
          <w:szCs w:val="22"/>
        </w:rPr>
      </w:pPr>
      <w:r w:rsidRPr="00E76A09">
        <w:rPr>
          <w:sz w:val="22"/>
          <w:szCs w:val="22"/>
        </w:rPr>
        <w:t xml:space="preserve">As GIZ co-funding is expected to end of 2026, the first AIM4Commodities Steering Committee will take place in </w:t>
      </w:r>
      <w:r w:rsidR="00B515AA" w:rsidRPr="00E76A09">
        <w:rPr>
          <w:sz w:val="22"/>
          <w:szCs w:val="22"/>
        </w:rPr>
        <w:t xml:space="preserve">Q1 </w:t>
      </w:r>
      <w:r w:rsidR="00C43B4A" w:rsidRPr="00E76A09">
        <w:rPr>
          <w:sz w:val="22"/>
          <w:szCs w:val="22"/>
        </w:rPr>
        <w:t xml:space="preserve">2026. A subsequent mid-year meeting will take place in Q3 2026. </w:t>
      </w:r>
    </w:p>
    <w:p w14:paraId="69E777F0" w14:textId="027DFC41" w:rsidR="000654DF" w:rsidRPr="00E76A09" w:rsidRDefault="00C821C7">
      <w:pPr>
        <w:rPr>
          <w:b/>
          <w:bCs/>
          <w:i/>
          <w:iCs/>
          <w:sz w:val="24"/>
          <w:szCs w:val="24"/>
        </w:rPr>
      </w:pPr>
      <w:r w:rsidRPr="00E76A09">
        <w:rPr>
          <w:b/>
          <w:bCs/>
          <w:i/>
          <w:iCs/>
          <w:sz w:val="24"/>
          <w:szCs w:val="24"/>
        </w:rPr>
        <w:t>5.4.</w:t>
      </w:r>
      <w:r w:rsidR="00632377" w:rsidRPr="00E76A09">
        <w:rPr>
          <w:b/>
          <w:bCs/>
          <w:i/>
          <w:iCs/>
          <w:sz w:val="24"/>
          <w:szCs w:val="24"/>
        </w:rPr>
        <w:t xml:space="preserve"> </w:t>
      </w:r>
      <w:r w:rsidR="00545E12" w:rsidRPr="00E76A09">
        <w:rPr>
          <w:b/>
          <w:bCs/>
          <w:i/>
          <w:iCs/>
          <w:sz w:val="24"/>
          <w:szCs w:val="24"/>
        </w:rPr>
        <w:t xml:space="preserve">Team </w:t>
      </w:r>
      <w:r w:rsidR="009E0D50" w:rsidRPr="00E76A09">
        <w:rPr>
          <w:b/>
          <w:bCs/>
          <w:i/>
          <w:iCs/>
          <w:sz w:val="24"/>
          <w:szCs w:val="24"/>
        </w:rPr>
        <w:t>s</w:t>
      </w:r>
      <w:r w:rsidR="00545E12" w:rsidRPr="00E76A09">
        <w:rPr>
          <w:b/>
          <w:bCs/>
          <w:i/>
          <w:iCs/>
          <w:sz w:val="24"/>
          <w:szCs w:val="24"/>
        </w:rPr>
        <w:t xml:space="preserve">tructure </w:t>
      </w:r>
    </w:p>
    <w:p w14:paraId="27CE30A7" w14:textId="072F22B4" w:rsidR="004C7119" w:rsidRPr="00E76A09" w:rsidRDefault="000F72D2" w:rsidP="00936BFB">
      <w:pPr>
        <w:spacing w:line="240" w:lineRule="auto"/>
        <w:rPr>
          <w:sz w:val="22"/>
          <w:szCs w:val="22"/>
        </w:rPr>
      </w:pPr>
      <w:r w:rsidRPr="00E76A09">
        <w:rPr>
          <w:sz w:val="22"/>
          <w:szCs w:val="22"/>
        </w:rPr>
        <w:t xml:space="preserve">The additional </w:t>
      </w:r>
      <w:r w:rsidR="0070454F" w:rsidRPr="00E76A09">
        <w:rPr>
          <w:sz w:val="22"/>
          <w:szCs w:val="22"/>
        </w:rPr>
        <w:t>funding under the AIM4Forests Extension Business Case will</w:t>
      </w:r>
      <w:r w:rsidR="00BC56B3" w:rsidRPr="00E76A09">
        <w:rPr>
          <w:sz w:val="22"/>
          <w:szCs w:val="22"/>
        </w:rPr>
        <w:t xml:space="preserve"> be managed as part of the existing AIM4Forests Programme. </w:t>
      </w:r>
      <w:r w:rsidR="004C7119" w:rsidRPr="00E76A09">
        <w:rPr>
          <w:sz w:val="22"/>
          <w:szCs w:val="22"/>
        </w:rPr>
        <w:t>Programme management will continue to be around 0.3</w:t>
      </w:r>
      <w:r w:rsidR="00321AFD" w:rsidRPr="00E76A09">
        <w:rPr>
          <w:sz w:val="22"/>
          <w:szCs w:val="22"/>
        </w:rPr>
        <w:t>-0.4</w:t>
      </w:r>
      <w:r w:rsidR="004C7119" w:rsidRPr="00E76A09">
        <w:rPr>
          <w:sz w:val="22"/>
          <w:szCs w:val="22"/>
        </w:rPr>
        <w:t xml:space="preserve"> FTE</w:t>
      </w:r>
      <w:r w:rsidR="004867C0" w:rsidRPr="00E76A09">
        <w:rPr>
          <w:sz w:val="22"/>
          <w:szCs w:val="22"/>
        </w:rPr>
        <w:t xml:space="preserve">. The </w:t>
      </w:r>
      <w:r w:rsidR="009C785D" w:rsidRPr="00E76A09">
        <w:rPr>
          <w:sz w:val="22"/>
          <w:szCs w:val="22"/>
        </w:rPr>
        <w:t>AIM4Forests Programme Manager will be responsible for day-to-day programme management, including internal functions (financial management, risk management, MEL, annual reviews), and external functions (delivery partner management, budget appraisal, coordination &amp; implementation)</w:t>
      </w:r>
      <w:r w:rsidR="004867C0" w:rsidRPr="00E76A09">
        <w:rPr>
          <w:sz w:val="22"/>
          <w:szCs w:val="22"/>
        </w:rPr>
        <w:t>. This includes coordinating meetings with FAO, and with Embassy/post staff, other donors and specialists including PMO, finance</w:t>
      </w:r>
      <w:r w:rsidR="4B89E989" w:rsidRPr="00E76A09">
        <w:rPr>
          <w:sz w:val="22"/>
          <w:szCs w:val="22"/>
        </w:rPr>
        <w:t>, analysts</w:t>
      </w:r>
      <w:r w:rsidR="004867C0" w:rsidRPr="00E76A09">
        <w:rPr>
          <w:sz w:val="22"/>
          <w:szCs w:val="22"/>
        </w:rPr>
        <w:t xml:space="preserve"> and commercial colleagues within DESNZ.</w:t>
      </w:r>
    </w:p>
    <w:p w14:paraId="0A5EDFFE" w14:textId="3A1BA4CF" w:rsidR="009C785D" w:rsidRPr="00E76A09" w:rsidRDefault="004C7119" w:rsidP="00936BFB">
      <w:pPr>
        <w:spacing w:line="240" w:lineRule="auto"/>
        <w:rPr>
          <w:sz w:val="22"/>
          <w:szCs w:val="22"/>
        </w:rPr>
      </w:pPr>
      <w:r w:rsidRPr="00E76A09">
        <w:rPr>
          <w:sz w:val="22"/>
          <w:szCs w:val="22"/>
        </w:rPr>
        <w:t xml:space="preserve">Throughout programme implementation, AIM4Forests will likely require other support from technical specialists and senior management. This is set out in detail in the IAAP in </w:t>
      </w:r>
      <w:r w:rsidRPr="00E76A09">
        <w:rPr>
          <w:b/>
          <w:bCs/>
          <w:sz w:val="22"/>
          <w:szCs w:val="22"/>
        </w:rPr>
        <w:t>Annex</w:t>
      </w:r>
      <w:r w:rsidR="00F46CE2" w:rsidRPr="00E76A09">
        <w:rPr>
          <w:b/>
          <w:bCs/>
          <w:sz w:val="22"/>
          <w:szCs w:val="22"/>
        </w:rPr>
        <w:t xml:space="preserve"> M</w:t>
      </w:r>
      <w:r w:rsidRPr="00E76A09">
        <w:rPr>
          <w:b/>
          <w:bCs/>
          <w:sz w:val="22"/>
          <w:szCs w:val="22"/>
        </w:rPr>
        <w:t>.</w:t>
      </w:r>
      <w:r w:rsidR="009C785D" w:rsidRPr="00E76A09">
        <w:rPr>
          <w:sz w:val="22"/>
          <w:szCs w:val="22"/>
        </w:rPr>
        <w:t xml:space="preserve"> </w:t>
      </w:r>
    </w:p>
    <w:p w14:paraId="7C1EF3FE" w14:textId="77777777" w:rsidR="009C785D" w:rsidRPr="00E76A09" w:rsidRDefault="009C785D" w:rsidP="009C785D">
      <w:pPr>
        <w:rPr>
          <w:b/>
          <w:bCs/>
          <w:i/>
          <w:iCs/>
          <w:sz w:val="24"/>
          <w:szCs w:val="24"/>
        </w:rPr>
      </w:pPr>
      <w:r w:rsidRPr="00E76A09">
        <w:rPr>
          <w:b/>
          <w:bCs/>
          <w:i/>
          <w:iCs/>
          <w:sz w:val="24"/>
          <w:szCs w:val="24"/>
        </w:rPr>
        <w:t xml:space="preserve">5.5. Assurance and approvals </w:t>
      </w:r>
    </w:p>
    <w:p w14:paraId="21C73D64" w14:textId="6E4D8D34" w:rsidR="009C785D" w:rsidRPr="00E76A09" w:rsidRDefault="009C785D" w:rsidP="009C785D">
      <w:pPr>
        <w:rPr>
          <w:sz w:val="22"/>
          <w:szCs w:val="22"/>
        </w:rPr>
      </w:pPr>
      <w:r w:rsidRPr="00E76A09">
        <w:rPr>
          <w:b/>
          <w:bCs/>
          <w:sz w:val="22"/>
          <w:szCs w:val="22"/>
        </w:rPr>
        <w:t xml:space="preserve">Annex </w:t>
      </w:r>
      <w:r w:rsidR="00F46CE2" w:rsidRPr="00E76A09">
        <w:rPr>
          <w:b/>
          <w:bCs/>
          <w:sz w:val="22"/>
          <w:szCs w:val="22"/>
        </w:rPr>
        <w:t>M</w:t>
      </w:r>
      <w:r w:rsidR="00F46CE2" w:rsidRPr="00E76A09">
        <w:rPr>
          <w:sz w:val="22"/>
          <w:szCs w:val="22"/>
        </w:rPr>
        <w:t xml:space="preserve"> </w:t>
      </w:r>
      <w:r w:rsidRPr="00E76A09">
        <w:rPr>
          <w:sz w:val="22"/>
          <w:szCs w:val="22"/>
        </w:rPr>
        <w:t>provides information on an Integrated Assurance and Approvals Plan.</w:t>
      </w:r>
    </w:p>
    <w:p w14:paraId="4E868490" w14:textId="77777777" w:rsidR="00B737D8" w:rsidRPr="00E76A09" w:rsidRDefault="009E0D50" w:rsidP="009C785D">
      <w:pPr>
        <w:rPr>
          <w:b/>
          <w:bCs/>
          <w:i/>
          <w:iCs/>
          <w:sz w:val="24"/>
          <w:szCs w:val="24"/>
        </w:rPr>
      </w:pPr>
      <w:r w:rsidRPr="00E76A09">
        <w:rPr>
          <w:b/>
          <w:bCs/>
          <w:i/>
          <w:iCs/>
          <w:sz w:val="24"/>
          <w:szCs w:val="24"/>
        </w:rPr>
        <w:t xml:space="preserve">5.6. Monitoring and evaluation of benefits </w:t>
      </w:r>
    </w:p>
    <w:p w14:paraId="587F4FA6" w14:textId="74A36ED2" w:rsidR="00D17DF2" w:rsidRPr="00E76A09" w:rsidRDefault="00B737D8" w:rsidP="00936BFB">
      <w:pPr>
        <w:spacing w:line="240" w:lineRule="auto"/>
        <w:rPr>
          <w:sz w:val="22"/>
          <w:szCs w:val="22"/>
        </w:rPr>
      </w:pPr>
      <w:r w:rsidRPr="00E76A09">
        <w:rPr>
          <w:sz w:val="22"/>
          <w:szCs w:val="22"/>
        </w:rPr>
        <w:t>Like all ICF programmes, the AIM4Forests programme is subject to rigorous Monitoring, Evaluation and Learning (MEL) to ensure positive progress, adaptive management, as well as accountability. Additionally, AIM</w:t>
      </w:r>
      <w:r w:rsidR="000964A4" w:rsidRPr="00E76A09">
        <w:rPr>
          <w:sz w:val="22"/>
          <w:szCs w:val="22"/>
        </w:rPr>
        <w:t>4</w:t>
      </w:r>
      <w:r w:rsidRPr="00E76A09">
        <w:rPr>
          <w:sz w:val="22"/>
          <w:szCs w:val="22"/>
        </w:rPr>
        <w:t xml:space="preserve">Forests aims to inform and support other ICF/ODA programmes to which it has strong links as well as wider policy (see Strategic Case). </w:t>
      </w:r>
    </w:p>
    <w:p w14:paraId="2F286580" w14:textId="6F6DC64D" w:rsidR="4B6ADDD3" w:rsidRPr="00E76A09" w:rsidRDefault="64B93F2F" w:rsidP="4B6ADDD3">
      <w:pPr>
        <w:spacing w:line="240" w:lineRule="auto"/>
        <w:rPr>
          <w:sz w:val="22"/>
          <w:szCs w:val="22"/>
        </w:rPr>
      </w:pPr>
      <w:r w:rsidRPr="00E76A09">
        <w:rPr>
          <w:sz w:val="22"/>
          <w:szCs w:val="22"/>
        </w:rPr>
        <w:t>The majority of AIM4Forests programme monitoring will be completed by FAO and will be covered by their management fee. UK DESNZ role in monitoring and management is described in the DESNZ Governance section above.</w:t>
      </w:r>
    </w:p>
    <w:p w14:paraId="0E8717B8" w14:textId="5D760DA0" w:rsidR="00837F27" w:rsidRPr="00E76A09" w:rsidRDefault="00837F27" w:rsidP="00B737D8">
      <w:pPr>
        <w:rPr>
          <w:b/>
          <w:bCs/>
          <w:sz w:val="22"/>
          <w:szCs w:val="22"/>
        </w:rPr>
      </w:pPr>
      <w:r w:rsidRPr="00E76A09">
        <w:rPr>
          <w:b/>
          <w:bCs/>
          <w:sz w:val="22"/>
          <w:szCs w:val="22"/>
        </w:rPr>
        <w:t>5.6.1. Theory of Change and Logframe</w:t>
      </w:r>
    </w:p>
    <w:p w14:paraId="2F6F2064" w14:textId="3AE84389" w:rsidR="00837F27" w:rsidRPr="00E76A09" w:rsidRDefault="00944EC5" w:rsidP="00936BFB">
      <w:pPr>
        <w:spacing w:line="240" w:lineRule="auto"/>
        <w:rPr>
          <w:sz w:val="22"/>
          <w:szCs w:val="22"/>
        </w:rPr>
      </w:pPr>
      <w:r w:rsidRPr="00E76A09">
        <w:rPr>
          <w:sz w:val="22"/>
          <w:szCs w:val="22"/>
        </w:rPr>
        <w:lastRenderedPageBreak/>
        <w:t xml:space="preserve">The Theory of Change for AIM4Forests, as set out in </w:t>
      </w:r>
      <w:r w:rsidRPr="00E76A09">
        <w:rPr>
          <w:b/>
          <w:bCs/>
          <w:sz w:val="22"/>
          <w:szCs w:val="22"/>
        </w:rPr>
        <w:t xml:space="preserve">Annex </w:t>
      </w:r>
      <w:r w:rsidR="00EA3B17" w:rsidRPr="00E76A09">
        <w:rPr>
          <w:b/>
          <w:bCs/>
          <w:sz w:val="22"/>
          <w:szCs w:val="22"/>
        </w:rPr>
        <w:t>E</w:t>
      </w:r>
      <w:r w:rsidR="00FF30A4" w:rsidRPr="00E76A09">
        <w:rPr>
          <w:sz w:val="22"/>
          <w:szCs w:val="22"/>
        </w:rPr>
        <w:t>, has</w:t>
      </w:r>
      <w:r w:rsidRPr="00E76A09">
        <w:rPr>
          <w:sz w:val="22"/>
          <w:szCs w:val="22"/>
        </w:rPr>
        <w:t xml:space="preserve"> been updated to reflect the proposals within this business case, and provides an effective high-level overview of the results chain for the inputs, activities, outcomes and impact of AIM4Forests. This updated Theory of Change was developed through a collaborative workshop with various technical and sector experts across FAO and DESNZ.</w:t>
      </w:r>
      <w:r w:rsidR="29CC3C64" w:rsidRPr="00E76A09">
        <w:rPr>
          <w:sz w:val="22"/>
          <w:szCs w:val="22"/>
        </w:rPr>
        <w:t xml:space="preserve"> The updated Theory Change was developed under the assumption that additional funding </w:t>
      </w:r>
      <w:r w:rsidR="152313CD" w:rsidRPr="00E76A09">
        <w:rPr>
          <w:sz w:val="22"/>
          <w:szCs w:val="22"/>
        </w:rPr>
        <w:t>and a 2-year extension of the programme</w:t>
      </w:r>
      <w:r w:rsidR="29CC3C64" w:rsidRPr="00E76A09">
        <w:rPr>
          <w:sz w:val="22"/>
          <w:szCs w:val="22"/>
        </w:rPr>
        <w:t xml:space="preserve"> (or at a </w:t>
      </w:r>
      <w:r w:rsidR="76DE7101" w:rsidRPr="00E76A09">
        <w:rPr>
          <w:sz w:val="22"/>
          <w:szCs w:val="22"/>
        </w:rPr>
        <w:t>minimum, a</w:t>
      </w:r>
      <w:r w:rsidR="29CC3C64" w:rsidRPr="00E76A09">
        <w:rPr>
          <w:sz w:val="22"/>
          <w:szCs w:val="22"/>
        </w:rPr>
        <w:t xml:space="preserve"> reprioritised focus on country work) would be undertaken</w:t>
      </w:r>
      <w:r w:rsidR="2B2E2BB4" w:rsidRPr="00E76A09">
        <w:rPr>
          <w:sz w:val="22"/>
          <w:szCs w:val="22"/>
        </w:rPr>
        <w:t xml:space="preserve">, </w:t>
      </w:r>
      <w:r w:rsidR="29CC3C64" w:rsidRPr="00E76A09">
        <w:rPr>
          <w:sz w:val="22"/>
          <w:szCs w:val="22"/>
        </w:rPr>
        <w:t>as per the recommendations of the recent Mid-Term Review</w:t>
      </w:r>
      <w:r w:rsidR="3F308E8A" w:rsidRPr="00E76A09">
        <w:rPr>
          <w:sz w:val="22"/>
          <w:szCs w:val="22"/>
        </w:rPr>
        <w:t xml:space="preserve">. However, depending on the final budget allocated and final agreed work package to 2030 – this may </w:t>
      </w:r>
      <w:r w:rsidR="0D6D9718" w:rsidRPr="00E76A09">
        <w:rPr>
          <w:sz w:val="22"/>
          <w:szCs w:val="22"/>
        </w:rPr>
        <w:t>need updating.</w:t>
      </w:r>
    </w:p>
    <w:p w14:paraId="6709818F" w14:textId="33745609" w:rsidR="00FD2BE9" w:rsidRPr="00E76A09" w:rsidRDefault="00802226" w:rsidP="00936BFB">
      <w:pPr>
        <w:spacing w:line="240" w:lineRule="auto"/>
        <w:rPr>
          <w:sz w:val="22"/>
          <w:szCs w:val="22"/>
        </w:rPr>
      </w:pPr>
      <w:r w:rsidRPr="00E76A09">
        <w:rPr>
          <w:sz w:val="22"/>
          <w:szCs w:val="22"/>
        </w:rPr>
        <w:t>UK DESNZ will</w:t>
      </w:r>
      <w:r w:rsidR="00B737D8" w:rsidRPr="00E76A09">
        <w:rPr>
          <w:sz w:val="22"/>
          <w:szCs w:val="22"/>
        </w:rPr>
        <w:t xml:space="preserve"> work with FAO following the</w:t>
      </w:r>
      <w:r w:rsidR="00F834E2" w:rsidRPr="00E76A09">
        <w:rPr>
          <w:sz w:val="22"/>
          <w:szCs w:val="22"/>
        </w:rPr>
        <w:t xml:space="preserve"> extension</w:t>
      </w:r>
      <w:r w:rsidR="00B737D8" w:rsidRPr="00E76A09">
        <w:rPr>
          <w:sz w:val="22"/>
          <w:szCs w:val="22"/>
        </w:rPr>
        <w:t xml:space="preserve"> BC approval to draft and agree a complete logframe</w:t>
      </w:r>
      <w:r w:rsidR="001B1D70" w:rsidRPr="00E76A09">
        <w:rPr>
          <w:sz w:val="22"/>
          <w:szCs w:val="22"/>
        </w:rPr>
        <w:t xml:space="preserve"> that extends timelines to 2030 (previously 2028)</w:t>
      </w:r>
      <w:r w:rsidR="00B737D8" w:rsidRPr="00E76A09">
        <w:rPr>
          <w:sz w:val="22"/>
          <w:szCs w:val="22"/>
        </w:rPr>
        <w:t>, including annual milestones, expected outputs and end of programme targets.</w:t>
      </w:r>
      <w:r w:rsidR="00BA7964" w:rsidRPr="00E76A09">
        <w:rPr>
          <w:sz w:val="22"/>
          <w:szCs w:val="22"/>
        </w:rPr>
        <w:t xml:space="preserve"> This also includes new area – AIM4Commodities</w:t>
      </w:r>
      <w:r w:rsidR="1C6DBF5C" w:rsidRPr="00E76A09">
        <w:rPr>
          <w:sz w:val="22"/>
          <w:szCs w:val="22"/>
        </w:rPr>
        <w:t xml:space="preserve"> and new indicators to track progress on this area</w:t>
      </w:r>
      <w:r w:rsidR="00BA7964" w:rsidRPr="00E76A09">
        <w:rPr>
          <w:sz w:val="22"/>
          <w:szCs w:val="22"/>
        </w:rPr>
        <w:t>.</w:t>
      </w:r>
      <w:r w:rsidR="00B737D8" w:rsidRPr="00E76A09">
        <w:rPr>
          <w:sz w:val="22"/>
          <w:szCs w:val="22"/>
        </w:rPr>
        <w:t xml:space="preserve"> </w:t>
      </w:r>
      <w:r w:rsidR="00A81502" w:rsidRPr="00E76A09">
        <w:rPr>
          <w:sz w:val="22"/>
          <w:szCs w:val="22"/>
        </w:rPr>
        <w:t xml:space="preserve">An initial draft is </w:t>
      </w:r>
      <w:r w:rsidR="00FD2BE9" w:rsidRPr="00E76A09">
        <w:rPr>
          <w:sz w:val="22"/>
          <w:szCs w:val="22"/>
        </w:rPr>
        <w:t xml:space="preserve">provided in </w:t>
      </w:r>
      <w:r w:rsidR="00FD2BE9" w:rsidRPr="00E76A09">
        <w:rPr>
          <w:b/>
          <w:bCs/>
          <w:sz w:val="22"/>
          <w:szCs w:val="22"/>
        </w:rPr>
        <w:t xml:space="preserve">Annex </w:t>
      </w:r>
      <w:r w:rsidR="00551156" w:rsidRPr="00E76A09">
        <w:rPr>
          <w:b/>
          <w:bCs/>
          <w:sz w:val="22"/>
          <w:szCs w:val="22"/>
        </w:rPr>
        <w:t>N</w:t>
      </w:r>
      <w:r w:rsidR="00FD2BE9" w:rsidRPr="00E76A09">
        <w:rPr>
          <w:sz w:val="22"/>
          <w:szCs w:val="22"/>
        </w:rPr>
        <w:t xml:space="preserve">. </w:t>
      </w:r>
      <w:r w:rsidR="00B737D8" w:rsidRPr="00E76A09">
        <w:rPr>
          <w:sz w:val="22"/>
          <w:szCs w:val="22"/>
        </w:rPr>
        <w:t xml:space="preserve">The </w:t>
      </w:r>
      <w:r w:rsidR="00FD2BE9" w:rsidRPr="00E76A09">
        <w:rPr>
          <w:sz w:val="22"/>
          <w:szCs w:val="22"/>
        </w:rPr>
        <w:t xml:space="preserve">final </w:t>
      </w:r>
      <w:r w:rsidR="00B737D8" w:rsidRPr="00E76A09">
        <w:rPr>
          <w:sz w:val="22"/>
          <w:szCs w:val="22"/>
        </w:rPr>
        <w:t xml:space="preserve">logframe will be ideally agreed </w:t>
      </w:r>
      <w:r w:rsidR="00F834E2" w:rsidRPr="00E76A09">
        <w:rPr>
          <w:sz w:val="22"/>
          <w:szCs w:val="22"/>
        </w:rPr>
        <w:t>by the end of the calendar year</w:t>
      </w:r>
      <w:r w:rsidR="00FD2BE9" w:rsidRPr="00E76A09">
        <w:rPr>
          <w:sz w:val="22"/>
          <w:szCs w:val="22"/>
        </w:rPr>
        <w:t>, following extension Business Case approval</w:t>
      </w:r>
      <w:r w:rsidR="00F834E2" w:rsidRPr="00E76A09">
        <w:rPr>
          <w:sz w:val="22"/>
          <w:szCs w:val="22"/>
        </w:rPr>
        <w:t xml:space="preserve">. </w:t>
      </w:r>
    </w:p>
    <w:p w14:paraId="5C47A966" w14:textId="4C703F5B" w:rsidR="00B737D8" w:rsidRPr="00E76A09" w:rsidRDefault="00FD2BE9" w:rsidP="00936BFB">
      <w:pPr>
        <w:spacing w:line="240" w:lineRule="auto"/>
        <w:rPr>
          <w:sz w:val="22"/>
          <w:szCs w:val="22"/>
        </w:rPr>
      </w:pPr>
      <w:r w:rsidRPr="00E76A09">
        <w:rPr>
          <w:sz w:val="22"/>
          <w:szCs w:val="22"/>
        </w:rPr>
        <w:t>Ongoing p</w:t>
      </w:r>
      <w:r w:rsidR="00B737D8" w:rsidRPr="00E76A09">
        <w:rPr>
          <w:sz w:val="22"/>
          <w:szCs w:val="22"/>
        </w:rPr>
        <w:t>rogramme monitoring will be supported by the revised</w:t>
      </w:r>
      <w:r w:rsidRPr="00E76A09">
        <w:rPr>
          <w:sz w:val="22"/>
          <w:szCs w:val="22"/>
        </w:rPr>
        <w:t xml:space="preserve"> and</w:t>
      </w:r>
      <w:r w:rsidR="00B737D8" w:rsidRPr="00E76A09">
        <w:rPr>
          <w:sz w:val="22"/>
          <w:szCs w:val="22"/>
        </w:rPr>
        <w:t xml:space="preserve"> approved logframe</w:t>
      </w:r>
      <w:r w:rsidR="009D650E" w:rsidRPr="00E76A09">
        <w:rPr>
          <w:sz w:val="22"/>
          <w:szCs w:val="22"/>
        </w:rPr>
        <w:t>.</w:t>
      </w:r>
      <w:r w:rsidR="00B737D8" w:rsidRPr="00E76A09">
        <w:rPr>
          <w:sz w:val="22"/>
          <w:szCs w:val="22"/>
        </w:rPr>
        <w:t xml:space="preserve"> Both the </w:t>
      </w:r>
      <w:proofErr w:type="spellStart"/>
      <w:r w:rsidR="00B737D8" w:rsidRPr="00E76A09">
        <w:rPr>
          <w:sz w:val="22"/>
          <w:szCs w:val="22"/>
        </w:rPr>
        <w:t>ToC</w:t>
      </w:r>
      <w:proofErr w:type="spellEnd"/>
      <w:r w:rsidR="00B737D8" w:rsidRPr="00E76A09">
        <w:rPr>
          <w:sz w:val="22"/>
          <w:szCs w:val="22"/>
        </w:rPr>
        <w:t xml:space="preserve"> and the logframe are working documents and</w:t>
      </w:r>
      <w:r w:rsidR="00F834E2" w:rsidRPr="00E76A09">
        <w:rPr>
          <w:sz w:val="22"/>
          <w:szCs w:val="22"/>
        </w:rPr>
        <w:t xml:space="preserve"> continue to be</w:t>
      </w:r>
      <w:r w:rsidR="00B737D8" w:rsidRPr="00E76A09">
        <w:rPr>
          <w:sz w:val="22"/>
          <w:szCs w:val="22"/>
        </w:rPr>
        <w:t xml:space="preserve"> subject to change. </w:t>
      </w:r>
    </w:p>
    <w:p w14:paraId="2E7274B2" w14:textId="09526692" w:rsidR="0008391E" w:rsidRPr="00E76A09" w:rsidRDefault="0008391E" w:rsidP="00936BFB">
      <w:pPr>
        <w:spacing w:line="240" w:lineRule="auto"/>
        <w:rPr>
          <w:sz w:val="22"/>
          <w:szCs w:val="22"/>
        </w:rPr>
      </w:pPr>
      <w:r w:rsidRPr="00E76A09">
        <w:rPr>
          <w:sz w:val="22"/>
          <w:szCs w:val="22"/>
        </w:rPr>
        <w:t xml:space="preserve">The AIM4Forests Programme </w:t>
      </w:r>
      <w:r w:rsidR="00412788" w:rsidRPr="00E76A09">
        <w:rPr>
          <w:sz w:val="22"/>
          <w:szCs w:val="22"/>
        </w:rPr>
        <w:t>is currently reporting on the following KPIs, and will continue to do this through the extension Business Case</w:t>
      </w:r>
      <w:r w:rsidRPr="00E76A09">
        <w:rPr>
          <w:sz w:val="22"/>
          <w:szCs w:val="22"/>
        </w:rPr>
        <w:t>:</w:t>
      </w:r>
    </w:p>
    <w:p w14:paraId="77F395D2" w14:textId="73B168F6" w:rsidR="0008391E" w:rsidRPr="00E76A09" w:rsidRDefault="0008391E" w:rsidP="005F1FB6">
      <w:pPr>
        <w:pStyle w:val="ListParagraph"/>
        <w:numPr>
          <w:ilvl w:val="0"/>
          <w:numId w:val="84"/>
        </w:numPr>
        <w:rPr>
          <w:sz w:val="22"/>
          <w:szCs w:val="22"/>
        </w:rPr>
      </w:pPr>
      <w:r w:rsidRPr="00E76A09">
        <w:rPr>
          <w:sz w:val="22"/>
          <w:szCs w:val="22"/>
        </w:rPr>
        <w:t>TA KPI 1: Number of countries supported by ICF TA</w:t>
      </w:r>
    </w:p>
    <w:p w14:paraId="56C78C3A" w14:textId="20FEAF83" w:rsidR="0008391E" w:rsidRPr="00E76A09" w:rsidRDefault="0008391E" w:rsidP="005F1FB6">
      <w:pPr>
        <w:pStyle w:val="ListParagraph"/>
        <w:numPr>
          <w:ilvl w:val="0"/>
          <w:numId w:val="84"/>
        </w:numPr>
        <w:rPr>
          <w:sz w:val="22"/>
          <w:szCs w:val="22"/>
        </w:rPr>
      </w:pPr>
      <w:r w:rsidRPr="00E76A09">
        <w:rPr>
          <w:sz w:val="22"/>
          <w:szCs w:val="22"/>
        </w:rPr>
        <w:t>TA KPI 2: Number of individuals and organisations supported by ICF TA</w:t>
      </w:r>
    </w:p>
    <w:p w14:paraId="405B7F7C" w14:textId="3DA63041" w:rsidR="0008391E" w:rsidRPr="00E76A09" w:rsidRDefault="0008391E" w:rsidP="005F1FB6">
      <w:pPr>
        <w:pStyle w:val="ListParagraph"/>
        <w:numPr>
          <w:ilvl w:val="0"/>
          <w:numId w:val="84"/>
        </w:numPr>
        <w:rPr>
          <w:sz w:val="22"/>
          <w:szCs w:val="22"/>
        </w:rPr>
      </w:pPr>
      <w:r w:rsidRPr="00E76A09">
        <w:rPr>
          <w:sz w:val="22"/>
          <w:szCs w:val="22"/>
        </w:rPr>
        <w:t>TA KPI 3: Number of climate policies informed by ICF TA</w:t>
      </w:r>
      <w:r w:rsidR="00412788" w:rsidRPr="00E76A09">
        <w:rPr>
          <w:sz w:val="22"/>
          <w:szCs w:val="22"/>
        </w:rPr>
        <w:t xml:space="preserve"> (currently not being monitored but evaluations may be able to support development of a methodology / input)</w:t>
      </w:r>
    </w:p>
    <w:p w14:paraId="77A10AF3" w14:textId="3122677F" w:rsidR="0008391E" w:rsidRPr="00E76A09" w:rsidRDefault="0008391E" w:rsidP="005F1FB6">
      <w:pPr>
        <w:pStyle w:val="ListParagraph"/>
        <w:numPr>
          <w:ilvl w:val="0"/>
          <w:numId w:val="84"/>
        </w:numPr>
        <w:rPr>
          <w:sz w:val="22"/>
          <w:szCs w:val="22"/>
        </w:rPr>
      </w:pPr>
      <w:r w:rsidRPr="00E76A09">
        <w:rPr>
          <w:sz w:val="22"/>
          <w:szCs w:val="22"/>
        </w:rPr>
        <w:t>TA KPI 5: Volume of Emissions Reduced or Avoided, supported by ICF TA</w:t>
      </w:r>
      <w:r w:rsidR="00986EEC" w:rsidRPr="00E76A09">
        <w:rPr>
          <w:sz w:val="22"/>
          <w:szCs w:val="22"/>
        </w:rPr>
        <w:t xml:space="preserve"> (contribution basis, tCO2)</w:t>
      </w:r>
    </w:p>
    <w:p w14:paraId="190F02F4" w14:textId="30AC9D53" w:rsidR="0008391E" w:rsidRPr="00E76A09" w:rsidRDefault="0008391E" w:rsidP="005F1FB6">
      <w:pPr>
        <w:pStyle w:val="ListParagraph"/>
        <w:numPr>
          <w:ilvl w:val="0"/>
          <w:numId w:val="84"/>
        </w:numPr>
        <w:rPr>
          <w:sz w:val="22"/>
          <w:szCs w:val="22"/>
        </w:rPr>
      </w:pPr>
      <w:r w:rsidRPr="00E76A09">
        <w:rPr>
          <w:sz w:val="22"/>
          <w:szCs w:val="22"/>
        </w:rPr>
        <w:t>KPI 15: Extent to which programme is likely to lead to Transformational Change</w:t>
      </w:r>
    </w:p>
    <w:p w14:paraId="3F70A03B" w14:textId="7E0577C1" w:rsidR="00DF2014" w:rsidRPr="00E76A09" w:rsidRDefault="0008391E" w:rsidP="00936BFB">
      <w:pPr>
        <w:spacing w:line="240" w:lineRule="auto"/>
        <w:rPr>
          <w:sz w:val="22"/>
          <w:szCs w:val="22"/>
        </w:rPr>
      </w:pPr>
      <w:r w:rsidRPr="00E76A09">
        <w:rPr>
          <w:sz w:val="22"/>
          <w:szCs w:val="22"/>
        </w:rPr>
        <w:t>The programme’s performance will be monitored through the ICF annual review and results collection processes based on data provided mainly by FAO. The primary tool for this will</w:t>
      </w:r>
      <w:r w:rsidR="009D650E" w:rsidRPr="00E76A09">
        <w:rPr>
          <w:sz w:val="22"/>
          <w:szCs w:val="22"/>
        </w:rPr>
        <w:t xml:space="preserve"> continue to</w:t>
      </w:r>
      <w:r w:rsidRPr="00E76A09">
        <w:rPr>
          <w:sz w:val="22"/>
          <w:szCs w:val="22"/>
        </w:rPr>
        <w:t xml:space="preserve"> be the programme logframe (see </w:t>
      </w:r>
      <w:r w:rsidRPr="00E76A09">
        <w:rPr>
          <w:b/>
          <w:bCs/>
          <w:sz w:val="22"/>
          <w:szCs w:val="22"/>
        </w:rPr>
        <w:t>Annex</w:t>
      </w:r>
      <w:r w:rsidR="00BC59D1" w:rsidRPr="00E76A09">
        <w:rPr>
          <w:b/>
          <w:bCs/>
          <w:sz w:val="22"/>
          <w:szCs w:val="22"/>
        </w:rPr>
        <w:t xml:space="preserve"> N</w:t>
      </w:r>
      <w:r w:rsidRPr="00E76A09">
        <w:rPr>
          <w:sz w:val="22"/>
          <w:szCs w:val="22"/>
        </w:rPr>
        <w:t>)</w:t>
      </w:r>
      <w:r w:rsidR="009D650E" w:rsidRPr="00E76A09">
        <w:rPr>
          <w:sz w:val="22"/>
          <w:szCs w:val="22"/>
        </w:rPr>
        <w:t xml:space="preserve"> and accompanying appraisal through the Annual Review process</w:t>
      </w:r>
      <w:r w:rsidRPr="00E76A09">
        <w:rPr>
          <w:sz w:val="22"/>
          <w:szCs w:val="22"/>
        </w:rPr>
        <w:t xml:space="preserve">. </w:t>
      </w:r>
      <w:r w:rsidR="0005026E" w:rsidRPr="00E76A09">
        <w:rPr>
          <w:sz w:val="22"/>
          <w:szCs w:val="22"/>
        </w:rPr>
        <w:t xml:space="preserve">Annual Reviews will be undertaken as part of the current </w:t>
      </w:r>
      <w:r w:rsidR="00AB3F6D" w:rsidRPr="00E76A09">
        <w:rPr>
          <w:sz w:val="22"/>
          <w:szCs w:val="22"/>
        </w:rPr>
        <w:t xml:space="preserve">timelines </w:t>
      </w:r>
      <w:r w:rsidR="00C52825" w:rsidRPr="00E76A09">
        <w:rPr>
          <w:sz w:val="22"/>
          <w:szCs w:val="22"/>
        </w:rPr>
        <w:t xml:space="preserve">meaning that </w:t>
      </w:r>
      <w:r w:rsidR="00AB3F6D" w:rsidRPr="00E76A09">
        <w:rPr>
          <w:sz w:val="22"/>
          <w:szCs w:val="22"/>
        </w:rPr>
        <w:t xml:space="preserve">final drafts </w:t>
      </w:r>
      <w:r w:rsidR="00C52825" w:rsidRPr="00E76A09">
        <w:rPr>
          <w:sz w:val="22"/>
          <w:szCs w:val="22"/>
        </w:rPr>
        <w:t xml:space="preserve">are </w:t>
      </w:r>
      <w:r w:rsidR="00AB3F6D" w:rsidRPr="00E76A09">
        <w:rPr>
          <w:sz w:val="22"/>
          <w:szCs w:val="22"/>
        </w:rPr>
        <w:t>expected</w:t>
      </w:r>
      <w:r w:rsidR="00C52825" w:rsidRPr="00E76A09">
        <w:rPr>
          <w:sz w:val="22"/>
          <w:szCs w:val="22"/>
        </w:rPr>
        <w:t xml:space="preserve"> to be complete and published at</w:t>
      </w:r>
      <w:r w:rsidR="00AB3F6D" w:rsidRPr="00E76A09">
        <w:rPr>
          <w:sz w:val="22"/>
          <w:szCs w:val="22"/>
        </w:rPr>
        <w:t xml:space="preserve"> around Spring of each year. </w:t>
      </w:r>
      <w:r w:rsidR="003255C6" w:rsidRPr="00E76A09">
        <w:rPr>
          <w:sz w:val="22"/>
          <w:szCs w:val="22"/>
        </w:rPr>
        <w:t>ICF-wide results collection also takes place around the same time each year.</w:t>
      </w:r>
    </w:p>
    <w:p w14:paraId="219063DD" w14:textId="77777777" w:rsidR="00FC44B4" w:rsidRPr="00E76A09" w:rsidRDefault="00FC44B4" w:rsidP="00FC44B4">
      <w:pPr>
        <w:rPr>
          <w:b/>
          <w:bCs/>
          <w:sz w:val="22"/>
          <w:szCs w:val="22"/>
        </w:rPr>
      </w:pPr>
      <w:r w:rsidRPr="00E76A09">
        <w:rPr>
          <w:b/>
          <w:bCs/>
          <w:sz w:val="22"/>
          <w:szCs w:val="22"/>
        </w:rPr>
        <w:t>5.6.2. Evaluation</w:t>
      </w:r>
    </w:p>
    <w:p w14:paraId="3B53CC82" w14:textId="5CAAA811" w:rsidR="00FC44B4" w:rsidRPr="00E76A09" w:rsidRDefault="36227F40" w:rsidP="00936BFB">
      <w:pPr>
        <w:spacing w:line="240" w:lineRule="auto"/>
        <w:rPr>
          <w:sz w:val="22"/>
          <w:szCs w:val="22"/>
        </w:rPr>
      </w:pPr>
      <w:r w:rsidRPr="00E76A09">
        <w:rPr>
          <w:sz w:val="22"/>
          <w:szCs w:val="22"/>
        </w:rPr>
        <w:t>The original AIM4Forests business case outlined the intention to conduct a mid-term review (which has already occurred</w:t>
      </w:r>
      <w:r w:rsidR="64BE0917" w:rsidRPr="00E76A09">
        <w:rPr>
          <w:sz w:val="22"/>
          <w:szCs w:val="22"/>
        </w:rPr>
        <w:t xml:space="preserve"> in Spring 2025</w:t>
      </w:r>
      <w:r w:rsidR="007B73C9" w:rsidRPr="00E76A09">
        <w:rPr>
          <w:sz w:val="22"/>
          <w:szCs w:val="22"/>
        </w:rPr>
        <w:t>)</w:t>
      </w:r>
      <w:r w:rsidRPr="00E76A09">
        <w:rPr>
          <w:sz w:val="22"/>
          <w:szCs w:val="22"/>
        </w:rPr>
        <w:t>, and an end of programme evaluation which would take place in the final six months of the programme</w:t>
      </w:r>
      <w:r w:rsidR="78855121" w:rsidRPr="00E76A09">
        <w:rPr>
          <w:sz w:val="22"/>
          <w:szCs w:val="22"/>
        </w:rPr>
        <w:t xml:space="preserve"> (originally planned for 2028)</w:t>
      </w:r>
      <w:r w:rsidRPr="00E76A09">
        <w:rPr>
          <w:sz w:val="22"/>
          <w:szCs w:val="22"/>
        </w:rPr>
        <w:t xml:space="preserve">, when most activities have been completed. The end of Programme Evaluation will be conducted by the FAO’s </w:t>
      </w:r>
      <w:r w:rsidR="3C7B9BA8" w:rsidRPr="00E76A09">
        <w:rPr>
          <w:sz w:val="22"/>
          <w:szCs w:val="22"/>
        </w:rPr>
        <w:t>I</w:t>
      </w:r>
      <w:r w:rsidRPr="00E76A09">
        <w:rPr>
          <w:sz w:val="22"/>
          <w:szCs w:val="22"/>
        </w:rPr>
        <w:t>ndependent Office of Evaluation (OED), which reports to the FAO Governing Bodies and FAO Director-General, in line with the recommendations and guidance laid out in the IEG-OECD DAC report.</w:t>
      </w:r>
      <w:r w:rsidR="3C7B9BA8" w:rsidRPr="00E76A09">
        <w:rPr>
          <w:sz w:val="22"/>
          <w:szCs w:val="22"/>
        </w:rPr>
        <w:t xml:space="preserve"> Under a programme extension, </w:t>
      </w:r>
      <w:r w:rsidR="4152AF95" w:rsidRPr="00E76A09">
        <w:rPr>
          <w:sz w:val="22"/>
          <w:szCs w:val="22"/>
        </w:rPr>
        <w:t>final evaluation will</w:t>
      </w:r>
      <w:r w:rsidR="2F7FB52A" w:rsidRPr="00E76A09">
        <w:rPr>
          <w:sz w:val="22"/>
          <w:szCs w:val="22"/>
        </w:rPr>
        <w:t xml:space="preserve"> </w:t>
      </w:r>
      <w:r w:rsidR="3843EA5C" w:rsidRPr="00E76A09">
        <w:rPr>
          <w:sz w:val="22"/>
          <w:szCs w:val="22"/>
        </w:rPr>
        <w:t>now</w:t>
      </w:r>
      <w:r w:rsidR="2F7FB52A" w:rsidRPr="00E76A09">
        <w:rPr>
          <w:sz w:val="22"/>
          <w:szCs w:val="22"/>
        </w:rPr>
        <w:t xml:space="preserve"> occur in 2030</w:t>
      </w:r>
      <w:r w:rsidR="6AB94AF7" w:rsidRPr="00E76A09">
        <w:rPr>
          <w:sz w:val="22"/>
          <w:szCs w:val="22"/>
        </w:rPr>
        <w:t>, to be finalised during the final six months of the programme (June-Dec 2030)</w:t>
      </w:r>
      <w:r w:rsidR="2F7FB52A" w:rsidRPr="00E76A09">
        <w:rPr>
          <w:sz w:val="22"/>
          <w:szCs w:val="22"/>
        </w:rPr>
        <w:t>.</w:t>
      </w:r>
      <w:r w:rsidRPr="00E76A09">
        <w:rPr>
          <w:sz w:val="22"/>
          <w:szCs w:val="22"/>
        </w:rPr>
        <w:t xml:space="preserve">  </w:t>
      </w:r>
    </w:p>
    <w:p w14:paraId="18D96C0C" w14:textId="62FA878C" w:rsidR="00FC44B4" w:rsidRPr="00E76A09" w:rsidRDefault="00FC44B4" w:rsidP="00936BFB">
      <w:pPr>
        <w:spacing w:line="240" w:lineRule="auto"/>
        <w:rPr>
          <w:sz w:val="22"/>
          <w:szCs w:val="22"/>
        </w:rPr>
      </w:pPr>
      <w:r w:rsidRPr="00E76A09">
        <w:rPr>
          <w:sz w:val="22"/>
          <w:szCs w:val="22"/>
        </w:rPr>
        <w:t>If there is agreement to extending the term of the programme, another mid-term review will be conducted in 2027. The mid-term review that took place in early 2025 was a key event for the programme and provided valuable opportunities for improvement and refinement. The proposed additional review would also be commissioned by FAO</w:t>
      </w:r>
      <w:r w:rsidR="4B521024" w:rsidRPr="00E76A09">
        <w:rPr>
          <w:sz w:val="22"/>
          <w:szCs w:val="22"/>
        </w:rPr>
        <w:t>, in consultation with DESNZ</w:t>
      </w:r>
      <w:r w:rsidR="796040DB" w:rsidRPr="00E76A09">
        <w:rPr>
          <w:sz w:val="22"/>
          <w:szCs w:val="22"/>
        </w:rPr>
        <w:t xml:space="preserve"> for Invitation to Tender and review design</w:t>
      </w:r>
      <w:r w:rsidR="4B521024" w:rsidRPr="00E76A09">
        <w:rPr>
          <w:sz w:val="22"/>
          <w:szCs w:val="22"/>
        </w:rPr>
        <w:t>,</w:t>
      </w:r>
      <w:r w:rsidRPr="00E76A09">
        <w:rPr>
          <w:sz w:val="22"/>
          <w:szCs w:val="22"/>
        </w:rPr>
        <w:t xml:space="preserve"> and undertaken by an independent consultant</w:t>
      </w:r>
      <w:r w:rsidR="3CA80DE9" w:rsidRPr="00E76A09">
        <w:rPr>
          <w:sz w:val="22"/>
          <w:szCs w:val="22"/>
        </w:rPr>
        <w:t>, informed by a steering group comprised of AIM4Forests Management Team/Steering Committee (FAO and DESNZ) and other representatives (e.g., country representatives)</w:t>
      </w:r>
      <w:r w:rsidRPr="00E76A09">
        <w:rPr>
          <w:sz w:val="22"/>
          <w:szCs w:val="22"/>
        </w:rPr>
        <w:t>. The</w:t>
      </w:r>
      <w:r w:rsidR="05B86181" w:rsidRPr="00E76A09">
        <w:rPr>
          <w:sz w:val="22"/>
          <w:szCs w:val="22"/>
        </w:rPr>
        <w:t xml:space="preserve"> proposed</w:t>
      </w:r>
      <w:r w:rsidRPr="00E76A09">
        <w:rPr>
          <w:sz w:val="22"/>
          <w:szCs w:val="22"/>
        </w:rPr>
        <w:t xml:space="preserve"> thematic focus will be on informing the programme’s sustainability strategy, reviewing the impact to date under the programme’s individual outputs and making recommendations on possible modifications (the focus would be to enable the programme to undertake concluding activities in 2029-2030 to better prepare countries to exit the programme), and to extract lessons learnt on adaptive project management arrangements.  (the focus would be </w:t>
      </w:r>
      <w:r w:rsidRPr="00E76A09">
        <w:rPr>
          <w:sz w:val="22"/>
          <w:szCs w:val="22"/>
        </w:rPr>
        <w:lastRenderedPageBreak/>
        <w:t xml:space="preserve">to enable the programme to undertake concluding activities in 2029-2030 to better prepare countries to exit the programme), and to extract lessons learnt on adaptive project management arrangements. </w:t>
      </w:r>
      <w:r w:rsidR="63A2EF67" w:rsidRPr="00E76A09">
        <w:rPr>
          <w:sz w:val="22"/>
          <w:szCs w:val="22"/>
        </w:rPr>
        <w:t xml:space="preserve">It is likely that the review will include </w:t>
      </w:r>
      <w:proofErr w:type="gramStart"/>
      <w:r w:rsidR="63A2EF67" w:rsidRPr="00E76A09">
        <w:rPr>
          <w:sz w:val="22"/>
          <w:szCs w:val="22"/>
        </w:rPr>
        <w:t>a number of</w:t>
      </w:r>
      <w:proofErr w:type="gramEnd"/>
      <w:r w:rsidR="33172545" w:rsidRPr="00E76A09">
        <w:rPr>
          <w:sz w:val="22"/>
          <w:szCs w:val="22"/>
        </w:rPr>
        <w:t xml:space="preserve"> country </w:t>
      </w:r>
      <w:r w:rsidR="63A2EF67" w:rsidRPr="00E76A09">
        <w:rPr>
          <w:sz w:val="22"/>
          <w:szCs w:val="22"/>
        </w:rPr>
        <w:t>case studies, to be decided by the AIM4Forests Management Team/Steering Committee (FAO and DESNZ) in the lead up to, and during, design and development</w:t>
      </w:r>
      <w:r w:rsidR="50562BA4" w:rsidRPr="00E76A09">
        <w:rPr>
          <w:sz w:val="22"/>
          <w:szCs w:val="22"/>
        </w:rPr>
        <w:t>.</w:t>
      </w:r>
    </w:p>
    <w:p w14:paraId="6B511B47" w14:textId="7DA66A7F" w:rsidR="00FC44B4" w:rsidRPr="00E76A09" w:rsidRDefault="00FC44B4" w:rsidP="00936BFB">
      <w:pPr>
        <w:spacing w:line="240" w:lineRule="auto"/>
        <w:rPr>
          <w:sz w:val="22"/>
          <w:szCs w:val="22"/>
        </w:rPr>
      </w:pPr>
      <w:r w:rsidRPr="00E76A09">
        <w:rPr>
          <w:sz w:val="22"/>
          <w:szCs w:val="22"/>
        </w:rPr>
        <w:t xml:space="preserve">Dissemination of lessons learnt, and the mid-term review results are essential. The first mid-term review will be published on the FAO webpage and disseminated through FAO’s regular communication channels, as well as through a forthcoming AIM4Forests newsletter. A dedicated web story will be produced to highlight the management response to the mid-term review. </w:t>
      </w:r>
      <w:r w:rsidR="7E36BABD" w:rsidRPr="00E76A09">
        <w:rPr>
          <w:sz w:val="22"/>
          <w:szCs w:val="22"/>
        </w:rPr>
        <w:t>Materials will be disseminated through UK DESNZ channels – including across-Govt through mailing lists and shared at relevant engagements.</w:t>
      </w:r>
      <w:r w:rsidRPr="00E76A09">
        <w:rPr>
          <w:sz w:val="22"/>
          <w:szCs w:val="22"/>
        </w:rPr>
        <w:t xml:space="preserve"> The results of a second mid-term review would be disseminated in a similar manner.</w:t>
      </w:r>
    </w:p>
    <w:p w14:paraId="7A641472" w14:textId="22BF3E4F" w:rsidR="006A4397" w:rsidRPr="00E76A09" w:rsidRDefault="006A4397" w:rsidP="00936BFB">
      <w:pPr>
        <w:spacing w:line="240" w:lineRule="auto"/>
        <w:rPr>
          <w:sz w:val="22"/>
          <w:szCs w:val="22"/>
        </w:rPr>
      </w:pPr>
      <w:proofErr w:type="gramStart"/>
      <w:r w:rsidRPr="00E76A09">
        <w:rPr>
          <w:sz w:val="22"/>
          <w:szCs w:val="22"/>
        </w:rPr>
        <w:t>The majority of</w:t>
      </w:r>
      <w:proofErr w:type="gramEnd"/>
      <w:r w:rsidRPr="00E76A09">
        <w:rPr>
          <w:sz w:val="22"/>
          <w:szCs w:val="22"/>
        </w:rPr>
        <w:t xml:space="preserve"> programme monitoring will be completed by FAO and will be covered by their management fee.</w:t>
      </w:r>
      <w:r w:rsidRPr="00E76A09">
        <w:t xml:space="preserve"> </w:t>
      </w:r>
      <w:r w:rsidRPr="00E76A09">
        <w:rPr>
          <w:sz w:val="22"/>
          <w:szCs w:val="22"/>
        </w:rPr>
        <w:t>There was £500,000 allocated in the original budget</w:t>
      </w:r>
      <w:r w:rsidR="00646A46" w:rsidRPr="00E76A09">
        <w:rPr>
          <w:sz w:val="22"/>
          <w:szCs w:val="22"/>
        </w:rPr>
        <w:t xml:space="preserve"> (RDEL)</w:t>
      </w:r>
      <w:r w:rsidRPr="00E76A09">
        <w:rPr>
          <w:sz w:val="22"/>
          <w:szCs w:val="22"/>
        </w:rPr>
        <w:t xml:space="preserve"> for the first mid-term review, and there is enough remaining in this budget to cover an additional review as well as the final evaluation, so there would be no need to allocate further funding for this. </w:t>
      </w:r>
    </w:p>
    <w:p w14:paraId="0172C918" w14:textId="52F75F28" w:rsidR="00DF2014" w:rsidRPr="00E76A09" w:rsidRDefault="00DF2014" w:rsidP="00B737D8">
      <w:pPr>
        <w:rPr>
          <w:b/>
          <w:bCs/>
          <w:i/>
          <w:iCs/>
          <w:sz w:val="24"/>
          <w:szCs w:val="24"/>
        </w:rPr>
      </w:pPr>
      <w:r w:rsidRPr="00E76A09">
        <w:rPr>
          <w:b/>
          <w:bCs/>
          <w:i/>
          <w:iCs/>
          <w:sz w:val="24"/>
          <w:szCs w:val="24"/>
        </w:rPr>
        <w:t>5.7. Risk management</w:t>
      </w:r>
    </w:p>
    <w:p w14:paraId="3080DA61" w14:textId="26D7B4AF" w:rsidR="00080970" w:rsidRPr="00E76A09" w:rsidRDefault="00080970" w:rsidP="00936BFB">
      <w:pPr>
        <w:spacing w:line="240" w:lineRule="auto"/>
        <w:rPr>
          <w:sz w:val="22"/>
          <w:szCs w:val="22"/>
        </w:rPr>
      </w:pPr>
      <w:r w:rsidRPr="00E76A09">
        <w:rPr>
          <w:sz w:val="22"/>
          <w:szCs w:val="22"/>
        </w:rPr>
        <w:t xml:space="preserve">The overall risk potential of the programme has been assessed as Moderate. </w:t>
      </w:r>
      <w:r w:rsidR="00BB342A" w:rsidRPr="00E76A09">
        <w:rPr>
          <w:sz w:val="22"/>
          <w:szCs w:val="22"/>
        </w:rPr>
        <w:t xml:space="preserve">This is in line with DESNZ Risk Appetite (see Table </w:t>
      </w:r>
      <w:r w:rsidR="00C80990" w:rsidRPr="00E76A09">
        <w:rPr>
          <w:sz w:val="22"/>
          <w:szCs w:val="22"/>
        </w:rPr>
        <w:t>8</w:t>
      </w:r>
      <w:r w:rsidR="00BB342A" w:rsidRPr="00E76A09">
        <w:rPr>
          <w:sz w:val="22"/>
          <w:szCs w:val="22"/>
        </w:rPr>
        <w:t xml:space="preserve"> below). </w:t>
      </w:r>
      <w:r w:rsidRPr="00E76A09">
        <w:rPr>
          <w:sz w:val="22"/>
          <w:szCs w:val="22"/>
        </w:rPr>
        <w:t xml:space="preserve">The main programme risks have been assessed, and mitigation plans identified. A detailed risk register is provided in </w:t>
      </w:r>
      <w:r w:rsidRPr="00E76A09">
        <w:rPr>
          <w:b/>
          <w:bCs/>
          <w:sz w:val="22"/>
          <w:szCs w:val="22"/>
        </w:rPr>
        <w:t>Annex E</w:t>
      </w:r>
      <w:r w:rsidRPr="00E76A09">
        <w:rPr>
          <w:sz w:val="22"/>
          <w:szCs w:val="22"/>
        </w:rPr>
        <w:t xml:space="preserve">. Commercial and financial risks are outlined in the respective sections of this business case. </w:t>
      </w:r>
    </w:p>
    <w:p w14:paraId="5A4699CC" w14:textId="73D20413" w:rsidR="00080970" w:rsidRPr="00E76A09" w:rsidRDefault="00080970" w:rsidP="00936BFB">
      <w:pPr>
        <w:spacing w:line="240" w:lineRule="auto"/>
        <w:rPr>
          <w:sz w:val="22"/>
          <w:szCs w:val="22"/>
        </w:rPr>
      </w:pPr>
      <w:r w:rsidRPr="00E76A09">
        <w:rPr>
          <w:sz w:val="22"/>
          <w:szCs w:val="22"/>
        </w:rPr>
        <w:t xml:space="preserve">Risks are managed in line with the ICF Risk Management Framework, which reflects the latest FCDO risk framework categories. Risks and mitigation plans will be further elaborated in line with ICF best practice for monitoring and escalating risks. Risks are included as part of the PDP management structures. </w:t>
      </w:r>
    </w:p>
    <w:p w14:paraId="618709CA" w14:textId="5F0F86B8" w:rsidR="00080970" w:rsidRPr="00E76A09" w:rsidRDefault="00080970" w:rsidP="00936BFB">
      <w:pPr>
        <w:spacing w:line="240" w:lineRule="auto"/>
        <w:rPr>
          <w:sz w:val="22"/>
          <w:szCs w:val="22"/>
        </w:rPr>
      </w:pPr>
      <w:r w:rsidRPr="57AB4C69">
        <w:rPr>
          <w:sz w:val="22"/>
          <w:szCs w:val="22"/>
        </w:rPr>
        <w:t xml:space="preserve">The Risk Register is owned by the Programme Manager and will be reviewed and updated at least monthly. Risks will be proactively monitored and managed throughout the delivery of the project using a five-stage process of identification, analysis, evaluation, action and monitoring. Risks and mitigation plans will also be regularly reviewed during the Programme Team’s regular meetings with the Delivery Partner. If risks increase beyond the ICF Programme risk appetite, they will be escalated to the SRO either at the regular </w:t>
      </w:r>
      <w:r w:rsidR="00895BD2" w:rsidRPr="57AB4C69">
        <w:rPr>
          <w:sz w:val="22"/>
          <w:szCs w:val="22"/>
        </w:rPr>
        <w:t>DESNZ</w:t>
      </w:r>
      <w:r w:rsidRPr="57AB4C69">
        <w:rPr>
          <w:sz w:val="22"/>
          <w:szCs w:val="22"/>
        </w:rPr>
        <w:t xml:space="preserve"> ICF Portfolio Delivery Group meetings or immediately in the case of serious risks requiring prompt action. </w:t>
      </w:r>
    </w:p>
    <w:p w14:paraId="095DCAEE" w14:textId="4F3FE8D7" w:rsidR="00BB342A" w:rsidRPr="00E76A09" w:rsidRDefault="00BB342A" w:rsidP="003D235A">
      <w:pPr>
        <w:spacing w:after="0" w:line="279" w:lineRule="auto"/>
        <w:rPr>
          <w:rFonts w:eastAsia="Aptos" w:cstheme="minorHAnsi"/>
          <w:i/>
          <w:iCs/>
          <w:sz w:val="22"/>
          <w:szCs w:val="22"/>
        </w:rPr>
      </w:pPr>
      <w:r w:rsidRPr="00E76A09">
        <w:rPr>
          <w:rFonts w:eastAsia="Aptos" w:cstheme="minorHAnsi"/>
          <w:i/>
          <w:iCs/>
          <w:sz w:val="22"/>
          <w:szCs w:val="22"/>
        </w:rPr>
        <w:t xml:space="preserve">Table </w:t>
      </w:r>
      <w:r w:rsidR="00143333" w:rsidRPr="00E76A09">
        <w:rPr>
          <w:rFonts w:eastAsia="Aptos" w:cstheme="minorHAnsi"/>
          <w:i/>
          <w:iCs/>
          <w:sz w:val="22"/>
          <w:szCs w:val="22"/>
        </w:rPr>
        <w:t>9</w:t>
      </w:r>
      <w:r w:rsidRPr="00E76A09">
        <w:rPr>
          <w:rFonts w:eastAsia="Aptos" w:cstheme="minorHAnsi"/>
          <w:i/>
          <w:iCs/>
          <w:sz w:val="22"/>
          <w:szCs w:val="22"/>
        </w:rPr>
        <w:t>. Risk Categories and DESNZ Risk Appetite</w:t>
      </w:r>
    </w:p>
    <w:tbl>
      <w:tblPr>
        <w:tblW w:w="62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36"/>
        <w:gridCol w:w="2211"/>
        <w:gridCol w:w="2375"/>
      </w:tblGrid>
      <w:tr w:rsidR="00BB342A" w:rsidRPr="00E76A09" w14:paraId="17F35116" w14:textId="77777777">
        <w:trPr>
          <w:trHeight w:val="300"/>
        </w:trPr>
        <w:tc>
          <w:tcPr>
            <w:tcW w:w="1636" w:type="dxa"/>
            <w:tcBorders>
              <w:top w:val="single" w:sz="12" w:space="0" w:color="auto"/>
              <w:left w:val="single" w:sz="12" w:space="0" w:color="auto"/>
              <w:bottom w:val="nil"/>
              <w:right w:val="single" w:sz="6" w:space="0" w:color="FFFFFF"/>
            </w:tcBorders>
            <w:shd w:val="clear" w:color="auto" w:fill="009FDA"/>
            <w:hideMark/>
          </w:tcPr>
          <w:p w14:paraId="6E3EB6F1" w14:textId="77777777" w:rsidR="00BB342A" w:rsidRPr="00E76A09" w:rsidRDefault="00BB342A">
            <w:pPr>
              <w:spacing w:before="0" w:after="0" w:line="240" w:lineRule="auto"/>
              <w:jc w:val="center"/>
              <w:textAlignment w:val="baseline"/>
              <w:rPr>
                <w:rFonts w:ascii="Segoe UI" w:eastAsia="Times New Roman" w:hAnsi="Segoe UI" w:cs="Segoe UI"/>
                <w:sz w:val="18"/>
                <w:szCs w:val="18"/>
              </w:rPr>
            </w:pPr>
            <w:r w:rsidRPr="00E76A09">
              <w:rPr>
                <w:rFonts w:ascii="Calibri" w:eastAsia="Times New Roman" w:hAnsi="Calibri" w:cs="Calibri"/>
                <w:b/>
                <w:bCs/>
                <w:sz w:val="22"/>
                <w:szCs w:val="22"/>
              </w:rPr>
              <w:t>Risk type</w:t>
            </w:r>
            <w:r w:rsidRPr="00E76A09">
              <w:rPr>
                <w:rFonts w:ascii="Calibri" w:eastAsia="Times New Roman" w:hAnsi="Calibri" w:cs="Calibri"/>
                <w:sz w:val="22"/>
                <w:szCs w:val="22"/>
              </w:rPr>
              <w:t> </w:t>
            </w:r>
          </w:p>
        </w:tc>
        <w:tc>
          <w:tcPr>
            <w:tcW w:w="2211" w:type="dxa"/>
            <w:tcBorders>
              <w:top w:val="single" w:sz="12" w:space="0" w:color="auto"/>
              <w:left w:val="single" w:sz="6" w:space="0" w:color="FFFFFF"/>
              <w:bottom w:val="nil"/>
              <w:right w:val="single" w:sz="6" w:space="0" w:color="FFFFFF"/>
            </w:tcBorders>
            <w:shd w:val="clear" w:color="auto" w:fill="009FDA"/>
            <w:hideMark/>
          </w:tcPr>
          <w:p w14:paraId="76FD3B60" w14:textId="77777777" w:rsidR="00BB342A" w:rsidRPr="00E76A09" w:rsidRDefault="00BB342A">
            <w:pPr>
              <w:spacing w:before="0" w:after="0" w:line="240" w:lineRule="auto"/>
              <w:jc w:val="center"/>
              <w:textAlignment w:val="baseline"/>
              <w:rPr>
                <w:rFonts w:ascii="Segoe UI" w:eastAsia="Times New Roman" w:hAnsi="Segoe UI" w:cs="Segoe UI"/>
                <w:sz w:val="18"/>
                <w:szCs w:val="18"/>
              </w:rPr>
            </w:pPr>
            <w:r w:rsidRPr="00E76A09">
              <w:rPr>
                <w:rFonts w:ascii="Calibri" w:eastAsia="Times New Roman" w:hAnsi="Calibri" w:cs="Calibri"/>
                <w:b/>
                <w:bCs/>
                <w:sz w:val="22"/>
                <w:szCs w:val="22"/>
              </w:rPr>
              <w:t>Risk appetite: portfolio </w:t>
            </w:r>
            <w:r w:rsidRPr="00E76A09">
              <w:rPr>
                <w:rFonts w:ascii="Calibri" w:eastAsia="Times New Roman" w:hAnsi="Calibri" w:cs="Calibri"/>
                <w:sz w:val="22"/>
                <w:szCs w:val="22"/>
              </w:rPr>
              <w:t> </w:t>
            </w:r>
          </w:p>
        </w:tc>
        <w:tc>
          <w:tcPr>
            <w:tcW w:w="2375" w:type="dxa"/>
            <w:tcBorders>
              <w:top w:val="single" w:sz="12" w:space="0" w:color="auto"/>
              <w:left w:val="single" w:sz="6" w:space="0" w:color="FFFFFF"/>
              <w:bottom w:val="nil"/>
              <w:right w:val="single" w:sz="12" w:space="0" w:color="auto"/>
            </w:tcBorders>
            <w:shd w:val="clear" w:color="auto" w:fill="009FDA"/>
            <w:hideMark/>
          </w:tcPr>
          <w:p w14:paraId="6BDBCD94" w14:textId="77777777" w:rsidR="00BB342A" w:rsidRPr="00E76A09" w:rsidRDefault="00BB342A">
            <w:pPr>
              <w:spacing w:before="0" w:after="0" w:line="240" w:lineRule="auto"/>
              <w:jc w:val="center"/>
              <w:textAlignment w:val="baseline"/>
              <w:rPr>
                <w:rFonts w:ascii="Calibri" w:eastAsia="Times New Roman" w:hAnsi="Calibri" w:cs="Calibri"/>
                <w:b/>
                <w:bCs/>
                <w:sz w:val="22"/>
                <w:szCs w:val="22"/>
              </w:rPr>
            </w:pPr>
            <w:r w:rsidRPr="00E76A09">
              <w:rPr>
                <w:rFonts w:ascii="Calibri" w:eastAsia="Times New Roman" w:hAnsi="Calibri" w:cs="Calibri"/>
                <w:b/>
                <w:bCs/>
                <w:sz w:val="22"/>
                <w:szCs w:val="22"/>
              </w:rPr>
              <w:t>Risk appetite:</w:t>
            </w:r>
          </w:p>
          <w:p w14:paraId="6A6AA2C5" w14:textId="0398135A" w:rsidR="00BB342A" w:rsidRPr="00E76A09" w:rsidRDefault="00554C1C">
            <w:pPr>
              <w:spacing w:before="0" w:after="0" w:line="240" w:lineRule="auto"/>
              <w:jc w:val="center"/>
              <w:textAlignment w:val="baseline"/>
              <w:rPr>
                <w:rFonts w:ascii="Segoe UI" w:eastAsia="Times New Roman" w:hAnsi="Segoe UI" w:cs="Segoe UI"/>
                <w:sz w:val="18"/>
                <w:szCs w:val="18"/>
              </w:rPr>
            </w:pPr>
            <w:r w:rsidRPr="00E76A09">
              <w:rPr>
                <w:rFonts w:ascii="Calibri" w:eastAsia="Times New Roman" w:hAnsi="Calibri" w:cs="Calibri"/>
                <w:b/>
                <w:bCs/>
                <w:sz w:val="22"/>
                <w:szCs w:val="22"/>
              </w:rPr>
              <w:t>P</w:t>
            </w:r>
            <w:r w:rsidR="00BB342A" w:rsidRPr="00E76A09">
              <w:rPr>
                <w:rFonts w:ascii="Calibri" w:eastAsia="Times New Roman" w:hAnsi="Calibri" w:cs="Calibri"/>
                <w:b/>
                <w:bCs/>
                <w:sz w:val="22"/>
                <w:szCs w:val="22"/>
              </w:rPr>
              <w:t>rogramme</w:t>
            </w:r>
          </w:p>
        </w:tc>
      </w:tr>
      <w:tr w:rsidR="00BB342A" w:rsidRPr="00E76A09" w14:paraId="598BBD13" w14:textId="77777777">
        <w:trPr>
          <w:trHeight w:val="300"/>
        </w:trPr>
        <w:tc>
          <w:tcPr>
            <w:tcW w:w="1636" w:type="dxa"/>
            <w:tcBorders>
              <w:top w:val="single" w:sz="24" w:space="0" w:color="FFFFFF"/>
              <w:left w:val="single" w:sz="12" w:space="0" w:color="auto"/>
              <w:bottom w:val="single" w:sz="6" w:space="0" w:color="FFFFFF"/>
              <w:right w:val="single" w:sz="6" w:space="0" w:color="FFFFFF"/>
            </w:tcBorders>
            <w:shd w:val="clear" w:color="auto" w:fill="CBDFF1"/>
            <w:hideMark/>
          </w:tcPr>
          <w:p w14:paraId="6C7A7395"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External context</w:t>
            </w:r>
            <w:r w:rsidRPr="00E76A09">
              <w:rPr>
                <w:rFonts w:ascii="Calibri" w:eastAsia="Times New Roman" w:hAnsi="Calibri" w:cs="Calibri"/>
                <w:sz w:val="22"/>
                <w:szCs w:val="22"/>
              </w:rPr>
              <w:t>  </w:t>
            </w:r>
          </w:p>
        </w:tc>
        <w:tc>
          <w:tcPr>
            <w:tcW w:w="2211" w:type="dxa"/>
            <w:tcBorders>
              <w:top w:val="single" w:sz="24" w:space="0" w:color="FFFFFF"/>
              <w:left w:val="single" w:sz="6" w:space="0" w:color="FFFFFF"/>
              <w:bottom w:val="single" w:sz="6" w:space="0" w:color="FFFFFF"/>
              <w:right w:val="single" w:sz="6" w:space="0" w:color="FFFFFF"/>
            </w:tcBorders>
            <w:shd w:val="clear" w:color="auto" w:fill="CBDFF1"/>
            <w:hideMark/>
          </w:tcPr>
          <w:p w14:paraId="30B11CFB"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Moderate (Minimalist) </w:t>
            </w:r>
          </w:p>
        </w:tc>
        <w:tc>
          <w:tcPr>
            <w:tcW w:w="2375" w:type="dxa"/>
            <w:tcBorders>
              <w:top w:val="single" w:sz="24" w:space="0" w:color="FFFFFF"/>
              <w:left w:val="single" w:sz="6" w:space="0" w:color="FFFFFF"/>
              <w:bottom w:val="single" w:sz="6" w:space="0" w:color="FFFFFF"/>
              <w:right w:val="single" w:sz="12" w:space="0" w:color="auto"/>
            </w:tcBorders>
            <w:shd w:val="clear" w:color="auto" w:fill="CBDFF1"/>
            <w:hideMark/>
          </w:tcPr>
          <w:p w14:paraId="15B19AC9" w14:textId="77777777" w:rsidR="00BB342A" w:rsidRPr="00E76A09" w:rsidRDefault="00BB342A">
            <w:pPr>
              <w:spacing w:before="0" w:after="0" w:line="240" w:lineRule="auto"/>
              <w:ind w:firstLine="165"/>
              <w:textAlignment w:val="baseline"/>
              <w:rPr>
                <w:rFonts w:ascii="Segoe UI" w:eastAsia="Times New Roman" w:hAnsi="Segoe UI" w:cs="Segoe UI"/>
                <w:sz w:val="18"/>
                <w:szCs w:val="18"/>
              </w:rPr>
            </w:pPr>
            <w:r w:rsidRPr="00E76A09">
              <w:rPr>
                <w:rFonts w:ascii="Calibri" w:eastAsia="Times New Roman" w:hAnsi="Calibri" w:cs="Calibri"/>
                <w:sz w:val="22"/>
                <w:szCs w:val="22"/>
              </w:rPr>
              <w:t>Moderate (Minimalist) </w:t>
            </w:r>
          </w:p>
        </w:tc>
      </w:tr>
      <w:tr w:rsidR="00BB342A" w:rsidRPr="00E76A09" w14:paraId="1EAB89DA" w14:textId="77777777">
        <w:trPr>
          <w:trHeight w:val="300"/>
        </w:trPr>
        <w:tc>
          <w:tcPr>
            <w:tcW w:w="1636" w:type="dxa"/>
            <w:tcBorders>
              <w:top w:val="single" w:sz="6" w:space="0" w:color="FFFFFF"/>
              <w:left w:val="single" w:sz="12" w:space="0" w:color="auto"/>
              <w:bottom w:val="single" w:sz="6" w:space="0" w:color="FFFFFF"/>
              <w:right w:val="single" w:sz="6" w:space="0" w:color="FFFFFF"/>
            </w:tcBorders>
            <w:shd w:val="clear" w:color="auto" w:fill="E7F0F8"/>
            <w:hideMark/>
          </w:tcPr>
          <w:p w14:paraId="60E17A9C"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Reputational</w:t>
            </w:r>
            <w:r w:rsidRPr="00E76A09">
              <w:rPr>
                <w:rFonts w:ascii="Calibri" w:eastAsia="Times New Roman" w:hAnsi="Calibri" w:cs="Calibri"/>
                <w:sz w:val="22"/>
                <w:szCs w:val="22"/>
              </w:rPr>
              <w:t>  </w:t>
            </w:r>
          </w:p>
        </w:tc>
        <w:tc>
          <w:tcPr>
            <w:tcW w:w="2211" w:type="dxa"/>
            <w:tcBorders>
              <w:top w:val="single" w:sz="6" w:space="0" w:color="FFFFFF"/>
              <w:left w:val="single" w:sz="6" w:space="0" w:color="FFFFFF"/>
              <w:bottom w:val="single" w:sz="6" w:space="0" w:color="FFFFFF"/>
              <w:right w:val="single" w:sz="6" w:space="0" w:color="FFFFFF"/>
            </w:tcBorders>
            <w:shd w:val="clear" w:color="auto" w:fill="E7F0F8"/>
            <w:hideMark/>
          </w:tcPr>
          <w:p w14:paraId="4529A46A"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Minor (Averse) </w:t>
            </w:r>
          </w:p>
        </w:tc>
        <w:tc>
          <w:tcPr>
            <w:tcW w:w="2375" w:type="dxa"/>
            <w:tcBorders>
              <w:top w:val="single" w:sz="6" w:space="0" w:color="FFFFFF"/>
              <w:left w:val="single" w:sz="6" w:space="0" w:color="FFFFFF"/>
              <w:bottom w:val="single" w:sz="6" w:space="0" w:color="FFFFFF"/>
              <w:right w:val="single" w:sz="12" w:space="0" w:color="auto"/>
            </w:tcBorders>
            <w:shd w:val="clear" w:color="auto" w:fill="E7F0F8"/>
            <w:hideMark/>
          </w:tcPr>
          <w:p w14:paraId="69954601" w14:textId="77777777" w:rsidR="00BB342A" w:rsidRPr="00E76A09" w:rsidRDefault="00BB342A">
            <w:pPr>
              <w:spacing w:before="0" w:after="0" w:line="240" w:lineRule="auto"/>
              <w:ind w:firstLine="165"/>
              <w:textAlignment w:val="baseline"/>
              <w:rPr>
                <w:rFonts w:ascii="Segoe UI" w:eastAsia="Times New Roman" w:hAnsi="Segoe UI" w:cs="Segoe UI"/>
                <w:sz w:val="18"/>
                <w:szCs w:val="18"/>
              </w:rPr>
            </w:pPr>
            <w:r w:rsidRPr="00E76A09">
              <w:rPr>
                <w:rFonts w:ascii="Calibri" w:eastAsia="Times New Roman" w:hAnsi="Calibri" w:cs="Calibri"/>
                <w:sz w:val="22"/>
                <w:szCs w:val="22"/>
              </w:rPr>
              <w:t>Moderate (Minimalist) </w:t>
            </w:r>
          </w:p>
        </w:tc>
      </w:tr>
      <w:tr w:rsidR="00BB342A" w:rsidRPr="00E76A09" w14:paraId="71F6A24F" w14:textId="77777777">
        <w:trPr>
          <w:trHeight w:val="300"/>
        </w:trPr>
        <w:tc>
          <w:tcPr>
            <w:tcW w:w="1636" w:type="dxa"/>
            <w:tcBorders>
              <w:top w:val="single" w:sz="6" w:space="0" w:color="FFFFFF"/>
              <w:left w:val="single" w:sz="12" w:space="0" w:color="auto"/>
              <w:bottom w:val="single" w:sz="6" w:space="0" w:color="FFFFFF"/>
              <w:right w:val="single" w:sz="6" w:space="0" w:color="FFFFFF"/>
            </w:tcBorders>
            <w:shd w:val="clear" w:color="auto" w:fill="CBDFF1"/>
            <w:hideMark/>
          </w:tcPr>
          <w:p w14:paraId="35D442D8"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Fiduciary</w:t>
            </w:r>
            <w:r w:rsidRPr="00E76A09">
              <w:rPr>
                <w:rFonts w:ascii="Calibri" w:eastAsia="Times New Roman" w:hAnsi="Calibri" w:cs="Calibri"/>
                <w:sz w:val="22"/>
                <w:szCs w:val="22"/>
              </w:rPr>
              <w:t>  </w:t>
            </w:r>
          </w:p>
        </w:tc>
        <w:tc>
          <w:tcPr>
            <w:tcW w:w="2211" w:type="dxa"/>
            <w:tcBorders>
              <w:top w:val="single" w:sz="6" w:space="0" w:color="FFFFFF"/>
              <w:left w:val="single" w:sz="6" w:space="0" w:color="FFFFFF"/>
              <w:bottom w:val="single" w:sz="6" w:space="0" w:color="FFFFFF"/>
              <w:right w:val="single" w:sz="6" w:space="0" w:color="FFFFFF"/>
            </w:tcBorders>
            <w:shd w:val="clear" w:color="auto" w:fill="CBDFF1"/>
            <w:hideMark/>
          </w:tcPr>
          <w:p w14:paraId="2B15195C"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Minor (Averse) </w:t>
            </w:r>
          </w:p>
        </w:tc>
        <w:tc>
          <w:tcPr>
            <w:tcW w:w="2375" w:type="dxa"/>
            <w:tcBorders>
              <w:top w:val="single" w:sz="6" w:space="0" w:color="FFFFFF"/>
              <w:left w:val="single" w:sz="6" w:space="0" w:color="FFFFFF"/>
              <w:bottom w:val="single" w:sz="6" w:space="0" w:color="FFFFFF"/>
              <w:right w:val="single" w:sz="12" w:space="0" w:color="auto"/>
            </w:tcBorders>
            <w:shd w:val="clear" w:color="auto" w:fill="CBDFF1"/>
            <w:hideMark/>
          </w:tcPr>
          <w:p w14:paraId="637A9D6F" w14:textId="77777777" w:rsidR="00BB342A" w:rsidRPr="00E76A09" w:rsidRDefault="00BB342A">
            <w:pPr>
              <w:spacing w:before="0" w:after="0" w:line="240" w:lineRule="auto"/>
              <w:ind w:firstLine="165"/>
              <w:textAlignment w:val="baseline"/>
              <w:rPr>
                <w:rFonts w:ascii="Segoe UI" w:eastAsia="Times New Roman" w:hAnsi="Segoe UI" w:cs="Segoe UI"/>
                <w:sz w:val="18"/>
                <w:szCs w:val="18"/>
              </w:rPr>
            </w:pPr>
            <w:r w:rsidRPr="00E76A09">
              <w:rPr>
                <w:rFonts w:ascii="Calibri" w:eastAsia="Times New Roman" w:hAnsi="Calibri" w:cs="Calibri"/>
                <w:sz w:val="22"/>
                <w:szCs w:val="22"/>
              </w:rPr>
              <w:t>Minor (Averse) </w:t>
            </w:r>
          </w:p>
        </w:tc>
      </w:tr>
      <w:tr w:rsidR="00BB342A" w:rsidRPr="00E76A09" w14:paraId="0518986C" w14:textId="77777777">
        <w:trPr>
          <w:trHeight w:val="300"/>
        </w:trPr>
        <w:tc>
          <w:tcPr>
            <w:tcW w:w="1636" w:type="dxa"/>
            <w:tcBorders>
              <w:top w:val="single" w:sz="6" w:space="0" w:color="FFFFFF"/>
              <w:left w:val="single" w:sz="12" w:space="0" w:color="auto"/>
              <w:bottom w:val="single" w:sz="6" w:space="0" w:color="FFFFFF"/>
              <w:right w:val="single" w:sz="6" w:space="0" w:color="FFFFFF"/>
            </w:tcBorders>
            <w:shd w:val="clear" w:color="auto" w:fill="E7F0F8"/>
            <w:hideMark/>
          </w:tcPr>
          <w:p w14:paraId="1DBD9BA0"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Delivery</w:t>
            </w:r>
            <w:r w:rsidRPr="00E76A09">
              <w:rPr>
                <w:rFonts w:ascii="Calibri" w:eastAsia="Times New Roman" w:hAnsi="Calibri" w:cs="Calibri"/>
                <w:sz w:val="22"/>
                <w:szCs w:val="22"/>
              </w:rPr>
              <w:t>  </w:t>
            </w:r>
          </w:p>
        </w:tc>
        <w:tc>
          <w:tcPr>
            <w:tcW w:w="2211" w:type="dxa"/>
            <w:tcBorders>
              <w:top w:val="single" w:sz="6" w:space="0" w:color="FFFFFF"/>
              <w:left w:val="single" w:sz="6" w:space="0" w:color="FFFFFF"/>
              <w:bottom w:val="single" w:sz="6" w:space="0" w:color="FFFFFF"/>
              <w:right w:val="single" w:sz="6" w:space="0" w:color="FFFFFF"/>
            </w:tcBorders>
            <w:shd w:val="clear" w:color="auto" w:fill="E7F0F8"/>
            <w:hideMark/>
          </w:tcPr>
          <w:p w14:paraId="0E080466"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Moderate (Minimalist) </w:t>
            </w:r>
          </w:p>
        </w:tc>
        <w:tc>
          <w:tcPr>
            <w:tcW w:w="2375" w:type="dxa"/>
            <w:tcBorders>
              <w:top w:val="single" w:sz="6" w:space="0" w:color="FFFFFF"/>
              <w:left w:val="single" w:sz="6" w:space="0" w:color="FFFFFF"/>
              <w:bottom w:val="single" w:sz="6" w:space="0" w:color="FFFFFF"/>
              <w:right w:val="single" w:sz="12" w:space="0" w:color="auto"/>
            </w:tcBorders>
            <w:shd w:val="clear" w:color="auto" w:fill="E7F0F8"/>
            <w:hideMark/>
          </w:tcPr>
          <w:p w14:paraId="649D642A" w14:textId="77777777" w:rsidR="00BB342A" w:rsidRPr="00E76A09" w:rsidRDefault="00BB342A">
            <w:pPr>
              <w:spacing w:before="0" w:after="0" w:line="240" w:lineRule="auto"/>
              <w:ind w:firstLine="165"/>
              <w:textAlignment w:val="baseline"/>
              <w:rPr>
                <w:rFonts w:ascii="Segoe UI" w:eastAsia="Times New Roman" w:hAnsi="Segoe UI" w:cs="Segoe UI"/>
                <w:sz w:val="18"/>
                <w:szCs w:val="18"/>
              </w:rPr>
            </w:pPr>
            <w:r w:rsidRPr="00E76A09">
              <w:rPr>
                <w:rFonts w:ascii="Calibri" w:eastAsia="Times New Roman" w:hAnsi="Calibri" w:cs="Calibri"/>
                <w:sz w:val="22"/>
                <w:szCs w:val="22"/>
              </w:rPr>
              <w:t>Major (Cautious) </w:t>
            </w:r>
          </w:p>
        </w:tc>
      </w:tr>
      <w:tr w:rsidR="00BB342A" w:rsidRPr="00E76A09" w14:paraId="7C47E358" w14:textId="77777777">
        <w:trPr>
          <w:trHeight w:val="300"/>
        </w:trPr>
        <w:tc>
          <w:tcPr>
            <w:tcW w:w="1636" w:type="dxa"/>
            <w:tcBorders>
              <w:top w:val="single" w:sz="6" w:space="0" w:color="FFFFFF"/>
              <w:left w:val="single" w:sz="12" w:space="0" w:color="auto"/>
              <w:bottom w:val="single" w:sz="6" w:space="0" w:color="FFFFFF"/>
              <w:right w:val="single" w:sz="6" w:space="0" w:color="FFFFFF"/>
            </w:tcBorders>
            <w:shd w:val="clear" w:color="auto" w:fill="CBDFF1"/>
            <w:hideMark/>
          </w:tcPr>
          <w:p w14:paraId="1B9C0FB3"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Compliance</w:t>
            </w:r>
            <w:r w:rsidRPr="00E76A09">
              <w:rPr>
                <w:rFonts w:ascii="Calibri" w:eastAsia="Times New Roman" w:hAnsi="Calibri" w:cs="Calibri"/>
                <w:sz w:val="22"/>
                <w:szCs w:val="22"/>
              </w:rPr>
              <w:t>  </w:t>
            </w:r>
          </w:p>
        </w:tc>
        <w:tc>
          <w:tcPr>
            <w:tcW w:w="2211" w:type="dxa"/>
            <w:tcBorders>
              <w:top w:val="single" w:sz="6" w:space="0" w:color="FFFFFF"/>
              <w:left w:val="single" w:sz="6" w:space="0" w:color="FFFFFF"/>
              <w:bottom w:val="single" w:sz="6" w:space="0" w:color="FFFFFF"/>
              <w:right w:val="single" w:sz="6" w:space="0" w:color="FFFFFF"/>
            </w:tcBorders>
            <w:shd w:val="clear" w:color="auto" w:fill="CBDFF1"/>
            <w:hideMark/>
          </w:tcPr>
          <w:p w14:paraId="4D12FCCD"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Minor (Averse) </w:t>
            </w:r>
          </w:p>
        </w:tc>
        <w:tc>
          <w:tcPr>
            <w:tcW w:w="2375" w:type="dxa"/>
            <w:tcBorders>
              <w:top w:val="single" w:sz="6" w:space="0" w:color="FFFFFF"/>
              <w:left w:val="single" w:sz="6" w:space="0" w:color="FFFFFF"/>
              <w:bottom w:val="single" w:sz="6" w:space="0" w:color="FFFFFF"/>
              <w:right w:val="single" w:sz="12" w:space="0" w:color="auto"/>
            </w:tcBorders>
            <w:shd w:val="clear" w:color="auto" w:fill="CBDFF1"/>
            <w:hideMark/>
          </w:tcPr>
          <w:p w14:paraId="6C7915D8" w14:textId="77777777" w:rsidR="00BB342A" w:rsidRPr="00E76A09" w:rsidRDefault="00BB342A">
            <w:pPr>
              <w:spacing w:before="0" w:after="0" w:line="240" w:lineRule="auto"/>
              <w:ind w:firstLine="165"/>
              <w:textAlignment w:val="baseline"/>
              <w:rPr>
                <w:rFonts w:ascii="Segoe UI" w:eastAsia="Times New Roman" w:hAnsi="Segoe UI" w:cs="Segoe UI"/>
                <w:sz w:val="18"/>
                <w:szCs w:val="18"/>
              </w:rPr>
            </w:pPr>
            <w:r w:rsidRPr="00E76A09">
              <w:rPr>
                <w:rFonts w:ascii="Calibri" w:eastAsia="Times New Roman" w:hAnsi="Calibri" w:cs="Calibri"/>
                <w:sz w:val="22"/>
                <w:szCs w:val="22"/>
              </w:rPr>
              <w:t>Minor (Averse) </w:t>
            </w:r>
          </w:p>
        </w:tc>
      </w:tr>
      <w:tr w:rsidR="00BB342A" w:rsidRPr="00E76A09" w14:paraId="2291D69B" w14:textId="77777777">
        <w:trPr>
          <w:trHeight w:val="300"/>
        </w:trPr>
        <w:tc>
          <w:tcPr>
            <w:tcW w:w="1636" w:type="dxa"/>
            <w:tcBorders>
              <w:top w:val="single" w:sz="6" w:space="0" w:color="FFFFFF"/>
              <w:left w:val="single" w:sz="12" w:space="0" w:color="auto"/>
              <w:bottom w:val="single" w:sz="6" w:space="0" w:color="FFFFFF"/>
              <w:right w:val="single" w:sz="6" w:space="0" w:color="FFFFFF"/>
            </w:tcBorders>
            <w:shd w:val="clear" w:color="auto" w:fill="E7F0F8"/>
            <w:hideMark/>
          </w:tcPr>
          <w:p w14:paraId="6CE9AC1D"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Operational</w:t>
            </w:r>
            <w:r w:rsidRPr="00E76A09">
              <w:rPr>
                <w:rFonts w:ascii="Calibri" w:eastAsia="Times New Roman" w:hAnsi="Calibri" w:cs="Calibri"/>
                <w:sz w:val="22"/>
                <w:szCs w:val="22"/>
              </w:rPr>
              <w:t>  </w:t>
            </w:r>
          </w:p>
        </w:tc>
        <w:tc>
          <w:tcPr>
            <w:tcW w:w="2211" w:type="dxa"/>
            <w:tcBorders>
              <w:top w:val="single" w:sz="6" w:space="0" w:color="FFFFFF"/>
              <w:left w:val="single" w:sz="6" w:space="0" w:color="FFFFFF"/>
              <w:bottom w:val="single" w:sz="6" w:space="0" w:color="FFFFFF"/>
              <w:right w:val="single" w:sz="6" w:space="0" w:color="FFFFFF"/>
            </w:tcBorders>
            <w:shd w:val="clear" w:color="auto" w:fill="E7F0F8"/>
            <w:hideMark/>
          </w:tcPr>
          <w:p w14:paraId="5B7CCC32"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Minor (Averse) </w:t>
            </w:r>
          </w:p>
        </w:tc>
        <w:tc>
          <w:tcPr>
            <w:tcW w:w="2375" w:type="dxa"/>
            <w:tcBorders>
              <w:top w:val="single" w:sz="6" w:space="0" w:color="FFFFFF"/>
              <w:left w:val="single" w:sz="6" w:space="0" w:color="FFFFFF"/>
              <w:bottom w:val="single" w:sz="6" w:space="0" w:color="FFFFFF"/>
              <w:right w:val="single" w:sz="12" w:space="0" w:color="auto"/>
            </w:tcBorders>
            <w:shd w:val="clear" w:color="auto" w:fill="E7F0F8"/>
            <w:hideMark/>
          </w:tcPr>
          <w:p w14:paraId="5DB27726" w14:textId="77777777" w:rsidR="00BB342A" w:rsidRPr="00E76A09" w:rsidRDefault="00BB342A">
            <w:pPr>
              <w:spacing w:before="0" w:after="0" w:line="240" w:lineRule="auto"/>
              <w:ind w:firstLine="165"/>
              <w:textAlignment w:val="baseline"/>
              <w:rPr>
                <w:rFonts w:ascii="Segoe UI" w:eastAsia="Times New Roman" w:hAnsi="Segoe UI" w:cs="Segoe UI"/>
                <w:sz w:val="18"/>
                <w:szCs w:val="18"/>
              </w:rPr>
            </w:pPr>
            <w:r w:rsidRPr="00E76A09">
              <w:rPr>
                <w:rFonts w:ascii="Calibri" w:eastAsia="Times New Roman" w:hAnsi="Calibri" w:cs="Calibri"/>
                <w:sz w:val="22"/>
                <w:szCs w:val="22"/>
              </w:rPr>
              <w:t>Minor (Averse) </w:t>
            </w:r>
          </w:p>
        </w:tc>
      </w:tr>
      <w:tr w:rsidR="00BB342A" w:rsidRPr="00E76A09" w14:paraId="23371001" w14:textId="77777777">
        <w:trPr>
          <w:trHeight w:val="300"/>
        </w:trPr>
        <w:tc>
          <w:tcPr>
            <w:tcW w:w="1636" w:type="dxa"/>
            <w:tcBorders>
              <w:top w:val="single" w:sz="6" w:space="0" w:color="FFFFFF"/>
              <w:left w:val="single" w:sz="12" w:space="0" w:color="auto"/>
              <w:bottom w:val="single" w:sz="12" w:space="0" w:color="auto"/>
              <w:right w:val="single" w:sz="6" w:space="0" w:color="FFFFFF"/>
            </w:tcBorders>
            <w:shd w:val="clear" w:color="auto" w:fill="E7F0F8"/>
            <w:hideMark/>
          </w:tcPr>
          <w:p w14:paraId="4FE2BE11"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b/>
                <w:bCs/>
                <w:sz w:val="22"/>
                <w:szCs w:val="22"/>
              </w:rPr>
              <w:t>Balance sheet</w:t>
            </w:r>
            <w:r w:rsidRPr="00E76A09">
              <w:rPr>
                <w:rFonts w:ascii="Calibri" w:eastAsia="Times New Roman" w:hAnsi="Calibri" w:cs="Calibri"/>
                <w:sz w:val="22"/>
                <w:szCs w:val="22"/>
              </w:rPr>
              <w:t>  </w:t>
            </w:r>
          </w:p>
        </w:tc>
        <w:tc>
          <w:tcPr>
            <w:tcW w:w="2211" w:type="dxa"/>
            <w:tcBorders>
              <w:top w:val="single" w:sz="6" w:space="0" w:color="FFFFFF"/>
              <w:left w:val="single" w:sz="6" w:space="0" w:color="FFFFFF"/>
              <w:bottom w:val="single" w:sz="12" w:space="0" w:color="auto"/>
              <w:right w:val="single" w:sz="6" w:space="0" w:color="FFFFFF"/>
            </w:tcBorders>
            <w:shd w:val="clear" w:color="auto" w:fill="E7F0F8"/>
            <w:hideMark/>
          </w:tcPr>
          <w:p w14:paraId="48A27023" w14:textId="77777777" w:rsidR="00BB342A" w:rsidRPr="00E76A09" w:rsidRDefault="00BB342A">
            <w:pPr>
              <w:spacing w:before="0" w:after="0" w:line="240" w:lineRule="auto"/>
              <w:textAlignment w:val="baseline"/>
              <w:rPr>
                <w:rFonts w:ascii="Segoe UI" w:eastAsia="Times New Roman" w:hAnsi="Segoe UI" w:cs="Segoe UI"/>
                <w:sz w:val="18"/>
                <w:szCs w:val="18"/>
              </w:rPr>
            </w:pPr>
            <w:r w:rsidRPr="00E76A09">
              <w:rPr>
                <w:rFonts w:ascii="Calibri" w:eastAsia="Times New Roman" w:hAnsi="Calibri" w:cs="Calibri"/>
                <w:sz w:val="22"/>
                <w:szCs w:val="22"/>
              </w:rPr>
              <w:t>Minor (Averse) </w:t>
            </w:r>
          </w:p>
        </w:tc>
        <w:tc>
          <w:tcPr>
            <w:tcW w:w="2375" w:type="dxa"/>
            <w:tcBorders>
              <w:top w:val="single" w:sz="6" w:space="0" w:color="FFFFFF"/>
              <w:left w:val="single" w:sz="6" w:space="0" w:color="FFFFFF"/>
              <w:bottom w:val="single" w:sz="12" w:space="0" w:color="auto"/>
              <w:right w:val="single" w:sz="12" w:space="0" w:color="auto"/>
            </w:tcBorders>
            <w:shd w:val="clear" w:color="auto" w:fill="E7F0F8"/>
            <w:hideMark/>
          </w:tcPr>
          <w:p w14:paraId="1AB4C004" w14:textId="77777777" w:rsidR="00BB342A" w:rsidRPr="00E76A09" w:rsidRDefault="00BB342A">
            <w:pPr>
              <w:spacing w:before="0" w:after="0" w:line="240" w:lineRule="auto"/>
              <w:ind w:firstLine="165"/>
              <w:textAlignment w:val="baseline"/>
              <w:rPr>
                <w:rFonts w:ascii="Segoe UI" w:eastAsia="Times New Roman" w:hAnsi="Segoe UI" w:cs="Segoe UI"/>
                <w:sz w:val="18"/>
                <w:szCs w:val="18"/>
              </w:rPr>
            </w:pPr>
            <w:r w:rsidRPr="00E76A09">
              <w:rPr>
                <w:rFonts w:ascii="Calibri" w:eastAsia="Times New Roman" w:hAnsi="Calibri" w:cs="Calibri"/>
                <w:sz w:val="22"/>
                <w:szCs w:val="22"/>
              </w:rPr>
              <w:t>Moderate (Minimalist) </w:t>
            </w:r>
          </w:p>
        </w:tc>
      </w:tr>
    </w:tbl>
    <w:p w14:paraId="771F5DC8" w14:textId="77777777" w:rsidR="002109DD" w:rsidRPr="00E76A09" w:rsidRDefault="002109DD" w:rsidP="00080970">
      <w:pPr>
        <w:rPr>
          <w:sz w:val="22"/>
          <w:szCs w:val="22"/>
        </w:rPr>
      </w:pPr>
    </w:p>
    <w:p w14:paraId="52DA8996" w14:textId="47E3A2BF" w:rsidR="00BB342A" w:rsidRPr="00E76A09" w:rsidRDefault="002109DD" w:rsidP="00080970">
      <w:pPr>
        <w:rPr>
          <w:sz w:val="22"/>
          <w:szCs w:val="22"/>
        </w:rPr>
      </w:pPr>
      <w:r w:rsidRPr="00E76A09">
        <w:rPr>
          <w:sz w:val="22"/>
          <w:szCs w:val="22"/>
        </w:rPr>
        <w:br w:type="page"/>
      </w:r>
    </w:p>
    <w:p w14:paraId="7CE92B86" w14:textId="2CCE84FE" w:rsidR="0037708D" w:rsidRPr="00E76A09" w:rsidRDefault="00D003C4" w:rsidP="002137EE">
      <w:pPr>
        <w:pStyle w:val="Heading1"/>
      </w:pPr>
      <w:bookmarkStart w:id="6" w:name="_Toc1352281507"/>
      <w:r>
        <w:lastRenderedPageBreak/>
        <w:t>Annexes</w:t>
      </w:r>
      <w:bookmarkEnd w:id="6"/>
    </w:p>
    <w:p w14:paraId="66E66805" w14:textId="228C05F1" w:rsidR="007816F1" w:rsidRPr="00E76A09" w:rsidRDefault="007816F1"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Mid-term review of the AIM4Forests programme</w:t>
      </w:r>
      <w:r w:rsidR="0008583F">
        <w:rPr>
          <w:rFonts w:eastAsia="Times New Roman" w:cstheme="minorHAnsi"/>
          <w:sz w:val="22"/>
          <w:szCs w:val="22"/>
        </w:rPr>
        <w:t xml:space="preserve">: </w:t>
      </w:r>
      <w:hyperlink r:id="rId14" w:history="1">
        <w:r w:rsidR="0008583F" w:rsidRPr="0008583F">
          <w:rPr>
            <w:rStyle w:val="Hyperlink"/>
            <w:rFonts w:eastAsia="Times New Roman" w:cstheme="minorHAnsi"/>
            <w:sz w:val="22"/>
            <w:szCs w:val="22"/>
          </w:rPr>
          <w:t>Accelerating Innovative Monitoring for Forests (AIM4Forests)</w:t>
        </w:r>
      </w:hyperlink>
    </w:p>
    <w:p w14:paraId="560E6EFC" w14:textId="24B200C2" w:rsidR="00935255" w:rsidRPr="00E76A09" w:rsidRDefault="00935255"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 xml:space="preserve">Table of </w:t>
      </w:r>
      <w:r w:rsidR="00251EFF" w:rsidRPr="00E76A09">
        <w:rPr>
          <w:rFonts w:eastAsia="Times New Roman" w:cstheme="minorHAnsi"/>
          <w:sz w:val="22"/>
          <w:szCs w:val="22"/>
        </w:rPr>
        <w:t xml:space="preserve">in-country work priorities </w:t>
      </w:r>
    </w:p>
    <w:p w14:paraId="1C48C3EB" w14:textId="7611958E" w:rsidR="00E26536" w:rsidRPr="00E76A09" w:rsidRDefault="00E26536"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 xml:space="preserve">Further information on AIM4Commodities </w:t>
      </w:r>
    </w:p>
    <w:p w14:paraId="523DB1E5" w14:textId="6F99CB5A" w:rsidR="00A0514B" w:rsidRPr="00E76A09" w:rsidRDefault="00A0514B"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Table showing value of 2</w:t>
      </w:r>
      <w:r w:rsidR="00892260">
        <w:rPr>
          <w:rFonts w:eastAsia="Times New Roman" w:cstheme="minorHAnsi"/>
          <w:sz w:val="22"/>
          <w:szCs w:val="22"/>
        </w:rPr>
        <w:t>-</w:t>
      </w:r>
      <w:r w:rsidRPr="00E76A09">
        <w:rPr>
          <w:rFonts w:eastAsia="Times New Roman" w:cstheme="minorHAnsi"/>
          <w:sz w:val="22"/>
          <w:szCs w:val="22"/>
        </w:rPr>
        <w:t>year extension</w:t>
      </w:r>
    </w:p>
    <w:p w14:paraId="627AB271" w14:textId="7FFB876E" w:rsidR="0065215F" w:rsidRPr="00E76A09" w:rsidRDefault="0065215F"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Theory of Change</w:t>
      </w:r>
    </w:p>
    <w:p w14:paraId="09499343" w14:textId="1AACD0EA" w:rsidR="00C01BC5" w:rsidRPr="00E76A09" w:rsidRDefault="00C01BC5"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 xml:space="preserve">Programme Risk Register </w:t>
      </w:r>
    </w:p>
    <w:p w14:paraId="1337D136" w14:textId="348CEF32" w:rsidR="00BB620B" w:rsidRPr="00E76A09" w:rsidRDefault="00BB620B"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Equality and Gender impact assessment (required for all ICF business cases) PSED Impact Assessment Form</w:t>
      </w:r>
    </w:p>
    <w:p w14:paraId="59A8B416" w14:textId="1484EF18" w:rsidR="00576344" w:rsidRPr="00E76A09" w:rsidRDefault="00576344"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 xml:space="preserve">Paris Alignment (Climate Risk Assessment)  </w:t>
      </w:r>
    </w:p>
    <w:p w14:paraId="792C2FC4" w14:textId="72EBFB86" w:rsidR="001B0C57" w:rsidRPr="00E76A09" w:rsidRDefault="001B0C57"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Critical Success Factors</w:t>
      </w:r>
      <w:r w:rsidR="00D46CEB" w:rsidRPr="00E76A09">
        <w:rPr>
          <w:rFonts w:eastAsia="Times New Roman" w:cstheme="minorHAnsi"/>
          <w:sz w:val="22"/>
          <w:szCs w:val="22"/>
        </w:rPr>
        <w:t xml:space="preserve"> and Strategic Fit Objectives</w:t>
      </w:r>
    </w:p>
    <w:p w14:paraId="61AA8A68" w14:textId="74121009" w:rsidR="00502BA3" w:rsidRPr="00E76A09" w:rsidRDefault="00D46CEB"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Longlist options appraisal</w:t>
      </w:r>
    </w:p>
    <w:p w14:paraId="79DE15B2" w14:textId="5381D01A" w:rsidR="00C84276" w:rsidRPr="00E76A09" w:rsidRDefault="00C84276"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 xml:space="preserve">Shortlist options SWOT analysis </w:t>
      </w:r>
    </w:p>
    <w:p w14:paraId="575F820A" w14:textId="017A2A3D" w:rsidR="00766244" w:rsidRPr="00E76A09" w:rsidRDefault="000C2C39" w:rsidP="005F1FB6">
      <w:pPr>
        <w:pStyle w:val="ListParagraph"/>
        <w:numPr>
          <w:ilvl w:val="0"/>
          <w:numId w:val="5"/>
        </w:numPr>
        <w:rPr>
          <w:rFonts w:eastAsia="Times New Roman" w:cstheme="minorHAnsi"/>
          <w:sz w:val="22"/>
          <w:szCs w:val="22"/>
        </w:rPr>
      </w:pPr>
      <w:r w:rsidRPr="00E76A09">
        <w:rPr>
          <w:rFonts w:eastAsia="Times New Roman" w:cstheme="minorHAnsi"/>
          <w:sz w:val="22"/>
          <w:szCs w:val="22"/>
        </w:rPr>
        <w:t xml:space="preserve">Initial Fraud Impact Assessment </w:t>
      </w:r>
    </w:p>
    <w:p w14:paraId="10C6AE13" w14:textId="3E312AC3" w:rsidR="0037708D" w:rsidRPr="00E76A09" w:rsidRDefault="0037708D" w:rsidP="005F1FB6">
      <w:pPr>
        <w:pStyle w:val="ListParagraph"/>
        <w:numPr>
          <w:ilvl w:val="0"/>
          <w:numId w:val="5"/>
        </w:numPr>
        <w:rPr>
          <w:rFonts w:eastAsia="Times New Roman" w:cstheme="minorHAnsi"/>
          <w:sz w:val="22"/>
          <w:szCs w:val="22"/>
        </w:rPr>
      </w:pPr>
      <w:r w:rsidRPr="00E76A09">
        <w:rPr>
          <w:rFonts w:cs="Arial"/>
          <w:sz w:val="22"/>
          <w:szCs w:val="22"/>
        </w:rPr>
        <w:t>Integrated Assurance and Approvals Plan (required for all ICF business cases)</w:t>
      </w:r>
      <w:r w:rsidR="00224F2F" w:rsidRPr="00E76A09">
        <w:rPr>
          <w:rFonts w:eastAsia="Times New Roman" w:cstheme="minorHAnsi"/>
          <w:sz w:val="22"/>
          <w:szCs w:val="22"/>
        </w:rPr>
        <w:t xml:space="preserve"> </w:t>
      </w:r>
    </w:p>
    <w:p w14:paraId="6C7663F7" w14:textId="32837346" w:rsidR="0037708D" w:rsidRDefault="01A4ED09" w:rsidP="005F1FB6">
      <w:pPr>
        <w:pStyle w:val="ListParagraph"/>
        <w:numPr>
          <w:ilvl w:val="0"/>
          <w:numId w:val="5"/>
        </w:numPr>
        <w:rPr>
          <w:rFonts w:cs="Arial"/>
          <w:sz w:val="22"/>
          <w:szCs w:val="22"/>
        </w:rPr>
      </w:pPr>
      <w:r w:rsidRPr="00E76A09">
        <w:rPr>
          <w:rFonts w:cs="Arial"/>
          <w:sz w:val="22"/>
          <w:szCs w:val="22"/>
        </w:rPr>
        <w:t xml:space="preserve">Draft </w:t>
      </w:r>
      <w:r w:rsidR="00526B88" w:rsidRPr="00E76A09">
        <w:rPr>
          <w:rFonts w:cs="Arial"/>
          <w:sz w:val="22"/>
          <w:szCs w:val="22"/>
        </w:rPr>
        <w:t>Logframe</w:t>
      </w:r>
    </w:p>
    <w:p w14:paraId="76D2BF58" w14:textId="209A5255" w:rsidR="005A595A" w:rsidRDefault="005A595A">
      <w:pPr>
        <w:rPr>
          <w:rFonts w:cs="Arial"/>
          <w:sz w:val="22"/>
          <w:szCs w:val="22"/>
        </w:rPr>
      </w:pPr>
      <w:r>
        <w:rPr>
          <w:rFonts w:cs="Arial"/>
          <w:sz w:val="22"/>
          <w:szCs w:val="22"/>
        </w:rPr>
        <w:br w:type="page"/>
      </w:r>
    </w:p>
    <w:p w14:paraId="4DD78671" w14:textId="77777777" w:rsidR="00C50AA5" w:rsidRDefault="00C50AA5" w:rsidP="005A595A">
      <w:pPr>
        <w:rPr>
          <w:rFonts w:cs="Arial"/>
          <w:b/>
          <w:bCs/>
          <w:sz w:val="22"/>
          <w:szCs w:val="22"/>
          <w:u w:val="single"/>
        </w:rPr>
      </w:pPr>
      <w:r w:rsidRPr="005A595A">
        <w:rPr>
          <w:rFonts w:cs="Arial"/>
          <w:b/>
          <w:bCs/>
          <w:sz w:val="22"/>
          <w:szCs w:val="22"/>
          <w:u w:val="single"/>
        </w:rPr>
        <w:lastRenderedPageBreak/>
        <w:t>Annex </w:t>
      </w:r>
      <w:r>
        <w:rPr>
          <w:rFonts w:cs="Arial"/>
          <w:b/>
          <w:bCs/>
          <w:sz w:val="22"/>
          <w:szCs w:val="22"/>
          <w:u w:val="single"/>
        </w:rPr>
        <w:t>A</w:t>
      </w:r>
      <w:r w:rsidRPr="005A595A">
        <w:rPr>
          <w:rFonts w:cs="Arial"/>
          <w:b/>
          <w:bCs/>
          <w:sz w:val="22"/>
          <w:szCs w:val="22"/>
          <w:u w:val="single"/>
        </w:rPr>
        <w:t xml:space="preserve">: </w:t>
      </w:r>
      <w:r>
        <w:rPr>
          <w:rFonts w:cs="Arial"/>
          <w:b/>
          <w:bCs/>
          <w:sz w:val="22"/>
          <w:szCs w:val="22"/>
          <w:u w:val="single"/>
        </w:rPr>
        <w:t>Mid-Term Review</w:t>
      </w:r>
    </w:p>
    <w:p w14:paraId="4C726421" w14:textId="52FC76C3" w:rsidR="00C50AA5" w:rsidRPr="00E1575A" w:rsidRDefault="00C50AA5" w:rsidP="005A595A">
      <w:pPr>
        <w:rPr>
          <w:rFonts w:cs="Arial"/>
          <w:sz w:val="22"/>
          <w:szCs w:val="22"/>
        </w:rPr>
      </w:pPr>
      <w:r w:rsidRPr="00E1575A">
        <w:rPr>
          <w:rFonts w:cs="Arial"/>
          <w:sz w:val="22"/>
          <w:szCs w:val="22"/>
        </w:rPr>
        <w:t>Available here</w:t>
      </w:r>
      <w:r w:rsidR="00E1575A" w:rsidRPr="00E1575A">
        <w:rPr>
          <w:rFonts w:cs="Arial"/>
          <w:sz w:val="22"/>
          <w:szCs w:val="22"/>
        </w:rPr>
        <w:t xml:space="preserve">: </w:t>
      </w:r>
      <w:hyperlink r:id="rId15" w:history="1">
        <w:r w:rsidR="00E1575A" w:rsidRPr="00E1575A">
          <w:rPr>
            <w:rStyle w:val="Hyperlink"/>
            <w:rFonts w:cs="Arial"/>
            <w:sz w:val="22"/>
            <w:szCs w:val="22"/>
            <w:u w:val="none"/>
          </w:rPr>
          <w:t>Accelerating Innovative Monitoring for Forests (AIM4Forests)</w:t>
        </w:r>
      </w:hyperlink>
      <w:r w:rsidRPr="00E1575A">
        <w:rPr>
          <w:rFonts w:cs="Arial"/>
          <w:sz w:val="22"/>
          <w:szCs w:val="22"/>
        </w:rPr>
        <w:t>  </w:t>
      </w:r>
    </w:p>
    <w:p w14:paraId="7969CFEE" w14:textId="77777777" w:rsidR="00E1575A" w:rsidRDefault="00E1575A">
      <w:pPr>
        <w:rPr>
          <w:rFonts w:cs="Arial"/>
          <w:b/>
          <w:bCs/>
          <w:sz w:val="22"/>
          <w:szCs w:val="22"/>
          <w:u w:val="single"/>
        </w:rPr>
      </w:pPr>
      <w:r>
        <w:rPr>
          <w:rFonts w:cs="Arial"/>
          <w:b/>
          <w:bCs/>
          <w:sz w:val="22"/>
          <w:szCs w:val="22"/>
          <w:u w:val="single"/>
        </w:rPr>
        <w:br w:type="page"/>
      </w:r>
    </w:p>
    <w:p w14:paraId="3E3911E0" w14:textId="42B01D88" w:rsidR="005A595A" w:rsidRDefault="005A595A" w:rsidP="005A595A">
      <w:pPr>
        <w:rPr>
          <w:rFonts w:cs="Arial"/>
          <w:sz w:val="22"/>
          <w:szCs w:val="22"/>
        </w:rPr>
      </w:pPr>
      <w:r w:rsidRPr="005A595A">
        <w:rPr>
          <w:rFonts w:cs="Arial"/>
          <w:b/>
          <w:bCs/>
          <w:sz w:val="22"/>
          <w:szCs w:val="22"/>
          <w:u w:val="single"/>
        </w:rPr>
        <w:lastRenderedPageBreak/>
        <w:t>Annex B: Examples of in-country work priorities </w:t>
      </w:r>
      <w:r w:rsidRPr="005A595A">
        <w:rPr>
          <w:rFonts w:cs="Arial"/>
          <w:sz w:val="22"/>
          <w:szCs w:val="22"/>
        </w:rPr>
        <w:t> </w:t>
      </w:r>
    </w:p>
    <w:p w14:paraId="0F035FB3" w14:textId="77777777" w:rsidR="005A595A" w:rsidRPr="005A595A" w:rsidRDefault="005A595A" w:rsidP="005A595A">
      <w:pPr>
        <w:rPr>
          <w:rFonts w:cs="Arial"/>
          <w:sz w:val="22"/>
          <w:szCs w:val="22"/>
        </w:rPr>
      </w:pPr>
      <w:r w:rsidRPr="005A595A">
        <w:rPr>
          <w:rFonts w:cs="Arial"/>
          <w:sz w:val="22"/>
          <w:szCs w:val="22"/>
        </w:rPr>
        <w:t>The table below provides a highly tentative outlook on work priorities in the coming years for a set of example countries with larger AIM4Forests country programmes and for the two principal areas of intervention under Output 5 (the output through which the programme’s in-country technical assistance is delivered).  </w:t>
      </w:r>
    </w:p>
    <w:p w14:paraId="125DC4D3" w14:textId="389B5E5A" w:rsidR="005A595A" w:rsidRPr="005A595A" w:rsidRDefault="005A595A" w:rsidP="005A595A">
      <w:pPr>
        <w:rPr>
          <w:rFonts w:cs="Arial"/>
          <w:sz w:val="22"/>
          <w:szCs w:val="22"/>
        </w:rPr>
      </w:pPr>
      <w:r w:rsidRPr="005A595A">
        <w:rPr>
          <w:rFonts w:cs="Arial"/>
          <w:sz w:val="22"/>
          <w:szCs w:val="22"/>
        </w:rPr>
        <w:t>Alongside these examples, country work will also cover AIM4NatureRestoration and AIM4Commodities work with the extension (2 additional years). This is covered in the main text of the extension Business Case and in Annex B for AIM4Commodities additional activities. </w:t>
      </w:r>
    </w:p>
    <w:tbl>
      <w:tblPr>
        <w:tblpPr w:leftFromText="180" w:rightFromText="180" w:vertAnchor="text" w:horzAnchor="margin" w:tblpY="495"/>
        <w:tblW w:w="10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4230"/>
        <w:gridCol w:w="4995"/>
      </w:tblGrid>
      <w:tr w:rsidR="005A595A" w:rsidRPr="005A595A" w14:paraId="4E89DF89" w14:textId="77777777" w:rsidTr="005A595A">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D9E2F3"/>
            <w:hideMark/>
          </w:tcPr>
          <w:p w14:paraId="0D1B4890" w14:textId="77777777" w:rsidR="005A595A" w:rsidRPr="005A595A" w:rsidRDefault="005A595A" w:rsidP="005A595A">
            <w:pPr>
              <w:rPr>
                <w:rFonts w:cs="Arial"/>
                <w:sz w:val="22"/>
                <w:szCs w:val="22"/>
              </w:rPr>
            </w:pPr>
            <w:r w:rsidRPr="005A595A">
              <w:rPr>
                <w:rFonts w:cs="Arial"/>
                <w:b/>
                <w:bCs/>
                <w:sz w:val="22"/>
                <w:szCs w:val="22"/>
              </w:rPr>
              <w:t>Country </w:t>
            </w:r>
            <w:r w:rsidRPr="005A595A">
              <w:rPr>
                <w:rFonts w:cs="Arial"/>
                <w:sz w:val="22"/>
                <w:szCs w:val="22"/>
              </w:rPr>
              <w:t>  </w:t>
            </w:r>
          </w:p>
        </w:tc>
        <w:tc>
          <w:tcPr>
            <w:tcW w:w="4230" w:type="dxa"/>
            <w:tcBorders>
              <w:top w:val="single" w:sz="6" w:space="0" w:color="auto"/>
              <w:left w:val="single" w:sz="6" w:space="0" w:color="auto"/>
              <w:bottom w:val="single" w:sz="6" w:space="0" w:color="auto"/>
              <w:right w:val="single" w:sz="6" w:space="0" w:color="auto"/>
            </w:tcBorders>
            <w:shd w:val="clear" w:color="auto" w:fill="D9E2F3"/>
            <w:hideMark/>
          </w:tcPr>
          <w:p w14:paraId="6ABB6DB0" w14:textId="77777777" w:rsidR="005A595A" w:rsidRPr="005A595A" w:rsidRDefault="005A595A" w:rsidP="005A595A">
            <w:pPr>
              <w:rPr>
                <w:rFonts w:cs="Arial"/>
                <w:sz w:val="22"/>
                <w:szCs w:val="22"/>
              </w:rPr>
            </w:pPr>
            <w:r w:rsidRPr="005A595A">
              <w:rPr>
                <w:rFonts w:cs="Arial"/>
                <w:b/>
                <w:bCs/>
                <w:sz w:val="22"/>
                <w:szCs w:val="22"/>
              </w:rPr>
              <w:t>Potential MRV Priorities </w:t>
            </w:r>
            <w:r w:rsidRPr="005A595A">
              <w:rPr>
                <w:rFonts w:cs="Arial"/>
                <w:sz w:val="22"/>
                <w:szCs w:val="22"/>
              </w:rPr>
              <w:t>  </w:t>
            </w:r>
          </w:p>
        </w:tc>
        <w:tc>
          <w:tcPr>
            <w:tcW w:w="4995" w:type="dxa"/>
            <w:tcBorders>
              <w:top w:val="single" w:sz="6" w:space="0" w:color="auto"/>
              <w:left w:val="single" w:sz="6" w:space="0" w:color="auto"/>
              <w:bottom w:val="single" w:sz="6" w:space="0" w:color="auto"/>
              <w:right w:val="single" w:sz="6" w:space="0" w:color="auto"/>
            </w:tcBorders>
            <w:shd w:val="clear" w:color="auto" w:fill="D9E2F3"/>
            <w:hideMark/>
          </w:tcPr>
          <w:p w14:paraId="336BEDAD" w14:textId="77777777" w:rsidR="005A595A" w:rsidRPr="005A595A" w:rsidRDefault="005A595A" w:rsidP="005A595A">
            <w:pPr>
              <w:rPr>
                <w:rFonts w:cs="Arial"/>
                <w:sz w:val="22"/>
                <w:szCs w:val="22"/>
              </w:rPr>
            </w:pPr>
            <w:r w:rsidRPr="005A595A">
              <w:rPr>
                <w:rFonts w:cs="Arial"/>
                <w:b/>
                <w:bCs/>
                <w:sz w:val="22"/>
                <w:szCs w:val="22"/>
              </w:rPr>
              <w:t>Potential priorities for forest data to inform decision making </w:t>
            </w:r>
            <w:r w:rsidRPr="005A595A">
              <w:rPr>
                <w:rFonts w:cs="Arial"/>
                <w:sz w:val="22"/>
                <w:szCs w:val="22"/>
              </w:rPr>
              <w:t>  </w:t>
            </w:r>
          </w:p>
        </w:tc>
      </w:tr>
      <w:tr w:rsidR="005A595A" w:rsidRPr="005A595A" w14:paraId="5D4F601F" w14:textId="77777777" w:rsidTr="005A595A">
        <w:trPr>
          <w:trHeight w:val="300"/>
        </w:trPr>
        <w:tc>
          <w:tcPr>
            <w:tcW w:w="1095" w:type="dxa"/>
            <w:tcBorders>
              <w:top w:val="single" w:sz="6" w:space="0" w:color="auto"/>
              <w:left w:val="single" w:sz="6" w:space="0" w:color="auto"/>
              <w:bottom w:val="single" w:sz="6" w:space="0" w:color="auto"/>
              <w:right w:val="single" w:sz="6" w:space="0" w:color="auto"/>
            </w:tcBorders>
            <w:hideMark/>
          </w:tcPr>
          <w:p w14:paraId="1A5174DF" w14:textId="77777777" w:rsidR="005A595A" w:rsidRPr="005A595A" w:rsidRDefault="005A595A" w:rsidP="005A595A">
            <w:pPr>
              <w:rPr>
                <w:rFonts w:cs="Arial"/>
                <w:sz w:val="22"/>
                <w:szCs w:val="22"/>
              </w:rPr>
            </w:pPr>
            <w:r w:rsidRPr="005A595A">
              <w:rPr>
                <w:rFonts w:cs="Arial"/>
                <w:sz w:val="22"/>
                <w:szCs w:val="22"/>
              </w:rPr>
              <w:t>Brazil  </w:t>
            </w:r>
          </w:p>
        </w:tc>
        <w:tc>
          <w:tcPr>
            <w:tcW w:w="4230" w:type="dxa"/>
            <w:tcBorders>
              <w:top w:val="single" w:sz="6" w:space="0" w:color="auto"/>
              <w:left w:val="single" w:sz="6" w:space="0" w:color="auto"/>
              <w:bottom w:val="single" w:sz="6" w:space="0" w:color="auto"/>
              <w:right w:val="single" w:sz="6" w:space="0" w:color="auto"/>
            </w:tcBorders>
            <w:hideMark/>
          </w:tcPr>
          <w:p w14:paraId="41FD4A48" w14:textId="77777777" w:rsidR="005A595A" w:rsidRPr="005A595A" w:rsidRDefault="005A595A" w:rsidP="005A595A">
            <w:pPr>
              <w:numPr>
                <w:ilvl w:val="0"/>
                <w:numId w:val="98"/>
              </w:numPr>
              <w:rPr>
                <w:rFonts w:cs="Arial"/>
                <w:sz w:val="22"/>
                <w:szCs w:val="22"/>
              </w:rPr>
            </w:pPr>
            <w:r w:rsidRPr="005A595A">
              <w:rPr>
                <w:rFonts w:cs="Arial"/>
                <w:sz w:val="22"/>
                <w:szCs w:val="22"/>
              </w:rPr>
              <w:t>Enhance the efficiency in states’ TREES programmes by tailoring official national datasets to international requirements, particularly those relating to removals and forest degradation monitoring.  </w:t>
            </w:r>
          </w:p>
          <w:p w14:paraId="2D1779A2" w14:textId="77777777" w:rsidR="005A595A" w:rsidRPr="005A595A" w:rsidRDefault="005A595A" w:rsidP="005A595A">
            <w:pPr>
              <w:numPr>
                <w:ilvl w:val="0"/>
                <w:numId w:val="99"/>
              </w:numPr>
              <w:rPr>
                <w:rFonts w:cs="Arial"/>
                <w:sz w:val="22"/>
                <w:szCs w:val="22"/>
              </w:rPr>
            </w:pPr>
            <w:r w:rsidRPr="005A595A">
              <w:rPr>
                <w:rFonts w:cs="Arial"/>
                <w:sz w:val="22"/>
                <w:szCs w:val="22"/>
              </w:rPr>
              <w:t>Strengthen ETF reports and thereby NDC accounting through improved application of international MRV best practice  </w:t>
            </w:r>
          </w:p>
        </w:tc>
        <w:tc>
          <w:tcPr>
            <w:tcW w:w="4995" w:type="dxa"/>
            <w:tcBorders>
              <w:top w:val="single" w:sz="6" w:space="0" w:color="auto"/>
              <w:left w:val="single" w:sz="6" w:space="0" w:color="auto"/>
              <w:bottom w:val="single" w:sz="6" w:space="0" w:color="auto"/>
              <w:right w:val="single" w:sz="6" w:space="0" w:color="auto"/>
            </w:tcBorders>
            <w:hideMark/>
          </w:tcPr>
          <w:p w14:paraId="78A20EA5" w14:textId="77777777" w:rsidR="005A595A" w:rsidRPr="005A595A" w:rsidRDefault="005A595A" w:rsidP="005A595A">
            <w:pPr>
              <w:numPr>
                <w:ilvl w:val="0"/>
                <w:numId w:val="100"/>
              </w:numPr>
              <w:rPr>
                <w:rFonts w:cs="Arial"/>
                <w:sz w:val="22"/>
                <w:szCs w:val="22"/>
              </w:rPr>
            </w:pPr>
            <w:r w:rsidRPr="005A595A">
              <w:rPr>
                <w:rFonts w:cs="Arial"/>
                <w:sz w:val="22"/>
                <w:szCs w:val="22"/>
              </w:rPr>
              <w:t>Enhance effectiveness of the second cycle of the National Forest Inventory (NFI) through a modern data management solution (Open Foris Arena), the integration of Indigenous Peoples, and dissemination of datasets – while linking the NFI to MRV activities  </w:t>
            </w:r>
          </w:p>
          <w:p w14:paraId="7C18C520" w14:textId="77777777" w:rsidR="005A595A" w:rsidRPr="005A595A" w:rsidRDefault="005A595A" w:rsidP="005A595A">
            <w:pPr>
              <w:numPr>
                <w:ilvl w:val="0"/>
                <w:numId w:val="101"/>
              </w:numPr>
              <w:rPr>
                <w:rFonts w:cs="Arial"/>
                <w:sz w:val="22"/>
                <w:szCs w:val="22"/>
              </w:rPr>
            </w:pPr>
            <w:r w:rsidRPr="005A595A">
              <w:rPr>
                <w:rFonts w:cs="Arial"/>
                <w:sz w:val="22"/>
                <w:szCs w:val="22"/>
              </w:rPr>
              <w:t>Support National Institute for Space Research (INPE) in refining the impact strategy for its forest change datasets, arguably among the most impactful forest datasets on the planet  </w:t>
            </w:r>
          </w:p>
        </w:tc>
      </w:tr>
      <w:tr w:rsidR="005A595A" w:rsidRPr="005A595A" w14:paraId="5E1AA2A6" w14:textId="77777777" w:rsidTr="005A595A">
        <w:trPr>
          <w:trHeight w:val="300"/>
        </w:trPr>
        <w:tc>
          <w:tcPr>
            <w:tcW w:w="1095" w:type="dxa"/>
            <w:tcBorders>
              <w:top w:val="single" w:sz="6" w:space="0" w:color="auto"/>
              <w:left w:val="single" w:sz="6" w:space="0" w:color="auto"/>
              <w:bottom w:val="single" w:sz="6" w:space="0" w:color="auto"/>
              <w:right w:val="single" w:sz="6" w:space="0" w:color="auto"/>
            </w:tcBorders>
            <w:hideMark/>
          </w:tcPr>
          <w:p w14:paraId="49277D12" w14:textId="77777777" w:rsidR="005A595A" w:rsidRPr="005A595A" w:rsidRDefault="005A595A" w:rsidP="005A595A">
            <w:pPr>
              <w:rPr>
                <w:rFonts w:cs="Arial"/>
                <w:sz w:val="22"/>
                <w:szCs w:val="22"/>
              </w:rPr>
            </w:pPr>
            <w:r w:rsidRPr="005A595A">
              <w:rPr>
                <w:rFonts w:cs="Arial"/>
                <w:sz w:val="22"/>
                <w:szCs w:val="22"/>
              </w:rPr>
              <w:t>Kenya  </w:t>
            </w:r>
          </w:p>
        </w:tc>
        <w:tc>
          <w:tcPr>
            <w:tcW w:w="4230" w:type="dxa"/>
            <w:tcBorders>
              <w:top w:val="single" w:sz="6" w:space="0" w:color="auto"/>
              <w:left w:val="single" w:sz="6" w:space="0" w:color="auto"/>
              <w:bottom w:val="single" w:sz="6" w:space="0" w:color="auto"/>
              <w:right w:val="single" w:sz="6" w:space="0" w:color="auto"/>
            </w:tcBorders>
            <w:hideMark/>
          </w:tcPr>
          <w:p w14:paraId="0AF60664" w14:textId="77777777" w:rsidR="005A595A" w:rsidRPr="005A595A" w:rsidRDefault="005A595A" w:rsidP="005A595A">
            <w:pPr>
              <w:numPr>
                <w:ilvl w:val="0"/>
                <w:numId w:val="102"/>
              </w:numPr>
              <w:rPr>
                <w:rFonts w:cs="Arial"/>
                <w:sz w:val="22"/>
                <w:szCs w:val="22"/>
              </w:rPr>
            </w:pPr>
            <w:r w:rsidRPr="005A595A">
              <w:rPr>
                <w:rFonts w:cs="Arial"/>
                <w:sz w:val="22"/>
                <w:szCs w:val="22"/>
              </w:rPr>
              <w:t>Accompany the reporting and verification for a TREES programme (with a view on LEAF) and with REDD+ results in the Biennial Transparency Report (BTR) (with a view on the GCF).  </w:t>
            </w:r>
          </w:p>
          <w:p w14:paraId="1B5FDE8E" w14:textId="77777777" w:rsidR="005A595A" w:rsidRPr="005A595A" w:rsidRDefault="005A595A" w:rsidP="005A595A">
            <w:pPr>
              <w:numPr>
                <w:ilvl w:val="0"/>
                <w:numId w:val="103"/>
              </w:numPr>
              <w:rPr>
                <w:rFonts w:cs="Arial"/>
                <w:sz w:val="22"/>
                <w:szCs w:val="22"/>
              </w:rPr>
            </w:pPr>
            <w:r w:rsidRPr="005A595A">
              <w:rPr>
                <w:rFonts w:cs="Arial"/>
                <w:sz w:val="22"/>
                <w:szCs w:val="22"/>
              </w:rPr>
              <w:t>Support development and technical implementation of a regulation with a national nesting framework, allowing for consistent carbon crediting at multiple scales, enabling co-existence of Verified Carbon Standard (VCS) projects and jurisdictional REDD+.  </w:t>
            </w:r>
          </w:p>
        </w:tc>
        <w:tc>
          <w:tcPr>
            <w:tcW w:w="4995" w:type="dxa"/>
            <w:tcBorders>
              <w:top w:val="single" w:sz="6" w:space="0" w:color="auto"/>
              <w:left w:val="single" w:sz="6" w:space="0" w:color="auto"/>
              <w:bottom w:val="single" w:sz="6" w:space="0" w:color="auto"/>
              <w:right w:val="single" w:sz="6" w:space="0" w:color="auto"/>
            </w:tcBorders>
            <w:hideMark/>
          </w:tcPr>
          <w:p w14:paraId="47E9B837" w14:textId="77777777" w:rsidR="005A595A" w:rsidRPr="005A595A" w:rsidRDefault="005A595A" w:rsidP="005A595A">
            <w:pPr>
              <w:numPr>
                <w:ilvl w:val="0"/>
                <w:numId w:val="104"/>
              </w:numPr>
              <w:rPr>
                <w:rFonts w:cs="Arial"/>
                <w:sz w:val="22"/>
                <w:szCs w:val="22"/>
              </w:rPr>
            </w:pPr>
            <w:r w:rsidRPr="005A595A">
              <w:rPr>
                <w:rFonts w:cs="Arial"/>
                <w:sz w:val="22"/>
                <w:szCs w:val="22"/>
              </w:rPr>
              <w:t>Anchor forest monitoring in Kenya’s forest law through an update to Kenya’s Forest Act and the associated Statutory Instruments.  </w:t>
            </w:r>
          </w:p>
          <w:p w14:paraId="6C4CEC85" w14:textId="77777777" w:rsidR="005A595A" w:rsidRPr="005A595A" w:rsidRDefault="005A595A" w:rsidP="005A595A">
            <w:pPr>
              <w:numPr>
                <w:ilvl w:val="0"/>
                <w:numId w:val="105"/>
              </w:numPr>
              <w:rPr>
                <w:rFonts w:cs="Arial"/>
                <w:sz w:val="22"/>
                <w:szCs w:val="22"/>
              </w:rPr>
            </w:pPr>
            <w:r w:rsidRPr="005A595A">
              <w:rPr>
                <w:rFonts w:cs="Arial"/>
                <w:sz w:val="22"/>
                <w:szCs w:val="22"/>
              </w:rPr>
              <w:t>Equip the Kenyan government with the technical capability to continuously generate the datasets on forests and its changes – to inform any domestic audience but also to support accessing climate finance.  </w:t>
            </w:r>
          </w:p>
        </w:tc>
      </w:tr>
      <w:tr w:rsidR="005A595A" w:rsidRPr="005A595A" w14:paraId="7033580B" w14:textId="77777777" w:rsidTr="005A595A">
        <w:trPr>
          <w:trHeight w:val="300"/>
        </w:trPr>
        <w:tc>
          <w:tcPr>
            <w:tcW w:w="1095" w:type="dxa"/>
            <w:tcBorders>
              <w:top w:val="single" w:sz="6" w:space="0" w:color="auto"/>
              <w:left w:val="single" w:sz="6" w:space="0" w:color="auto"/>
              <w:bottom w:val="single" w:sz="6" w:space="0" w:color="auto"/>
              <w:right w:val="single" w:sz="6" w:space="0" w:color="auto"/>
            </w:tcBorders>
            <w:hideMark/>
          </w:tcPr>
          <w:p w14:paraId="3EDEAFB8" w14:textId="77777777" w:rsidR="005A595A" w:rsidRPr="005A595A" w:rsidRDefault="005A595A" w:rsidP="005A595A">
            <w:pPr>
              <w:rPr>
                <w:rFonts w:cs="Arial"/>
                <w:sz w:val="22"/>
                <w:szCs w:val="22"/>
              </w:rPr>
            </w:pPr>
            <w:r w:rsidRPr="005A595A">
              <w:rPr>
                <w:rFonts w:cs="Arial"/>
                <w:sz w:val="22"/>
                <w:szCs w:val="22"/>
              </w:rPr>
              <w:t>Peru  </w:t>
            </w:r>
          </w:p>
        </w:tc>
        <w:tc>
          <w:tcPr>
            <w:tcW w:w="4230" w:type="dxa"/>
            <w:tcBorders>
              <w:top w:val="single" w:sz="6" w:space="0" w:color="auto"/>
              <w:left w:val="single" w:sz="6" w:space="0" w:color="auto"/>
              <w:bottom w:val="single" w:sz="6" w:space="0" w:color="auto"/>
              <w:right w:val="single" w:sz="6" w:space="0" w:color="auto"/>
            </w:tcBorders>
            <w:hideMark/>
          </w:tcPr>
          <w:p w14:paraId="0007F187" w14:textId="77777777" w:rsidR="005A595A" w:rsidRPr="005A595A" w:rsidRDefault="005A595A" w:rsidP="005A595A">
            <w:pPr>
              <w:numPr>
                <w:ilvl w:val="0"/>
                <w:numId w:val="106"/>
              </w:numPr>
              <w:rPr>
                <w:rFonts w:cs="Arial"/>
                <w:sz w:val="22"/>
                <w:szCs w:val="22"/>
              </w:rPr>
            </w:pPr>
            <w:r w:rsidRPr="005A595A">
              <w:rPr>
                <w:rFonts w:cs="Arial"/>
                <w:sz w:val="22"/>
                <w:szCs w:val="22"/>
              </w:rPr>
              <w:t xml:space="preserve">With a view on MRV, facilitate the world’s first ART-TREES programme led by Indigenous Peoples (Grupo Peru), including harvesting lessons learned, encouraging </w:t>
            </w:r>
            <w:r w:rsidRPr="005A595A">
              <w:rPr>
                <w:rFonts w:cs="Arial"/>
                <w:sz w:val="22"/>
                <w:szCs w:val="22"/>
              </w:rPr>
              <w:lastRenderedPageBreak/>
              <w:t>replication within Peru and in other countries.  </w:t>
            </w:r>
          </w:p>
          <w:p w14:paraId="4BC966B0" w14:textId="77777777" w:rsidR="005A595A" w:rsidRPr="005A595A" w:rsidRDefault="005A595A" w:rsidP="005A595A">
            <w:pPr>
              <w:numPr>
                <w:ilvl w:val="0"/>
                <w:numId w:val="107"/>
              </w:numPr>
              <w:rPr>
                <w:rFonts w:cs="Arial"/>
                <w:sz w:val="22"/>
                <w:szCs w:val="22"/>
              </w:rPr>
            </w:pPr>
            <w:r w:rsidRPr="005A595A">
              <w:rPr>
                <w:rFonts w:cs="Arial"/>
                <w:sz w:val="22"/>
                <w:szCs w:val="22"/>
              </w:rPr>
              <w:t>Support the Ministry of the Environment (MINAM) to develop and apply a new methodological approach for quantifying emission reductions from peatlands in ART-TREES programmes, enabling inclusion of this major carbon pool in carbon crediting approaches globally.  </w:t>
            </w:r>
          </w:p>
          <w:p w14:paraId="087552F2" w14:textId="77777777" w:rsidR="005A595A" w:rsidRPr="005A595A" w:rsidRDefault="005A595A" w:rsidP="005A595A">
            <w:pPr>
              <w:numPr>
                <w:ilvl w:val="0"/>
                <w:numId w:val="108"/>
              </w:numPr>
              <w:rPr>
                <w:rFonts w:cs="Arial"/>
                <w:sz w:val="22"/>
                <w:szCs w:val="22"/>
              </w:rPr>
            </w:pPr>
            <w:r w:rsidRPr="005A595A">
              <w:rPr>
                <w:rFonts w:cs="Arial"/>
                <w:sz w:val="22"/>
                <w:szCs w:val="22"/>
              </w:rPr>
              <w:t>Help Peru integrate MRV progress under TREES in its NDC.  </w:t>
            </w:r>
          </w:p>
          <w:p w14:paraId="17FBC956" w14:textId="77777777" w:rsidR="005A595A" w:rsidRPr="005A595A" w:rsidRDefault="005A595A" w:rsidP="005A595A">
            <w:pPr>
              <w:numPr>
                <w:ilvl w:val="0"/>
                <w:numId w:val="109"/>
              </w:numPr>
              <w:rPr>
                <w:rFonts w:cs="Arial"/>
                <w:sz w:val="22"/>
                <w:szCs w:val="22"/>
              </w:rPr>
            </w:pPr>
            <w:r w:rsidRPr="005A595A">
              <w:rPr>
                <w:rFonts w:cs="Arial"/>
                <w:sz w:val="22"/>
                <w:szCs w:val="22"/>
              </w:rPr>
              <w:t>Enable Peru’s participation in the TFFF by strengthening datasets to meet requirements and supporting reporting and associated review.  </w:t>
            </w:r>
          </w:p>
        </w:tc>
        <w:tc>
          <w:tcPr>
            <w:tcW w:w="4995" w:type="dxa"/>
            <w:tcBorders>
              <w:top w:val="single" w:sz="6" w:space="0" w:color="auto"/>
              <w:left w:val="single" w:sz="6" w:space="0" w:color="auto"/>
              <w:bottom w:val="single" w:sz="6" w:space="0" w:color="auto"/>
              <w:right w:val="single" w:sz="6" w:space="0" w:color="auto"/>
            </w:tcBorders>
            <w:hideMark/>
          </w:tcPr>
          <w:p w14:paraId="31679D4B" w14:textId="77777777" w:rsidR="005A595A" w:rsidRPr="005A595A" w:rsidRDefault="005A595A" w:rsidP="005A595A">
            <w:pPr>
              <w:numPr>
                <w:ilvl w:val="0"/>
                <w:numId w:val="110"/>
              </w:numPr>
              <w:rPr>
                <w:rFonts w:cs="Arial"/>
                <w:sz w:val="22"/>
                <w:szCs w:val="22"/>
              </w:rPr>
            </w:pPr>
            <w:r w:rsidRPr="005A595A">
              <w:rPr>
                <w:rFonts w:cs="Arial"/>
                <w:sz w:val="22"/>
                <w:szCs w:val="22"/>
              </w:rPr>
              <w:lastRenderedPageBreak/>
              <w:t xml:space="preserve">Provide the Peruvian NFI team, currently in the first national forest inventory (NFI) cycle, with a modern data management solution, Open Foris Arena, ensuring effective data collection and analysis – thereby providing the basis for estimating contribution of forestry to the </w:t>
            </w:r>
            <w:r w:rsidRPr="005A595A">
              <w:rPr>
                <w:rFonts w:cs="Arial"/>
                <w:sz w:val="22"/>
                <w:szCs w:val="22"/>
              </w:rPr>
              <w:lastRenderedPageBreak/>
              <w:t>national accounts and creating numerous efficiency gains for concession management.  </w:t>
            </w:r>
          </w:p>
          <w:p w14:paraId="6F0A10CC" w14:textId="77777777" w:rsidR="005A595A" w:rsidRPr="005A595A" w:rsidRDefault="005A595A" w:rsidP="005A595A">
            <w:pPr>
              <w:numPr>
                <w:ilvl w:val="0"/>
                <w:numId w:val="111"/>
              </w:numPr>
              <w:rPr>
                <w:rFonts w:cs="Arial"/>
                <w:sz w:val="22"/>
                <w:szCs w:val="22"/>
              </w:rPr>
            </w:pPr>
            <w:r w:rsidRPr="005A595A">
              <w:rPr>
                <w:rFonts w:cs="Arial"/>
                <w:sz w:val="22"/>
                <w:szCs w:val="22"/>
              </w:rPr>
              <w:t>Facilitate decision making and urgently needed additional regulation to define the respective roles of MINAM and the National Forestry and Wildlife Authority (SERFOR) in forest monitoring, thereby clarifying institutional arrangements and better embedding forest monitoring in its key institutions  </w:t>
            </w:r>
          </w:p>
        </w:tc>
      </w:tr>
      <w:tr w:rsidR="005A595A" w:rsidRPr="005A595A" w14:paraId="5B9B53B7" w14:textId="77777777" w:rsidTr="005A595A">
        <w:trPr>
          <w:trHeight w:val="300"/>
        </w:trPr>
        <w:tc>
          <w:tcPr>
            <w:tcW w:w="1095" w:type="dxa"/>
            <w:tcBorders>
              <w:top w:val="single" w:sz="6" w:space="0" w:color="auto"/>
              <w:left w:val="single" w:sz="6" w:space="0" w:color="auto"/>
              <w:bottom w:val="single" w:sz="6" w:space="0" w:color="auto"/>
              <w:right w:val="single" w:sz="6" w:space="0" w:color="auto"/>
            </w:tcBorders>
            <w:hideMark/>
          </w:tcPr>
          <w:p w14:paraId="7CC59A99" w14:textId="77777777" w:rsidR="005A595A" w:rsidRPr="005A595A" w:rsidRDefault="005A595A" w:rsidP="005A595A">
            <w:pPr>
              <w:rPr>
                <w:rFonts w:cs="Arial"/>
                <w:sz w:val="22"/>
                <w:szCs w:val="22"/>
              </w:rPr>
            </w:pPr>
            <w:r w:rsidRPr="005A595A">
              <w:rPr>
                <w:rFonts w:cs="Arial"/>
                <w:sz w:val="22"/>
                <w:szCs w:val="22"/>
              </w:rPr>
              <w:lastRenderedPageBreak/>
              <w:t>Papua New Guinea (</w:t>
            </w:r>
            <w:proofErr w:type="gramStart"/>
            <w:r w:rsidRPr="005A595A">
              <w:rPr>
                <w:rFonts w:cs="Arial"/>
                <w:sz w:val="22"/>
                <w:szCs w:val="22"/>
              </w:rPr>
              <w:t>PNG)   </w:t>
            </w:r>
            <w:proofErr w:type="gramEnd"/>
          </w:p>
        </w:tc>
        <w:tc>
          <w:tcPr>
            <w:tcW w:w="4230" w:type="dxa"/>
            <w:tcBorders>
              <w:top w:val="single" w:sz="6" w:space="0" w:color="auto"/>
              <w:left w:val="single" w:sz="6" w:space="0" w:color="auto"/>
              <w:bottom w:val="single" w:sz="6" w:space="0" w:color="auto"/>
              <w:right w:val="single" w:sz="6" w:space="0" w:color="auto"/>
            </w:tcBorders>
            <w:hideMark/>
          </w:tcPr>
          <w:p w14:paraId="43C8E27B" w14:textId="77777777" w:rsidR="005A595A" w:rsidRPr="005A595A" w:rsidRDefault="005A595A" w:rsidP="005A595A">
            <w:pPr>
              <w:numPr>
                <w:ilvl w:val="0"/>
                <w:numId w:val="112"/>
              </w:numPr>
              <w:rPr>
                <w:rFonts w:cs="Arial"/>
                <w:sz w:val="22"/>
                <w:szCs w:val="22"/>
              </w:rPr>
            </w:pPr>
            <w:r w:rsidRPr="005A595A">
              <w:rPr>
                <w:rFonts w:cs="Arial"/>
                <w:sz w:val="22"/>
                <w:szCs w:val="22"/>
              </w:rPr>
              <w:t>Enable PNG’s ART-TREES programme to participate in Article 6 / CORSIA through supporting mandatory Article 6 reporting.  </w:t>
            </w:r>
          </w:p>
          <w:p w14:paraId="0CA56F1D" w14:textId="77777777" w:rsidR="005A595A" w:rsidRPr="005A595A" w:rsidRDefault="005A595A" w:rsidP="005A595A">
            <w:pPr>
              <w:numPr>
                <w:ilvl w:val="0"/>
                <w:numId w:val="113"/>
              </w:numPr>
              <w:rPr>
                <w:rFonts w:cs="Arial"/>
                <w:sz w:val="22"/>
                <w:szCs w:val="22"/>
              </w:rPr>
            </w:pPr>
            <w:r w:rsidRPr="005A595A">
              <w:rPr>
                <w:rFonts w:cs="Arial"/>
                <w:sz w:val="22"/>
                <w:szCs w:val="22"/>
              </w:rPr>
              <w:t>Enable PNG’s participation in the TFFF by strengthening datasets to meet requirements and supporting reporting and associated review.  </w:t>
            </w:r>
          </w:p>
        </w:tc>
        <w:tc>
          <w:tcPr>
            <w:tcW w:w="4995" w:type="dxa"/>
            <w:tcBorders>
              <w:top w:val="single" w:sz="6" w:space="0" w:color="auto"/>
              <w:left w:val="single" w:sz="6" w:space="0" w:color="auto"/>
              <w:bottom w:val="single" w:sz="6" w:space="0" w:color="auto"/>
              <w:right w:val="single" w:sz="6" w:space="0" w:color="auto"/>
            </w:tcBorders>
            <w:hideMark/>
          </w:tcPr>
          <w:p w14:paraId="41A46AA0" w14:textId="77777777" w:rsidR="005A595A" w:rsidRPr="005A595A" w:rsidRDefault="005A595A" w:rsidP="005A595A">
            <w:pPr>
              <w:numPr>
                <w:ilvl w:val="0"/>
                <w:numId w:val="114"/>
              </w:numPr>
              <w:rPr>
                <w:rFonts w:cs="Arial"/>
                <w:sz w:val="22"/>
                <w:szCs w:val="22"/>
              </w:rPr>
            </w:pPr>
            <w:r w:rsidRPr="005A595A">
              <w:rPr>
                <w:rFonts w:cs="Arial"/>
                <w:sz w:val="22"/>
                <w:szCs w:val="22"/>
              </w:rPr>
              <w:t>Explore innovative technology for a next-generation NFI: use of LIDAR for data collection in lieu of / in combination with ground data, using Open Foris Arena data management, and new growth modelling based on permanent sample plot.  </w:t>
            </w:r>
          </w:p>
        </w:tc>
      </w:tr>
    </w:tbl>
    <w:p w14:paraId="0FD466D6" w14:textId="77777777" w:rsidR="00247391" w:rsidRDefault="00247391" w:rsidP="005A595A">
      <w:pPr>
        <w:rPr>
          <w:rFonts w:cs="Arial"/>
          <w:sz w:val="22"/>
          <w:szCs w:val="22"/>
        </w:rPr>
      </w:pPr>
    </w:p>
    <w:p w14:paraId="795D9DD8" w14:textId="77777777" w:rsidR="00247391" w:rsidRDefault="00247391">
      <w:pPr>
        <w:rPr>
          <w:rFonts w:cs="Arial"/>
          <w:sz w:val="22"/>
          <w:szCs w:val="22"/>
        </w:rPr>
      </w:pPr>
      <w:r>
        <w:rPr>
          <w:rFonts w:cs="Arial"/>
          <w:sz w:val="22"/>
          <w:szCs w:val="22"/>
        </w:rPr>
        <w:br w:type="page"/>
      </w:r>
    </w:p>
    <w:p w14:paraId="2BD22A6C" w14:textId="77777777" w:rsidR="00247391" w:rsidRPr="00247391" w:rsidRDefault="00247391" w:rsidP="00247391">
      <w:pPr>
        <w:rPr>
          <w:rFonts w:cs="Arial"/>
          <w:sz w:val="22"/>
          <w:szCs w:val="22"/>
        </w:rPr>
      </w:pPr>
      <w:r w:rsidRPr="00247391">
        <w:rPr>
          <w:rFonts w:cs="Arial"/>
          <w:b/>
          <w:bCs/>
          <w:sz w:val="22"/>
          <w:szCs w:val="22"/>
          <w:u w:val="single"/>
        </w:rPr>
        <w:lastRenderedPageBreak/>
        <w:t>Annex C: Further information on AIM4Commodities </w:t>
      </w:r>
      <w:r w:rsidRPr="00247391">
        <w:rPr>
          <w:rFonts w:cs="Arial"/>
          <w:sz w:val="22"/>
          <w:szCs w:val="22"/>
        </w:rPr>
        <w:t>  </w:t>
      </w:r>
    </w:p>
    <w:p w14:paraId="2B670488" w14:textId="564F1C1A" w:rsidR="00247391" w:rsidRPr="00247391" w:rsidRDefault="00247391" w:rsidP="00247391">
      <w:pPr>
        <w:rPr>
          <w:rFonts w:cs="Arial"/>
          <w:sz w:val="22"/>
          <w:szCs w:val="22"/>
        </w:rPr>
      </w:pPr>
      <w:r w:rsidRPr="00247391">
        <w:rPr>
          <w:rFonts w:cs="Arial"/>
          <w:sz w:val="22"/>
          <w:szCs w:val="22"/>
        </w:rPr>
        <w:t>AIM4Commodities was launched in late 2024 as a project that packaged various AIM4Forests activities relating to forest monitoring for transparent commodity value chains and gained additional funding from the Government of Germany to support this work. The decision was made to do this to maximise the value of different funding streams under AIM4Forests, as Germany expressed interest in this thematic area.  Funding from Germany beyond 2026, is highly uncertain, and there is increasing demand for support with forest monitoring for sustainable commodity supply chains. We will explore options to support this work in partnership with Germany, including options around co-funding the work.  </w:t>
      </w:r>
    </w:p>
    <w:p w14:paraId="2A25A788" w14:textId="77777777" w:rsidR="00247391" w:rsidRPr="00247391" w:rsidRDefault="00247391" w:rsidP="00247391">
      <w:pPr>
        <w:rPr>
          <w:rFonts w:cs="Arial"/>
          <w:sz w:val="22"/>
          <w:szCs w:val="22"/>
        </w:rPr>
      </w:pPr>
      <w:r w:rsidRPr="00247391">
        <w:rPr>
          <w:rFonts w:cs="Arial"/>
          <w:sz w:val="22"/>
          <w:szCs w:val="22"/>
        </w:rPr>
        <w:t>AIM4Commodities (2026-2030) under the AIM4Forests programme will further develop a global digital public infrastructure for transparent commodities. Work would focus on development of technical solutions, and their roll-out in a selected set of countries, as well as generating important lessons learned for further improvement. It would include:   </w:t>
      </w:r>
    </w:p>
    <w:p w14:paraId="0198C2E2" w14:textId="77777777" w:rsidR="00247391" w:rsidRPr="00247391" w:rsidRDefault="00247391" w:rsidP="00247391">
      <w:pPr>
        <w:numPr>
          <w:ilvl w:val="0"/>
          <w:numId w:val="115"/>
        </w:numPr>
        <w:rPr>
          <w:rFonts w:cs="Arial"/>
          <w:sz w:val="22"/>
          <w:szCs w:val="22"/>
        </w:rPr>
      </w:pPr>
      <w:r w:rsidRPr="00247391">
        <w:rPr>
          <w:rFonts w:cs="Arial"/>
          <w:sz w:val="22"/>
          <w:szCs w:val="22"/>
        </w:rPr>
        <w:t>A global support programme for transparent commodities; and   </w:t>
      </w:r>
    </w:p>
    <w:p w14:paraId="5C790D99" w14:textId="77777777" w:rsidR="00247391" w:rsidRPr="00247391" w:rsidRDefault="00247391" w:rsidP="00247391">
      <w:pPr>
        <w:numPr>
          <w:ilvl w:val="0"/>
          <w:numId w:val="116"/>
        </w:numPr>
        <w:rPr>
          <w:rFonts w:cs="Arial"/>
          <w:sz w:val="22"/>
          <w:szCs w:val="22"/>
        </w:rPr>
      </w:pPr>
      <w:r w:rsidRPr="00247391">
        <w:rPr>
          <w:rFonts w:cs="Arial"/>
          <w:sz w:val="22"/>
          <w:szCs w:val="22"/>
        </w:rPr>
        <w:t>An additional set of 4-8 country programmes for roll-out of technical solutions (AIM4Commoditeis work under German funding is currently working in 4 countries) </w:t>
      </w:r>
    </w:p>
    <w:p w14:paraId="2B0B9AF3" w14:textId="77777777" w:rsidR="00247391" w:rsidRPr="00247391" w:rsidRDefault="00247391" w:rsidP="00247391">
      <w:pPr>
        <w:rPr>
          <w:rFonts w:cs="Arial"/>
          <w:sz w:val="22"/>
          <w:szCs w:val="22"/>
        </w:rPr>
      </w:pPr>
      <w:r w:rsidRPr="00247391">
        <w:rPr>
          <w:rFonts w:cs="Arial"/>
          <w:sz w:val="22"/>
          <w:szCs w:val="22"/>
        </w:rPr>
        <w:t>  </w:t>
      </w:r>
    </w:p>
    <w:p w14:paraId="77441E96" w14:textId="77777777" w:rsidR="00247391" w:rsidRPr="00247391" w:rsidRDefault="00247391" w:rsidP="00247391">
      <w:pPr>
        <w:rPr>
          <w:rFonts w:cs="Arial"/>
          <w:sz w:val="22"/>
          <w:szCs w:val="22"/>
        </w:rPr>
      </w:pPr>
      <w:r w:rsidRPr="00247391">
        <w:rPr>
          <w:rFonts w:cs="Arial"/>
          <w:sz w:val="22"/>
          <w:szCs w:val="22"/>
        </w:rPr>
        <w:t>A global support programme for transparent commodities could include:   </w:t>
      </w:r>
    </w:p>
    <w:p w14:paraId="0B56572F" w14:textId="77777777" w:rsidR="00247391" w:rsidRPr="00247391" w:rsidRDefault="00247391" w:rsidP="00247391">
      <w:pPr>
        <w:numPr>
          <w:ilvl w:val="0"/>
          <w:numId w:val="117"/>
        </w:numPr>
        <w:rPr>
          <w:rFonts w:cs="Arial"/>
          <w:sz w:val="22"/>
          <w:szCs w:val="22"/>
        </w:rPr>
      </w:pPr>
      <w:r w:rsidRPr="00247391">
        <w:rPr>
          <w:rFonts w:cs="Arial"/>
          <w:sz w:val="22"/>
          <w:szCs w:val="22"/>
        </w:rPr>
        <w:t>Continued technical innovation in forest monitoring technical solutions, including in traceability, remote sensing, data analysis and collection, and considering lessons learnt from country programmes.   </w:t>
      </w:r>
    </w:p>
    <w:p w14:paraId="0A5B4EC4" w14:textId="77777777" w:rsidR="00247391" w:rsidRPr="00247391" w:rsidRDefault="00247391" w:rsidP="00247391">
      <w:pPr>
        <w:numPr>
          <w:ilvl w:val="0"/>
          <w:numId w:val="118"/>
        </w:numPr>
        <w:rPr>
          <w:rFonts w:cs="Arial"/>
          <w:sz w:val="22"/>
          <w:szCs w:val="22"/>
        </w:rPr>
      </w:pPr>
      <w:r w:rsidRPr="00247391">
        <w:rPr>
          <w:rFonts w:cs="Arial"/>
          <w:sz w:val="22"/>
          <w:szCs w:val="22"/>
        </w:rPr>
        <w:t>A partnership on data for transparent commodities comprising of members of the private sector, government, donors, and representatives of indigenous groups.  </w:t>
      </w:r>
    </w:p>
    <w:p w14:paraId="6BE95A84" w14:textId="77777777" w:rsidR="00247391" w:rsidRPr="00247391" w:rsidRDefault="00247391" w:rsidP="00247391">
      <w:pPr>
        <w:numPr>
          <w:ilvl w:val="0"/>
          <w:numId w:val="119"/>
        </w:numPr>
        <w:rPr>
          <w:rFonts w:cs="Arial"/>
          <w:sz w:val="22"/>
          <w:szCs w:val="22"/>
        </w:rPr>
      </w:pPr>
      <w:r w:rsidRPr="00247391">
        <w:rPr>
          <w:rFonts w:cs="Arial"/>
          <w:sz w:val="22"/>
          <w:szCs w:val="22"/>
        </w:rPr>
        <w:t>The development of e-learning materials and online-facilitated learning modalities to accompany, and develop, in-country capacity development.   </w:t>
      </w:r>
    </w:p>
    <w:p w14:paraId="72426553" w14:textId="77777777" w:rsidR="00247391" w:rsidRPr="00247391" w:rsidRDefault="00247391" w:rsidP="00247391">
      <w:pPr>
        <w:numPr>
          <w:ilvl w:val="0"/>
          <w:numId w:val="120"/>
        </w:numPr>
        <w:rPr>
          <w:rFonts w:cs="Arial"/>
          <w:sz w:val="22"/>
          <w:szCs w:val="22"/>
        </w:rPr>
      </w:pPr>
      <w:r w:rsidRPr="00247391">
        <w:rPr>
          <w:rFonts w:cs="Arial"/>
          <w:sz w:val="22"/>
          <w:szCs w:val="22"/>
        </w:rPr>
        <w:t>The development of work to understand how marginalised groups, such as indigenous peoples, local communities, women, and youth, can be integrated into transparent commodity value chains through bespoke tools, platforms, and data governance arrangements.   </w:t>
      </w:r>
    </w:p>
    <w:p w14:paraId="7836063A" w14:textId="77777777" w:rsidR="00247391" w:rsidRPr="00247391" w:rsidRDefault="00247391" w:rsidP="00247391">
      <w:pPr>
        <w:numPr>
          <w:ilvl w:val="0"/>
          <w:numId w:val="121"/>
        </w:numPr>
        <w:rPr>
          <w:rFonts w:cs="Arial"/>
          <w:sz w:val="22"/>
          <w:szCs w:val="22"/>
        </w:rPr>
      </w:pPr>
      <w:r w:rsidRPr="00247391">
        <w:rPr>
          <w:rFonts w:cs="Arial"/>
          <w:sz w:val="22"/>
          <w:szCs w:val="22"/>
        </w:rPr>
        <w:t>Coordination with regulatory bodies, including the European Union, United Kingdom, United States, Japan, and other geographies, to ensure that policy processes in those countries are adequately informed by capabilities of producer countries.   </w:t>
      </w:r>
    </w:p>
    <w:p w14:paraId="4B99E09F" w14:textId="77777777" w:rsidR="00247391" w:rsidRPr="00247391" w:rsidRDefault="00247391" w:rsidP="00247391">
      <w:pPr>
        <w:rPr>
          <w:rFonts w:cs="Arial"/>
          <w:sz w:val="22"/>
          <w:szCs w:val="22"/>
        </w:rPr>
      </w:pPr>
      <w:r w:rsidRPr="00247391">
        <w:rPr>
          <w:rFonts w:cs="Arial"/>
          <w:sz w:val="22"/>
          <w:szCs w:val="22"/>
        </w:rPr>
        <w:t>  </w:t>
      </w:r>
    </w:p>
    <w:p w14:paraId="694B0FD9" w14:textId="77777777" w:rsidR="00247391" w:rsidRPr="00247391" w:rsidRDefault="00247391" w:rsidP="00247391">
      <w:pPr>
        <w:rPr>
          <w:rFonts w:cs="Arial"/>
          <w:sz w:val="22"/>
          <w:szCs w:val="22"/>
        </w:rPr>
      </w:pPr>
      <w:r w:rsidRPr="00247391">
        <w:rPr>
          <w:rFonts w:cs="Arial"/>
          <w:sz w:val="22"/>
          <w:szCs w:val="22"/>
        </w:rPr>
        <w:t>An additional set of 4-8 country programmes would include join work with governments and supply-chain actions to advance work on </w:t>
      </w:r>
      <w:proofErr w:type="gramStart"/>
      <w:r w:rsidRPr="00247391">
        <w:rPr>
          <w:rFonts w:cs="Arial"/>
          <w:sz w:val="22"/>
          <w:szCs w:val="22"/>
        </w:rPr>
        <w:t>a number of</w:t>
      </w:r>
      <w:proofErr w:type="gramEnd"/>
      <w:r w:rsidRPr="00247391">
        <w:rPr>
          <w:rFonts w:cs="Arial"/>
          <w:sz w:val="22"/>
          <w:szCs w:val="22"/>
        </w:rPr>
        <w:t> work packages, including:   </w:t>
      </w:r>
    </w:p>
    <w:p w14:paraId="7FABDABC" w14:textId="77777777" w:rsidR="00247391" w:rsidRPr="00247391" w:rsidRDefault="00247391" w:rsidP="00247391">
      <w:pPr>
        <w:numPr>
          <w:ilvl w:val="0"/>
          <w:numId w:val="122"/>
        </w:numPr>
        <w:rPr>
          <w:rFonts w:cs="Arial"/>
          <w:sz w:val="22"/>
          <w:szCs w:val="22"/>
        </w:rPr>
      </w:pPr>
      <w:r w:rsidRPr="00247391">
        <w:rPr>
          <w:rFonts w:cs="Arial"/>
          <w:b/>
          <w:bCs/>
          <w:sz w:val="22"/>
          <w:szCs w:val="22"/>
        </w:rPr>
        <w:t>Engage:</w:t>
      </w:r>
      <w:r w:rsidRPr="00247391">
        <w:rPr>
          <w:rFonts w:cs="Arial"/>
          <w:sz w:val="22"/>
          <w:szCs w:val="22"/>
        </w:rPr>
        <w:t> Engagement with existing government/ commodity-specific roundtables at the country level to help engage a wide cross-section of supply-chain actors, and enable feedback to government-led processes of relevance   </w:t>
      </w:r>
    </w:p>
    <w:p w14:paraId="7EF35581" w14:textId="77777777" w:rsidR="00247391" w:rsidRPr="00247391" w:rsidRDefault="00247391" w:rsidP="00247391">
      <w:pPr>
        <w:numPr>
          <w:ilvl w:val="0"/>
          <w:numId w:val="123"/>
        </w:numPr>
        <w:rPr>
          <w:rFonts w:cs="Arial"/>
          <w:sz w:val="22"/>
          <w:szCs w:val="22"/>
        </w:rPr>
      </w:pPr>
      <w:r w:rsidRPr="00247391">
        <w:rPr>
          <w:rFonts w:cs="Arial"/>
          <w:b/>
          <w:bCs/>
          <w:sz w:val="22"/>
          <w:szCs w:val="22"/>
        </w:rPr>
        <w:lastRenderedPageBreak/>
        <w:t>Locate:</w:t>
      </w:r>
      <w:r w:rsidRPr="00247391">
        <w:rPr>
          <w:rFonts w:cs="Arial"/>
          <w:sz w:val="22"/>
          <w:szCs w:val="22"/>
        </w:rPr>
        <w:t> Large-scale field data collection campaigns to bridge the gap for smallholder associations for regulation compliance, promoting the right to data for smallholders, and reducing de-duplication   </w:t>
      </w:r>
    </w:p>
    <w:p w14:paraId="582435C4" w14:textId="77777777" w:rsidR="00247391" w:rsidRPr="00247391" w:rsidRDefault="00247391" w:rsidP="00247391">
      <w:pPr>
        <w:numPr>
          <w:ilvl w:val="0"/>
          <w:numId w:val="124"/>
        </w:numPr>
        <w:rPr>
          <w:rFonts w:cs="Arial"/>
          <w:sz w:val="22"/>
          <w:szCs w:val="22"/>
        </w:rPr>
      </w:pPr>
      <w:r w:rsidRPr="00247391">
        <w:rPr>
          <w:rFonts w:cs="Arial"/>
          <w:b/>
          <w:bCs/>
          <w:sz w:val="22"/>
          <w:szCs w:val="22"/>
        </w:rPr>
        <w:t>Monitor:</w:t>
      </w:r>
      <w:r w:rsidRPr="00247391">
        <w:rPr>
          <w:rFonts w:cs="Arial"/>
          <w:sz w:val="22"/>
          <w:szCs w:val="22"/>
        </w:rPr>
        <w:t> enhance interoperability with NFMS, country datasets integration in WHISP, integration of convergence of evidence in national platforms, and reinforcing decentralized geoid registry hosting   </w:t>
      </w:r>
    </w:p>
    <w:p w14:paraId="002F7C72" w14:textId="77777777" w:rsidR="00247391" w:rsidRPr="00247391" w:rsidRDefault="00247391" w:rsidP="00247391">
      <w:pPr>
        <w:numPr>
          <w:ilvl w:val="0"/>
          <w:numId w:val="125"/>
        </w:numPr>
        <w:rPr>
          <w:rFonts w:cs="Arial"/>
          <w:sz w:val="22"/>
          <w:szCs w:val="22"/>
        </w:rPr>
      </w:pPr>
      <w:r w:rsidRPr="00247391">
        <w:rPr>
          <w:rFonts w:cs="Arial"/>
          <w:b/>
          <w:bCs/>
          <w:sz w:val="22"/>
          <w:szCs w:val="22"/>
        </w:rPr>
        <w:t>Trace</w:t>
      </w:r>
      <w:r w:rsidRPr="00247391">
        <w:rPr>
          <w:rFonts w:cs="Arial"/>
          <w:sz w:val="22"/>
          <w:szCs w:val="22"/>
        </w:rPr>
        <w:t>: Strengthening physical and digital traceability in keys supply chains through open-source solutions.   </w:t>
      </w:r>
    </w:p>
    <w:p w14:paraId="38C5C588" w14:textId="77777777" w:rsidR="00247391" w:rsidRPr="00247391" w:rsidRDefault="00247391" w:rsidP="00247391">
      <w:pPr>
        <w:rPr>
          <w:rFonts w:cs="Arial"/>
          <w:sz w:val="22"/>
          <w:szCs w:val="22"/>
        </w:rPr>
      </w:pPr>
      <w:r w:rsidRPr="00247391">
        <w:rPr>
          <w:rFonts w:cs="Arial"/>
          <w:sz w:val="22"/>
          <w:szCs w:val="22"/>
        </w:rPr>
        <w:t>  </w:t>
      </w:r>
    </w:p>
    <w:p w14:paraId="730E4AB0" w14:textId="01993E39" w:rsidR="00247391" w:rsidRPr="00247391" w:rsidRDefault="00247391" w:rsidP="00247391">
      <w:pPr>
        <w:rPr>
          <w:rFonts w:cs="Arial"/>
          <w:sz w:val="22"/>
          <w:szCs w:val="22"/>
        </w:rPr>
      </w:pPr>
      <w:r w:rsidRPr="00247391">
        <w:rPr>
          <w:rFonts w:cs="Arial"/>
          <w:sz w:val="22"/>
          <w:szCs w:val="22"/>
        </w:rPr>
        <w:t>Countries will be identified during project inception, and </w:t>
      </w:r>
      <w:proofErr w:type="gramStart"/>
      <w:r w:rsidRPr="00247391">
        <w:rPr>
          <w:rFonts w:cs="Arial"/>
          <w:sz w:val="22"/>
          <w:szCs w:val="22"/>
        </w:rPr>
        <w:t>in light of</w:t>
      </w:r>
      <w:proofErr w:type="gramEnd"/>
      <w:r w:rsidRPr="00247391">
        <w:rPr>
          <w:rFonts w:cs="Arial"/>
          <w:sz w:val="22"/>
          <w:szCs w:val="22"/>
        </w:rPr>
        <w:t> current opportunities for engagement, scale and synergies with other HMG programmes and priorities. A preliminary overview of candidate countries is provided below</w:t>
      </w:r>
      <w:r w:rsidRPr="00247391">
        <w:rPr>
          <w:rFonts w:cs="Arial"/>
          <w:sz w:val="22"/>
          <w:szCs w:val="22"/>
          <w:vertAlign w:val="superscript"/>
        </w:rPr>
        <w:t>1</w:t>
      </w:r>
      <w:r w:rsidRPr="00247391">
        <w:rPr>
          <w:rFonts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650"/>
        <w:gridCol w:w="1785"/>
        <w:gridCol w:w="1035"/>
        <w:gridCol w:w="1080"/>
        <w:gridCol w:w="1035"/>
        <w:gridCol w:w="1155"/>
      </w:tblGrid>
      <w:tr w:rsidR="00247391" w:rsidRPr="00247391" w14:paraId="2EDEDB6F" w14:textId="77777777">
        <w:trPr>
          <w:trHeight w:val="300"/>
        </w:trPr>
        <w:tc>
          <w:tcPr>
            <w:tcW w:w="121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65431A9" w14:textId="77777777" w:rsidR="00247391" w:rsidRPr="00247391" w:rsidRDefault="00247391" w:rsidP="00247391">
            <w:pPr>
              <w:rPr>
                <w:rFonts w:cs="Arial"/>
                <w:sz w:val="22"/>
                <w:szCs w:val="22"/>
              </w:rPr>
            </w:pPr>
            <w:r w:rsidRPr="00247391">
              <w:rPr>
                <w:rFonts w:cs="Arial"/>
                <w:sz w:val="22"/>
                <w:szCs w:val="22"/>
              </w:rPr>
              <w:t>Country   </w:t>
            </w:r>
          </w:p>
        </w:tc>
        <w:tc>
          <w:tcPr>
            <w:tcW w:w="1650" w:type="dxa"/>
            <w:tcBorders>
              <w:top w:val="single" w:sz="6" w:space="0" w:color="auto"/>
              <w:left w:val="nil"/>
              <w:bottom w:val="single" w:sz="6" w:space="0" w:color="auto"/>
              <w:right w:val="single" w:sz="6" w:space="0" w:color="auto"/>
            </w:tcBorders>
            <w:shd w:val="clear" w:color="auto" w:fill="D9E2F3"/>
            <w:vAlign w:val="center"/>
            <w:hideMark/>
          </w:tcPr>
          <w:p w14:paraId="6701CD46" w14:textId="77777777" w:rsidR="00247391" w:rsidRPr="00247391" w:rsidRDefault="00247391" w:rsidP="00247391">
            <w:pPr>
              <w:rPr>
                <w:rFonts w:cs="Arial"/>
                <w:sz w:val="22"/>
                <w:szCs w:val="22"/>
              </w:rPr>
            </w:pPr>
            <w:r w:rsidRPr="00247391">
              <w:rPr>
                <w:rFonts w:cs="Arial"/>
                <w:sz w:val="22"/>
                <w:szCs w:val="22"/>
              </w:rPr>
              <w:t>Commodities   </w:t>
            </w:r>
          </w:p>
        </w:tc>
        <w:tc>
          <w:tcPr>
            <w:tcW w:w="1785" w:type="dxa"/>
            <w:tcBorders>
              <w:top w:val="single" w:sz="6" w:space="0" w:color="auto"/>
              <w:left w:val="nil"/>
              <w:bottom w:val="single" w:sz="6" w:space="0" w:color="auto"/>
              <w:right w:val="single" w:sz="6" w:space="0" w:color="auto"/>
            </w:tcBorders>
            <w:shd w:val="clear" w:color="auto" w:fill="D9E2F3"/>
            <w:vAlign w:val="center"/>
            <w:hideMark/>
          </w:tcPr>
          <w:p w14:paraId="4B2CEF10" w14:textId="77777777" w:rsidR="00247391" w:rsidRPr="00247391" w:rsidRDefault="00247391" w:rsidP="00247391">
            <w:pPr>
              <w:rPr>
                <w:rFonts w:cs="Arial"/>
                <w:sz w:val="22"/>
                <w:szCs w:val="22"/>
              </w:rPr>
            </w:pPr>
            <w:r w:rsidRPr="00247391">
              <w:rPr>
                <w:rFonts w:cs="Arial"/>
                <w:sz w:val="22"/>
                <w:szCs w:val="22"/>
              </w:rPr>
              <w:t>FAO programme   </w:t>
            </w:r>
          </w:p>
        </w:tc>
        <w:tc>
          <w:tcPr>
            <w:tcW w:w="1035" w:type="dxa"/>
            <w:tcBorders>
              <w:top w:val="single" w:sz="6" w:space="0" w:color="auto"/>
              <w:left w:val="nil"/>
              <w:bottom w:val="single" w:sz="6" w:space="0" w:color="auto"/>
              <w:right w:val="single" w:sz="6" w:space="0" w:color="auto"/>
            </w:tcBorders>
            <w:shd w:val="clear" w:color="auto" w:fill="D9E2F3"/>
            <w:vAlign w:val="center"/>
            <w:hideMark/>
          </w:tcPr>
          <w:p w14:paraId="15DC2397" w14:textId="77777777" w:rsidR="00247391" w:rsidRPr="00247391" w:rsidRDefault="00247391" w:rsidP="00247391">
            <w:pPr>
              <w:rPr>
                <w:rFonts w:cs="Arial"/>
                <w:sz w:val="22"/>
                <w:szCs w:val="22"/>
              </w:rPr>
            </w:pPr>
            <w:r w:rsidRPr="00247391">
              <w:rPr>
                <w:rFonts w:cs="Arial"/>
                <w:sz w:val="22"/>
                <w:szCs w:val="22"/>
              </w:rPr>
              <w:t>WA1 Engage   </w:t>
            </w:r>
          </w:p>
        </w:tc>
        <w:tc>
          <w:tcPr>
            <w:tcW w:w="1080" w:type="dxa"/>
            <w:tcBorders>
              <w:top w:val="single" w:sz="6" w:space="0" w:color="auto"/>
              <w:left w:val="nil"/>
              <w:bottom w:val="single" w:sz="6" w:space="0" w:color="auto"/>
              <w:right w:val="single" w:sz="6" w:space="0" w:color="auto"/>
            </w:tcBorders>
            <w:shd w:val="clear" w:color="auto" w:fill="D9E2F3"/>
            <w:vAlign w:val="center"/>
            <w:hideMark/>
          </w:tcPr>
          <w:p w14:paraId="394E051D" w14:textId="77777777" w:rsidR="00247391" w:rsidRPr="00247391" w:rsidRDefault="00247391" w:rsidP="00247391">
            <w:pPr>
              <w:rPr>
                <w:rFonts w:cs="Arial"/>
                <w:sz w:val="22"/>
                <w:szCs w:val="22"/>
              </w:rPr>
            </w:pPr>
            <w:r w:rsidRPr="00247391">
              <w:rPr>
                <w:rFonts w:cs="Arial"/>
                <w:sz w:val="22"/>
                <w:szCs w:val="22"/>
              </w:rPr>
              <w:t>WA2 Locate   </w:t>
            </w:r>
          </w:p>
        </w:tc>
        <w:tc>
          <w:tcPr>
            <w:tcW w:w="1035" w:type="dxa"/>
            <w:tcBorders>
              <w:top w:val="single" w:sz="6" w:space="0" w:color="auto"/>
              <w:left w:val="nil"/>
              <w:bottom w:val="single" w:sz="6" w:space="0" w:color="auto"/>
              <w:right w:val="single" w:sz="6" w:space="0" w:color="auto"/>
            </w:tcBorders>
            <w:shd w:val="clear" w:color="auto" w:fill="D9E2F3"/>
            <w:vAlign w:val="center"/>
            <w:hideMark/>
          </w:tcPr>
          <w:p w14:paraId="0126F84A" w14:textId="77777777" w:rsidR="00247391" w:rsidRPr="00247391" w:rsidRDefault="00247391" w:rsidP="00247391">
            <w:pPr>
              <w:rPr>
                <w:rFonts w:cs="Arial"/>
                <w:sz w:val="22"/>
                <w:szCs w:val="22"/>
              </w:rPr>
            </w:pPr>
            <w:r w:rsidRPr="00247391">
              <w:rPr>
                <w:rFonts w:cs="Arial"/>
                <w:sz w:val="22"/>
                <w:szCs w:val="22"/>
              </w:rPr>
              <w:t>WA3 Monitor   </w:t>
            </w:r>
          </w:p>
        </w:tc>
        <w:tc>
          <w:tcPr>
            <w:tcW w:w="1155" w:type="dxa"/>
            <w:tcBorders>
              <w:top w:val="single" w:sz="6" w:space="0" w:color="auto"/>
              <w:left w:val="nil"/>
              <w:bottom w:val="single" w:sz="6" w:space="0" w:color="auto"/>
              <w:right w:val="single" w:sz="6" w:space="0" w:color="auto"/>
            </w:tcBorders>
            <w:shd w:val="clear" w:color="auto" w:fill="D9E2F3"/>
            <w:vAlign w:val="center"/>
            <w:hideMark/>
          </w:tcPr>
          <w:p w14:paraId="4F0FDEB0" w14:textId="77777777" w:rsidR="00247391" w:rsidRPr="00247391" w:rsidRDefault="00247391" w:rsidP="00247391">
            <w:pPr>
              <w:rPr>
                <w:rFonts w:cs="Arial"/>
                <w:sz w:val="22"/>
                <w:szCs w:val="22"/>
              </w:rPr>
            </w:pPr>
            <w:r w:rsidRPr="00247391">
              <w:rPr>
                <w:rFonts w:cs="Arial"/>
                <w:sz w:val="22"/>
                <w:szCs w:val="22"/>
              </w:rPr>
              <w:t>WA4   </w:t>
            </w:r>
            <w:r w:rsidRPr="00247391">
              <w:rPr>
                <w:rFonts w:cs="Arial"/>
                <w:sz w:val="22"/>
                <w:szCs w:val="22"/>
              </w:rPr>
              <w:br/>
              <w:t>Trace   </w:t>
            </w:r>
          </w:p>
        </w:tc>
      </w:tr>
      <w:tr w:rsidR="00247391" w:rsidRPr="00247391" w14:paraId="3186B18A"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3694F9EE" w14:textId="77777777" w:rsidR="00247391" w:rsidRPr="00247391" w:rsidRDefault="00247391" w:rsidP="00247391">
            <w:pPr>
              <w:rPr>
                <w:rFonts w:cs="Arial"/>
                <w:sz w:val="22"/>
                <w:szCs w:val="22"/>
              </w:rPr>
            </w:pPr>
            <w:r w:rsidRPr="00247391">
              <w:rPr>
                <w:rFonts w:cs="Arial"/>
                <w:sz w:val="22"/>
                <w:szCs w:val="22"/>
              </w:rPr>
              <w:t>Brazil   </w:t>
            </w:r>
          </w:p>
        </w:tc>
        <w:tc>
          <w:tcPr>
            <w:tcW w:w="1650" w:type="dxa"/>
            <w:tcBorders>
              <w:top w:val="nil"/>
              <w:left w:val="nil"/>
              <w:bottom w:val="single" w:sz="6" w:space="0" w:color="auto"/>
              <w:right w:val="single" w:sz="6" w:space="0" w:color="auto"/>
            </w:tcBorders>
            <w:vAlign w:val="bottom"/>
            <w:hideMark/>
          </w:tcPr>
          <w:p w14:paraId="0C44F9AE" w14:textId="77777777" w:rsidR="00247391" w:rsidRPr="00247391" w:rsidRDefault="00247391" w:rsidP="00247391">
            <w:pPr>
              <w:rPr>
                <w:rFonts w:cs="Arial"/>
                <w:sz w:val="22"/>
                <w:szCs w:val="22"/>
              </w:rPr>
            </w:pPr>
            <w:r w:rsidRPr="00247391">
              <w:rPr>
                <w:rFonts w:cs="Arial"/>
                <w:sz w:val="22"/>
                <w:szCs w:val="22"/>
              </w:rPr>
              <w:t>All   </w:t>
            </w:r>
          </w:p>
        </w:tc>
        <w:tc>
          <w:tcPr>
            <w:tcW w:w="1785" w:type="dxa"/>
            <w:tcBorders>
              <w:top w:val="nil"/>
              <w:left w:val="nil"/>
              <w:bottom w:val="single" w:sz="6" w:space="0" w:color="auto"/>
              <w:right w:val="single" w:sz="6" w:space="0" w:color="auto"/>
            </w:tcBorders>
            <w:vAlign w:val="bottom"/>
            <w:hideMark/>
          </w:tcPr>
          <w:p w14:paraId="4D2B2FFF" w14:textId="77777777" w:rsidR="00247391" w:rsidRPr="00247391" w:rsidRDefault="00247391" w:rsidP="00247391">
            <w:pPr>
              <w:rPr>
                <w:rFonts w:cs="Arial"/>
                <w:sz w:val="22"/>
                <w:szCs w:val="22"/>
              </w:rPr>
            </w:pPr>
            <w:r w:rsidRPr="00247391">
              <w:rPr>
                <w:rFonts w:cs="Arial"/>
                <w:sz w:val="22"/>
                <w:szCs w:val="22"/>
              </w:rPr>
              <w:t>A4F   </w:t>
            </w:r>
          </w:p>
        </w:tc>
        <w:tc>
          <w:tcPr>
            <w:tcW w:w="1035" w:type="dxa"/>
            <w:tcBorders>
              <w:top w:val="nil"/>
              <w:left w:val="nil"/>
              <w:bottom w:val="single" w:sz="6" w:space="0" w:color="auto"/>
              <w:right w:val="single" w:sz="6" w:space="0" w:color="auto"/>
            </w:tcBorders>
            <w:vAlign w:val="center"/>
            <w:hideMark/>
          </w:tcPr>
          <w:p w14:paraId="0CDD34CA"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1D3ED31F" w14:textId="77777777" w:rsidR="00247391" w:rsidRPr="00247391" w:rsidRDefault="00247391" w:rsidP="00247391">
            <w:pPr>
              <w:rPr>
                <w:rFonts w:cs="Arial"/>
                <w:sz w:val="22"/>
                <w:szCs w:val="22"/>
              </w:rPr>
            </w:pPr>
            <w:r w:rsidRPr="00247391">
              <w:rPr>
                <w:rFonts w:cs="Arial"/>
                <w:sz w:val="22"/>
                <w:szCs w:val="22"/>
              </w:rPr>
              <w:t>    </w:t>
            </w:r>
          </w:p>
        </w:tc>
        <w:tc>
          <w:tcPr>
            <w:tcW w:w="1035" w:type="dxa"/>
            <w:tcBorders>
              <w:top w:val="nil"/>
              <w:left w:val="nil"/>
              <w:bottom w:val="single" w:sz="6" w:space="0" w:color="auto"/>
              <w:right w:val="single" w:sz="6" w:space="0" w:color="auto"/>
            </w:tcBorders>
            <w:vAlign w:val="center"/>
            <w:hideMark/>
          </w:tcPr>
          <w:p w14:paraId="0E360669" w14:textId="77777777" w:rsidR="00247391" w:rsidRPr="00247391" w:rsidRDefault="00247391" w:rsidP="00247391">
            <w:pPr>
              <w:rPr>
                <w:rFonts w:cs="Arial"/>
                <w:sz w:val="22"/>
                <w:szCs w:val="22"/>
              </w:rPr>
            </w:pPr>
            <w:r w:rsidRPr="00247391">
              <w:rPr>
                <w:rFonts w:cs="Arial"/>
                <w:sz w:val="22"/>
                <w:szCs w:val="22"/>
              </w:rPr>
              <w:t>X   </w:t>
            </w:r>
          </w:p>
        </w:tc>
        <w:tc>
          <w:tcPr>
            <w:tcW w:w="1155" w:type="dxa"/>
            <w:tcBorders>
              <w:top w:val="nil"/>
              <w:left w:val="nil"/>
              <w:bottom w:val="single" w:sz="6" w:space="0" w:color="auto"/>
              <w:right w:val="single" w:sz="6" w:space="0" w:color="auto"/>
            </w:tcBorders>
            <w:vAlign w:val="center"/>
            <w:hideMark/>
          </w:tcPr>
          <w:p w14:paraId="49A09BD2" w14:textId="77777777" w:rsidR="00247391" w:rsidRPr="00247391" w:rsidRDefault="00247391" w:rsidP="00247391">
            <w:pPr>
              <w:rPr>
                <w:rFonts w:cs="Arial"/>
                <w:sz w:val="22"/>
                <w:szCs w:val="22"/>
              </w:rPr>
            </w:pPr>
            <w:r w:rsidRPr="00247391">
              <w:rPr>
                <w:rFonts w:cs="Arial"/>
                <w:sz w:val="22"/>
                <w:szCs w:val="22"/>
              </w:rPr>
              <w:t>x   </w:t>
            </w:r>
          </w:p>
        </w:tc>
      </w:tr>
      <w:tr w:rsidR="00247391" w:rsidRPr="00247391" w14:paraId="069B87E8"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1755C457" w14:textId="77777777" w:rsidR="00247391" w:rsidRPr="00247391" w:rsidRDefault="00247391" w:rsidP="00247391">
            <w:pPr>
              <w:rPr>
                <w:rFonts w:cs="Arial"/>
                <w:sz w:val="22"/>
                <w:szCs w:val="22"/>
              </w:rPr>
            </w:pPr>
            <w:r w:rsidRPr="00247391">
              <w:rPr>
                <w:rFonts w:cs="Arial"/>
                <w:sz w:val="22"/>
                <w:szCs w:val="22"/>
              </w:rPr>
              <w:t>Colombia   </w:t>
            </w:r>
          </w:p>
        </w:tc>
        <w:tc>
          <w:tcPr>
            <w:tcW w:w="1650" w:type="dxa"/>
            <w:tcBorders>
              <w:top w:val="nil"/>
              <w:left w:val="nil"/>
              <w:bottom w:val="single" w:sz="6" w:space="0" w:color="auto"/>
              <w:right w:val="single" w:sz="6" w:space="0" w:color="auto"/>
            </w:tcBorders>
            <w:vAlign w:val="bottom"/>
            <w:hideMark/>
          </w:tcPr>
          <w:p w14:paraId="505A02D7" w14:textId="77777777" w:rsidR="00247391" w:rsidRPr="00247391" w:rsidRDefault="00247391" w:rsidP="00247391">
            <w:pPr>
              <w:rPr>
                <w:rFonts w:cs="Arial"/>
                <w:sz w:val="22"/>
                <w:szCs w:val="22"/>
              </w:rPr>
            </w:pPr>
            <w:r w:rsidRPr="00247391">
              <w:rPr>
                <w:rFonts w:cs="Arial"/>
                <w:sz w:val="22"/>
                <w:szCs w:val="22"/>
              </w:rPr>
              <w:t>Cocoa   </w:t>
            </w:r>
          </w:p>
        </w:tc>
        <w:tc>
          <w:tcPr>
            <w:tcW w:w="1785" w:type="dxa"/>
            <w:tcBorders>
              <w:top w:val="nil"/>
              <w:left w:val="nil"/>
              <w:bottom w:val="single" w:sz="6" w:space="0" w:color="auto"/>
              <w:right w:val="single" w:sz="6" w:space="0" w:color="auto"/>
            </w:tcBorders>
            <w:vAlign w:val="bottom"/>
            <w:hideMark/>
          </w:tcPr>
          <w:p w14:paraId="282BC5A7" w14:textId="77777777" w:rsidR="00247391" w:rsidRPr="00247391" w:rsidRDefault="00247391" w:rsidP="00247391">
            <w:pPr>
              <w:rPr>
                <w:rFonts w:cs="Arial"/>
                <w:sz w:val="22"/>
                <w:szCs w:val="22"/>
              </w:rPr>
            </w:pPr>
            <w:r w:rsidRPr="00247391">
              <w:rPr>
                <w:rFonts w:cs="Arial"/>
                <w:sz w:val="22"/>
                <w:szCs w:val="22"/>
              </w:rPr>
              <w:t>A4C   </w:t>
            </w:r>
          </w:p>
        </w:tc>
        <w:tc>
          <w:tcPr>
            <w:tcW w:w="1035" w:type="dxa"/>
            <w:tcBorders>
              <w:top w:val="nil"/>
              <w:left w:val="nil"/>
              <w:bottom w:val="single" w:sz="6" w:space="0" w:color="auto"/>
              <w:right w:val="single" w:sz="6" w:space="0" w:color="auto"/>
            </w:tcBorders>
            <w:vAlign w:val="center"/>
            <w:hideMark/>
          </w:tcPr>
          <w:p w14:paraId="324A5F73"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6A3C9910" w14:textId="77777777" w:rsidR="00247391" w:rsidRPr="00247391" w:rsidRDefault="00247391" w:rsidP="00247391">
            <w:pPr>
              <w:rPr>
                <w:rFonts w:cs="Arial"/>
                <w:sz w:val="22"/>
                <w:szCs w:val="22"/>
              </w:rPr>
            </w:pPr>
            <w:r w:rsidRPr="00247391">
              <w:rPr>
                <w:rFonts w:cs="Arial"/>
                <w:sz w:val="22"/>
                <w:szCs w:val="22"/>
              </w:rPr>
              <w:t>x   </w:t>
            </w:r>
          </w:p>
        </w:tc>
        <w:tc>
          <w:tcPr>
            <w:tcW w:w="1035" w:type="dxa"/>
            <w:tcBorders>
              <w:top w:val="nil"/>
              <w:left w:val="nil"/>
              <w:bottom w:val="single" w:sz="6" w:space="0" w:color="auto"/>
              <w:right w:val="single" w:sz="6" w:space="0" w:color="auto"/>
            </w:tcBorders>
            <w:vAlign w:val="center"/>
            <w:hideMark/>
          </w:tcPr>
          <w:p w14:paraId="31C8F64C" w14:textId="77777777" w:rsidR="00247391" w:rsidRPr="00247391" w:rsidRDefault="00247391" w:rsidP="00247391">
            <w:pPr>
              <w:rPr>
                <w:rFonts w:cs="Arial"/>
                <w:sz w:val="22"/>
                <w:szCs w:val="22"/>
              </w:rPr>
            </w:pPr>
            <w:r w:rsidRPr="00247391">
              <w:rPr>
                <w:rFonts w:cs="Arial"/>
                <w:sz w:val="22"/>
                <w:szCs w:val="22"/>
              </w:rPr>
              <w:t>X   </w:t>
            </w:r>
          </w:p>
        </w:tc>
        <w:tc>
          <w:tcPr>
            <w:tcW w:w="1155" w:type="dxa"/>
            <w:tcBorders>
              <w:top w:val="nil"/>
              <w:left w:val="nil"/>
              <w:bottom w:val="single" w:sz="6" w:space="0" w:color="auto"/>
              <w:right w:val="single" w:sz="6" w:space="0" w:color="auto"/>
            </w:tcBorders>
            <w:vAlign w:val="center"/>
            <w:hideMark/>
          </w:tcPr>
          <w:p w14:paraId="059D8247" w14:textId="77777777" w:rsidR="00247391" w:rsidRPr="00247391" w:rsidRDefault="00247391" w:rsidP="00247391">
            <w:pPr>
              <w:rPr>
                <w:rFonts w:cs="Arial"/>
                <w:sz w:val="22"/>
                <w:szCs w:val="22"/>
              </w:rPr>
            </w:pPr>
            <w:r w:rsidRPr="00247391">
              <w:rPr>
                <w:rFonts w:cs="Arial"/>
                <w:sz w:val="22"/>
                <w:szCs w:val="22"/>
              </w:rPr>
              <w:t>x   </w:t>
            </w:r>
          </w:p>
        </w:tc>
      </w:tr>
      <w:tr w:rsidR="00247391" w:rsidRPr="00247391" w14:paraId="4F142417"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17B985E8" w14:textId="77777777" w:rsidR="00247391" w:rsidRPr="00247391" w:rsidRDefault="00247391" w:rsidP="00247391">
            <w:pPr>
              <w:rPr>
                <w:rFonts w:cs="Arial"/>
                <w:sz w:val="22"/>
                <w:szCs w:val="22"/>
              </w:rPr>
            </w:pPr>
            <w:r w:rsidRPr="00247391">
              <w:rPr>
                <w:rFonts w:cs="Arial"/>
                <w:sz w:val="22"/>
                <w:szCs w:val="22"/>
              </w:rPr>
              <w:t>Ecuador   </w:t>
            </w:r>
          </w:p>
        </w:tc>
        <w:tc>
          <w:tcPr>
            <w:tcW w:w="1650" w:type="dxa"/>
            <w:tcBorders>
              <w:top w:val="nil"/>
              <w:left w:val="nil"/>
              <w:bottom w:val="single" w:sz="6" w:space="0" w:color="auto"/>
              <w:right w:val="single" w:sz="6" w:space="0" w:color="auto"/>
            </w:tcBorders>
            <w:vAlign w:val="bottom"/>
            <w:hideMark/>
          </w:tcPr>
          <w:p w14:paraId="4352D8B8" w14:textId="77777777" w:rsidR="00247391" w:rsidRPr="00247391" w:rsidRDefault="00247391" w:rsidP="00247391">
            <w:pPr>
              <w:rPr>
                <w:rFonts w:cs="Arial"/>
                <w:sz w:val="22"/>
                <w:szCs w:val="22"/>
              </w:rPr>
            </w:pPr>
            <w:r w:rsidRPr="00247391">
              <w:rPr>
                <w:rFonts w:cs="Arial"/>
                <w:sz w:val="22"/>
                <w:szCs w:val="22"/>
              </w:rPr>
              <w:t>Coffee   </w:t>
            </w:r>
          </w:p>
        </w:tc>
        <w:tc>
          <w:tcPr>
            <w:tcW w:w="1785" w:type="dxa"/>
            <w:tcBorders>
              <w:top w:val="nil"/>
              <w:left w:val="nil"/>
              <w:bottom w:val="single" w:sz="6" w:space="0" w:color="auto"/>
              <w:right w:val="single" w:sz="6" w:space="0" w:color="auto"/>
            </w:tcBorders>
            <w:vAlign w:val="bottom"/>
            <w:hideMark/>
          </w:tcPr>
          <w:p w14:paraId="5C50D09A" w14:textId="77777777" w:rsidR="00247391" w:rsidRPr="00247391" w:rsidRDefault="00247391" w:rsidP="00247391">
            <w:pPr>
              <w:rPr>
                <w:rFonts w:cs="Arial"/>
                <w:sz w:val="22"/>
                <w:szCs w:val="22"/>
              </w:rPr>
            </w:pPr>
            <w:r w:rsidRPr="00247391">
              <w:rPr>
                <w:rFonts w:cs="Arial"/>
                <w:sz w:val="22"/>
                <w:szCs w:val="22"/>
              </w:rPr>
              <w:t>UN-REDD, A4C   </w:t>
            </w:r>
          </w:p>
        </w:tc>
        <w:tc>
          <w:tcPr>
            <w:tcW w:w="1035" w:type="dxa"/>
            <w:tcBorders>
              <w:top w:val="nil"/>
              <w:left w:val="nil"/>
              <w:bottom w:val="single" w:sz="6" w:space="0" w:color="auto"/>
              <w:right w:val="single" w:sz="6" w:space="0" w:color="auto"/>
            </w:tcBorders>
            <w:vAlign w:val="center"/>
            <w:hideMark/>
          </w:tcPr>
          <w:p w14:paraId="235F81E8"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22077295" w14:textId="77777777" w:rsidR="00247391" w:rsidRPr="00247391" w:rsidRDefault="00247391" w:rsidP="00247391">
            <w:pPr>
              <w:rPr>
                <w:rFonts w:cs="Arial"/>
                <w:sz w:val="22"/>
                <w:szCs w:val="22"/>
              </w:rPr>
            </w:pPr>
            <w:r w:rsidRPr="00247391">
              <w:rPr>
                <w:rFonts w:cs="Arial"/>
                <w:sz w:val="22"/>
                <w:szCs w:val="22"/>
              </w:rPr>
              <w:t>    </w:t>
            </w:r>
          </w:p>
        </w:tc>
        <w:tc>
          <w:tcPr>
            <w:tcW w:w="1035" w:type="dxa"/>
            <w:tcBorders>
              <w:top w:val="nil"/>
              <w:left w:val="nil"/>
              <w:bottom w:val="single" w:sz="6" w:space="0" w:color="auto"/>
              <w:right w:val="single" w:sz="6" w:space="0" w:color="auto"/>
            </w:tcBorders>
            <w:vAlign w:val="center"/>
            <w:hideMark/>
          </w:tcPr>
          <w:p w14:paraId="12C374AE" w14:textId="77777777" w:rsidR="00247391" w:rsidRPr="00247391" w:rsidRDefault="00247391" w:rsidP="00247391">
            <w:pPr>
              <w:rPr>
                <w:rFonts w:cs="Arial"/>
                <w:sz w:val="22"/>
                <w:szCs w:val="22"/>
              </w:rPr>
            </w:pPr>
            <w:r w:rsidRPr="00247391">
              <w:rPr>
                <w:rFonts w:cs="Arial"/>
                <w:sz w:val="22"/>
                <w:szCs w:val="22"/>
              </w:rPr>
              <w:t>    </w:t>
            </w:r>
          </w:p>
        </w:tc>
        <w:tc>
          <w:tcPr>
            <w:tcW w:w="1155" w:type="dxa"/>
            <w:tcBorders>
              <w:top w:val="nil"/>
              <w:left w:val="nil"/>
              <w:bottom w:val="single" w:sz="6" w:space="0" w:color="auto"/>
              <w:right w:val="single" w:sz="6" w:space="0" w:color="auto"/>
            </w:tcBorders>
            <w:vAlign w:val="center"/>
            <w:hideMark/>
          </w:tcPr>
          <w:p w14:paraId="6F5FF3AD" w14:textId="77777777" w:rsidR="00247391" w:rsidRPr="00247391" w:rsidRDefault="00247391" w:rsidP="00247391">
            <w:pPr>
              <w:rPr>
                <w:rFonts w:cs="Arial"/>
                <w:sz w:val="22"/>
                <w:szCs w:val="22"/>
              </w:rPr>
            </w:pPr>
            <w:r w:rsidRPr="00247391">
              <w:rPr>
                <w:rFonts w:cs="Arial"/>
                <w:sz w:val="22"/>
                <w:szCs w:val="22"/>
              </w:rPr>
              <w:t>    </w:t>
            </w:r>
          </w:p>
        </w:tc>
      </w:tr>
      <w:tr w:rsidR="00247391" w:rsidRPr="00247391" w14:paraId="32039F83"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52B96417" w14:textId="77777777" w:rsidR="00247391" w:rsidRPr="00247391" w:rsidRDefault="00247391" w:rsidP="00247391">
            <w:pPr>
              <w:rPr>
                <w:rFonts w:cs="Arial"/>
                <w:sz w:val="22"/>
                <w:szCs w:val="22"/>
              </w:rPr>
            </w:pPr>
            <w:r w:rsidRPr="00247391">
              <w:rPr>
                <w:rFonts w:cs="Arial"/>
                <w:sz w:val="22"/>
                <w:szCs w:val="22"/>
              </w:rPr>
              <w:t>Kenya   </w:t>
            </w:r>
          </w:p>
        </w:tc>
        <w:tc>
          <w:tcPr>
            <w:tcW w:w="1650" w:type="dxa"/>
            <w:tcBorders>
              <w:top w:val="nil"/>
              <w:left w:val="nil"/>
              <w:bottom w:val="single" w:sz="6" w:space="0" w:color="auto"/>
              <w:right w:val="single" w:sz="6" w:space="0" w:color="auto"/>
            </w:tcBorders>
            <w:vAlign w:val="bottom"/>
            <w:hideMark/>
          </w:tcPr>
          <w:p w14:paraId="2D41A91D" w14:textId="77777777" w:rsidR="00247391" w:rsidRPr="00247391" w:rsidRDefault="00247391" w:rsidP="00247391">
            <w:pPr>
              <w:rPr>
                <w:rFonts w:cs="Arial"/>
                <w:sz w:val="22"/>
                <w:szCs w:val="22"/>
              </w:rPr>
            </w:pPr>
            <w:r w:rsidRPr="00247391">
              <w:rPr>
                <w:rFonts w:cs="Arial"/>
                <w:sz w:val="22"/>
                <w:szCs w:val="22"/>
              </w:rPr>
              <w:t>Coffee   </w:t>
            </w:r>
          </w:p>
        </w:tc>
        <w:tc>
          <w:tcPr>
            <w:tcW w:w="1785" w:type="dxa"/>
            <w:tcBorders>
              <w:top w:val="nil"/>
              <w:left w:val="nil"/>
              <w:bottom w:val="single" w:sz="6" w:space="0" w:color="auto"/>
              <w:right w:val="single" w:sz="6" w:space="0" w:color="auto"/>
            </w:tcBorders>
            <w:vAlign w:val="bottom"/>
            <w:hideMark/>
          </w:tcPr>
          <w:p w14:paraId="4B018072" w14:textId="77777777" w:rsidR="00247391" w:rsidRPr="00247391" w:rsidRDefault="00247391" w:rsidP="00247391">
            <w:pPr>
              <w:rPr>
                <w:rFonts w:cs="Arial"/>
                <w:sz w:val="22"/>
                <w:szCs w:val="22"/>
              </w:rPr>
            </w:pPr>
            <w:r w:rsidRPr="00247391">
              <w:rPr>
                <w:rFonts w:cs="Arial"/>
                <w:sz w:val="22"/>
                <w:szCs w:val="22"/>
              </w:rPr>
              <w:t>A4C   </w:t>
            </w:r>
          </w:p>
        </w:tc>
        <w:tc>
          <w:tcPr>
            <w:tcW w:w="1035" w:type="dxa"/>
            <w:tcBorders>
              <w:top w:val="nil"/>
              <w:left w:val="nil"/>
              <w:bottom w:val="single" w:sz="6" w:space="0" w:color="auto"/>
              <w:right w:val="single" w:sz="6" w:space="0" w:color="auto"/>
            </w:tcBorders>
            <w:vAlign w:val="center"/>
            <w:hideMark/>
          </w:tcPr>
          <w:p w14:paraId="13A97720"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674BB4B4" w14:textId="77777777" w:rsidR="00247391" w:rsidRPr="00247391" w:rsidRDefault="00247391" w:rsidP="00247391">
            <w:pPr>
              <w:rPr>
                <w:rFonts w:cs="Arial"/>
                <w:sz w:val="22"/>
                <w:szCs w:val="22"/>
              </w:rPr>
            </w:pPr>
            <w:r w:rsidRPr="00247391">
              <w:rPr>
                <w:rFonts w:cs="Arial"/>
                <w:sz w:val="22"/>
                <w:szCs w:val="22"/>
              </w:rPr>
              <w:t>x   </w:t>
            </w:r>
          </w:p>
        </w:tc>
        <w:tc>
          <w:tcPr>
            <w:tcW w:w="1035" w:type="dxa"/>
            <w:tcBorders>
              <w:top w:val="nil"/>
              <w:left w:val="nil"/>
              <w:bottom w:val="single" w:sz="6" w:space="0" w:color="auto"/>
              <w:right w:val="single" w:sz="6" w:space="0" w:color="auto"/>
            </w:tcBorders>
            <w:vAlign w:val="center"/>
            <w:hideMark/>
          </w:tcPr>
          <w:p w14:paraId="5E60526D" w14:textId="77777777" w:rsidR="00247391" w:rsidRPr="00247391" w:rsidRDefault="00247391" w:rsidP="00247391">
            <w:pPr>
              <w:rPr>
                <w:rFonts w:cs="Arial"/>
                <w:sz w:val="22"/>
                <w:szCs w:val="22"/>
              </w:rPr>
            </w:pPr>
            <w:r w:rsidRPr="00247391">
              <w:rPr>
                <w:rFonts w:cs="Arial"/>
                <w:sz w:val="22"/>
                <w:szCs w:val="22"/>
              </w:rPr>
              <w:t>X   </w:t>
            </w:r>
          </w:p>
        </w:tc>
        <w:tc>
          <w:tcPr>
            <w:tcW w:w="1155" w:type="dxa"/>
            <w:tcBorders>
              <w:top w:val="nil"/>
              <w:left w:val="nil"/>
              <w:bottom w:val="single" w:sz="6" w:space="0" w:color="auto"/>
              <w:right w:val="single" w:sz="6" w:space="0" w:color="auto"/>
            </w:tcBorders>
            <w:vAlign w:val="center"/>
            <w:hideMark/>
          </w:tcPr>
          <w:p w14:paraId="30471529" w14:textId="77777777" w:rsidR="00247391" w:rsidRPr="00247391" w:rsidRDefault="00247391" w:rsidP="00247391">
            <w:pPr>
              <w:rPr>
                <w:rFonts w:cs="Arial"/>
                <w:sz w:val="22"/>
                <w:szCs w:val="22"/>
              </w:rPr>
            </w:pPr>
            <w:r w:rsidRPr="00247391">
              <w:rPr>
                <w:rFonts w:cs="Arial"/>
                <w:sz w:val="22"/>
                <w:szCs w:val="22"/>
              </w:rPr>
              <w:t>x   </w:t>
            </w:r>
          </w:p>
        </w:tc>
      </w:tr>
      <w:tr w:rsidR="00247391" w:rsidRPr="00247391" w14:paraId="745E2843"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500B215B" w14:textId="77777777" w:rsidR="00247391" w:rsidRPr="00247391" w:rsidRDefault="00247391" w:rsidP="00247391">
            <w:pPr>
              <w:rPr>
                <w:rFonts w:cs="Arial"/>
                <w:sz w:val="22"/>
                <w:szCs w:val="22"/>
              </w:rPr>
            </w:pPr>
            <w:r w:rsidRPr="00247391">
              <w:rPr>
                <w:rFonts w:cs="Arial"/>
                <w:sz w:val="22"/>
                <w:szCs w:val="22"/>
              </w:rPr>
              <w:t>Ethiopia   </w:t>
            </w:r>
          </w:p>
        </w:tc>
        <w:tc>
          <w:tcPr>
            <w:tcW w:w="1650" w:type="dxa"/>
            <w:tcBorders>
              <w:top w:val="nil"/>
              <w:left w:val="nil"/>
              <w:bottom w:val="single" w:sz="6" w:space="0" w:color="auto"/>
              <w:right w:val="single" w:sz="6" w:space="0" w:color="auto"/>
            </w:tcBorders>
            <w:vAlign w:val="bottom"/>
            <w:hideMark/>
          </w:tcPr>
          <w:p w14:paraId="560B85CF" w14:textId="77777777" w:rsidR="00247391" w:rsidRPr="00247391" w:rsidRDefault="00247391" w:rsidP="00247391">
            <w:pPr>
              <w:rPr>
                <w:rFonts w:cs="Arial"/>
                <w:sz w:val="22"/>
                <w:szCs w:val="22"/>
              </w:rPr>
            </w:pPr>
            <w:r w:rsidRPr="00247391">
              <w:rPr>
                <w:rFonts w:cs="Arial"/>
                <w:sz w:val="22"/>
                <w:szCs w:val="22"/>
              </w:rPr>
              <w:t>Coffee   </w:t>
            </w:r>
          </w:p>
        </w:tc>
        <w:tc>
          <w:tcPr>
            <w:tcW w:w="1785" w:type="dxa"/>
            <w:tcBorders>
              <w:top w:val="nil"/>
              <w:left w:val="nil"/>
              <w:bottom w:val="single" w:sz="6" w:space="0" w:color="auto"/>
              <w:right w:val="single" w:sz="6" w:space="0" w:color="auto"/>
            </w:tcBorders>
            <w:vAlign w:val="bottom"/>
            <w:hideMark/>
          </w:tcPr>
          <w:p w14:paraId="131949AB" w14:textId="77777777" w:rsidR="00247391" w:rsidRPr="00247391" w:rsidRDefault="00247391" w:rsidP="00247391">
            <w:pPr>
              <w:rPr>
                <w:rFonts w:cs="Arial"/>
                <w:sz w:val="22"/>
                <w:szCs w:val="22"/>
              </w:rPr>
            </w:pPr>
            <w:r w:rsidRPr="00247391">
              <w:rPr>
                <w:rFonts w:cs="Arial"/>
                <w:sz w:val="22"/>
                <w:szCs w:val="22"/>
              </w:rPr>
              <w:t>UN-REDD   </w:t>
            </w:r>
          </w:p>
        </w:tc>
        <w:tc>
          <w:tcPr>
            <w:tcW w:w="1035" w:type="dxa"/>
            <w:tcBorders>
              <w:top w:val="nil"/>
              <w:left w:val="nil"/>
              <w:bottom w:val="single" w:sz="6" w:space="0" w:color="auto"/>
              <w:right w:val="single" w:sz="6" w:space="0" w:color="auto"/>
            </w:tcBorders>
            <w:vAlign w:val="center"/>
            <w:hideMark/>
          </w:tcPr>
          <w:p w14:paraId="4C2BD513"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489A1D55" w14:textId="77777777" w:rsidR="00247391" w:rsidRPr="00247391" w:rsidRDefault="00247391" w:rsidP="00247391">
            <w:pPr>
              <w:rPr>
                <w:rFonts w:cs="Arial"/>
                <w:sz w:val="22"/>
                <w:szCs w:val="22"/>
              </w:rPr>
            </w:pPr>
            <w:r w:rsidRPr="00247391">
              <w:rPr>
                <w:rFonts w:cs="Arial"/>
                <w:sz w:val="22"/>
                <w:szCs w:val="22"/>
              </w:rPr>
              <w:t>    </w:t>
            </w:r>
          </w:p>
        </w:tc>
        <w:tc>
          <w:tcPr>
            <w:tcW w:w="1035" w:type="dxa"/>
            <w:tcBorders>
              <w:top w:val="nil"/>
              <w:left w:val="nil"/>
              <w:bottom w:val="single" w:sz="6" w:space="0" w:color="auto"/>
              <w:right w:val="single" w:sz="6" w:space="0" w:color="auto"/>
            </w:tcBorders>
            <w:vAlign w:val="center"/>
            <w:hideMark/>
          </w:tcPr>
          <w:p w14:paraId="5B642124" w14:textId="77777777" w:rsidR="00247391" w:rsidRPr="00247391" w:rsidRDefault="00247391" w:rsidP="00247391">
            <w:pPr>
              <w:rPr>
                <w:rFonts w:cs="Arial"/>
                <w:sz w:val="22"/>
                <w:szCs w:val="22"/>
              </w:rPr>
            </w:pPr>
            <w:r w:rsidRPr="00247391">
              <w:rPr>
                <w:rFonts w:cs="Arial"/>
                <w:sz w:val="22"/>
                <w:szCs w:val="22"/>
              </w:rPr>
              <w:t>X   </w:t>
            </w:r>
          </w:p>
        </w:tc>
        <w:tc>
          <w:tcPr>
            <w:tcW w:w="1155" w:type="dxa"/>
            <w:tcBorders>
              <w:top w:val="nil"/>
              <w:left w:val="nil"/>
              <w:bottom w:val="single" w:sz="6" w:space="0" w:color="auto"/>
              <w:right w:val="single" w:sz="6" w:space="0" w:color="auto"/>
            </w:tcBorders>
            <w:vAlign w:val="center"/>
            <w:hideMark/>
          </w:tcPr>
          <w:p w14:paraId="2B58450F" w14:textId="77777777" w:rsidR="00247391" w:rsidRPr="00247391" w:rsidRDefault="00247391" w:rsidP="00247391">
            <w:pPr>
              <w:rPr>
                <w:rFonts w:cs="Arial"/>
                <w:sz w:val="22"/>
                <w:szCs w:val="22"/>
              </w:rPr>
            </w:pPr>
            <w:r w:rsidRPr="00247391">
              <w:rPr>
                <w:rFonts w:cs="Arial"/>
                <w:sz w:val="22"/>
                <w:szCs w:val="22"/>
              </w:rPr>
              <w:t>x   </w:t>
            </w:r>
          </w:p>
        </w:tc>
      </w:tr>
      <w:tr w:rsidR="00247391" w:rsidRPr="00247391" w14:paraId="23F45094"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5B3B8E0C" w14:textId="77777777" w:rsidR="00247391" w:rsidRPr="00247391" w:rsidRDefault="00247391" w:rsidP="00247391">
            <w:pPr>
              <w:rPr>
                <w:rFonts w:cs="Arial"/>
                <w:sz w:val="22"/>
                <w:szCs w:val="22"/>
              </w:rPr>
            </w:pPr>
            <w:r w:rsidRPr="00247391">
              <w:rPr>
                <w:rFonts w:cs="Arial"/>
                <w:sz w:val="22"/>
                <w:szCs w:val="22"/>
              </w:rPr>
              <w:t>Cameroon   </w:t>
            </w:r>
          </w:p>
        </w:tc>
        <w:tc>
          <w:tcPr>
            <w:tcW w:w="1650" w:type="dxa"/>
            <w:tcBorders>
              <w:top w:val="nil"/>
              <w:left w:val="nil"/>
              <w:bottom w:val="single" w:sz="6" w:space="0" w:color="auto"/>
              <w:right w:val="single" w:sz="6" w:space="0" w:color="auto"/>
            </w:tcBorders>
            <w:vAlign w:val="bottom"/>
            <w:hideMark/>
          </w:tcPr>
          <w:p w14:paraId="16C53801" w14:textId="77777777" w:rsidR="00247391" w:rsidRPr="00247391" w:rsidRDefault="00247391" w:rsidP="00247391">
            <w:pPr>
              <w:rPr>
                <w:rFonts w:cs="Arial"/>
                <w:sz w:val="22"/>
                <w:szCs w:val="22"/>
              </w:rPr>
            </w:pPr>
            <w:r w:rsidRPr="00247391">
              <w:rPr>
                <w:rFonts w:cs="Arial"/>
                <w:sz w:val="22"/>
                <w:szCs w:val="22"/>
              </w:rPr>
              <w:t>Cocoa   </w:t>
            </w:r>
          </w:p>
        </w:tc>
        <w:tc>
          <w:tcPr>
            <w:tcW w:w="1785" w:type="dxa"/>
            <w:tcBorders>
              <w:top w:val="nil"/>
              <w:left w:val="nil"/>
              <w:bottom w:val="single" w:sz="6" w:space="0" w:color="auto"/>
              <w:right w:val="single" w:sz="6" w:space="0" w:color="auto"/>
            </w:tcBorders>
            <w:vAlign w:val="bottom"/>
            <w:hideMark/>
          </w:tcPr>
          <w:p w14:paraId="27024971" w14:textId="77777777" w:rsidR="00247391" w:rsidRPr="00247391" w:rsidRDefault="00247391" w:rsidP="00247391">
            <w:pPr>
              <w:rPr>
                <w:rFonts w:cs="Arial"/>
                <w:sz w:val="22"/>
                <w:szCs w:val="22"/>
              </w:rPr>
            </w:pPr>
            <w:r w:rsidRPr="00247391">
              <w:rPr>
                <w:rFonts w:cs="Arial"/>
                <w:sz w:val="22"/>
                <w:szCs w:val="22"/>
              </w:rPr>
              <w:t>SCP   </w:t>
            </w:r>
          </w:p>
        </w:tc>
        <w:tc>
          <w:tcPr>
            <w:tcW w:w="1035" w:type="dxa"/>
            <w:tcBorders>
              <w:top w:val="nil"/>
              <w:left w:val="nil"/>
              <w:bottom w:val="single" w:sz="6" w:space="0" w:color="auto"/>
              <w:right w:val="single" w:sz="6" w:space="0" w:color="auto"/>
            </w:tcBorders>
            <w:vAlign w:val="center"/>
            <w:hideMark/>
          </w:tcPr>
          <w:p w14:paraId="1DC84E0B"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2866B53E" w14:textId="77777777" w:rsidR="00247391" w:rsidRPr="00247391" w:rsidRDefault="00247391" w:rsidP="00247391">
            <w:pPr>
              <w:rPr>
                <w:rFonts w:cs="Arial"/>
                <w:sz w:val="22"/>
                <w:szCs w:val="22"/>
              </w:rPr>
            </w:pPr>
            <w:r w:rsidRPr="00247391">
              <w:rPr>
                <w:rFonts w:cs="Arial"/>
                <w:sz w:val="22"/>
                <w:szCs w:val="22"/>
              </w:rPr>
              <w:t>    </w:t>
            </w:r>
          </w:p>
        </w:tc>
        <w:tc>
          <w:tcPr>
            <w:tcW w:w="1035" w:type="dxa"/>
            <w:tcBorders>
              <w:top w:val="nil"/>
              <w:left w:val="nil"/>
              <w:bottom w:val="single" w:sz="6" w:space="0" w:color="auto"/>
              <w:right w:val="single" w:sz="6" w:space="0" w:color="auto"/>
            </w:tcBorders>
            <w:vAlign w:val="center"/>
            <w:hideMark/>
          </w:tcPr>
          <w:p w14:paraId="0743DCAD" w14:textId="77777777" w:rsidR="00247391" w:rsidRPr="00247391" w:rsidRDefault="00247391" w:rsidP="00247391">
            <w:pPr>
              <w:rPr>
                <w:rFonts w:cs="Arial"/>
                <w:sz w:val="22"/>
                <w:szCs w:val="22"/>
              </w:rPr>
            </w:pPr>
            <w:r w:rsidRPr="00247391">
              <w:rPr>
                <w:rFonts w:cs="Arial"/>
                <w:sz w:val="22"/>
                <w:szCs w:val="22"/>
              </w:rPr>
              <w:t>X   </w:t>
            </w:r>
          </w:p>
        </w:tc>
        <w:tc>
          <w:tcPr>
            <w:tcW w:w="1155" w:type="dxa"/>
            <w:tcBorders>
              <w:top w:val="nil"/>
              <w:left w:val="nil"/>
              <w:bottom w:val="single" w:sz="6" w:space="0" w:color="auto"/>
              <w:right w:val="single" w:sz="6" w:space="0" w:color="auto"/>
            </w:tcBorders>
            <w:vAlign w:val="center"/>
            <w:hideMark/>
          </w:tcPr>
          <w:p w14:paraId="51758175" w14:textId="77777777" w:rsidR="00247391" w:rsidRPr="00247391" w:rsidRDefault="00247391" w:rsidP="00247391">
            <w:pPr>
              <w:rPr>
                <w:rFonts w:cs="Arial"/>
                <w:sz w:val="22"/>
                <w:szCs w:val="22"/>
              </w:rPr>
            </w:pPr>
            <w:r w:rsidRPr="00247391">
              <w:rPr>
                <w:rFonts w:cs="Arial"/>
                <w:sz w:val="22"/>
                <w:szCs w:val="22"/>
              </w:rPr>
              <w:t>x   </w:t>
            </w:r>
          </w:p>
        </w:tc>
      </w:tr>
      <w:tr w:rsidR="00247391" w:rsidRPr="00247391" w14:paraId="002E6A8C"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6EC406E5" w14:textId="77777777" w:rsidR="00247391" w:rsidRPr="00247391" w:rsidRDefault="00247391" w:rsidP="00247391">
            <w:pPr>
              <w:rPr>
                <w:rFonts w:cs="Arial"/>
                <w:sz w:val="22"/>
                <w:szCs w:val="22"/>
              </w:rPr>
            </w:pPr>
            <w:r w:rsidRPr="00247391">
              <w:rPr>
                <w:rFonts w:cs="Arial"/>
                <w:sz w:val="22"/>
                <w:szCs w:val="22"/>
              </w:rPr>
              <w:t>Liberia   </w:t>
            </w:r>
          </w:p>
        </w:tc>
        <w:tc>
          <w:tcPr>
            <w:tcW w:w="1650" w:type="dxa"/>
            <w:tcBorders>
              <w:top w:val="nil"/>
              <w:left w:val="nil"/>
              <w:bottom w:val="single" w:sz="6" w:space="0" w:color="auto"/>
              <w:right w:val="single" w:sz="6" w:space="0" w:color="auto"/>
            </w:tcBorders>
            <w:vAlign w:val="bottom"/>
            <w:hideMark/>
          </w:tcPr>
          <w:p w14:paraId="714963D1" w14:textId="77777777" w:rsidR="00247391" w:rsidRPr="00247391" w:rsidRDefault="00247391" w:rsidP="00247391">
            <w:pPr>
              <w:rPr>
                <w:rFonts w:cs="Arial"/>
                <w:sz w:val="22"/>
                <w:szCs w:val="22"/>
              </w:rPr>
            </w:pPr>
            <w:r w:rsidRPr="00247391">
              <w:rPr>
                <w:rFonts w:cs="Arial"/>
                <w:sz w:val="22"/>
                <w:szCs w:val="22"/>
              </w:rPr>
              <w:t>Cocoa   </w:t>
            </w:r>
          </w:p>
        </w:tc>
        <w:tc>
          <w:tcPr>
            <w:tcW w:w="1785" w:type="dxa"/>
            <w:tcBorders>
              <w:top w:val="nil"/>
              <w:left w:val="nil"/>
              <w:bottom w:val="single" w:sz="6" w:space="0" w:color="auto"/>
              <w:right w:val="single" w:sz="6" w:space="0" w:color="auto"/>
            </w:tcBorders>
            <w:vAlign w:val="bottom"/>
            <w:hideMark/>
          </w:tcPr>
          <w:p w14:paraId="27874708" w14:textId="77777777" w:rsidR="00247391" w:rsidRPr="00247391" w:rsidRDefault="00247391" w:rsidP="00247391">
            <w:pPr>
              <w:rPr>
                <w:rFonts w:cs="Arial"/>
                <w:sz w:val="22"/>
                <w:szCs w:val="22"/>
              </w:rPr>
            </w:pPr>
            <w:r w:rsidRPr="00247391">
              <w:rPr>
                <w:rFonts w:cs="Arial"/>
                <w:sz w:val="22"/>
                <w:szCs w:val="22"/>
              </w:rPr>
              <w:t>    </w:t>
            </w:r>
          </w:p>
        </w:tc>
        <w:tc>
          <w:tcPr>
            <w:tcW w:w="1035" w:type="dxa"/>
            <w:tcBorders>
              <w:top w:val="nil"/>
              <w:left w:val="nil"/>
              <w:bottom w:val="single" w:sz="6" w:space="0" w:color="auto"/>
              <w:right w:val="single" w:sz="6" w:space="0" w:color="auto"/>
            </w:tcBorders>
            <w:vAlign w:val="center"/>
            <w:hideMark/>
          </w:tcPr>
          <w:p w14:paraId="0BBCCC5C"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64F89FB7" w14:textId="77777777" w:rsidR="00247391" w:rsidRPr="00247391" w:rsidRDefault="00247391" w:rsidP="00247391">
            <w:pPr>
              <w:rPr>
                <w:rFonts w:cs="Arial"/>
                <w:sz w:val="22"/>
                <w:szCs w:val="22"/>
              </w:rPr>
            </w:pPr>
            <w:r w:rsidRPr="00247391">
              <w:rPr>
                <w:rFonts w:cs="Arial"/>
                <w:sz w:val="22"/>
                <w:szCs w:val="22"/>
              </w:rPr>
              <w:t>x   </w:t>
            </w:r>
          </w:p>
        </w:tc>
        <w:tc>
          <w:tcPr>
            <w:tcW w:w="1035" w:type="dxa"/>
            <w:tcBorders>
              <w:top w:val="nil"/>
              <w:left w:val="nil"/>
              <w:bottom w:val="single" w:sz="6" w:space="0" w:color="auto"/>
              <w:right w:val="single" w:sz="6" w:space="0" w:color="auto"/>
            </w:tcBorders>
            <w:vAlign w:val="center"/>
            <w:hideMark/>
          </w:tcPr>
          <w:p w14:paraId="31141576" w14:textId="77777777" w:rsidR="00247391" w:rsidRPr="00247391" w:rsidRDefault="00247391" w:rsidP="00247391">
            <w:pPr>
              <w:rPr>
                <w:rFonts w:cs="Arial"/>
                <w:sz w:val="22"/>
                <w:szCs w:val="22"/>
              </w:rPr>
            </w:pPr>
            <w:r w:rsidRPr="00247391">
              <w:rPr>
                <w:rFonts w:cs="Arial"/>
                <w:sz w:val="22"/>
                <w:szCs w:val="22"/>
              </w:rPr>
              <w:t>X   </w:t>
            </w:r>
          </w:p>
        </w:tc>
        <w:tc>
          <w:tcPr>
            <w:tcW w:w="1155" w:type="dxa"/>
            <w:tcBorders>
              <w:top w:val="nil"/>
              <w:left w:val="nil"/>
              <w:bottom w:val="single" w:sz="6" w:space="0" w:color="auto"/>
              <w:right w:val="single" w:sz="6" w:space="0" w:color="auto"/>
            </w:tcBorders>
            <w:vAlign w:val="center"/>
            <w:hideMark/>
          </w:tcPr>
          <w:p w14:paraId="6A880B82" w14:textId="77777777" w:rsidR="00247391" w:rsidRPr="00247391" w:rsidRDefault="00247391" w:rsidP="00247391">
            <w:pPr>
              <w:rPr>
                <w:rFonts w:cs="Arial"/>
                <w:sz w:val="22"/>
                <w:szCs w:val="22"/>
              </w:rPr>
            </w:pPr>
            <w:r w:rsidRPr="00247391">
              <w:rPr>
                <w:rFonts w:cs="Arial"/>
                <w:sz w:val="22"/>
                <w:szCs w:val="22"/>
              </w:rPr>
              <w:t>x   </w:t>
            </w:r>
          </w:p>
        </w:tc>
      </w:tr>
      <w:tr w:rsidR="00247391" w:rsidRPr="00247391" w14:paraId="3E104130"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0FBA3B0E" w14:textId="77777777" w:rsidR="00247391" w:rsidRPr="00247391" w:rsidRDefault="00247391" w:rsidP="00247391">
            <w:pPr>
              <w:rPr>
                <w:rFonts w:cs="Arial"/>
                <w:sz w:val="22"/>
                <w:szCs w:val="22"/>
              </w:rPr>
            </w:pPr>
            <w:r w:rsidRPr="00247391">
              <w:rPr>
                <w:rFonts w:cs="Arial"/>
                <w:sz w:val="22"/>
                <w:szCs w:val="22"/>
              </w:rPr>
              <w:t>Indonesia   </w:t>
            </w:r>
          </w:p>
        </w:tc>
        <w:tc>
          <w:tcPr>
            <w:tcW w:w="1650" w:type="dxa"/>
            <w:tcBorders>
              <w:top w:val="nil"/>
              <w:left w:val="nil"/>
              <w:bottom w:val="single" w:sz="6" w:space="0" w:color="auto"/>
              <w:right w:val="single" w:sz="6" w:space="0" w:color="auto"/>
            </w:tcBorders>
            <w:vAlign w:val="bottom"/>
            <w:hideMark/>
          </w:tcPr>
          <w:p w14:paraId="7678326B" w14:textId="77777777" w:rsidR="00247391" w:rsidRPr="00247391" w:rsidRDefault="00247391" w:rsidP="00247391">
            <w:pPr>
              <w:rPr>
                <w:rFonts w:cs="Arial"/>
                <w:sz w:val="22"/>
                <w:szCs w:val="22"/>
              </w:rPr>
            </w:pPr>
            <w:r w:rsidRPr="00247391">
              <w:rPr>
                <w:rFonts w:cs="Arial"/>
                <w:sz w:val="22"/>
                <w:szCs w:val="22"/>
              </w:rPr>
              <w:t>Palm   </w:t>
            </w:r>
          </w:p>
        </w:tc>
        <w:tc>
          <w:tcPr>
            <w:tcW w:w="1785" w:type="dxa"/>
            <w:tcBorders>
              <w:top w:val="nil"/>
              <w:left w:val="nil"/>
              <w:bottom w:val="single" w:sz="6" w:space="0" w:color="auto"/>
              <w:right w:val="single" w:sz="6" w:space="0" w:color="auto"/>
            </w:tcBorders>
            <w:vAlign w:val="bottom"/>
            <w:hideMark/>
          </w:tcPr>
          <w:p w14:paraId="7C333320" w14:textId="77777777" w:rsidR="00247391" w:rsidRPr="00247391" w:rsidRDefault="00247391" w:rsidP="00247391">
            <w:pPr>
              <w:rPr>
                <w:rFonts w:cs="Arial"/>
                <w:sz w:val="22"/>
                <w:szCs w:val="22"/>
              </w:rPr>
            </w:pPr>
            <w:r w:rsidRPr="00247391">
              <w:rPr>
                <w:rFonts w:cs="Arial"/>
                <w:sz w:val="22"/>
                <w:szCs w:val="22"/>
              </w:rPr>
              <w:t>A4F   </w:t>
            </w:r>
          </w:p>
        </w:tc>
        <w:tc>
          <w:tcPr>
            <w:tcW w:w="1035" w:type="dxa"/>
            <w:tcBorders>
              <w:top w:val="nil"/>
              <w:left w:val="nil"/>
              <w:bottom w:val="single" w:sz="6" w:space="0" w:color="auto"/>
              <w:right w:val="single" w:sz="6" w:space="0" w:color="auto"/>
            </w:tcBorders>
            <w:vAlign w:val="center"/>
            <w:hideMark/>
          </w:tcPr>
          <w:p w14:paraId="533D5992"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73A2151F" w14:textId="77777777" w:rsidR="00247391" w:rsidRPr="00247391" w:rsidRDefault="00247391" w:rsidP="00247391">
            <w:pPr>
              <w:rPr>
                <w:rFonts w:cs="Arial"/>
                <w:sz w:val="22"/>
                <w:szCs w:val="22"/>
              </w:rPr>
            </w:pPr>
            <w:r w:rsidRPr="00247391">
              <w:rPr>
                <w:rFonts w:cs="Arial"/>
                <w:sz w:val="22"/>
                <w:szCs w:val="22"/>
              </w:rPr>
              <w:t>    </w:t>
            </w:r>
          </w:p>
        </w:tc>
        <w:tc>
          <w:tcPr>
            <w:tcW w:w="1035" w:type="dxa"/>
            <w:tcBorders>
              <w:top w:val="nil"/>
              <w:left w:val="nil"/>
              <w:bottom w:val="single" w:sz="6" w:space="0" w:color="auto"/>
              <w:right w:val="single" w:sz="6" w:space="0" w:color="auto"/>
            </w:tcBorders>
            <w:vAlign w:val="center"/>
            <w:hideMark/>
          </w:tcPr>
          <w:p w14:paraId="2C11335C" w14:textId="77777777" w:rsidR="00247391" w:rsidRPr="00247391" w:rsidRDefault="00247391" w:rsidP="00247391">
            <w:pPr>
              <w:rPr>
                <w:rFonts w:cs="Arial"/>
                <w:sz w:val="22"/>
                <w:szCs w:val="22"/>
              </w:rPr>
            </w:pPr>
            <w:r w:rsidRPr="00247391">
              <w:rPr>
                <w:rFonts w:cs="Arial"/>
                <w:sz w:val="22"/>
                <w:szCs w:val="22"/>
              </w:rPr>
              <w:t>X   </w:t>
            </w:r>
          </w:p>
        </w:tc>
        <w:tc>
          <w:tcPr>
            <w:tcW w:w="1155" w:type="dxa"/>
            <w:tcBorders>
              <w:top w:val="nil"/>
              <w:left w:val="nil"/>
              <w:bottom w:val="single" w:sz="6" w:space="0" w:color="auto"/>
              <w:right w:val="single" w:sz="6" w:space="0" w:color="auto"/>
            </w:tcBorders>
            <w:vAlign w:val="center"/>
            <w:hideMark/>
          </w:tcPr>
          <w:p w14:paraId="2AEC15E2" w14:textId="77777777" w:rsidR="00247391" w:rsidRPr="00247391" w:rsidRDefault="00247391" w:rsidP="00247391">
            <w:pPr>
              <w:rPr>
                <w:rFonts w:cs="Arial"/>
                <w:sz w:val="22"/>
                <w:szCs w:val="22"/>
              </w:rPr>
            </w:pPr>
            <w:r w:rsidRPr="00247391">
              <w:rPr>
                <w:rFonts w:cs="Arial"/>
                <w:sz w:val="22"/>
                <w:szCs w:val="22"/>
              </w:rPr>
              <w:t>x   </w:t>
            </w:r>
          </w:p>
        </w:tc>
      </w:tr>
      <w:tr w:rsidR="00247391" w:rsidRPr="00247391" w14:paraId="311E7E15"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10A1B039" w14:textId="77777777" w:rsidR="00247391" w:rsidRPr="00247391" w:rsidRDefault="00247391" w:rsidP="00247391">
            <w:pPr>
              <w:rPr>
                <w:rFonts w:cs="Arial"/>
                <w:sz w:val="22"/>
                <w:szCs w:val="22"/>
              </w:rPr>
            </w:pPr>
            <w:r w:rsidRPr="00247391">
              <w:rPr>
                <w:rFonts w:cs="Arial"/>
                <w:sz w:val="22"/>
                <w:szCs w:val="22"/>
              </w:rPr>
              <w:t>Viet Nam   </w:t>
            </w:r>
          </w:p>
        </w:tc>
        <w:tc>
          <w:tcPr>
            <w:tcW w:w="1650" w:type="dxa"/>
            <w:tcBorders>
              <w:top w:val="nil"/>
              <w:left w:val="nil"/>
              <w:bottom w:val="single" w:sz="6" w:space="0" w:color="auto"/>
              <w:right w:val="single" w:sz="6" w:space="0" w:color="auto"/>
            </w:tcBorders>
            <w:vAlign w:val="bottom"/>
            <w:hideMark/>
          </w:tcPr>
          <w:p w14:paraId="25F22FC2" w14:textId="77777777" w:rsidR="00247391" w:rsidRPr="00247391" w:rsidRDefault="00247391" w:rsidP="00247391">
            <w:pPr>
              <w:rPr>
                <w:rFonts w:cs="Arial"/>
                <w:sz w:val="22"/>
                <w:szCs w:val="22"/>
              </w:rPr>
            </w:pPr>
            <w:r w:rsidRPr="00247391">
              <w:rPr>
                <w:rFonts w:cs="Arial"/>
                <w:sz w:val="22"/>
                <w:szCs w:val="22"/>
              </w:rPr>
              <w:t>Rubber, coffee   </w:t>
            </w:r>
          </w:p>
        </w:tc>
        <w:tc>
          <w:tcPr>
            <w:tcW w:w="1785" w:type="dxa"/>
            <w:tcBorders>
              <w:top w:val="nil"/>
              <w:left w:val="nil"/>
              <w:bottom w:val="single" w:sz="6" w:space="0" w:color="auto"/>
              <w:right w:val="single" w:sz="6" w:space="0" w:color="auto"/>
            </w:tcBorders>
            <w:vAlign w:val="bottom"/>
            <w:hideMark/>
          </w:tcPr>
          <w:p w14:paraId="571EF007" w14:textId="77777777" w:rsidR="00247391" w:rsidRPr="00247391" w:rsidRDefault="00247391" w:rsidP="00247391">
            <w:pPr>
              <w:rPr>
                <w:rFonts w:cs="Arial"/>
                <w:sz w:val="22"/>
                <w:szCs w:val="22"/>
              </w:rPr>
            </w:pPr>
            <w:r w:rsidRPr="00247391">
              <w:rPr>
                <w:rFonts w:cs="Arial"/>
                <w:sz w:val="22"/>
                <w:szCs w:val="22"/>
              </w:rPr>
              <w:t>A4C   </w:t>
            </w:r>
          </w:p>
        </w:tc>
        <w:tc>
          <w:tcPr>
            <w:tcW w:w="1035" w:type="dxa"/>
            <w:tcBorders>
              <w:top w:val="nil"/>
              <w:left w:val="nil"/>
              <w:bottom w:val="single" w:sz="6" w:space="0" w:color="auto"/>
              <w:right w:val="single" w:sz="6" w:space="0" w:color="auto"/>
            </w:tcBorders>
            <w:vAlign w:val="center"/>
            <w:hideMark/>
          </w:tcPr>
          <w:p w14:paraId="58EB327B"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51FC6EC7" w14:textId="77777777" w:rsidR="00247391" w:rsidRPr="00247391" w:rsidRDefault="00247391" w:rsidP="00247391">
            <w:pPr>
              <w:rPr>
                <w:rFonts w:cs="Arial"/>
                <w:sz w:val="22"/>
                <w:szCs w:val="22"/>
              </w:rPr>
            </w:pPr>
            <w:r w:rsidRPr="00247391">
              <w:rPr>
                <w:rFonts w:cs="Arial"/>
                <w:sz w:val="22"/>
                <w:szCs w:val="22"/>
              </w:rPr>
              <w:t>x   </w:t>
            </w:r>
          </w:p>
        </w:tc>
        <w:tc>
          <w:tcPr>
            <w:tcW w:w="1035" w:type="dxa"/>
            <w:tcBorders>
              <w:top w:val="nil"/>
              <w:left w:val="nil"/>
              <w:bottom w:val="single" w:sz="6" w:space="0" w:color="auto"/>
              <w:right w:val="single" w:sz="6" w:space="0" w:color="auto"/>
            </w:tcBorders>
            <w:vAlign w:val="center"/>
            <w:hideMark/>
          </w:tcPr>
          <w:p w14:paraId="5C3296D1" w14:textId="77777777" w:rsidR="00247391" w:rsidRPr="00247391" w:rsidRDefault="00247391" w:rsidP="00247391">
            <w:pPr>
              <w:rPr>
                <w:rFonts w:cs="Arial"/>
                <w:sz w:val="22"/>
                <w:szCs w:val="22"/>
              </w:rPr>
            </w:pPr>
            <w:r w:rsidRPr="00247391">
              <w:rPr>
                <w:rFonts w:cs="Arial"/>
                <w:sz w:val="22"/>
                <w:szCs w:val="22"/>
              </w:rPr>
              <w:t>X   </w:t>
            </w:r>
          </w:p>
        </w:tc>
        <w:tc>
          <w:tcPr>
            <w:tcW w:w="1155" w:type="dxa"/>
            <w:tcBorders>
              <w:top w:val="nil"/>
              <w:left w:val="nil"/>
              <w:bottom w:val="single" w:sz="6" w:space="0" w:color="auto"/>
              <w:right w:val="single" w:sz="6" w:space="0" w:color="auto"/>
            </w:tcBorders>
            <w:vAlign w:val="center"/>
            <w:hideMark/>
          </w:tcPr>
          <w:p w14:paraId="1BD0B78E" w14:textId="77777777" w:rsidR="00247391" w:rsidRPr="00247391" w:rsidRDefault="00247391" w:rsidP="00247391">
            <w:pPr>
              <w:rPr>
                <w:rFonts w:cs="Arial"/>
                <w:sz w:val="22"/>
                <w:szCs w:val="22"/>
              </w:rPr>
            </w:pPr>
            <w:r w:rsidRPr="00247391">
              <w:rPr>
                <w:rFonts w:cs="Arial"/>
                <w:sz w:val="22"/>
                <w:szCs w:val="22"/>
              </w:rPr>
              <w:t>x   </w:t>
            </w:r>
          </w:p>
        </w:tc>
      </w:tr>
      <w:tr w:rsidR="00247391" w:rsidRPr="00247391" w14:paraId="303490DB" w14:textId="77777777">
        <w:trPr>
          <w:trHeight w:val="300"/>
        </w:trPr>
        <w:tc>
          <w:tcPr>
            <w:tcW w:w="1215" w:type="dxa"/>
            <w:tcBorders>
              <w:top w:val="nil"/>
              <w:left w:val="single" w:sz="6" w:space="0" w:color="auto"/>
              <w:bottom w:val="single" w:sz="6" w:space="0" w:color="auto"/>
              <w:right w:val="single" w:sz="6" w:space="0" w:color="auto"/>
            </w:tcBorders>
            <w:vAlign w:val="bottom"/>
            <w:hideMark/>
          </w:tcPr>
          <w:p w14:paraId="79D7A7A5" w14:textId="77777777" w:rsidR="00247391" w:rsidRPr="00247391" w:rsidRDefault="00247391" w:rsidP="00247391">
            <w:pPr>
              <w:rPr>
                <w:rFonts w:cs="Arial"/>
                <w:sz w:val="22"/>
                <w:szCs w:val="22"/>
              </w:rPr>
            </w:pPr>
            <w:r w:rsidRPr="00247391">
              <w:rPr>
                <w:rFonts w:cs="Arial"/>
                <w:sz w:val="22"/>
                <w:szCs w:val="22"/>
              </w:rPr>
              <w:t>Lao PDR   </w:t>
            </w:r>
          </w:p>
        </w:tc>
        <w:tc>
          <w:tcPr>
            <w:tcW w:w="1650" w:type="dxa"/>
            <w:tcBorders>
              <w:top w:val="nil"/>
              <w:left w:val="nil"/>
              <w:bottom w:val="single" w:sz="6" w:space="0" w:color="auto"/>
              <w:right w:val="single" w:sz="6" w:space="0" w:color="auto"/>
            </w:tcBorders>
            <w:vAlign w:val="bottom"/>
            <w:hideMark/>
          </w:tcPr>
          <w:p w14:paraId="614751BC" w14:textId="77777777" w:rsidR="00247391" w:rsidRPr="00247391" w:rsidRDefault="00247391" w:rsidP="00247391">
            <w:pPr>
              <w:rPr>
                <w:rFonts w:cs="Arial"/>
                <w:sz w:val="22"/>
                <w:szCs w:val="22"/>
              </w:rPr>
            </w:pPr>
            <w:r w:rsidRPr="00247391">
              <w:rPr>
                <w:rFonts w:cs="Arial"/>
                <w:sz w:val="22"/>
                <w:szCs w:val="22"/>
              </w:rPr>
              <w:t>Rubber, timber   </w:t>
            </w:r>
          </w:p>
        </w:tc>
        <w:tc>
          <w:tcPr>
            <w:tcW w:w="1785" w:type="dxa"/>
            <w:tcBorders>
              <w:top w:val="nil"/>
              <w:left w:val="nil"/>
              <w:bottom w:val="single" w:sz="6" w:space="0" w:color="auto"/>
              <w:right w:val="single" w:sz="6" w:space="0" w:color="auto"/>
            </w:tcBorders>
            <w:vAlign w:val="bottom"/>
            <w:hideMark/>
          </w:tcPr>
          <w:p w14:paraId="08178F9D" w14:textId="77777777" w:rsidR="00247391" w:rsidRPr="00247391" w:rsidRDefault="00247391" w:rsidP="00247391">
            <w:pPr>
              <w:rPr>
                <w:rFonts w:cs="Arial"/>
                <w:sz w:val="22"/>
                <w:szCs w:val="22"/>
              </w:rPr>
            </w:pPr>
            <w:r w:rsidRPr="00247391">
              <w:rPr>
                <w:rFonts w:cs="Arial"/>
                <w:sz w:val="22"/>
                <w:szCs w:val="22"/>
              </w:rPr>
              <w:t>A4C   </w:t>
            </w:r>
          </w:p>
        </w:tc>
        <w:tc>
          <w:tcPr>
            <w:tcW w:w="1035" w:type="dxa"/>
            <w:tcBorders>
              <w:top w:val="nil"/>
              <w:left w:val="nil"/>
              <w:bottom w:val="single" w:sz="6" w:space="0" w:color="auto"/>
              <w:right w:val="single" w:sz="6" w:space="0" w:color="auto"/>
            </w:tcBorders>
            <w:vAlign w:val="center"/>
            <w:hideMark/>
          </w:tcPr>
          <w:p w14:paraId="0AED263F" w14:textId="77777777" w:rsidR="00247391" w:rsidRPr="00247391" w:rsidRDefault="00247391" w:rsidP="00247391">
            <w:pPr>
              <w:rPr>
                <w:rFonts w:cs="Arial"/>
                <w:sz w:val="22"/>
                <w:szCs w:val="22"/>
              </w:rPr>
            </w:pPr>
            <w:r w:rsidRPr="00247391">
              <w:rPr>
                <w:rFonts w:cs="Arial"/>
                <w:sz w:val="22"/>
                <w:szCs w:val="22"/>
              </w:rPr>
              <w:t>x   </w:t>
            </w:r>
          </w:p>
        </w:tc>
        <w:tc>
          <w:tcPr>
            <w:tcW w:w="1080" w:type="dxa"/>
            <w:tcBorders>
              <w:top w:val="nil"/>
              <w:left w:val="nil"/>
              <w:bottom w:val="single" w:sz="6" w:space="0" w:color="auto"/>
              <w:right w:val="single" w:sz="6" w:space="0" w:color="auto"/>
            </w:tcBorders>
            <w:vAlign w:val="center"/>
            <w:hideMark/>
          </w:tcPr>
          <w:p w14:paraId="46E0F8CE" w14:textId="77777777" w:rsidR="00247391" w:rsidRPr="00247391" w:rsidRDefault="00247391" w:rsidP="00247391">
            <w:pPr>
              <w:rPr>
                <w:rFonts w:cs="Arial"/>
                <w:sz w:val="22"/>
                <w:szCs w:val="22"/>
              </w:rPr>
            </w:pPr>
            <w:r w:rsidRPr="00247391">
              <w:rPr>
                <w:rFonts w:cs="Arial"/>
                <w:sz w:val="22"/>
                <w:szCs w:val="22"/>
              </w:rPr>
              <w:t>x   </w:t>
            </w:r>
          </w:p>
        </w:tc>
        <w:tc>
          <w:tcPr>
            <w:tcW w:w="1035" w:type="dxa"/>
            <w:tcBorders>
              <w:top w:val="nil"/>
              <w:left w:val="nil"/>
              <w:bottom w:val="single" w:sz="6" w:space="0" w:color="auto"/>
              <w:right w:val="single" w:sz="6" w:space="0" w:color="auto"/>
            </w:tcBorders>
            <w:vAlign w:val="center"/>
            <w:hideMark/>
          </w:tcPr>
          <w:p w14:paraId="3FB5E056" w14:textId="77777777" w:rsidR="00247391" w:rsidRPr="00247391" w:rsidRDefault="00247391" w:rsidP="00247391">
            <w:pPr>
              <w:rPr>
                <w:rFonts w:cs="Arial"/>
                <w:sz w:val="22"/>
                <w:szCs w:val="22"/>
              </w:rPr>
            </w:pPr>
            <w:r w:rsidRPr="00247391">
              <w:rPr>
                <w:rFonts w:cs="Arial"/>
                <w:sz w:val="22"/>
                <w:szCs w:val="22"/>
              </w:rPr>
              <w:t>X   </w:t>
            </w:r>
          </w:p>
        </w:tc>
        <w:tc>
          <w:tcPr>
            <w:tcW w:w="1155" w:type="dxa"/>
            <w:tcBorders>
              <w:top w:val="nil"/>
              <w:left w:val="nil"/>
              <w:bottom w:val="single" w:sz="6" w:space="0" w:color="auto"/>
              <w:right w:val="single" w:sz="6" w:space="0" w:color="auto"/>
            </w:tcBorders>
            <w:vAlign w:val="center"/>
            <w:hideMark/>
          </w:tcPr>
          <w:p w14:paraId="3F6C137E" w14:textId="77777777" w:rsidR="00247391" w:rsidRPr="00247391" w:rsidRDefault="00247391" w:rsidP="00247391">
            <w:pPr>
              <w:rPr>
                <w:rFonts w:cs="Arial"/>
                <w:sz w:val="22"/>
                <w:szCs w:val="22"/>
              </w:rPr>
            </w:pPr>
            <w:r w:rsidRPr="00247391">
              <w:rPr>
                <w:rFonts w:cs="Arial"/>
                <w:sz w:val="22"/>
                <w:szCs w:val="22"/>
              </w:rPr>
              <w:t>x   </w:t>
            </w:r>
          </w:p>
        </w:tc>
      </w:tr>
    </w:tbl>
    <w:p w14:paraId="6BA5F15B" w14:textId="77777777" w:rsidR="00247391" w:rsidRPr="00247391" w:rsidRDefault="00247391" w:rsidP="00247391">
      <w:pPr>
        <w:rPr>
          <w:rFonts w:cs="Arial"/>
          <w:sz w:val="22"/>
          <w:szCs w:val="22"/>
        </w:rPr>
      </w:pPr>
      <w:r w:rsidRPr="00247391">
        <w:rPr>
          <w:rFonts w:cs="Arial"/>
          <w:sz w:val="22"/>
          <w:szCs w:val="22"/>
        </w:rPr>
        <w:t>A4F = UK funded AIM4Forests   </w:t>
      </w:r>
    </w:p>
    <w:p w14:paraId="58291B0E" w14:textId="77777777" w:rsidR="00247391" w:rsidRPr="00247391" w:rsidRDefault="00247391" w:rsidP="00247391">
      <w:pPr>
        <w:rPr>
          <w:rFonts w:cs="Arial"/>
          <w:sz w:val="22"/>
          <w:szCs w:val="22"/>
        </w:rPr>
      </w:pPr>
      <w:r w:rsidRPr="00247391">
        <w:rPr>
          <w:rFonts w:cs="Arial"/>
          <w:sz w:val="22"/>
          <w:szCs w:val="22"/>
        </w:rPr>
        <w:t>A4C = German funded AIM4Commodities   </w:t>
      </w:r>
    </w:p>
    <w:p w14:paraId="3BFFD09D" w14:textId="77777777" w:rsidR="00247391" w:rsidRPr="00247391" w:rsidRDefault="00247391" w:rsidP="00247391">
      <w:pPr>
        <w:rPr>
          <w:rFonts w:cs="Arial"/>
          <w:sz w:val="22"/>
          <w:szCs w:val="22"/>
        </w:rPr>
      </w:pPr>
      <w:r w:rsidRPr="00247391">
        <w:rPr>
          <w:rFonts w:cs="Arial"/>
          <w:sz w:val="22"/>
          <w:szCs w:val="22"/>
        </w:rPr>
        <w:t>SCP = Sustainable Cocoa Programme  </w:t>
      </w:r>
    </w:p>
    <w:p w14:paraId="5FF2D96C" w14:textId="77777777" w:rsidR="00247391" w:rsidRPr="00247391" w:rsidRDefault="00247391" w:rsidP="00247391">
      <w:pPr>
        <w:rPr>
          <w:rFonts w:cs="Arial"/>
          <w:sz w:val="22"/>
          <w:szCs w:val="22"/>
        </w:rPr>
      </w:pPr>
      <w:r w:rsidRPr="00247391">
        <w:rPr>
          <w:rFonts w:cs="Arial"/>
          <w:sz w:val="22"/>
          <w:szCs w:val="22"/>
        </w:rPr>
        <w:t> </w:t>
      </w:r>
    </w:p>
    <w:p w14:paraId="3F4AA76B" w14:textId="257331AC" w:rsidR="00A4710E" w:rsidRDefault="005A595A" w:rsidP="005A595A">
      <w:pPr>
        <w:rPr>
          <w:rFonts w:cs="Arial"/>
          <w:sz w:val="22"/>
          <w:szCs w:val="22"/>
        </w:rPr>
      </w:pPr>
      <w:r w:rsidRPr="005A595A">
        <w:rPr>
          <w:rFonts w:cs="Arial"/>
          <w:sz w:val="22"/>
          <w:szCs w:val="22"/>
        </w:rPr>
        <w:t> </w:t>
      </w:r>
    </w:p>
    <w:p w14:paraId="4F456B73" w14:textId="77777777" w:rsidR="00A4710E" w:rsidRDefault="00A4710E">
      <w:pPr>
        <w:rPr>
          <w:rFonts w:cs="Arial"/>
          <w:sz w:val="22"/>
          <w:szCs w:val="22"/>
        </w:rPr>
      </w:pPr>
      <w:r>
        <w:rPr>
          <w:rFonts w:cs="Arial"/>
          <w:sz w:val="22"/>
          <w:szCs w:val="22"/>
        </w:rPr>
        <w:br w:type="page"/>
      </w:r>
    </w:p>
    <w:p w14:paraId="2B260D80" w14:textId="77777777" w:rsidR="00A4710E" w:rsidRPr="00A4710E" w:rsidRDefault="00A4710E" w:rsidP="00A4710E">
      <w:pPr>
        <w:rPr>
          <w:rFonts w:cs="Arial"/>
          <w:sz w:val="22"/>
          <w:szCs w:val="22"/>
        </w:rPr>
      </w:pPr>
      <w:r w:rsidRPr="00A4710E">
        <w:rPr>
          <w:rFonts w:cs="Arial"/>
          <w:b/>
          <w:bCs/>
          <w:sz w:val="22"/>
          <w:szCs w:val="22"/>
          <w:u w:val="single"/>
        </w:rPr>
        <w:lastRenderedPageBreak/>
        <w:t>Annex D: Table showing the value of a 2-year extension </w:t>
      </w:r>
      <w:r w:rsidRPr="00A4710E">
        <w:rPr>
          <w:rFonts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3390"/>
        <w:gridCol w:w="4110"/>
      </w:tblGrid>
      <w:tr w:rsidR="00A4710E" w:rsidRPr="00A4710E" w14:paraId="1D25E425" w14:textId="7777777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DAE9F7"/>
            <w:vAlign w:val="center"/>
            <w:hideMark/>
          </w:tcPr>
          <w:p w14:paraId="6DE0B93F" w14:textId="77777777" w:rsidR="00A4710E" w:rsidRPr="00A4710E" w:rsidRDefault="00A4710E" w:rsidP="00A4710E">
            <w:pPr>
              <w:rPr>
                <w:rFonts w:cs="Arial"/>
                <w:sz w:val="22"/>
                <w:szCs w:val="22"/>
              </w:rPr>
            </w:pPr>
            <w:r w:rsidRPr="00A4710E">
              <w:rPr>
                <w:rFonts w:cs="Arial"/>
                <w:sz w:val="22"/>
                <w:szCs w:val="22"/>
              </w:rPr>
              <w:t> </w:t>
            </w:r>
            <w:r w:rsidRPr="00A4710E">
              <w:rPr>
                <w:rFonts w:cs="Arial"/>
                <w:b/>
                <w:bCs/>
                <w:i/>
                <w:iCs/>
                <w:sz w:val="22"/>
                <w:szCs w:val="22"/>
              </w:rPr>
              <w:t>Output </w:t>
            </w:r>
            <w:r w:rsidRPr="00A4710E">
              <w:rPr>
                <w:rFonts w:cs="Arial"/>
                <w:sz w:val="22"/>
                <w:szCs w:val="22"/>
              </w:rPr>
              <w:t> </w:t>
            </w:r>
          </w:p>
        </w:tc>
        <w:tc>
          <w:tcPr>
            <w:tcW w:w="3390" w:type="dxa"/>
            <w:tcBorders>
              <w:top w:val="single" w:sz="6" w:space="0" w:color="auto"/>
              <w:left w:val="single" w:sz="6" w:space="0" w:color="auto"/>
              <w:bottom w:val="single" w:sz="6" w:space="0" w:color="auto"/>
              <w:right w:val="single" w:sz="6" w:space="0" w:color="auto"/>
            </w:tcBorders>
            <w:shd w:val="clear" w:color="auto" w:fill="DAE9F7"/>
            <w:vAlign w:val="center"/>
            <w:hideMark/>
          </w:tcPr>
          <w:p w14:paraId="612F863E" w14:textId="77777777" w:rsidR="00A4710E" w:rsidRPr="00A4710E" w:rsidRDefault="00A4710E" w:rsidP="00A4710E">
            <w:pPr>
              <w:rPr>
                <w:rFonts w:cs="Arial"/>
                <w:sz w:val="22"/>
                <w:szCs w:val="22"/>
              </w:rPr>
            </w:pPr>
            <w:r w:rsidRPr="00A4710E">
              <w:rPr>
                <w:rFonts w:cs="Arial"/>
                <w:b/>
                <w:bCs/>
                <w:i/>
                <w:iCs/>
                <w:sz w:val="22"/>
                <w:szCs w:val="22"/>
              </w:rPr>
              <w:t>What can be achieved until 2028 </w:t>
            </w:r>
            <w:r w:rsidRPr="00A4710E">
              <w:rPr>
                <w:rFonts w:cs="Arial"/>
                <w:sz w:val="22"/>
                <w:szCs w:val="22"/>
              </w:rPr>
              <w:t> </w:t>
            </w:r>
          </w:p>
        </w:tc>
        <w:tc>
          <w:tcPr>
            <w:tcW w:w="4110" w:type="dxa"/>
            <w:tcBorders>
              <w:top w:val="single" w:sz="6" w:space="0" w:color="auto"/>
              <w:left w:val="single" w:sz="6" w:space="0" w:color="auto"/>
              <w:bottom w:val="single" w:sz="6" w:space="0" w:color="auto"/>
              <w:right w:val="single" w:sz="6" w:space="0" w:color="auto"/>
            </w:tcBorders>
            <w:shd w:val="clear" w:color="auto" w:fill="DAE9F7"/>
            <w:vAlign w:val="center"/>
            <w:hideMark/>
          </w:tcPr>
          <w:p w14:paraId="773DE923" w14:textId="77777777" w:rsidR="00A4710E" w:rsidRPr="00A4710E" w:rsidRDefault="00A4710E" w:rsidP="00A4710E">
            <w:pPr>
              <w:rPr>
                <w:rFonts w:cs="Arial"/>
                <w:sz w:val="22"/>
                <w:szCs w:val="22"/>
              </w:rPr>
            </w:pPr>
            <w:r w:rsidRPr="00A4710E">
              <w:rPr>
                <w:rFonts w:cs="Arial"/>
                <w:b/>
                <w:bCs/>
                <w:i/>
                <w:iCs/>
                <w:sz w:val="22"/>
                <w:szCs w:val="22"/>
              </w:rPr>
              <w:t>What can be achieved until 2030 </w:t>
            </w:r>
            <w:r w:rsidRPr="00A4710E">
              <w:rPr>
                <w:rFonts w:cs="Arial"/>
                <w:sz w:val="22"/>
                <w:szCs w:val="22"/>
              </w:rPr>
              <w:t> </w:t>
            </w:r>
          </w:p>
        </w:tc>
      </w:tr>
      <w:tr w:rsidR="00A4710E" w:rsidRPr="00A4710E" w14:paraId="471D0B94" w14:textId="77777777">
        <w:trPr>
          <w:trHeight w:val="300"/>
        </w:trPr>
        <w:tc>
          <w:tcPr>
            <w:tcW w:w="1965" w:type="dxa"/>
            <w:tcBorders>
              <w:top w:val="single" w:sz="6" w:space="0" w:color="auto"/>
              <w:left w:val="single" w:sz="6" w:space="0" w:color="auto"/>
              <w:bottom w:val="single" w:sz="6" w:space="0" w:color="auto"/>
              <w:right w:val="single" w:sz="6" w:space="0" w:color="auto"/>
            </w:tcBorders>
            <w:hideMark/>
          </w:tcPr>
          <w:p w14:paraId="51AE1FCE" w14:textId="77777777" w:rsidR="00A4710E" w:rsidRPr="00A4710E" w:rsidRDefault="00A4710E" w:rsidP="00A4710E">
            <w:pPr>
              <w:rPr>
                <w:rFonts w:cs="Arial"/>
                <w:sz w:val="22"/>
                <w:szCs w:val="22"/>
              </w:rPr>
            </w:pPr>
            <w:r w:rsidRPr="00A4710E">
              <w:rPr>
                <w:rFonts w:cs="Arial"/>
                <w:sz w:val="22"/>
                <w:szCs w:val="22"/>
              </w:rPr>
              <w:t>Development of technical solutions and alignment of methods for forest monitoring  </w:t>
            </w:r>
          </w:p>
        </w:tc>
        <w:tc>
          <w:tcPr>
            <w:tcW w:w="7500" w:type="dxa"/>
            <w:gridSpan w:val="2"/>
            <w:tcBorders>
              <w:top w:val="single" w:sz="6" w:space="0" w:color="auto"/>
              <w:left w:val="single" w:sz="6" w:space="0" w:color="auto"/>
              <w:bottom w:val="single" w:sz="6" w:space="0" w:color="auto"/>
              <w:right w:val="single" w:sz="6" w:space="0" w:color="auto"/>
            </w:tcBorders>
            <w:hideMark/>
          </w:tcPr>
          <w:p w14:paraId="2006FCCD" w14:textId="77777777" w:rsidR="00A4710E" w:rsidRPr="00A4710E" w:rsidRDefault="00A4710E" w:rsidP="00A4710E">
            <w:pPr>
              <w:rPr>
                <w:rFonts w:cs="Arial"/>
                <w:sz w:val="22"/>
                <w:szCs w:val="22"/>
              </w:rPr>
            </w:pPr>
            <w:r w:rsidRPr="00A4710E">
              <w:rPr>
                <w:rFonts w:cs="Arial"/>
                <w:sz w:val="22"/>
                <w:szCs w:val="22"/>
              </w:rPr>
              <w:t>The two outputs within this element are the key drivers of innovation for the programme through technical solutions, digital platforms, methodological solutions, novel capacity development, and enhanced engagement of youth and under-represented groups. These innovations respond to evolving contexts and a core global component of the programme that needs to continue throughout the programme, as it provides much of the foundation for transformation at the country level and the focus of technical interventions under several other programme outputs.   </w:t>
            </w:r>
          </w:p>
        </w:tc>
      </w:tr>
      <w:tr w:rsidR="00A4710E" w:rsidRPr="00A4710E" w14:paraId="5F39EBC3" w14:textId="77777777">
        <w:trPr>
          <w:trHeight w:val="300"/>
        </w:trPr>
        <w:tc>
          <w:tcPr>
            <w:tcW w:w="1965" w:type="dxa"/>
            <w:tcBorders>
              <w:top w:val="single" w:sz="6" w:space="0" w:color="auto"/>
              <w:left w:val="single" w:sz="6" w:space="0" w:color="auto"/>
              <w:bottom w:val="single" w:sz="6" w:space="0" w:color="auto"/>
              <w:right w:val="single" w:sz="6" w:space="0" w:color="auto"/>
            </w:tcBorders>
            <w:hideMark/>
          </w:tcPr>
          <w:p w14:paraId="40521511" w14:textId="77777777" w:rsidR="00A4710E" w:rsidRPr="00A4710E" w:rsidRDefault="00A4710E" w:rsidP="00A4710E">
            <w:pPr>
              <w:rPr>
                <w:rFonts w:cs="Arial"/>
                <w:sz w:val="22"/>
                <w:szCs w:val="22"/>
              </w:rPr>
            </w:pPr>
            <w:r w:rsidRPr="00A4710E">
              <w:rPr>
                <w:rFonts w:cs="Arial"/>
                <w:sz w:val="22"/>
                <w:szCs w:val="22"/>
              </w:rPr>
              <w:t>Forest monitoring for Indigenous Peoples (IP) </w:t>
            </w:r>
          </w:p>
        </w:tc>
        <w:tc>
          <w:tcPr>
            <w:tcW w:w="3390" w:type="dxa"/>
            <w:tcBorders>
              <w:top w:val="single" w:sz="6" w:space="0" w:color="auto"/>
              <w:left w:val="single" w:sz="6" w:space="0" w:color="auto"/>
              <w:bottom w:val="single" w:sz="6" w:space="0" w:color="auto"/>
              <w:right w:val="single" w:sz="6" w:space="0" w:color="auto"/>
            </w:tcBorders>
            <w:hideMark/>
          </w:tcPr>
          <w:p w14:paraId="27FF0106" w14:textId="77777777" w:rsidR="00A4710E" w:rsidRPr="00A4710E" w:rsidRDefault="00A4710E" w:rsidP="00A4710E">
            <w:pPr>
              <w:rPr>
                <w:rFonts w:cs="Arial"/>
                <w:sz w:val="22"/>
                <w:szCs w:val="22"/>
              </w:rPr>
            </w:pPr>
            <w:r w:rsidRPr="00A4710E">
              <w:rPr>
                <w:rFonts w:cs="Arial"/>
                <w:sz w:val="22"/>
                <w:szCs w:val="22"/>
              </w:rPr>
              <w:t>Until 2028, the IP-led Community of Practice will launch 4-5 thematic and regional chapters and produce a set of knowledge products, and improved capacities will begin emerging in IP and local communities themselves.  </w:t>
            </w:r>
          </w:p>
        </w:tc>
        <w:tc>
          <w:tcPr>
            <w:tcW w:w="4110" w:type="dxa"/>
            <w:tcBorders>
              <w:top w:val="single" w:sz="6" w:space="0" w:color="auto"/>
              <w:left w:val="single" w:sz="6" w:space="0" w:color="auto"/>
              <w:bottom w:val="single" w:sz="6" w:space="0" w:color="auto"/>
              <w:right w:val="single" w:sz="6" w:space="0" w:color="auto"/>
            </w:tcBorders>
            <w:hideMark/>
          </w:tcPr>
          <w:p w14:paraId="7CD70078" w14:textId="77777777" w:rsidR="00A4710E" w:rsidRPr="00A4710E" w:rsidRDefault="00A4710E" w:rsidP="00A4710E">
            <w:pPr>
              <w:rPr>
                <w:rFonts w:cs="Arial"/>
                <w:sz w:val="22"/>
                <w:szCs w:val="22"/>
              </w:rPr>
            </w:pPr>
            <w:r w:rsidRPr="00A4710E">
              <w:rPr>
                <w:rFonts w:cs="Arial"/>
                <w:sz w:val="22"/>
                <w:szCs w:val="22"/>
              </w:rPr>
              <w:t>An extension to 2030 will enable more sustainable embedding of capacities within the Community of Practice with IP and local communities and allow IP and local communities to secure their tenure and engage in climate finance opportunities, with further opportunities for replicable outcomes.  </w:t>
            </w:r>
          </w:p>
        </w:tc>
      </w:tr>
      <w:tr w:rsidR="00A4710E" w:rsidRPr="00A4710E" w14:paraId="2B523B7C" w14:textId="77777777">
        <w:trPr>
          <w:trHeight w:val="300"/>
        </w:trPr>
        <w:tc>
          <w:tcPr>
            <w:tcW w:w="1965" w:type="dxa"/>
            <w:tcBorders>
              <w:top w:val="single" w:sz="6" w:space="0" w:color="auto"/>
              <w:left w:val="single" w:sz="6" w:space="0" w:color="auto"/>
              <w:bottom w:val="single" w:sz="6" w:space="0" w:color="auto"/>
              <w:right w:val="single" w:sz="6" w:space="0" w:color="auto"/>
            </w:tcBorders>
            <w:hideMark/>
          </w:tcPr>
          <w:p w14:paraId="4C166E88" w14:textId="77777777" w:rsidR="00A4710E" w:rsidRPr="00A4710E" w:rsidRDefault="00A4710E" w:rsidP="00A4710E">
            <w:pPr>
              <w:rPr>
                <w:rFonts w:cs="Arial"/>
                <w:sz w:val="22"/>
                <w:szCs w:val="22"/>
              </w:rPr>
            </w:pPr>
            <w:r w:rsidRPr="00A4710E">
              <w:rPr>
                <w:rFonts w:cs="Arial"/>
                <w:sz w:val="22"/>
                <w:szCs w:val="22"/>
              </w:rPr>
              <w:t>Country-led planning  </w:t>
            </w:r>
          </w:p>
        </w:tc>
        <w:tc>
          <w:tcPr>
            <w:tcW w:w="3390" w:type="dxa"/>
            <w:tcBorders>
              <w:top w:val="single" w:sz="6" w:space="0" w:color="auto"/>
              <w:left w:val="single" w:sz="6" w:space="0" w:color="auto"/>
              <w:bottom w:val="single" w:sz="6" w:space="0" w:color="auto"/>
              <w:right w:val="single" w:sz="6" w:space="0" w:color="auto"/>
            </w:tcBorders>
            <w:hideMark/>
          </w:tcPr>
          <w:p w14:paraId="139B3751" w14:textId="77777777" w:rsidR="00A4710E" w:rsidRPr="00A4710E" w:rsidRDefault="00A4710E" w:rsidP="00A4710E">
            <w:pPr>
              <w:rPr>
                <w:rFonts w:cs="Arial"/>
                <w:sz w:val="22"/>
                <w:szCs w:val="22"/>
              </w:rPr>
            </w:pPr>
            <w:r w:rsidRPr="00A4710E">
              <w:rPr>
                <w:rFonts w:cs="Arial"/>
                <w:sz w:val="22"/>
                <w:szCs w:val="22"/>
              </w:rPr>
              <w:t>Until 2028, the country-led planning can work with stakeholders in countries over the course of approximately 4 years. This is only a short time frame for making a lasting contribution towards institutional embedding; in early 2025, after the two years of implementation, the mid-term review described the country-led planning process as “early stage of implementation”.  </w:t>
            </w:r>
          </w:p>
        </w:tc>
        <w:tc>
          <w:tcPr>
            <w:tcW w:w="4110" w:type="dxa"/>
            <w:tcBorders>
              <w:top w:val="single" w:sz="6" w:space="0" w:color="auto"/>
              <w:left w:val="single" w:sz="6" w:space="0" w:color="auto"/>
              <w:bottom w:val="single" w:sz="6" w:space="0" w:color="auto"/>
              <w:right w:val="single" w:sz="6" w:space="0" w:color="auto"/>
            </w:tcBorders>
            <w:hideMark/>
          </w:tcPr>
          <w:p w14:paraId="44A5E515" w14:textId="77777777" w:rsidR="00A4710E" w:rsidRPr="00A4710E" w:rsidRDefault="00A4710E" w:rsidP="00A4710E">
            <w:pPr>
              <w:rPr>
                <w:rFonts w:cs="Arial"/>
                <w:sz w:val="22"/>
                <w:szCs w:val="22"/>
              </w:rPr>
            </w:pPr>
            <w:r w:rsidRPr="00A4710E">
              <w:rPr>
                <w:rFonts w:cs="Arial"/>
                <w:sz w:val="22"/>
                <w:szCs w:val="22"/>
              </w:rPr>
              <w:t>Until 2030, the country-led planning process will have an extra two years to accompany stakeholders. An additional 2 years will enable achieving deeper institutional uptake and therefore sustainability and will also allow more time for replication of the CLP workflow by other GFOI partners for additional unanticipated impacts.  Expected timelines for institutional take-up can be </w:t>
            </w:r>
            <w:proofErr w:type="gramStart"/>
            <w:r w:rsidRPr="00A4710E">
              <w:rPr>
                <w:rFonts w:cs="Arial"/>
                <w:sz w:val="22"/>
                <w:szCs w:val="22"/>
              </w:rPr>
              <w:t>fairly prolonged</w:t>
            </w:r>
            <w:proofErr w:type="gramEnd"/>
            <w:r w:rsidRPr="00A4710E">
              <w:rPr>
                <w:rFonts w:cs="Arial"/>
                <w:sz w:val="22"/>
                <w:szCs w:val="22"/>
              </w:rPr>
              <w:t>, so an extension at this point of the programme is determined as valuable. </w:t>
            </w:r>
          </w:p>
        </w:tc>
      </w:tr>
      <w:tr w:rsidR="00A4710E" w:rsidRPr="00A4710E" w14:paraId="64B0742C" w14:textId="77777777">
        <w:trPr>
          <w:trHeight w:val="300"/>
        </w:trPr>
        <w:tc>
          <w:tcPr>
            <w:tcW w:w="1965" w:type="dxa"/>
            <w:tcBorders>
              <w:top w:val="single" w:sz="6" w:space="0" w:color="auto"/>
              <w:left w:val="single" w:sz="6" w:space="0" w:color="auto"/>
              <w:bottom w:val="single" w:sz="6" w:space="0" w:color="auto"/>
              <w:right w:val="single" w:sz="6" w:space="0" w:color="auto"/>
            </w:tcBorders>
            <w:hideMark/>
          </w:tcPr>
          <w:p w14:paraId="0CC0CA42" w14:textId="77777777" w:rsidR="00A4710E" w:rsidRPr="00A4710E" w:rsidRDefault="00A4710E" w:rsidP="00A4710E">
            <w:pPr>
              <w:rPr>
                <w:rFonts w:cs="Arial"/>
                <w:sz w:val="22"/>
                <w:szCs w:val="22"/>
              </w:rPr>
            </w:pPr>
            <w:r w:rsidRPr="00A4710E">
              <w:rPr>
                <w:rFonts w:cs="Arial"/>
                <w:sz w:val="22"/>
                <w:szCs w:val="22"/>
              </w:rPr>
              <w:t>MRV and climate finance (in-country technical assistance)  </w:t>
            </w:r>
          </w:p>
        </w:tc>
        <w:tc>
          <w:tcPr>
            <w:tcW w:w="3390" w:type="dxa"/>
            <w:tcBorders>
              <w:top w:val="single" w:sz="6" w:space="0" w:color="auto"/>
              <w:left w:val="single" w:sz="6" w:space="0" w:color="auto"/>
              <w:bottom w:val="single" w:sz="6" w:space="0" w:color="auto"/>
              <w:right w:val="single" w:sz="6" w:space="0" w:color="auto"/>
            </w:tcBorders>
            <w:hideMark/>
          </w:tcPr>
          <w:p w14:paraId="5B1C0105" w14:textId="77777777" w:rsidR="00A4710E" w:rsidRPr="00A4710E" w:rsidRDefault="00A4710E" w:rsidP="00A4710E">
            <w:pPr>
              <w:rPr>
                <w:rFonts w:cs="Arial"/>
                <w:sz w:val="22"/>
                <w:szCs w:val="22"/>
              </w:rPr>
            </w:pPr>
            <w:r w:rsidRPr="00A4710E">
              <w:rPr>
                <w:rFonts w:cs="Arial"/>
                <w:sz w:val="22"/>
                <w:szCs w:val="22"/>
              </w:rPr>
              <w:t>Until 2028, the programme can accompany countries in their efforts to access climate finance and make initial steps towards participation in Article 6 and the TFFF.   </w:t>
            </w:r>
          </w:p>
          <w:p w14:paraId="5C5FFBC0" w14:textId="77777777" w:rsidR="00A4710E" w:rsidRPr="00A4710E" w:rsidRDefault="00A4710E" w:rsidP="00A4710E">
            <w:pPr>
              <w:numPr>
                <w:ilvl w:val="0"/>
                <w:numId w:val="126"/>
              </w:numPr>
              <w:rPr>
                <w:rFonts w:cs="Arial"/>
                <w:sz w:val="22"/>
                <w:szCs w:val="22"/>
              </w:rPr>
            </w:pPr>
            <w:r w:rsidRPr="00A4710E">
              <w:rPr>
                <w:rFonts w:cs="Arial"/>
                <w:sz w:val="22"/>
                <w:szCs w:val="22"/>
              </w:rPr>
              <w:t>Many countries have NDCs with 2030 as a target year, before that leaving more flexibility  </w:t>
            </w:r>
          </w:p>
          <w:p w14:paraId="6949D3E8" w14:textId="77777777" w:rsidR="00A4710E" w:rsidRPr="00A4710E" w:rsidRDefault="00A4710E" w:rsidP="00A4710E">
            <w:pPr>
              <w:numPr>
                <w:ilvl w:val="0"/>
                <w:numId w:val="127"/>
              </w:numPr>
              <w:rPr>
                <w:rFonts w:cs="Arial"/>
                <w:sz w:val="22"/>
                <w:szCs w:val="22"/>
              </w:rPr>
            </w:pPr>
            <w:r w:rsidRPr="00A4710E">
              <w:rPr>
                <w:rFonts w:cs="Arial"/>
                <w:sz w:val="22"/>
                <w:szCs w:val="22"/>
              </w:rPr>
              <w:lastRenderedPageBreak/>
              <w:t>Current NDCs often only have supported targets and NDC updates that become relevant only closer to 2030  </w:t>
            </w:r>
          </w:p>
          <w:p w14:paraId="50535F58" w14:textId="77777777" w:rsidR="00A4710E" w:rsidRPr="00A4710E" w:rsidRDefault="00A4710E" w:rsidP="00A4710E">
            <w:pPr>
              <w:numPr>
                <w:ilvl w:val="0"/>
                <w:numId w:val="128"/>
              </w:numPr>
              <w:rPr>
                <w:rFonts w:cs="Arial"/>
                <w:sz w:val="22"/>
                <w:szCs w:val="22"/>
              </w:rPr>
            </w:pPr>
            <w:r w:rsidRPr="00A4710E">
              <w:rPr>
                <w:rFonts w:cs="Arial"/>
                <w:sz w:val="22"/>
                <w:szCs w:val="22"/>
              </w:rPr>
              <w:t>Only in 2030, ART-TREES requires transition to national-scale mitigation  </w:t>
            </w:r>
          </w:p>
        </w:tc>
        <w:tc>
          <w:tcPr>
            <w:tcW w:w="4110" w:type="dxa"/>
            <w:tcBorders>
              <w:top w:val="single" w:sz="6" w:space="0" w:color="auto"/>
              <w:left w:val="single" w:sz="6" w:space="0" w:color="auto"/>
              <w:bottom w:val="single" w:sz="6" w:space="0" w:color="auto"/>
              <w:right w:val="single" w:sz="6" w:space="0" w:color="auto"/>
            </w:tcBorders>
            <w:hideMark/>
          </w:tcPr>
          <w:p w14:paraId="297D9AAC" w14:textId="77777777" w:rsidR="00A4710E" w:rsidRPr="00A4710E" w:rsidRDefault="00A4710E" w:rsidP="00A4710E">
            <w:pPr>
              <w:rPr>
                <w:rFonts w:cs="Arial"/>
                <w:sz w:val="22"/>
                <w:szCs w:val="22"/>
              </w:rPr>
            </w:pPr>
            <w:r w:rsidRPr="00A4710E">
              <w:rPr>
                <w:rFonts w:cs="Arial"/>
                <w:sz w:val="22"/>
                <w:szCs w:val="22"/>
              </w:rPr>
              <w:lastRenderedPageBreak/>
              <w:t xml:space="preserve">From 2030 onwards, MRV and climate finance will increasingly need to be considered in the context of NDC. Extending the programme to 2030 will enable AIM4Forests to accompany countries in their efforts to better embed climate finance efforts with their national mitigation strategies. This demand will increase closer to NDC target years, as NDCs are increasingly </w:t>
            </w:r>
            <w:r w:rsidRPr="00A4710E">
              <w:rPr>
                <w:rFonts w:cs="Arial"/>
                <w:sz w:val="22"/>
                <w:szCs w:val="22"/>
              </w:rPr>
              <w:lastRenderedPageBreak/>
              <w:t>updated and as subnational programmes transition to national programmes.  </w:t>
            </w:r>
          </w:p>
          <w:p w14:paraId="52A37AF2" w14:textId="77777777" w:rsidR="00A4710E" w:rsidRPr="00A4710E" w:rsidRDefault="00A4710E" w:rsidP="00A4710E">
            <w:pPr>
              <w:rPr>
                <w:rFonts w:cs="Arial"/>
                <w:sz w:val="22"/>
                <w:szCs w:val="22"/>
              </w:rPr>
            </w:pPr>
            <w:r w:rsidRPr="00A4710E">
              <w:rPr>
                <w:rFonts w:cs="Arial"/>
                <w:sz w:val="22"/>
                <w:szCs w:val="22"/>
              </w:rPr>
              <w:t>There will also be opportunities to further support work under REDD+ programming, including the new SCALE programme (which has only just begun activities) as well as under the LEAF Coalition. Both </w:t>
            </w:r>
            <w:proofErr w:type="gramStart"/>
            <w:r w:rsidRPr="00A4710E">
              <w:rPr>
                <w:rFonts w:cs="Arial"/>
                <w:sz w:val="22"/>
                <w:szCs w:val="22"/>
              </w:rPr>
              <w:t>are able to</w:t>
            </w:r>
            <w:proofErr w:type="gramEnd"/>
            <w:r w:rsidRPr="00A4710E">
              <w:rPr>
                <w:rFonts w:cs="Arial"/>
                <w:sz w:val="22"/>
                <w:szCs w:val="22"/>
              </w:rPr>
              <w:t> use the ART/TREES methodology, and further support will be required by countries wishing to undertake activities to reduce emissions and be rewarded for these and undertake MRV for this. SCALE funding runs to 2034, and the LEAF Coalition is set to end in 2030. </w:t>
            </w:r>
          </w:p>
        </w:tc>
      </w:tr>
      <w:tr w:rsidR="00A4710E" w:rsidRPr="00A4710E" w14:paraId="14E80B36" w14:textId="77777777">
        <w:trPr>
          <w:trHeight w:val="300"/>
        </w:trPr>
        <w:tc>
          <w:tcPr>
            <w:tcW w:w="1965" w:type="dxa"/>
            <w:tcBorders>
              <w:top w:val="single" w:sz="6" w:space="0" w:color="auto"/>
              <w:left w:val="single" w:sz="6" w:space="0" w:color="auto"/>
              <w:bottom w:val="single" w:sz="6" w:space="0" w:color="auto"/>
              <w:right w:val="single" w:sz="6" w:space="0" w:color="auto"/>
            </w:tcBorders>
            <w:hideMark/>
          </w:tcPr>
          <w:p w14:paraId="6065A927" w14:textId="77777777" w:rsidR="00A4710E" w:rsidRPr="00A4710E" w:rsidRDefault="00A4710E" w:rsidP="00A4710E">
            <w:pPr>
              <w:rPr>
                <w:rFonts w:cs="Arial"/>
                <w:sz w:val="22"/>
                <w:szCs w:val="22"/>
              </w:rPr>
            </w:pPr>
            <w:r w:rsidRPr="00A4710E">
              <w:rPr>
                <w:rFonts w:cs="Arial"/>
                <w:sz w:val="22"/>
                <w:szCs w:val="22"/>
              </w:rPr>
              <w:lastRenderedPageBreak/>
              <w:t>Nature restoration monitoring  </w:t>
            </w:r>
          </w:p>
        </w:tc>
        <w:tc>
          <w:tcPr>
            <w:tcW w:w="3390" w:type="dxa"/>
            <w:tcBorders>
              <w:top w:val="single" w:sz="6" w:space="0" w:color="auto"/>
              <w:left w:val="single" w:sz="6" w:space="0" w:color="auto"/>
              <w:bottom w:val="single" w:sz="6" w:space="0" w:color="auto"/>
              <w:right w:val="single" w:sz="6" w:space="0" w:color="auto"/>
            </w:tcBorders>
            <w:hideMark/>
          </w:tcPr>
          <w:p w14:paraId="37172FF5" w14:textId="77777777" w:rsidR="00A4710E" w:rsidRPr="00A4710E" w:rsidRDefault="00A4710E" w:rsidP="00A4710E">
            <w:pPr>
              <w:rPr>
                <w:rFonts w:cs="Arial"/>
                <w:sz w:val="22"/>
                <w:szCs w:val="22"/>
              </w:rPr>
            </w:pPr>
            <w:r w:rsidRPr="00A4710E">
              <w:rPr>
                <w:rFonts w:cs="Arial"/>
                <w:sz w:val="22"/>
                <w:szCs w:val="22"/>
              </w:rPr>
              <w:t>Until 2028, the AIM4Nature programme can accompany the 2026 KMGBF reporting, i.e., its first cycle, which is likely to stretch well into 2027.   </w:t>
            </w:r>
          </w:p>
        </w:tc>
        <w:tc>
          <w:tcPr>
            <w:tcW w:w="4110" w:type="dxa"/>
            <w:tcBorders>
              <w:top w:val="single" w:sz="6" w:space="0" w:color="auto"/>
              <w:left w:val="single" w:sz="6" w:space="0" w:color="auto"/>
              <w:bottom w:val="single" w:sz="6" w:space="0" w:color="auto"/>
              <w:right w:val="single" w:sz="6" w:space="0" w:color="auto"/>
            </w:tcBorders>
            <w:hideMark/>
          </w:tcPr>
          <w:p w14:paraId="0F97AE56" w14:textId="77777777" w:rsidR="00A4710E" w:rsidRPr="00A4710E" w:rsidRDefault="00A4710E" w:rsidP="00A4710E">
            <w:pPr>
              <w:rPr>
                <w:rFonts w:cs="Arial"/>
                <w:sz w:val="22"/>
                <w:szCs w:val="22"/>
              </w:rPr>
            </w:pPr>
            <w:r w:rsidRPr="00A4710E">
              <w:rPr>
                <w:rFonts w:cs="Arial"/>
                <w:sz w:val="22"/>
                <w:szCs w:val="22"/>
              </w:rPr>
              <w:t>Until 2030, the AIM4Nature programme can accompany both the 2026 and the 2029 country reporting. Supporting countries in two cycles will enable deeper embedding the reporting into country processes and achieve the desired impact.  </w:t>
            </w:r>
          </w:p>
          <w:p w14:paraId="4907D509" w14:textId="77777777" w:rsidR="00A4710E" w:rsidRPr="00A4710E" w:rsidRDefault="00A4710E" w:rsidP="00A4710E">
            <w:pPr>
              <w:rPr>
                <w:rFonts w:cs="Arial"/>
                <w:sz w:val="22"/>
                <w:szCs w:val="22"/>
              </w:rPr>
            </w:pPr>
            <w:r w:rsidRPr="00A4710E">
              <w:rPr>
                <w:rFonts w:cs="Arial"/>
                <w:sz w:val="22"/>
                <w:szCs w:val="22"/>
              </w:rPr>
              <w:t> </w:t>
            </w:r>
          </w:p>
          <w:p w14:paraId="4C849229" w14:textId="77777777" w:rsidR="00A4710E" w:rsidRPr="00A4710E" w:rsidRDefault="00A4710E" w:rsidP="00A4710E">
            <w:pPr>
              <w:rPr>
                <w:rFonts w:cs="Arial"/>
                <w:sz w:val="22"/>
                <w:szCs w:val="22"/>
              </w:rPr>
            </w:pPr>
            <w:r w:rsidRPr="00A4710E">
              <w:rPr>
                <w:rFonts w:cs="Arial"/>
                <w:sz w:val="22"/>
                <w:szCs w:val="22"/>
              </w:rPr>
              <w:t>It would also allow us to significantly increase the number of countries supported to report on nature restoration to the CBD from 25 countries in 2028, to 40 countries in 2030. Additionally, there could be a further 3 regional workshops held, and a greater number of countries which would be able to be involved in the co-development of the global-scale dataset on nature restoration.  </w:t>
            </w:r>
          </w:p>
        </w:tc>
      </w:tr>
      <w:tr w:rsidR="00A4710E" w:rsidRPr="00A4710E" w14:paraId="4445CD41" w14:textId="77777777">
        <w:trPr>
          <w:trHeight w:val="300"/>
        </w:trPr>
        <w:tc>
          <w:tcPr>
            <w:tcW w:w="1965" w:type="dxa"/>
            <w:tcBorders>
              <w:top w:val="single" w:sz="6" w:space="0" w:color="auto"/>
              <w:left w:val="single" w:sz="6" w:space="0" w:color="auto"/>
              <w:bottom w:val="single" w:sz="6" w:space="0" w:color="auto"/>
              <w:right w:val="single" w:sz="6" w:space="0" w:color="auto"/>
            </w:tcBorders>
            <w:hideMark/>
          </w:tcPr>
          <w:p w14:paraId="2502C1B4" w14:textId="77777777" w:rsidR="00A4710E" w:rsidRPr="00A4710E" w:rsidRDefault="00A4710E" w:rsidP="00A4710E">
            <w:pPr>
              <w:rPr>
                <w:rFonts w:cs="Arial"/>
                <w:sz w:val="22"/>
                <w:szCs w:val="22"/>
              </w:rPr>
            </w:pPr>
            <w:r w:rsidRPr="00A4710E">
              <w:rPr>
                <w:rFonts w:cs="Arial"/>
                <w:sz w:val="22"/>
                <w:szCs w:val="22"/>
              </w:rPr>
              <w:t>Transparent commodity value chains  </w:t>
            </w:r>
          </w:p>
        </w:tc>
        <w:tc>
          <w:tcPr>
            <w:tcW w:w="3390" w:type="dxa"/>
            <w:tcBorders>
              <w:top w:val="single" w:sz="6" w:space="0" w:color="auto"/>
              <w:left w:val="single" w:sz="6" w:space="0" w:color="auto"/>
              <w:bottom w:val="single" w:sz="6" w:space="0" w:color="auto"/>
              <w:right w:val="single" w:sz="6" w:space="0" w:color="auto"/>
            </w:tcBorders>
            <w:hideMark/>
          </w:tcPr>
          <w:p w14:paraId="75CDDADF" w14:textId="77777777" w:rsidR="00A4710E" w:rsidRPr="00A4710E" w:rsidRDefault="00A4710E" w:rsidP="00A4710E">
            <w:pPr>
              <w:rPr>
                <w:rFonts w:cs="Arial"/>
                <w:sz w:val="22"/>
                <w:szCs w:val="22"/>
              </w:rPr>
            </w:pPr>
            <w:r w:rsidRPr="00A4710E">
              <w:rPr>
                <w:rFonts w:cs="Arial"/>
                <w:sz w:val="22"/>
                <w:szCs w:val="22"/>
              </w:rPr>
              <w:t>Until 2028, the programme can develop minimum viable products for a comprehensive digital public infrastructure to include Open Foris Whisp and Ground (which benefitted from investment under AIM4forests in 2023-2024), but also the </w:t>
            </w:r>
            <w:proofErr w:type="spellStart"/>
            <w:r w:rsidRPr="00A4710E">
              <w:rPr>
                <w:rFonts w:cs="Arial"/>
                <w:sz w:val="22"/>
                <w:szCs w:val="22"/>
              </w:rPr>
              <w:t>geoIDs</w:t>
            </w:r>
            <w:proofErr w:type="spellEnd"/>
            <w:r w:rsidRPr="00A4710E">
              <w:rPr>
                <w:rFonts w:cs="Arial"/>
                <w:sz w:val="22"/>
                <w:szCs w:val="22"/>
              </w:rPr>
              <w:t> and the crucial integration with traceability platforms – and the national forest monitoring systems themselves.  </w:t>
            </w:r>
          </w:p>
          <w:p w14:paraId="75529DF6" w14:textId="77777777" w:rsidR="00A4710E" w:rsidRPr="00A4710E" w:rsidRDefault="00A4710E" w:rsidP="00A4710E">
            <w:pPr>
              <w:rPr>
                <w:rFonts w:cs="Arial"/>
                <w:sz w:val="22"/>
                <w:szCs w:val="22"/>
              </w:rPr>
            </w:pPr>
            <w:r w:rsidRPr="00A4710E">
              <w:rPr>
                <w:rFonts w:cs="Arial"/>
                <w:sz w:val="22"/>
                <w:szCs w:val="22"/>
              </w:rPr>
              <w:lastRenderedPageBreak/>
              <w:t>  </w:t>
            </w:r>
          </w:p>
          <w:p w14:paraId="7D82D76E" w14:textId="77777777" w:rsidR="00A4710E" w:rsidRPr="00A4710E" w:rsidRDefault="00A4710E" w:rsidP="00A4710E">
            <w:pPr>
              <w:rPr>
                <w:rFonts w:cs="Arial"/>
                <w:sz w:val="22"/>
                <w:szCs w:val="22"/>
              </w:rPr>
            </w:pPr>
            <w:r w:rsidRPr="00A4710E">
              <w:rPr>
                <w:rFonts w:cs="Arial"/>
                <w:sz w:val="22"/>
                <w:szCs w:val="22"/>
              </w:rPr>
              <w:t>These minimum viable products will also be leveraged in an initial set of 4 countries, as per the scenario laid out above. This will not only strengthen the countries’ systems but also deliver an even clearer view on further needs for improvements. Most importantly, it will lay out a pathway towards sustainable uptake.  </w:t>
            </w:r>
          </w:p>
        </w:tc>
        <w:tc>
          <w:tcPr>
            <w:tcW w:w="4110" w:type="dxa"/>
            <w:tcBorders>
              <w:top w:val="single" w:sz="6" w:space="0" w:color="auto"/>
              <w:left w:val="single" w:sz="6" w:space="0" w:color="auto"/>
              <w:bottom w:val="single" w:sz="6" w:space="0" w:color="auto"/>
              <w:right w:val="single" w:sz="6" w:space="0" w:color="auto"/>
            </w:tcBorders>
            <w:hideMark/>
          </w:tcPr>
          <w:p w14:paraId="1F8F9AE9" w14:textId="77777777" w:rsidR="00A4710E" w:rsidRPr="00A4710E" w:rsidRDefault="00A4710E" w:rsidP="00A4710E">
            <w:pPr>
              <w:rPr>
                <w:rFonts w:cs="Arial"/>
                <w:sz w:val="22"/>
                <w:szCs w:val="22"/>
              </w:rPr>
            </w:pPr>
            <w:r w:rsidRPr="00A4710E">
              <w:rPr>
                <w:rFonts w:cs="Arial"/>
                <w:sz w:val="22"/>
                <w:szCs w:val="22"/>
              </w:rPr>
              <w:lastRenderedPageBreak/>
              <w:t>Until 2030, the programme can accompany a transformation of agri-food systems in countries. Such a transformation takes time and if a programme only starts in 2026, much more impact can be achieved with a time frame to 2030.  </w:t>
            </w:r>
          </w:p>
          <w:p w14:paraId="6336B189" w14:textId="77777777" w:rsidR="00A4710E" w:rsidRPr="00A4710E" w:rsidRDefault="00A4710E" w:rsidP="00A4710E">
            <w:pPr>
              <w:rPr>
                <w:rFonts w:cs="Arial"/>
                <w:sz w:val="22"/>
                <w:szCs w:val="22"/>
              </w:rPr>
            </w:pPr>
            <w:r w:rsidRPr="00A4710E">
              <w:rPr>
                <w:rFonts w:cs="Arial"/>
                <w:sz w:val="22"/>
                <w:szCs w:val="22"/>
              </w:rPr>
              <w:t xml:space="preserve">A transparent commodity value chain will include full coverage of geolocation available at national level for coffee, cocoa and rubber in a growing set of up to 8 countries. It will also target interoperability between national </w:t>
            </w:r>
            <w:r w:rsidRPr="00A4710E">
              <w:rPr>
                <w:rFonts w:cs="Arial"/>
                <w:sz w:val="22"/>
                <w:szCs w:val="22"/>
              </w:rPr>
              <w:lastRenderedPageBreak/>
              <w:t>forest monitoring system and Open Foris Whisp, and an operational, decentralized </w:t>
            </w:r>
            <w:proofErr w:type="spellStart"/>
            <w:r w:rsidRPr="00A4710E">
              <w:rPr>
                <w:rFonts w:cs="Arial"/>
                <w:sz w:val="22"/>
                <w:szCs w:val="22"/>
              </w:rPr>
              <w:t>geoID</w:t>
            </w:r>
            <w:proofErr w:type="spellEnd"/>
            <w:r w:rsidRPr="00A4710E">
              <w:rPr>
                <w:rFonts w:cs="Arial"/>
                <w:sz w:val="22"/>
                <w:szCs w:val="22"/>
              </w:rPr>
              <w:t> system.  </w:t>
            </w:r>
          </w:p>
        </w:tc>
      </w:tr>
    </w:tbl>
    <w:p w14:paraId="44E01373" w14:textId="77777777" w:rsidR="00A4710E" w:rsidRPr="00A4710E" w:rsidRDefault="00A4710E" w:rsidP="00A4710E">
      <w:pPr>
        <w:rPr>
          <w:rFonts w:cs="Arial"/>
          <w:sz w:val="22"/>
          <w:szCs w:val="22"/>
        </w:rPr>
      </w:pPr>
      <w:r w:rsidRPr="00A4710E">
        <w:rPr>
          <w:rFonts w:cs="Arial"/>
          <w:sz w:val="22"/>
          <w:szCs w:val="22"/>
        </w:rPr>
        <w:lastRenderedPageBreak/>
        <w:t> </w:t>
      </w:r>
    </w:p>
    <w:p w14:paraId="18BCFE44" w14:textId="46E5034C" w:rsidR="00314D25" w:rsidRDefault="00314D25">
      <w:pPr>
        <w:rPr>
          <w:rFonts w:cs="Arial"/>
          <w:sz w:val="22"/>
          <w:szCs w:val="22"/>
        </w:rPr>
      </w:pPr>
      <w:r>
        <w:rPr>
          <w:rFonts w:cs="Arial"/>
          <w:sz w:val="22"/>
          <w:szCs w:val="22"/>
        </w:rPr>
        <w:br w:type="page"/>
      </w:r>
    </w:p>
    <w:p w14:paraId="5ABC59D8" w14:textId="6F20F442" w:rsidR="005A595A" w:rsidRPr="003D1A53" w:rsidRDefault="00314D25" w:rsidP="005A595A">
      <w:pPr>
        <w:rPr>
          <w:rFonts w:cs="Arial"/>
          <w:b/>
          <w:bCs/>
          <w:sz w:val="22"/>
          <w:szCs w:val="22"/>
          <w:u w:val="single"/>
        </w:rPr>
      </w:pPr>
      <w:r w:rsidRPr="003D1A53">
        <w:rPr>
          <w:rFonts w:cs="Arial"/>
          <w:b/>
          <w:bCs/>
          <w:sz w:val="22"/>
          <w:szCs w:val="22"/>
          <w:u w:val="single"/>
        </w:rPr>
        <w:lastRenderedPageBreak/>
        <w:t xml:space="preserve">Annex E: </w:t>
      </w:r>
      <w:r w:rsidR="003D1A53" w:rsidRPr="003D1A53">
        <w:rPr>
          <w:rFonts w:cs="Arial"/>
          <w:b/>
          <w:bCs/>
          <w:sz w:val="22"/>
          <w:szCs w:val="22"/>
          <w:u w:val="single"/>
        </w:rPr>
        <w:t>Draft Theory of Change</w:t>
      </w:r>
    </w:p>
    <w:p w14:paraId="607B6005" w14:textId="496E2E9B" w:rsidR="00314D25" w:rsidRPr="005A595A" w:rsidRDefault="00314D25" w:rsidP="005A595A">
      <w:pPr>
        <w:rPr>
          <w:rFonts w:cs="Arial"/>
          <w:sz w:val="22"/>
          <w:szCs w:val="22"/>
        </w:rPr>
      </w:pPr>
      <w:r w:rsidRPr="00314D25">
        <w:rPr>
          <w:rFonts w:cs="Arial"/>
          <w:noProof/>
          <w:sz w:val="22"/>
          <w:szCs w:val="22"/>
        </w:rPr>
        <w:drawing>
          <wp:inline distT="0" distB="0" distL="0" distR="0" wp14:anchorId="22FED10B" wp14:editId="6A003F5F">
            <wp:extent cx="6479540" cy="4017010"/>
            <wp:effectExtent l="0" t="0" r="0" b="2540"/>
            <wp:docPr id="193134428" name="Picture 1" descr="A diagram with text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4428" name="Picture 1" descr="A diagram with text and arrows&#10;&#10;AI-generated content may be incorrect."/>
                    <pic:cNvPicPr/>
                  </pic:nvPicPr>
                  <pic:blipFill>
                    <a:blip r:embed="rId16"/>
                    <a:stretch>
                      <a:fillRect/>
                    </a:stretch>
                  </pic:blipFill>
                  <pic:spPr>
                    <a:xfrm>
                      <a:off x="0" y="0"/>
                      <a:ext cx="6479540" cy="4017010"/>
                    </a:xfrm>
                    <a:prstGeom prst="rect">
                      <a:avLst/>
                    </a:prstGeom>
                  </pic:spPr>
                </pic:pic>
              </a:graphicData>
            </a:graphic>
          </wp:inline>
        </w:drawing>
      </w:r>
    </w:p>
    <w:p w14:paraId="0133EE8D" w14:textId="77777777" w:rsidR="003D1A53" w:rsidRPr="003D1A53" w:rsidRDefault="003D1A53" w:rsidP="003D1A53">
      <w:pPr>
        <w:numPr>
          <w:ilvl w:val="0"/>
          <w:numId w:val="129"/>
        </w:numPr>
        <w:rPr>
          <w:rFonts w:cs="Arial"/>
          <w:sz w:val="22"/>
          <w:szCs w:val="22"/>
        </w:rPr>
      </w:pPr>
      <w:r w:rsidRPr="003D1A53">
        <w:rPr>
          <w:rFonts w:cs="Arial"/>
          <w:sz w:val="22"/>
          <w:szCs w:val="22"/>
        </w:rPr>
        <w:t>AIM4Forests technical solutions effectively meet country demand while leveraging innovation. </w:t>
      </w:r>
    </w:p>
    <w:p w14:paraId="40533FAF" w14:textId="77777777" w:rsidR="003D1A53" w:rsidRPr="003D1A53" w:rsidRDefault="003D1A53" w:rsidP="003D1A53">
      <w:pPr>
        <w:numPr>
          <w:ilvl w:val="0"/>
          <w:numId w:val="130"/>
        </w:numPr>
        <w:rPr>
          <w:rFonts w:cs="Arial"/>
          <w:sz w:val="22"/>
          <w:szCs w:val="22"/>
        </w:rPr>
      </w:pPr>
      <w:r w:rsidRPr="003D1A53">
        <w:rPr>
          <w:rFonts w:cs="Arial"/>
          <w:sz w:val="22"/>
          <w:szCs w:val="22"/>
        </w:rPr>
        <w:t>AIM4Forests identifies the methodological gaps that matter most. </w:t>
      </w:r>
    </w:p>
    <w:p w14:paraId="54BEF9B6" w14:textId="77777777" w:rsidR="003D1A53" w:rsidRPr="003D1A53" w:rsidRDefault="003D1A53" w:rsidP="003D1A53">
      <w:pPr>
        <w:numPr>
          <w:ilvl w:val="0"/>
          <w:numId w:val="131"/>
        </w:numPr>
        <w:rPr>
          <w:rFonts w:cs="Arial"/>
          <w:sz w:val="22"/>
          <w:szCs w:val="22"/>
        </w:rPr>
      </w:pPr>
      <w:r w:rsidRPr="003D1A53">
        <w:rPr>
          <w:rFonts w:cs="Arial"/>
          <w:sz w:val="22"/>
          <w:szCs w:val="22"/>
        </w:rPr>
        <w:t>AIM4Forests manages to effectively engage key actors, including governments, the private sector, civil society, Indigenous Peoples, forest communities and others. </w:t>
      </w:r>
    </w:p>
    <w:p w14:paraId="3D7E97F4" w14:textId="77777777" w:rsidR="003D1A53" w:rsidRPr="003D1A53" w:rsidRDefault="003D1A53" w:rsidP="003D1A53">
      <w:pPr>
        <w:numPr>
          <w:ilvl w:val="0"/>
          <w:numId w:val="132"/>
        </w:numPr>
        <w:rPr>
          <w:rFonts w:cs="Arial"/>
          <w:sz w:val="22"/>
          <w:szCs w:val="22"/>
        </w:rPr>
      </w:pPr>
      <w:r w:rsidRPr="003D1A53">
        <w:rPr>
          <w:rFonts w:cs="Arial"/>
          <w:sz w:val="22"/>
          <w:szCs w:val="22"/>
        </w:rPr>
        <w:t>AIM4Forests manages to identify key functional gaps in countries’ forest monitoring systems that stakeholders see as relevant to their priorities. </w:t>
      </w:r>
    </w:p>
    <w:p w14:paraId="3C984781" w14:textId="77777777" w:rsidR="003D1A53" w:rsidRPr="003D1A53" w:rsidRDefault="003D1A53" w:rsidP="003D1A53">
      <w:pPr>
        <w:numPr>
          <w:ilvl w:val="0"/>
          <w:numId w:val="133"/>
        </w:numPr>
        <w:rPr>
          <w:rFonts w:cs="Arial"/>
          <w:sz w:val="22"/>
          <w:szCs w:val="22"/>
        </w:rPr>
      </w:pPr>
      <w:r w:rsidRPr="003D1A53">
        <w:rPr>
          <w:rFonts w:cs="Arial"/>
          <w:sz w:val="22"/>
          <w:szCs w:val="22"/>
        </w:rPr>
        <w:t>National policies and legal frameworks enable cross-sectoral collaboration and are receptive towards engaging empowered forest communities and Indigenous Peoples in forest monitoring. </w:t>
      </w:r>
    </w:p>
    <w:p w14:paraId="38FBEDDD" w14:textId="77777777" w:rsidR="003D1A53" w:rsidRPr="003D1A53" w:rsidRDefault="003D1A53" w:rsidP="003D1A53">
      <w:pPr>
        <w:numPr>
          <w:ilvl w:val="0"/>
          <w:numId w:val="134"/>
        </w:numPr>
        <w:rPr>
          <w:rFonts w:cs="Arial"/>
          <w:sz w:val="22"/>
          <w:szCs w:val="22"/>
        </w:rPr>
      </w:pPr>
      <w:r w:rsidRPr="003D1A53">
        <w:rPr>
          <w:rFonts w:cs="Arial"/>
          <w:sz w:val="22"/>
          <w:szCs w:val="22"/>
        </w:rPr>
        <w:t>Emerging international reporting contexts surrounding carbon markets, commodity supply chains and restoration provide a role for forest communities and Indigenous Peoples. </w:t>
      </w:r>
    </w:p>
    <w:p w14:paraId="33E1147F" w14:textId="77777777" w:rsidR="003D1A53" w:rsidRPr="003D1A53" w:rsidRDefault="003D1A53" w:rsidP="003D1A53">
      <w:pPr>
        <w:numPr>
          <w:ilvl w:val="0"/>
          <w:numId w:val="135"/>
        </w:numPr>
        <w:rPr>
          <w:rFonts w:cs="Arial"/>
          <w:sz w:val="22"/>
          <w:szCs w:val="22"/>
        </w:rPr>
      </w:pPr>
      <w:r w:rsidRPr="003D1A53">
        <w:rPr>
          <w:rFonts w:cs="Arial"/>
          <w:sz w:val="22"/>
          <w:szCs w:val="22"/>
        </w:rPr>
        <w:t>AIM4Forests has access to needed funds and human resources to provide technical assistance. </w:t>
      </w:r>
    </w:p>
    <w:p w14:paraId="5CDC247A" w14:textId="77777777" w:rsidR="003D1A53" w:rsidRPr="003D1A53" w:rsidRDefault="003D1A53" w:rsidP="003D1A53">
      <w:pPr>
        <w:numPr>
          <w:ilvl w:val="0"/>
          <w:numId w:val="136"/>
        </w:numPr>
        <w:rPr>
          <w:rFonts w:cs="Arial"/>
          <w:sz w:val="22"/>
          <w:szCs w:val="22"/>
        </w:rPr>
      </w:pPr>
      <w:r w:rsidRPr="003D1A53">
        <w:rPr>
          <w:rFonts w:cs="Arial"/>
          <w:sz w:val="22"/>
          <w:szCs w:val="22"/>
        </w:rPr>
        <w:t>Governments are committed to strengthening their technical and functional forest monitoring capacity and taking on board innovative technical solutions. </w:t>
      </w:r>
    </w:p>
    <w:p w14:paraId="04703C15" w14:textId="77777777" w:rsidR="003D1A53" w:rsidRPr="003D1A53" w:rsidRDefault="003D1A53" w:rsidP="003D1A53">
      <w:pPr>
        <w:numPr>
          <w:ilvl w:val="0"/>
          <w:numId w:val="137"/>
        </w:numPr>
        <w:rPr>
          <w:rFonts w:cs="Arial"/>
          <w:sz w:val="22"/>
          <w:szCs w:val="22"/>
        </w:rPr>
      </w:pPr>
      <w:r w:rsidRPr="003D1A53">
        <w:rPr>
          <w:rFonts w:cs="Arial"/>
          <w:sz w:val="22"/>
          <w:szCs w:val="22"/>
        </w:rPr>
        <w:t>AIM4Forests implements activities in an economical way, with a focus on efficiency and effectiveness, making sure to reach marginalised groups in an equitable way – all ultimately for delivering impact in a cost-effective manner. </w:t>
      </w:r>
    </w:p>
    <w:p w14:paraId="60BDAA59" w14:textId="77777777" w:rsidR="003D1A53" w:rsidRPr="003D1A53" w:rsidRDefault="003D1A53" w:rsidP="003D1A53">
      <w:pPr>
        <w:rPr>
          <w:rFonts w:cs="Arial"/>
          <w:sz w:val="22"/>
          <w:szCs w:val="22"/>
        </w:rPr>
      </w:pPr>
      <w:r w:rsidRPr="003D1A53">
        <w:rPr>
          <w:rFonts w:cs="Arial"/>
          <w:sz w:val="22"/>
          <w:szCs w:val="22"/>
        </w:rPr>
        <w:t> </w:t>
      </w:r>
    </w:p>
    <w:p w14:paraId="673D056D" w14:textId="77777777" w:rsidR="003D1A53" w:rsidRPr="003D1A53" w:rsidRDefault="003D1A53" w:rsidP="003D1A53">
      <w:pPr>
        <w:rPr>
          <w:rFonts w:cs="Arial"/>
          <w:sz w:val="22"/>
          <w:szCs w:val="22"/>
        </w:rPr>
      </w:pPr>
      <w:r w:rsidRPr="003D1A53">
        <w:rPr>
          <w:rFonts w:cs="Arial"/>
          <w:b/>
          <w:bCs/>
          <w:sz w:val="22"/>
          <w:szCs w:val="22"/>
        </w:rPr>
        <w:lastRenderedPageBreak/>
        <w:t>Key assumptions: Intermediate outcomes to outcomes and to impact</w:t>
      </w:r>
      <w:r w:rsidRPr="003D1A53">
        <w:rPr>
          <w:rFonts w:cs="Arial"/>
          <w:sz w:val="22"/>
          <w:szCs w:val="22"/>
        </w:rPr>
        <w:t> </w:t>
      </w:r>
    </w:p>
    <w:p w14:paraId="2B06126C" w14:textId="77777777" w:rsidR="003D1A53" w:rsidRPr="003D1A53" w:rsidRDefault="003D1A53" w:rsidP="003D1A53">
      <w:pPr>
        <w:numPr>
          <w:ilvl w:val="0"/>
          <w:numId w:val="138"/>
        </w:numPr>
        <w:rPr>
          <w:rFonts w:cs="Arial"/>
          <w:sz w:val="22"/>
          <w:szCs w:val="22"/>
        </w:rPr>
      </w:pPr>
      <w:r w:rsidRPr="003D1A53">
        <w:rPr>
          <w:rFonts w:cs="Arial"/>
          <w:sz w:val="22"/>
          <w:szCs w:val="22"/>
        </w:rPr>
        <w:t>Donors remain committed to climate finance (including under new results-based modalities such as TFFF). </w:t>
      </w:r>
    </w:p>
    <w:p w14:paraId="22FD7B53" w14:textId="77777777" w:rsidR="003D1A53" w:rsidRPr="003D1A53" w:rsidRDefault="003D1A53" w:rsidP="003D1A53">
      <w:pPr>
        <w:numPr>
          <w:ilvl w:val="0"/>
          <w:numId w:val="139"/>
        </w:numPr>
        <w:rPr>
          <w:rFonts w:cs="Arial"/>
          <w:sz w:val="22"/>
          <w:szCs w:val="22"/>
        </w:rPr>
      </w:pPr>
      <w:r w:rsidRPr="003D1A53">
        <w:rPr>
          <w:rFonts w:cs="Arial"/>
          <w:sz w:val="22"/>
          <w:szCs w:val="22"/>
        </w:rPr>
        <w:t>Carbon markets increasingly take up forest mitigation (including the Paris Agreement’s Article 6). </w:t>
      </w:r>
    </w:p>
    <w:p w14:paraId="7170DA91" w14:textId="77777777" w:rsidR="003D1A53" w:rsidRPr="003D1A53" w:rsidRDefault="003D1A53" w:rsidP="003D1A53">
      <w:pPr>
        <w:numPr>
          <w:ilvl w:val="0"/>
          <w:numId w:val="140"/>
        </w:numPr>
        <w:rPr>
          <w:rFonts w:cs="Arial"/>
          <w:sz w:val="22"/>
          <w:szCs w:val="22"/>
        </w:rPr>
      </w:pPr>
      <w:r w:rsidRPr="003D1A53">
        <w:rPr>
          <w:rFonts w:cs="Arial"/>
          <w:sz w:val="22"/>
          <w:szCs w:val="22"/>
        </w:rPr>
        <w:t>Related programmes for results-based funding and technical assistance proceed successfully (FCPF, ISFL, REM, LEAF, UN-REDD, GCF, NICFI, others). </w:t>
      </w:r>
    </w:p>
    <w:p w14:paraId="117DEE74" w14:textId="77777777" w:rsidR="003D1A53" w:rsidRPr="003D1A53" w:rsidRDefault="003D1A53" w:rsidP="003D1A53">
      <w:pPr>
        <w:numPr>
          <w:ilvl w:val="0"/>
          <w:numId w:val="141"/>
        </w:numPr>
        <w:rPr>
          <w:rFonts w:cs="Arial"/>
          <w:sz w:val="22"/>
          <w:szCs w:val="22"/>
        </w:rPr>
      </w:pPr>
      <w:r w:rsidRPr="003D1A53">
        <w:rPr>
          <w:rFonts w:cs="Arial"/>
          <w:sz w:val="22"/>
          <w:szCs w:val="22"/>
        </w:rPr>
        <w:t>Forest countries continue with strong political commitment to managing forests sustainably, reducing deforestation, sustainable commodity production, nature restoration – and using forest monitoring as enabler. </w:t>
      </w:r>
    </w:p>
    <w:p w14:paraId="2731A2B2" w14:textId="77777777" w:rsidR="003D1A53" w:rsidRDefault="003D1A53" w:rsidP="003D1A53">
      <w:pPr>
        <w:numPr>
          <w:ilvl w:val="0"/>
          <w:numId w:val="142"/>
        </w:numPr>
        <w:rPr>
          <w:rFonts w:cs="Arial"/>
          <w:sz w:val="22"/>
          <w:szCs w:val="22"/>
        </w:rPr>
      </w:pPr>
      <w:r w:rsidRPr="003D1A53">
        <w:rPr>
          <w:rFonts w:cs="Arial"/>
          <w:sz w:val="22"/>
          <w:szCs w:val="22"/>
        </w:rPr>
        <w:t>The international community’s efforts to address deforestation (e.g., through nature restoration and through transparent commodity supply chains) continue gaining momentum, leveraging strong information and data. </w:t>
      </w:r>
    </w:p>
    <w:p w14:paraId="192436BC" w14:textId="77777777" w:rsidR="00DE4223" w:rsidRDefault="00DE4223" w:rsidP="00DE4223">
      <w:pPr>
        <w:rPr>
          <w:rFonts w:cs="Arial"/>
          <w:sz w:val="22"/>
          <w:szCs w:val="22"/>
        </w:rPr>
      </w:pPr>
    </w:p>
    <w:p w14:paraId="50DC5EE6" w14:textId="313177C5" w:rsidR="00DE4223" w:rsidRDefault="00DE4223">
      <w:pPr>
        <w:rPr>
          <w:rFonts w:cs="Arial"/>
          <w:sz w:val="22"/>
          <w:szCs w:val="22"/>
        </w:rPr>
      </w:pPr>
      <w:r>
        <w:rPr>
          <w:rFonts w:cs="Arial"/>
          <w:sz w:val="22"/>
          <w:szCs w:val="22"/>
        </w:rPr>
        <w:br w:type="page"/>
      </w:r>
    </w:p>
    <w:p w14:paraId="059ECC31" w14:textId="77777777" w:rsidR="00DE4223" w:rsidRPr="00DE4223" w:rsidRDefault="00DE4223" w:rsidP="00DE4223">
      <w:pPr>
        <w:rPr>
          <w:rFonts w:cs="Arial"/>
          <w:sz w:val="22"/>
          <w:szCs w:val="22"/>
        </w:rPr>
      </w:pPr>
      <w:r w:rsidRPr="00DE4223">
        <w:rPr>
          <w:rFonts w:cs="Arial"/>
          <w:b/>
          <w:bCs/>
          <w:sz w:val="22"/>
          <w:szCs w:val="22"/>
          <w:u w:val="single"/>
        </w:rPr>
        <w:lastRenderedPageBreak/>
        <w:t>Annex F – Risk Register </w:t>
      </w:r>
      <w:r w:rsidRPr="00DE4223">
        <w:rPr>
          <w:rFonts w:cs="Arial"/>
          <w:sz w:val="22"/>
          <w:szCs w:val="22"/>
        </w:rPr>
        <w:t> </w:t>
      </w:r>
    </w:p>
    <w:p w14:paraId="380C2781" w14:textId="77777777" w:rsidR="00DE4223" w:rsidRPr="00DE4223" w:rsidRDefault="00DE4223" w:rsidP="00DE4223">
      <w:pPr>
        <w:rPr>
          <w:rFonts w:cs="Arial"/>
          <w:sz w:val="22"/>
          <w:szCs w:val="22"/>
        </w:rPr>
      </w:pPr>
      <w:r w:rsidRPr="00DE4223">
        <w:rPr>
          <w:rFonts w:cs="Arial"/>
          <w:b/>
          <w:bCs/>
          <w:sz w:val="22"/>
          <w:szCs w:val="22"/>
          <w:u w:val="single"/>
        </w:rPr>
        <w:t>Overall programme risk rating: Moderate</w:t>
      </w:r>
      <w:r w:rsidRPr="00DE4223">
        <w:rPr>
          <w:rFonts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7"/>
        <w:gridCol w:w="1216"/>
        <w:gridCol w:w="808"/>
        <w:gridCol w:w="968"/>
        <w:gridCol w:w="968"/>
        <w:gridCol w:w="3290"/>
        <w:gridCol w:w="971"/>
      </w:tblGrid>
      <w:tr w:rsidR="00DE4223" w:rsidRPr="00DE4223" w14:paraId="7899118B" w14:textId="77777777">
        <w:trPr>
          <w:trHeight w:val="105"/>
        </w:trPr>
        <w:tc>
          <w:tcPr>
            <w:tcW w:w="3240" w:type="dxa"/>
            <w:tcBorders>
              <w:top w:val="single" w:sz="6" w:space="0" w:color="auto"/>
              <w:left w:val="single" w:sz="6" w:space="0" w:color="auto"/>
              <w:bottom w:val="single" w:sz="4" w:space="0" w:color="000000"/>
              <w:right w:val="single" w:sz="4" w:space="0" w:color="000000"/>
            </w:tcBorders>
            <w:shd w:val="clear" w:color="auto" w:fill="DAE9F7"/>
            <w:vAlign w:val="center"/>
            <w:hideMark/>
          </w:tcPr>
          <w:p w14:paraId="45544014" w14:textId="77777777" w:rsidR="00DE4223" w:rsidRPr="00DE4223" w:rsidRDefault="00DE4223" w:rsidP="00DE4223">
            <w:pPr>
              <w:rPr>
                <w:rFonts w:cs="Arial"/>
                <w:sz w:val="22"/>
                <w:szCs w:val="22"/>
              </w:rPr>
            </w:pPr>
            <w:r w:rsidRPr="00DE4223">
              <w:rPr>
                <w:rFonts w:cs="Arial"/>
                <w:b/>
                <w:bCs/>
                <w:sz w:val="22"/>
                <w:szCs w:val="22"/>
              </w:rPr>
              <w:t>Risk Description (event and effect)</w:t>
            </w:r>
            <w:r w:rsidRPr="00DE4223">
              <w:rPr>
                <w:rFonts w:cs="Arial"/>
                <w:sz w:val="22"/>
                <w:szCs w:val="22"/>
              </w:rPr>
              <w:t> </w:t>
            </w:r>
          </w:p>
        </w:tc>
        <w:tc>
          <w:tcPr>
            <w:tcW w:w="1470" w:type="dxa"/>
            <w:tcBorders>
              <w:top w:val="single" w:sz="6" w:space="0" w:color="auto"/>
              <w:left w:val="single" w:sz="4" w:space="0" w:color="000000"/>
              <w:bottom w:val="single" w:sz="4" w:space="0" w:color="000000"/>
              <w:right w:val="single" w:sz="4" w:space="0" w:color="000000"/>
            </w:tcBorders>
            <w:shd w:val="clear" w:color="auto" w:fill="DAE9F7"/>
            <w:vAlign w:val="center"/>
            <w:hideMark/>
          </w:tcPr>
          <w:p w14:paraId="4C2B0C4B" w14:textId="77777777" w:rsidR="00DE4223" w:rsidRPr="00DE4223" w:rsidRDefault="00DE4223" w:rsidP="00DE4223">
            <w:pPr>
              <w:rPr>
                <w:rFonts w:cs="Arial"/>
                <w:sz w:val="22"/>
                <w:szCs w:val="22"/>
              </w:rPr>
            </w:pPr>
            <w:r w:rsidRPr="00DE4223">
              <w:rPr>
                <w:rFonts w:cs="Arial"/>
                <w:b/>
                <w:bCs/>
                <w:sz w:val="22"/>
                <w:szCs w:val="22"/>
              </w:rPr>
              <w:t>Risk Category</w:t>
            </w:r>
            <w:r w:rsidRPr="00DE4223">
              <w:rPr>
                <w:rFonts w:cs="Arial"/>
                <w:sz w:val="22"/>
                <w:szCs w:val="22"/>
              </w:rPr>
              <w:t> </w:t>
            </w:r>
          </w:p>
        </w:tc>
        <w:tc>
          <w:tcPr>
            <w:tcW w:w="1215" w:type="dxa"/>
            <w:tcBorders>
              <w:top w:val="single" w:sz="6" w:space="0" w:color="auto"/>
              <w:left w:val="single" w:sz="4" w:space="0" w:color="000000"/>
              <w:bottom w:val="single" w:sz="4" w:space="0" w:color="000000"/>
              <w:right w:val="single" w:sz="4" w:space="0" w:color="000000"/>
            </w:tcBorders>
            <w:shd w:val="clear" w:color="auto" w:fill="DAE9F7"/>
            <w:vAlign w:val="center"/>
            <w:hideMark/>
          </w:tcPr>
          <w:p w14:paraId="2A836899" w14:textId="77777777" w:rsidR="00DE4223" w:rsidRPr="00DE4223" w:rsidRDefault="00DE4223" w:rsidP="00DE4223">
            <w:pPr>
              <w:rPr>
                <w:rFonts w:cs="Arial"/>
                <w:sz w:val="22"/>
                <w:szCs w:val="22"/>
              </w:rPr>
            </w:pPr>
            <w:r w:rsidRPr="00DE4223">
              <w:rPr>
                <w:rFonts w:cs="Arial"/>
                <w:b/>
                <w:bCs/>
                <w:sz w:val="22"/>
                <w:szCs w:val="22"/>
              </w:rPr>
              <w:t>Prob</w:t>
            </w:r>
            <w:r w:rsidRPr="00DE4223">
              <w:rPr>
                <w:rFonts w:cs="Arial"/>
                <w:sz w:val="22"/>
                <w:szCs w:val="22"/>
              </w:rPr>
              <w:t> </w:t>
            </w:r>
          </w:p>
        </w:tc>
        <w:tc>
          <w:tcPr>
            <w:tcW w:w="1260" w:type="dxa"/>
            <w:tcBorders>
              <w:top w:val="single" w:sz="6" w:space="0" w:color="auto"/>
              <w:left w:val="single" w:sz="4" w:space="0" w:color="000000"/>
              <w:bottom w:val="single" w:sz="4" w:space="0" w:color="000000"/>
              <w:right w:val="single" w:sz="4" w:space="0" w:color="000000"/>
            </w:tcBorders>
            <w:shd w:val="clear" w:color="auto" w:fill="DAE9F7"/>
            <w:vAlign w:val="center"/>
            <w:hideMark/>
          </w:tcPr>
          <w:p w14:paraId="0E5076C6" w14:textId="77777777" w:rsidR="00DE4223" w:rsidRPr="00DE4223" w:rsidRDefault="00DE4223" w:rsidP="00DE4223">
            <w:pPr>
              <w:rPr>
                <w:rFonts w:cs="Arial"/>
                <w:sz w:val="22"/>
                <w:szCs w:val="22"/>
              </w:rPr>
            </w:pPr>
            <w:r w:rsidRPr="00DE4223">
              <w:rPr>
                <w:rFonts w:cs="Arial"/>
                <w:b/>
                <w:bCs/>
                <w:sz w:val="22"/>
                <w:szCs w:val="22"/>
              </w:rPr>
              <w:t>Impact</w:t>
            </w:r>
            <w:r w:rsidRPr="00DE4223">
              <w:rPr>
                <w:rFonts w:cs="Arial"/>
                <w:sz w:val="22"/>
                <w:szCs w:val="22"/>
              </w:rPr>
              <w:t> </w:t>
            </w:r>
          </w:p>
        </w:tc>
        <w:tc>
          <w:tcPr>
            <w:tcW w:w="1215" w:type="dxa"/>
            <w:tcBorders>
              <w:top w:val="single" w:sz="6" w:space="0" w:color="auto"/>
              <w:left w:val="single" w:sz="4" w:space="0" w:color="000000"/>
              <w:bottom w:val="single" w:sz="4" w:space="0" w:color="000000"/>
              <w:right w:val="single" w:sz="4" w:space="0" w:color="000000"/>
            </w:tcBorders>
            <w:shd w:val="clear" w:color="auto" w:fill="DAE9F7"/>
            <w:vAlign w:val="center"/>
            <w:hideMark/>
          </w:tcPr>
          <w:p w14:paraId="3FE93E74" w14:textId="77777777" w:rsidR="00DE4223" w:rsidRPr="00DE4223" w:rsidRDefault="00DE4223" w:rsidP="00DE4223">
            <w:pPr>
              <w:rPr>
                <w:rFonts w:cs="Arial"/>
                <w:sz w:val="22"/>
                <w:szCs w:val="22"/>
              </w:rPr>
            </w:pPr>
            <w:r w:rsidRPr="00DE4223">
              <w:rPr>
                <w:rFonts w:cs="Arial"/>
                <w:b/>
                <w:bCs/>
                <w:sz w:val="22"/>
                <w:szCs w:val="22"/>
              </w:rPr>
              <w:t>Rating</w:t>
            </w:r>
            <w:r w:rsidRPr="00DE4223">
              <w:rPr>
                <w:rFonts w:cs="Arial"/>
                <w:sz w:val="22"/>
                <w:szCs w:val="22"/>
              </w:rPr>
              <w:t> </w:t>
            </w:r>
          </w:p>
        </w:tc>
        <w:tc>
          <w:tcPr>
            <w:tcW w:w="4755" w:type="dxa"/>
            <w:tcBorders>
              <w:top w:val="single" w:sz="6" w:space="0" w:color="auto"/>
              <w:left w:val="single" w:sz="4" w:space="0" w:color="000000"/>
              <w:bottom w:val="single" w:sz="4" w:space="0" w:color="000000"/>
              <w:right w:val="single" w:sz="4" w:space="0" w:color="000000"/>
            </w:tcBorders>
            <w:shd w:val="clear" w:color="auto" w:fill="DAE9F7"/>
            <w:vAlign w:val="center"/>
            <w:hideMark/>
          </w:tcPr>
          <w:p w14:paraId="720DCEA4" w14:textId="77777777" w:rsidR="00DE4223" w:rsidRPr="00DE4223" w:rsidRDefault="00DE4223" w:rsidP="00DE4223">
            <w:pPr>
              <w:rPr>
                <w:rFonts w:cs="Arial"/>
                <w:sz w:val="22"/>
                <w:szCs w:val="22"/>
              </w:rPr>
            </w:pPr>
            <w:r w:rsidRPr="00DE4223">
              <w:rPr>
                <w:rFonts w:cs="Arial"/>
                <w:b/>
                <w:bCs/>
                <w:sz w:val="22"/>
                <w:szCs w:val="22"/>
              </w:rPr>
              <w:t>Mitigation Strategy</w:t>
            </w:r>
            <w:r w:rsidRPr="00DE4223">
              <w:rPr>
                <w:rFonts w:cs="Arial"/>
                <w:sz w:val="22"/>
                <w:szCs w:val="22"/>
              </w:rPr>
              <w:t> </w:t>
            </w:r>
          </w:p>
        </w:tc>
        <w:tc>
          <w:tcPr>
            <w:tcW w:w="1290" w:type="dxa"/>
            <w:tcBorders>
              <w:top w:val="single" w:sz="6" w:space="0" w:color="auto"/>
              <w:left w:val="single" w:sz="4" w:space="0" w:color="000000"/>
              <w:bottom w:val="single" w:sz="4" w:space="0" w:color="000000"/>
              <w:right w:val="single" w:sz="6" w:space="0" w:color="auto"/>
            </w:tcBorders>
            <w:shd w:val="clear" w:color="auto" w:fill="DAE9F7"/>
            <w:vAlign w:val="center"/>
            <w:hideMark/>
          </w:tcPr>
          <w:p w14:paraId="16BD5601" w14:textId="77777777" w:rsidR="00DE4223" w:rsidRPr="00DE4223" w:rsidRDefault="00DE4223" w:rsidP="00DE4223">
            <w:pPr>
              <w:rPr>
                <w:rFonts w:cs="Arial"/>
                <w:sz w:val="22"/>
                <w:szCs w:val="22"/>
              </w:rPr>
            </w:pPr>
            <w:r w:rsidRPr="00DE4223">
              <w:rPr>
                <w:rFonts w:cs="Arial"/>
                <w:b/>
                <w:bCs/>
                <w:sz w:val="22"/>
                <w:szCs w:val="22"/>
              </w:rPr>
              <w:t>Residual risk</w:t>
            </w:r>
            <w:r w:rsidRPr="00DE4223">
              <w:rPr>
                <w:rFonts w:cs="Arial"/>
                <w:sz w:val="22"/>
                <w:szCs w:val="22"/>
              </w:rPr>
              <w:t> </w:t>
            </w:r>
          </w:p>
        </w:tc>
      </w:tr>
      <w:tr w:rsidR="00DE4223" w:rsidRPr="00DE4223" w14:paraId="017BA6D0" w14:textId="77777777">
        <w:trPr>
          <w:trHeight w:val="45"/>
        </w:trPr>
        <w:tc>
          <w:tcPr>
            <w:tcW w:w="3240" w:type="dxa"/>
            <w:tcBorders>
              <w:top w:val="single" w:sz="4" w:space="0" w:color="000000"/>
              <w:left w:val="single" w:sz="6" w:space="0" w:color="auto"/>
              <w:bottom w:val="single" w:sz="4" w:space="0" w:color="000000"/>
              <w:right w:val="single" w:sz="4" w:space="0" w:color="000000"/>
            </w:tcBorders>
            <w:hideMark/>
          </w:tcPr>
          <w:p w14:paraId="2342EFA5" w14:textId="77777777" w:rsidR="00DE4223" w:rsidRPr="00DE4223" w:rsidRDefault="00DE4223" w:rsidP="00DE4223">
            <w:pPr>
              <w:rPr>
                <w:rFonts w:cs="Arial"/>
                <w:sz w:val="22"/>
                <w:szCs w:val="22"/>
              </w:rPr>
            </w:pPr>
            <w:r w:rsidRPr="00DE4223">
              <w:rPr>
                <w:rFonts w:cs="Arial"/>
                <w:sz w:val="22"/>
                <w:szCs w:val="22"/>
              </w:rPr>
              <w:t>Downturns in national and/or state economies reduce public spending and appetite for forest protection, or for working with international donor community. Political and economic environment in the countries does not favour improved management of natural resources using better information. </w:t>
            </w:r>
          </w:p>
        </w:tc>
        <w:tc>
          <w:tcPr>
            <w:tcW w:w="1470" w:type="dxa"/>
            <w:tcBorders>
              <w:top w:val="single" w:sz="4" w:space="0" w:color="000000"/>
              <w:left w:val="single" w:sz="4" w:space="0" w:color="000000"/>
              <w:bottom w:val="single" w:sz="4" w:space="0" w:color="000000"/>
              <w:right w:val="single" w:sz="4" w:space="0" w:color="000000"/>
            </w:tcBorders>
            <w:hideMark/>
          </w:tcPr>
          <w:p w14:paraId="59F04104" w14:textId="77777777" w:rsidR="00DE4223" w:rsidRPr="00DE4223" w:rsidRDefault="00DE4223" w:rsidP="00DE4223">
            <w:pPr>
              <w:rPr>
                <w:rFonts w:cs="Arial"/>
                <w:sz w:val="22"/>
                <w:szCs w:val="22"/>
              </w:rPr>
            </w:pPr>
            <w:r w:rsidRPr="00DE4223">
              <w:rPr>
                <w:rFonts w:cs="Arial"/>
                <w:sz w:val="22"/>
                <w:szCs w:val="22"/>
              </w:rPr>
              <w:t>External Context  </w:t>
            </w:r>
          </w:p>
        </w:tc>
        <w:tc>
          <w:tcPr>
            <w:tcW w:w="1215" w:type="dxa"/>
            <w:tcBorders>
              <w:top w:val="single" w:sz="4" w:space="0" w:color="000000"/>
              <w:left w:val="single" w:sz="4" w:space="0" w:color="000000"/>
              <w:bottom w:val="single" w:sz="4" w:space="0" w:color="000000"/>
              <w:right w:val="single" w:sz="4" w:space="0" w:color="000000"/>
            </w:tcBorders>
            <w:hideMark/>
          </w:tcPr>
          <w:p w14:paraId="70FB1981" w14:textId="77777777" w:rsidR="00DE4223" w:rsidRPr="00DE4223" w:rsidRDefault="00DE4223" w:rsidP="00DE4223">
            <w:pPr>
              <w:rPr>
                <w:rFonts w:cs="Arial"/>
                <w:sz w:val="22"/>
                <w:szCs w:val="22"/>
              </w:rPr>
            </w:pPr>
            <w:r w:rsidRPr="00DE4223">
              <w:rPr>
                <w:rFonts w:cs="Arial"/>
                <w:sz w:val="22"/>
                <w:szCs w:val="22"/>
              </w:rPr>
              <w:t>Possible </w:t>
            </w:r>
          </w:p>
        </w:tc>
        <w:tc>
          <w:tcPr>
            <w:tcW w:w="1260" w:type="dxa"/>
            <w:tcBorders>
              <w:top w:val="single" w:sz="4" w:space="0" w:color="000000"/>
              <w:left w:val="single" w:sz="4" w:space="0" w:color="000000"/>
              <w:bottom w:val="single" w:sz="4" w:space="0" w:color="000000"/>
              <w:right w:val="single" w:sz="4" w:space="0" w:color="000000"/>
            </w:tcBorders>
            <w:hideMark/>
          </w:tcPr>
          <w:p w14:paraId="6C0E6F02" w14:textId="77777777" w:rsidR="00DE4223" w:rsidRPr="00DE4223" w:rsidRDefault="00DE4223" w:rsidP="00DE4223">
            <w:pPr>
              <w:rPr>
                <w:rFonts w:cs="Arial"/>
                <w:sz w:val="22"/>
                <w:szCs w:val="22"/>
              </w:rPr>
            </w:pPr>
            <w:r w:rsidRPr="00DE4223">
              <w:rPr>
                <w:rFonts w:cs="Arial"/>
                <w:sz w:val="22"/>
                <w:szCs w:val="22"/>
              </w:rPr>
              <w:t>Moderate </w:t>
            </w:r>
          </w:p>
        </w:tc>
        <w:tc>
          <w:tcPr>
            <w:tcW w:w="1215" w:type="dxa"/>
            <w:tcBorders>
              <w:top w:val="single" w:sz="4" w:space="0" w:color="000000"/>
              <w:left w:val="single" w:sz="4" w:space="0" w:color="000000"/>
              <w:bottom w:val="single" w:sz="4" w:space="0" w:color="000000"/>
              <w:right w:val="single" w:sz="4" w:space="0" w:color="000000"/>
            </w:tcBorders>
            <w:shd w:val="clear" w:color="auto" w:fill="FF0000"/>
            <w:hideMark/>
          </w:tcPr>
          <w:p w14:paraId="00C59764" w14:textId="77777777" w:rsidR="00DE4223" w:rsidRPr="00DE4223" w:rsidRDefault="00DE4223" w:rsidP="00DE4223">
            <w:pPr>
              <w:rPr>
                <w:rFonts w:cs="Arial"/>
                <w:sz w:val="22"/>
                <w:szCs w:val="22"/>
              </w:rPr>
            </w:pPr>
            <w:r w:rsidRPr="00DE4223">
              <w:rPr>
                <w:rFonts w:cs="Arial"/>
                <w:sz w:val="22"/>
                <w:szCs w:val="22"/>
              </w:rPr>
              <w:t>Major </w:t>
            </w:r>
          </w:p>
        </w:tc>
        <w:tc>
          <w:tcPr>
            <w:tcW w:w="4755" w:type="dxa"/>
            <w:tcBorders>
              <w:top w:val="single" w:sz="4" w:space="0" w:color="000000"/>
              <w:left w:val="single" w:sz="4" w:space="0" w:color="000000"/>
              <w:bottom w:val="single" w:sz="4" w:space="0" w:color="000000"/>
              <w:right w:val="single" w:sz="4" w:space="0" w:color="000000"/>
            </w:tcBorders>
            <w:hideMark/>
          </w:tcPr>
          <w:p w14:paraId="374D8DF4" w14:textId="77777777" w:rsidR="00DE4223" w:rsidRPr="00DE4223" w:rsidRDefault="00DE4223" w:rsidP="00DE4223">
            <w:pPr>
              <w:rPr>
                <w:rFonts w:cs="Arial"/>
                <w:sz w:val="22"/>
                <w:szCs w:val="22"/>
              </w:rPr>
            </w:pPr>
            <w:r w:rsidRPr="00DE4223">
              <w:rPr>
                <w:rFonts w:cs="Arial"/>
                <w:sz w:val="22"/>
                <w:szCs w:val="22"/>
              </w:rPr>
              <w:t>Continuously seek information with FAO and Post and monitor.   </w:t>
            </w:r>
          </w:p>
          <w:p w14:paraId="354B8D14" w14:textId="77777777" w:rsidR="00DE4223" w:rsidRPr="00DE4223" w:rsidRDefault="00DE4223" w:rsidP="00DE4223">
            <w:pPr>
              <w:rPr>
                <w:rFonts w:cs="Arial"/>
                <w:sz w:val="22"/>
                <w:szCs w:val="22"/>
              </w:rPr>
            </w:pPr>
            <w:r w:rsidRPr="00DE4223">
              <w:rPr>
                <w:rFonts w:cs="Arial"/>
                <w:sz w:val="22"/>
                <w:szCs w:val="22"/>
                <w:lang w:val="en-US"/>
              </w:rPr>
              <w:t>Selection of countries that are engaged and ensuring that countries provide commitment to programme objectives can also mitigate this risk. </w:t>
            </w:r>
            <w:r w:rsidRPr="00DE4223">
              <w:rPr>
                <w:rFonts w:cs="Arial"/>
                <w:sz w:val="22"/>
                <w:szCs w:val="22"/>
              </w:rPr>
              <w:t>Countries under AIM4Forests are selected where there is a potentially open window of opportunity to contribute to a policy process, i.e., based on countries’ own needs.  </w:t>
            </w:r>
          </w:p>
          <w:p w14:paraId="2E70097D" w14:textId="77777777" w:rsidR="00DE4223" w:rsidRPr="00DE4223" w:rsidRDefault="00DE4223" w:rsidP="00DE4223">
            <w:pPr>
              <w:rPr>
                <w:rFonts w:cs="Arial"/>
                <w:sz w:val="22"/>
                <w:szCs w:val="22"/>
              </w:rPr>
            </w:pPr>
            <w:r w:rsidRPr="00DE4223">
              <w:rPr>
                <w:rFonts w:cs="Arial"/>
                <w:sz w:val="22"/>
                <w:szCs w:val="22"/>
              </w:rPr>
              <w:t> </w:t>
            </w:r>
          </w:p>
          <w:p w14:paraId="1B28D65B" w14:textId="77777777" w:rsidR="00DE4223" w:rsidRPr="00DE4223" w:rsidRDefault="00DE4223" w:rsidP="00DE4223">
            <w:pPr>
              <w:rPr>
                <w:rFonts w:cs="Arial"/>
                <w:sz w:val="22"/>
                <w:szCs w:val="22"/>
              </w:rPr>
            </w:pPr>
            <w:r w:rsidRPr="00DE4223">
              <w:rPr>
                <w:rFonts w:cs="Arial"/>
                <w:sz w:val="22"/>
                <w:szCs w:val="22"/>
              </w:rPr>
              <w:t>The programme will be prepared and ready to re-focus forest monitoring capacity development among countries according to current momentum through an iterative planning process. The programme will enable improved data availability and transparency to highlight importance of better resource management, thereby contributing</w:t>
            </w:r>
            <w:r w:rsidRPr="00DE4223">
              <w:rPr>
                <w:rFonts w:cs="Arial"/>
                <w:b/>
                <w:bCs/>
                <w:sz w:val="22"/>
                <w:szCs w:val="22"/>
              </w:rPr>
              <w:t> </w:t>
            </w:r>
            <w:r w:rsidRPr="00DE4223">
              <w:rPr>
                <w:rFonts w:cs="Arial"/>
                <w:sz w:val="22"/>
                <w:szCs w:val="22"/>
              </w:rPr>
              <w:t>to retaining momentum. </w:t>
            </w:r>
          </w:p>
        </w:tc>
        <w:tc>
          <w:tcPr>
            <w:tcW w:w="1290" w:type="dxa"/>
            <w:tcBorders>
              <w:top w:val="single" w:sz="4" w:space="0" w:color="000000"/>
              <w:left w:val="single" w:sz="4" w:space="0" w:color="000000"/>
              <w:bottom w:val="single" w:sz="4" w:space="0" w:color="000000"/>
              <w:right w:val="single" w:sz="6" w:space="0" w:color="auto"/>
            </w:tcBorders>
            <w:shd w:val="clear" w:color="auto" w:fill="FFC000"/>
            <w:hideMark/>
          </w:tcPr>
          <w:p w14:paraId="08B421A7" w14:textId="77777777" w:rsidR="00DE4223" w:rsidRPr="00DE4223" w:rsidRDefault="00DE4223" w:rsidP="00DE4223">
            <w:pPr>
              <w:rPr>
                <w:rFonts w:cs="Arial"/>
                <w:sz w:val="22"/>
                <w:szCs w:val="22"/>
              </w:rPr>
            </w:pPr>
            <w:r w:rsidRPr="00DE4223">
              <w:rPr>
                <w:rFonts w:cs="Arial"/>
                <w:sz w:val="22"/>
                <w:szCs w:val="22"/>
              </w:rPr>
              <w:t>Moderate  </w:t>
            </w:r>
          </w:p>
        </w:tc>
      </w:tr>
      <w:tr w:rsidR="00DE4223" w:rsidRPr="00DE4223" w14:paraId="28F56FD5" w14:textId="77777777">
        <w:trPr>
          <w:trHeight w:val="300"/>
        </w:trPr>
        <w:tc>
          <w:tcPr>
            <w:tcW w:w="3240" w:type="dxa"/>
            <w:tcBorders>
              <w:top w:val="single" w:sz="4" w:space="0" w:color="000000"/>
              <w:left w:val="single" w:sz="6" w:space="0" w:color="auto"/>
              <w:bottom w:val="single" w:sz="4" w:space="0" w:color="000000"/>
              <w:right w:val="single" w:sz="4" w:space="0" w:color="000000"/>
            </w:tcBorders>
            <w:hideMark/>
          </w:tcPr>
          <w:p w14:paraId="7FBB344D" w14:textId="77777777" w:rsidR="00DE4223" w:rsidRPr="00DE4223" w:rsidRDefault="00DE4223" w:rsidP="00DE4223">
            <w:pPr>
              <w:rPr>
                <w:rFonts w:cs="Arial"/>
                <w:sz w:val="22"/>
                <w:szCs w:val="22"/>
              </w:rPr>
            </w:pPr>
            <w:r w:rsidRPr="00DE4223">
              <w:rPr>
                <w:rFonts w:cs="Arial"/>
                <w:sz w:val="22"/>
                <w:szCs w:val="22"/>
              </w:rPr>
              <w:t>Additional funding does not become available to meet budget shortfall. </w:t>
            </w:r>
          </w:p>
        </w:tc>
        <w:tc>
          <w:tcPr>
            <w:tcW w:w="1470" w:type="dxa"/>
            <w:tcBorders>
              <w:top w:val="single" w:sz="4" w:space="0" w:color="000000"/>
              <w:left w:val="single" w:sz="4" w:space="0" w:color="000000"/>
              <w:bottom w:val="single" w:sz="4" w:space="0" w:color="000000"/>
              <w:right w:val="single" w:sz="4" w:space="0" w:color="000000"/>
            </w:tcBorders>
            <w:hideMark/>
          </w:tcPr>
          <w:p w14:paraId="4BD27DC3" w14:textId="77777777" w:rsidR="00DE4223" w:rsidRPr="00DE4223" w:rsidRDefault="00DE4223" w:rsidP="00DE4223">
            <w:pPr>
              <w:rPr>
                <w:rFonts w:cs="Arial"/>
                <w:sz w:val="22"/>
                <w:szCs w:val="22"/>
              </w:rPr>
            </w:pPr>
            <w:r w:rsidRPr="00DE4223">
              <w:rPr>
                <w:rFonts w:cs="Arial"/>
                <w:sz w:val="22"/>
                <w:szCs w:val="22"/>
              </w:rPr>
              <w:t>Balance Sheet </w:t>
            </w:r>
          </w:p>
        </w:tc>
        <w:tc>
          <w:tcPr>
            <w:tcW w:w="1215" w:type="dxa"/>
            <w:tcBorders>
              <w:top w:val="single" w:sz="4" w:space="0" w:color="000000"/>
              <w:left w:val="single" w:sz="4" w:space="0" w:color="000000"/>
              <w:bottom w:val="single" w:sz="4" w:space="0" w:color="000000"/>
              <w:right w:val="single" w:sz="4" w:space="0" w:color="000000"/>
            </w:tcBorders>
            <w:hideMark/>
          </w:tcPr>
          <w:p w14:paraId="652F76BB" w14:textId="77777777" w:rsidR="00DE4223" w:rsidRPr="00DE4223" w:rsidRDefault="00DE4223" w:rsidP="00DE4223">
            <w:pPr>
              <w:rPr>
                <w:rFonts w:cs="Arial"/>
                <w:sz w:val="22"/>
                <w:szCs w:val="22"/>
              </w:rPr>
            </w:pPr>
            <w:r w:rsidRPr="00DE4223">
              <w:rPr>
                <w:rFonts w:cs="Arial"/>
                <w:sz w:val="22"/>
                <w:szCs w:val="22"/>
              </w:rPr>
              <w:t>Likely </w:t>
            </w:r>
          </w:p>
        </w:tc>
        <w:tc>
          <w:tcPr>
            <w:tcW w:w="1260" w:type="dxa"/>
            <w:tcBorders>
              <w:top w:val="single" w:sz="4" w:space="0" w:color="000000"/>
              <w:left w:val="single" w:sz="4" w:space="0" w:color="000000"/>
              <w:bottom w:val="single" w:sz="4" w:space="0" w:color="000000"/>
              <w:right w:val="single" w:sz="4" w:space="0" w:color="000000"/>
            </w:tcBorders>
            <w:hideMark/>
          </w:tcPr>
          <w:p w14:paraId="68EADC6B" w14:textId="77777777" w:rsidR="00DE4223" w:rsidRPr="00DE4223" w:rsidRDefault="00DE4223" w:rsidP="00DE4223">
            <w:pPr>
              <w:rPr>
                <w:rFonts w:cs="Arial"/>
                <w:sz w:val="22"/>
                <w:szCs w:val="22"/>
              </w:rPr>
            </w:pPr>
            <w:r w:rsidRPr="00DE4223">
              <w:rPr>
                <w:rFonts w:cs="Arial"/>
                <w:sz w:val="22"/>
                <w:szCs w:val="22"/>
              </w:rPr>
              <w:t>Major </w:t>
            </w:r>
          </w:p>
        </w:tc>
        <w:tc>
          <w:tcPr>
            <w:tcW w:w="1215" w:type="dxa"/>
            <w:tcBorders>
              <w:top w:val="single" w:sz="4" w:space="0" w:color="000000"/>
              <w:left w:val="single" w:sz="4" w:space="0" w:color="000000"/>
              <w:bottom w:val="single" w:sz="4" w:space="0" w:color="000000"/>
              <w:right w:val="single" w:sz="4" w:space="0" w:color="000000"/>
            </w:tcBorders>
            <w:shd w:val="clear" w:color="auto" w:fill="FF0000"/>
            <w:hideMark/>
          </w:tcPr>
          <w:p w14:paraId="1516D1B6" w14:textId="77777777" w:rsidR="00DE4223" w:rsidRPr="00DE4223" w:rsidRDefault="00DE4223" w:rsidP="00DE4223">
            <w:pPr>
              <w:rPr>
                <w:rFonts w:cs="Arial"/>
                <w:sz w:val="22"/>
                <w:szCs w:val="22"/>
              </w:rPr>
            </w:pPr>
            <w:r w:rsidRPr="00DE4223">
              <w:rPr>
                <w:rFonts w:cs="Arial"/>
                <w:sz w:val="22"/>
                <w:szCs w:val="22"/>
              </w:rPr>
              <w:t>Major </w:t>
            </w:r>
          </w:p>
        </w:tc>
        <w:tc>
          <w:tcPr>
            <w:tcW w:w="4755" w:type="dxa"/>
            <w:tcBorders>
              <w:top w:val="single" w:sz="4" w:space="0" w:color="000000"/>
              <w:left w:val="single" w:sz="4" w:space="0" w:color="000000"/>
              <w:bottom w:val="single" w:sz="4" w:space="0" w:color="000000"/>
              <w:right w:val="single" w:sz="4" w:space="0" w:color="000000"/>
            </w:tcBorders>
            <w:hideMark/>
          </w:tcPr>
          <w:p w14:paraId="2777E89E" w14:textId="77777777" w:rsidR="00DE4223" w:rsidRPr="00DE4223" w:rsidRDefault="00DE4223" w:rsidP="00DE4223">
            <w:pPr>
              <w:rPr>
                <w:rFonts w:cs="Arial"/>
                <w:sz w:val="22"/>
                <w:szCs w:val="22"/>
              </w:rPr>
            </w:pPr>
            <w:r w:rsidRPr="00DE4223">
              <w:rPr>
                <w:rFonts w:cs="Arial"/>
                <w:sz w:val="22"/>
                <w:szCs w:val="22"/>
              </w:rPr>
              <w:t>Sufficient funding is in place to for FY26, at which point, should further funding have been made available, the programme will undertake a review to reconsider pipeline planning and reprioritise budgets accordingly.  </w:t>
            </w:r>
          </w:p>
          <w:p w14:paraId="3E23C366" w14:textId="77777777" w:rsidR="00DE4223" w:rsidRPr="00DE4223" w:rsidRDefault="00DE4223" w:rsidP="00DE4223">
            <w:pPr>
              <w:rPr>
                <w:rFonts w:cs="Arial"/>
                <w:sz w:val="22"/>
                <w:szCs w:val="22"/>
              </w:rPr>
            </w:pPr>
            <w:r w:rsidRPr="00DE4223">
              <w:rPr>
                <w:rFonts w:cs="Arial"/>
                <w:sz w:val="22"/>
                <w:szCs w:val="22"/>
              </w:rPr>
              <w:t> </w:t>
            </w:r>
          </w:p>
          <w:p w14:paraId="7D0BFD43" w14:textId="77777777" w:rsidR="00DE4223" w:rsidRPr="00DE4223" w:rsidRDefault="00DE4223" w:rsidP="00DE4223">
            <w:pPr>
              <w:rPr>
                <w:rFonts w:cs="Arial"/>
                <w:sz w:val="22"/>
                <w:szCs w:val="22"/>
              </w:rPr>
            </w:pPr>
            <w:r w:rsidRPr="00DE4223">
              <w:rPr>
                <w:rFonts w:cs="Arial"/>
                <w:sz w:val="22"/>
                <w:szCs w:val="22"/>
              </w:rPr>
              <w:t> </w:t>
            </w:r>
          </w:p>
        </w:tc>
        <w:tc>
          <w:tcPr>
            <w:tcW w:w="1290" w:type="dxa"/>
            <w:tcBorders>
              <w:top w:val="single" w:sz="4" w:space="0" w:color="000000"/>
              <w:left w:val="single" w:sz="4" w:space="0" w:color="000000"/>
              <w:bottom w:val="single" w:sz="4" w:space="0" w:color="000000"/>
              <w:right w:val="single" w:sz="6" w:space="0" w:color="auto"/>
            </w:tcBorders>
            <w:shd w:val="clear" w:color="auto" w:fill="FF0000"/>
            <w:hideMark/>
          </w:tcPr>
          <w:p w14:paraId="4FFFF20B" w14:textId="77777777" w:rsidR="00DE4223" w:rsidRPr="00DE4223" w:rsidRDefault="00DE4223" w:rsidP="00DE4223">
            <w:pPr>
              <w:rPr>
                <w:rFonts w:cs="Arial"/>
                <w:sz w:val="22"/>
                <w:szCs w:val="22"/>
              </w:rPr>
            </w:pPr>
            <w:r w:rsidRPr="00DE4223">
              <w:rPr>
                <w:rFonts w:cs="Arial"/>
                <w:sz w:val="22"/>
                <w:szCs w:val="22"/>
              </w:rPr>
              <w:t>Major </w:t>
            </w:r>
          </w:p>
        </w:tc>
      </w:tr>
      <w:tr w:rsidR="00DE4223" w:rsidRPr="00DE4223" w14:paraId="0C449EE6" w14:textId="77777777">
        <w:trPr>
          <w:trHeight w:val="60"/>
        </w:trPr>
        <w:tc>
          <w:tcPr>
            <w:tcW w:w="3240" w:type="dxa"/>
            <w:tcBorders>
              <w:top w:val="single" w:sz="4" w:space="0" w:color="000000"/>
              <w:left w:val="single" w:sz="6" w:space="0" w:color="auto"/>
              <w:bottom w:val="single" w:sz="4" w:space="0" w:color="000000"/>
              <w:right w:val="single" w:sz="4" w:space="0" w:color="000000"/>
            </w:tcBorders>
            <w:hideMark/>
          </w:tcPr>
          <w:p w14:paraId="6ACFFE11" w14:textId="77777777" w:rsidR="00DE4223" w:rsidRPr="00DE4223" w:rsidRDefault="00DE4223" w:rsidP="00DE4223">
            <w:pPr>
              <w:rPr>
                <w:rFonts w:cs="Arial"/>
                <w:sz w:val="22"/>
                <w:szCs w:val="22"/>
              </w:rPr>
            </w:pPr>
            <w:r w:rsidRPr="00DE4223">
              <w:rPr>
                <w:rFonts w:cs="Arial"/>
                <w:sz w:val="22"/>
                <w:szCs w:val="22"/>
              </w:rPr>
              <w:lastRenderedPageBreak/>
              <w:t>Lack of disbursement capacity/capability means funding is not effectively utilised or improper use (either underspend or overspend, or misuse of funds). </w:t>
            </w:r>
          </w:p>
        </w:tc>
        <w:tc>
          <w:tcPr>
            <w:tcW w:w="1470" w:type="dxa"/>
            <w:tcBorders>
              <w:top w:val="single" w:sz="4" w:space="0" w:color="000000"/>
              <w:left w:val="single" w:sz="4" w:space="0" w:color="000000"/>
              <w:bottom w:val="single" w:sz="4" w:space="0" w:color="000000"/>
              <w:right w:val="single" w:sz="4" w:space="0" w:color="000000"/>
            </w:tcBorders>
            <w:hideMark/>
          </w:tcPr>
          <w:p w14:paraId="4852BB26" w14:textId="77777777" w:rsidR="00DE4223" w:rsidRPr="00DE4223" w:rsidRDefault="00DE4223" w:rsidP="00DE4223">
            <w:pPr>
              <w:rPr>
                <w:rFonts w:cs="Arial"/>
                <w:sz w:val="22"/>
                <w:szCs w:val="22"/>
              </w:rPr>
            </w:pPr>
            <w:r w:rsidRPr="00DE4223">
              <w:rPr>
                <w:rFonts w:cs="Arial"/>
                <w:sz w:val="22"/>
                <w:szCs w:val="22"/>
              </w:rPr>
              <w:t>Fiduciary  </w:t>
            </w:r>
          </w:p>
        </w:tc>
        <w:tc>
          <w:tcPr>
            <w:tcW w:w="1215" w:type="dxa"/>
            <w:tcBorders>
              <w:top w:val="single" w:sz="4" w:space="0" w:color="000000"/>
              <w:left w:val="single" w:sz="4" w:space="0" w:color="000000"/>
              <w:bottom w:val="single" w:sz="4" w:space="0" w:color="000000"/>
              <w:right w:val="single" w:sz="4" w:space="0" w:color="000000"/>
            </w:tcBorders>
            <w:hideMark/>
          </w:tcPr>
          <w:p w14:paraId="28E28D14" w14:textId="77777777" w:rsidR="00DE4223" w:rsidRPr="00DE4223" w:rsidRDefault="00DE4223" w:rsidP="00DE4223">
            <w:pPr>
              <w:rPr>
                <w:rFonts w:cs="Arial"/>
                <w:sz w:val="22"/>
                <w:szCs w:val="22"/>
              </w:rPr>
            </w:pPr>
            <w:r w:rsidRPr="00DE4223">
              <w:rPr>
                <w:rFonts w:cs="Arial"/>
                <w:sz w:val="22"/>
                <w:szCs w:val="22"/>
              </w:rPr>
              <w:t>Unlikely  </w:t>
            </w:r>
          </w:p>
        </w:tc>
        <w:tc>
          <w:tcPr>
            <w:tcW w:w="1260" w:type="dxa"/>
            <w:tcBorders>
              <w:top w:val="single" w:sz="4" w:space="0" w:color="000000"/>
              <w:left w:val="single" w:sz="4" w:space="0" w:color="000000"/>
              <w:bottom w:val="single" w:sz="4" w:space="0" w:color="000000"/>
              <w:right w:val="single" w:sz="4" w:space="0" w:color="000000"/>
            </w:tcBorders>
            <w:hideMark/>
          </w:tcPr>
          <w:p w14:paraId="164AFDCD" w14:textId="77777777" w:rsidR="00DE4223" w:rsidRPr="00DE4223" w:rsidRDefault="00DE4223" w:rsidP="00DE4223">
            <w:pPr>
              <w:rPr>
                <w:rFonts w:cs="Arial"/>
                <w:sz w:val="22"/>
                <w:szCs w:val="22"/>
              </w:rPr>
            </w:pPr>
            <w:r w:rsidRPr="00DE4223">
              <w:rPr>
                <w:rFonts w:cs="Arial"/>
                <w:sz w:val="22"/>
                <w:szCs w:val="22"/>
              </w:rPr>
              <w:t>Moderate  </w:t>
            </w:r>
          </w:p>
        </w:tc>
        <w:tc>
          <w:tcPr>
            <w:tcW w:w="1215" w:type="dxa"/>
            <w:tcBorders>
              <w:top w:val="single" w:sz="4" w:space="0" w:color="000000"/>
              <w:left w:val="single" w:sz="4" w:space="0" w:color="000000"/>
              <w:bottom w:val="single" w:sz="4" w:space="0" w:color="000000"/>
              <w:right w:val="single" w:sz="4" w:space="0" w:color="000000"/>
            </w:tcBorders>
            <w:shd w:val="clear" w:color="auto" w:fill="FFC000"/>
            <w:hideMark/>
          </w:tcPr>
          <w:p w14:paraId="55F76A87" w14:textId="77777777" w:rsidR="00DE4223" w:rsidRPr="00DE4223" w:rsidRDefault="00DE4223" w:rsidP="00DE4223">
            <w:pPr>
              <w:rPr>
                <w:rFonts w:cs="Arial"/>
                <w:sz w:val="22"/>
                <w:szCs w:val="22"/>
              </w:rPr>
            </w:pPr>
            <w:r w:rsidRPr="00DE4223">
              <w:rPr>
                <w:rFonts w:cs="Arial"/>
                <w:sz w:val="22"/>
                <w:szCs w:val="22"/>
              </w:rPr>
              <w:t>Moderate  </w:t>
            </w:r>
          </w:p>
        </w:tc>
        <w:tc>
          <w:tcPr>
            <w:tcW w:w="4755" w:type="dxa"/>
            <w:tcBorders>
              <w:top w:val="single" w:sz="4" w:space="0" w:color="000000"/>
              <w:left w:val="single" w:sz="4" w:space="0" w:color="000000"/>
              <w:bottom w:val="single" w:sz="4" w:space="0" w:color="000000"/>
              <w:right w:val="single" w:sz="4" w:space="0" w:color="000000"/>
            </w:tcBorders>
            <w:hideMark/>
          </w:tcPr>
          <w:p w14:paraId="0FBE9AB5" w14:textId="77777777" w:rsidR="00DE4223" w:rsidRPr="00DE4223" w:rsidRDefault="00DE4223" w:rsidP="00DE4223">
            <w:pPr>
              <w:rPr>
                <w:rFonts w:cs="Arial"/>
                <w:sz w:val="22"/>
                <w:szCs w:val="22"/>
              </w:rPr>
            </w:pPr>
            <w:r w:rsidRPr="00DE4223">
              <w:rPr>
                <w:rFonts w:cs="Arial"/>
                <w:sz w:val="22"/>
                <w:szCs w:val="22"/>
              </w:rPr>
              <w:t>Our preferred option is to retain our current delivery partner – FAO. FAO have delivered the programme well to date, and there have been no issues regarding the use of funding.  Implementation through well-established UN agency structures with respected fraud checks and balances. Rigorous financial management procedures will reduce risk. Annual Budgeting and workplan appraisal to be conducted. </w:t>
            </w:r>
          </w:p>
          <w:p w14:paraId="1E41C72E" w14:textId="77777777" w:rsidR="00DE4223" w:rsidRPr="00DE4223" w:rsidRDefault="00DE4223" w:rsidP="00DE4223">
            <w:pPr>
              <w:rPr>
                <w:rFonts w:cs="Arial"/>
                <w:sz w:val="22"/>
                <w:szCs w:val="22"/>
              </w:rPr>
            </w:pPr>
            <w:r w:rsidRPr="00DE4223">
              <w:rPr>
                <w:rFonts w:cs="Arial"/>
                <w:sz w:val="22"/>
                <w:szCs w:val="22"/>
              </w:rPr>
              <w:t>Develop contingencies to manage underspend / options to re-direct and manage funding in a responsive/agile way. This includes disbursement of funding in advance of need, which will continue </w:t>
            </w:r>
          </w:p>
          <w:p w14:paraId="5C82F6BE" w14:textId="77777777" w:rsidR="00DE4223" w:rsidRPr="00DE4223" w:rsidRDefault="00DE4223" w:rsidP="00DE4223">
            <w:pPr>
              <w:rPr>
                <w:rFonts w:cs="Arial"/>
                <w:sz w:val="22"/>
                <w:szCs w:val="22"/>
              </w:rPr>
            </w:pPr>
            <w:r w:rsidRPr="00DE4223">
              <w:rPr>
                <w:rFonts w:cs="Arial"/>
                <w:sz w:val="22"/>
                <w:szCs w:val="22"/>
              </w:rPr>
              <w:t>Continuously check-in with delivery partner throughout the implementation of the programme. </w:t>
            </w:r>
          </w:p>
          <w:p w14:paraId="2740B85B" w14:textId="77777777" w:rsidR="00DE4223" w:rsidRPr="00DE4223" w:rsidRDefault="00DE4223" w:rsidP="00DE4223">
            <w:pPr>
              <w:rPr>
                <w:rFonts w:cs="Arial"/>
                <w:sz w:val="22"/>
                <w:szCs w:val="22"/>
              </w:rPr>
            </w:pPr>
            <w:r w:rsidRPr="00DE4223">
              <w:rPr>
                <w:rFonts w:cs="Arial"/>
                <w:sz w:val="22"/>
                <w:szCs w:val="22"/>
              </w:rPr>
              <w:t>The Extension Business Case also provides an initial Fraud assessment. </w:t>
            </w:r>
          </w:p>
          <w:p w14:paraId="78ED5305" w14:textId="77777777" w:rsidR="00DE4223" w:rsidRPr="00DE4223" w:rsidRDefault="00DE4223" w:rsidP="00DE4223">
            <w:pPr>
              <w:rPr>
                <w:rFonts w:cs="Arial"/>
                <w:sz w:val="22"/>
                <w:szCs w:val="22"/>
              </w:rPr>
            </w:pPr>
            <w:r w:rsidRPr="00DE4223">
              <w:rPr>
                <w:rFonts w:cs="Arial"/>
                <w:sz w:val="22"/>
                <w:szCs w:val="22"/>
              </w:rPr>
              <w:t>Ongoing </w:t>
            </w:r>
            <w:proofErr w:type="spellStart"/>
            <w:r w:rsidRPr="00DE4223">
              <w:rPr>
                <w:rFonts w:cs="Arial"/>
                <w:sz w:val="22"/>
                <w:szCs w:val="22"/>
              </w:rPr>
              <w:t>VfM</w:t>
            </w:r>
            <w:proofErr w:type="spellEnd"/>
            <w:r w:rsidRPr="00DE4223">
              <w:rPr>
                <w:rFonts w:cs="Arial"/>
                <w:sz w:val="22"/>
                <w:szCs w:val="22"/>
              </w:rPr>
              <w:t> assessments will be conducted through the Annual Review process.  </w:t>
            </w:r>
          </w:p>
          <w:p w14:paraId="4396F076" w14:textId="77777777" w:rsidR="00DE4223" w:rsidRPr="00DE4223" w:rsidRDefault="00DE4223" w:rsidP="00DE4223">
            <w:pPr>
              <w:rPr>
                <w:rFonts w:cs="Arial"/>
                <w:sz w:val="22"/>
                <w:szCs w:val="22"/>
              </w:rPr>
            </w:pPr>
            <w:r w:rsidRPr="00DE4223">
              <w:rPr>
                <w:rFonts w:cs="Arial"/>
                <w:sz w:val="22"/>
                <w:szCs w:val="22"/>
              </w:rPr>
              <w:t>The SAA sets out clear provisions for addressing potential misuse of funding, including expectations around claw back. </w:t>
            </w:r>
          </w:p>
        </w:tc>
        <w:tc>
          <w:tcPr>
            <w:tcW w:w="1290" w:type="dxa"/>
            <w:tcBorders>
              <w:top w:val="single" w:sz="4" w:space="0" w:color="000000"/>
              <w:left w:val="single" w:sz="4" w:space="0" w:color="000000"/>
              <w:bottom w:val="single" w:sz="4" w:space="0" w:color="000000"/>
              <w:right w:val="single" w:sz="6" w:space="0" w:color="auto"/>
            </w:tcBorders>
            <w:shd w:val="clear" w:color="auto" w:fill="92D050"/>
            <w:hideMark/>
          </w:tcPr>
          <w:p w14:paraId="1093AC45" w14:textId="77777777" w:rsidR="00DE4223" w:rsidRPr="00DE4223" w:rsidRDefault="00DE4223" w:rsidP="00DE4223">
            <w:pPr>
              <w:rPr>
                <w:rFonts w:cs="Arial"/>
                <w:sz w:val="22"/>
                <w:szCs w:val="22"/>
              </w:rPr>
            </w:pPr>
            <w:r w:rsidRPr="00DE4223">
              <w:rPr>
                <w:rFonts w:cs="Arial"/>
                <w:sz w:val="22"/>
                <w:szCs w:val="22"/>
              </w:rPr>
              <w:t>Minor  </w:t>
            </w:r>
          </w:p>
        </w:tc>
      </w:tr>
      <w:tr w:rsidR="00DE4223" w:rsidRPr="00DE4223" w14:paraId="04BD04EE" w14:textId="77777777">
        <w:trPr>
          <w:trHeight w:val="60"/>
        </w:trPr>
        <w:tc>
          <w:tcPr>
            <w:tcW w:w="3240" w:type="dxa"/>
            <w:tcBorders>
              <w:top w:val="single" w:sz="4" w:space="0" w:color="000000"/>
              <w:left w:val="single" w:sz="6" w:space="0" w:color="auto"/>
              <w:bottom w:val="single" w:sz="4" w:space="0" w:color="000000"/>
              <w:right w:val="single" w:sz="4" w:space="0" w:color="000000"/>
            </w:tcBorders>
            <w:hideMark/>
          </w:tcPr>
          <w:p w14:paraId="3F908A23" w14:textId="77777777" w:rsidR="00DE4223" w:rsidRPr="00DE4223" w:rsidRDefault="00DE4223" w:rsidP="00DE4223">
            <w:pPr>
              <w:rPr>
                <w:rFonts w:cs="Arial"/>
                <w:sz w:val="22"/>
                <w:szCs w:val="22"/>
              </w:rPr>
            </w:pPr>
            <w:r w:rsidRPr="00DE4223">
              <w:rPr>
                <w:rFonts w:cs="Arial"/>
                <w:sz w:val="22"/>
                <w:szCs w:val="22"/>
              </w:rPr>
              <w:t xml:space="preserve">Lack of capacity, capability of delivery partner and sub-contractors, to deliver the extension, meaning there is general poor </w:t>
            </w:r>
            <w:r w:rsidRPr="00DE4223">
              <w:rPr>
                <w:rFonts w:cs="Arial"/>
                <w:sz w:val="22"/>
                <w:szCs w:val="22"/>
              </w:rPr>
              <w:lastRenderedPageBreak/>
              <w:t>management and delivery delays or performance issues </w:t>
            </w:r>
          </w:p>
        </w:tc>
        <w:tc>
          <w:tcPr>
            <w:tcW w:w="1470" w:type="dxa"/>
            <w:tcBorders>
              <w:top w:val="single" w:sz="4" w:space="0" w:color="000000"/>
              <w:left w:val="single" w:sz="4" w:space="0" w:color="000000"/>
              <w:bottom w:val="single" w:sz="4" w:space="0" w:color="000000"/>
              <w:right w:val="single" w:sz="4" w:space="0" w:color="000000"/>
            </w:tcBorders>
            <w:hideMark/>
          </w:tcPr>
          <w:p w14:paraId="27103D7A" w14:textId="77777777" w:rsidR="00DE4223" w:rsidRPr="00DE4223" w:rsidRDefault="00DE4223" w:rsidP="00DE4223">
            <w:pPr>
              <w:rPr>
                <w:rFonts w:cs="Arial"/>
                <w:sz w:val="22"/>
                <w:szCs w:val="22"/>
              </w:rPr>
            </w:pPr>
            <w:r w:rsidRPr="00DE4223">
              <w:rPr>
                <w:rFonts w:cs="Arial"/>
                <w:sz w:val="22"/>
                <w:szCs w:val="22"/>
              </w:rPr>
              <w:lastRenderedPageBreak/>
              <w:t>Operational </w:t>
            </w:r>
          </w:p>
        </w:tc>
        <w:tc>
          <w:tcPr>
            <w:tcW w:w="1215" w:type="dxa"/>
            <w:tcBorders>
              <w:top w:val="single" w:sz="4" w:space="0" w:color="000000"/>
              <w:left w:val="single" w:sz="4" w:space="0" w:color="000000"/>
              <w:bottom w:val="single" w:sz="4" w:space="0" w:color="000000"/>
              <w:right w:val="single" w:sz="4" w:space="0" w:color="000000"/>
            </w:tcBorders>
            <w:hideMark/>
          </w:tcPr>
          <w:p w14:paraId="35134637" w14:textId="77777777" w:rsidR="00DE4223" w:rsidRPr="00DE4223" w:rsidRDefault="00DE4223" w:rsidP="00DE4223">
            <w:pPr>
              <w:rPr>
                <w:rFonts w:cs="Arial"/>
                <w:sz w:val="22"/>
                <w:szCs w:val="22"/>
              </w:rPr>
            </w:pPr>
            <w:r w:rsidRPr="00DE4223">
              <w:rPr>
                <w:rFonts w:cs="Arial"/>
                <w:sz w:val="22"/>
                <w:szCs w:val="22"/>
              </w:rPr>
              <w:t>Unlikely  </w:t>
            </w:r>
          </w:p>
        </w:tc>
        <w:tc>
          <w:tcPr>
            <w:tcW w:w="1260" w:type="dxa"/>
            <w:tcBorders>
              <w:top w:val="single" w:sz="4" w:space="0" w:color="000000"/>
              <w:left w:val="single" w:sz="4" w:space="0" w:color="000000"/>
              <w:bottom w:val="single" w:sz="4" w:space="0" w:color="000000"/>
              <w:right w:val="single" w:sz="4" w:space="0" w:color="000000"/>
            </w:tcBorders>
            <w:hideMark/>
          </w:tcPr>
          <w:p w14:paraId="3F797E1A" w14:textId="77777777" w:rsidR="00DE4223" w:rsidRPr="00DE4223" w:rsidRDefault="00DE4223" w:rsidP="00DE4223">
            <w:pPr>
              <w:rPr>
                <w:rFonts w:cs="Arial"/>
                <w:sz w:val="22"/>
                <w:szCs w:val="22"/>
              </w:rPr>
            </w:pPr>
            <w:r w:rsidRPr="00DE4223">
              <w:rPr>
                <w:rFonts w:cs="Arial"/>
                <w:sz w:val="22"/>
                <w:szCs w:val="22"/>
              </w:rPr>
              <w:t>Moderate </w:t>
            </w:r>
          </w:p>
        </w:tc>
        <w:tc>
          <w:tcPr>
            <w:tcW w:w="1215" w:type="dxa"/>
            <w:tcBorders>
              <w:top w:val="single" w:sz="4" w:space="0" w:color="000000"/>
              <w:left w:val="single" w:sz="4" w:space="0" w:color="000000"/>
              <w:bottom w:val="single" w:sz="4" w:space="0" w:color="000000"/>
              <w:right w:val="single" w:sz="4" w:space="0" w:color="000000"/>
            </w:tcBorders>
            <w:shd w:val="clear" w:color="auto" w:fill="FFC000"/>
            <w:hideMark/>
          </w:tcPr>
          <w:p w14:paraId="32E78848" w14:textId="77777777" w:rsidR="00DE4223" w:rsidRPr="00DE4223" w:rsidRDefault="00DE4223" w:rsidP="00DE4223">
            <w:pPr>
              <w:rPr>
                <w:rFonts w:cs="Arial"/>
                <w:sz w:val="22"/>
                <w:szCs w:val="22"/>
              </w:rPr>
            </w:pPr>
            <w:r w:rsidRPr="00DE4223">
              <w:rPr>
                <w:rFonts w:cs="Arial"/>
                <w:sz w:val="22"/>
                <w:szCs w:val="22"/>
              </w:rPr>
              <w:t>Moderate </w:t>
            </w:r>
          </w:p>
        </w:tc>
        <w:tc>
          <w:tcPr>
            <w:tcW w:w="4755" w:type="dxa"/>
            <w:tcBorders>
              <w:top w:val="single" w:sz="4" w:space="0" w:color="000000"/>
              <w:left w:val="single" w:sz="4" w:space="0" w:color="000000"/>
              <w:bottom w:val="single" w:sz="4" w:space="0" w:color="000000"/>
              <w:right w:val="single" w:sz="4" w:space="0" w:color="000000"/>
            </w:tcBorders>
            <w:hideMark/>
          </w:tcPr>
          <w:p w14:paraId="77640E04" w14:textId="77777777" w:rsidR="00DE4223" w:rsidRPr="00DE4223" w:rsidRDefault="00DE4223" w:rsidP="00DE4223">
            <w:pPr>
              <w:rPr>
                <w:rFonts w:cs="Arial"/>
                <w:sz w:val="22"/>
                <w:szCs w:val="22"/>
              </w:rPr>
            </w:pPr>
            <w:r w:rsidRPr="00DE4223">
              <w:rPr>
                <w:rFonts w:cs="Arial"/>
                <w:sz w:val="22"/>
                <w:szCs w:val="22"/>
                <w:lang w:val="en-US"/>
              </w:rPr>
              <w:t>The selected Delivery Partner (FAO) has already been delivering the programme to a high </w:t>
            </w:r>
            <w:proofErr w:type="gramStart"/>
            <w:r w:rsidRPr="00DE4223">
              <w:rPr>
                <w:rFonts w:cs="Arial"/>
                <w:sz w:val="22"/>
                <w:szCs w:val="22"/>
                <w:lang w:val="en-US"/>
              </w:rPr>
              <w:t>standard, and</w:t>
            </w:r>
            <w:proofErr w:type="gramEnd"/>
            <w:r w:rsidRPr="00DE4223">
              <w:rPr>
                <w:rFonts w:cs="Arial"/>
                <w:sz w:val="22"/>
                <w:szCs w:val="22"/>
                <w:lang w:val="en-US"/>
              </w:rPr>
              <w:t xml:space="preserve"> has been evaluated to be competent in delivery and management of AIM4Forests through the recent </w:t>
            </w:r>
            <w:r w:rsidRPr="00DE4223">
              <w:rPr>
                <w:rFonts w:cs="Arial"/>
                <w:sz w:val="22"/>
                <w:szCs w:val="22"/>
                <w:lang w:val="en-US"/>
              </w:rPr>
              <w:lastRenderedPageBreak/>
              <w:t>Mid-Term Review. FAO has substantial experience with managing forest projects and long-standing capability to international coordination.</w:t>
            </w:r>
            <w:r w:rsidRPr="00DE4223">
              <w:rPr>
                <w:rFonts w:cs="Arial"/>
                <w:sz w:val="22"/>
                <w:szCs w:val="22"/>
              </w:rPr>
              <w:t> </w:t>
            </w:r>
          </w:p>
          <w:p w14:paraId="547AA3D1" w14:textId="77777777" w:rsidR="00DE4223" w:rsidRPr="00DE4223" w:rsidRDefault="00DE4223" w:rsidP="00DE4223">
            <w:pPr>
              <w:rPr>
                <w:rFonts w:cs="Arial"/>
                <w:sz w:val="22"/>
                <w:szCs w:val="22"/>
              </w:rPr>
            </w:pPr>
            <w:r w:rsidRPr="00DE4223">
              <w:rPr>
                <w:rFonts w:cs="Arial"/>
                <w:sz w:val="22"/>
                <w:szCs w:val="22"/>
                <w:lang w:val="en-US"/>
              </w:rPr>
              <w:t>Termination clauses have been included in the agreement if there is poor delivery or mismanagement, to ensure that we have visibility on potential risks and are notified early.</w:t>
            </w:r>
            <w:r w:rsidRPr="00DE4223">
              <w:rPr>
                <w:rFonts w:cs="Arial"/>
                <w:sz w:val="22"/>
                <w:szCs w:val="22"/>
              </w:rPr>
              <w:t> </w:t>
            </w:r>
          </w:p>
        </w:tc>
        <w:tc>
          <w:tcPr>
            <w:tcW w:w="1290" w:type="dxa"/>
            <w:tcBorders>
              <w:top w:val="single" w:sz="4" w:space="0" w:color="000000"/>
              <w:left w:val="single" w:sz="4" w:space="0" w:color="000000"/>
              <w:bottom w:val="single" w:sz="4" w:space="0" w:color="000000"/>
              <w:right w:val="single" w:sz="6" w:space="0" w:color="auto"/>
            </w:tcBorders>
            <w:shd w:val="clear" w:color="auto" w:fill="92D050"/>
            <w:hideMark/>
          </w:tcPr>
          <w:p w14:paraId="7FEB6635" w14:textId="77777777" w:rsidR="00DE4223" w:rsidRPr="00DE4223" w:rsidRDefault="00DE4223" w:rsidP="00DE4223">
            <w:pPr>
              <w:rPr>
                <w:rFonts w:cs="Arial"/>
                <w:sz w:val="22"/>
                <w:szCs w:val="22"/>
              </w:rPr>
            </w:pPr>
            <w:r w:rsidRPr="00DE4223">
              <w:rPr>
                <w:rFonts w:cs="Arial"/>
                <w:sz w:val="22"/>
                <w:szCs w:val="22"/>
              </w:rPr>
              <w:lastRenderedPageBreak/>
              <w:t>Minor </w:t>
            </w:r>
          </w:p>
        </w:tc>
      </w:tr>
      <w:tr w:rsidR="00DE4223" w:rsidRPr="00DE4223" w14:paraId="4D9CAC3F" w14:textId="77777777">
        <w:trPr>
          <w:trHeight w:val="300"/>
        </w:trPr>
        <w:tc>
          <w:tcPr>
            <w:tcW w:w="3240" w:type="dxa"/>
            <w:tcBorders>
              <w:top w:val="single" w:sz="4" w:space="0" w:color="000000"/>
              <w:left w:val="single" w:sz="6" w:space="0" w:color="auto"/>
              <w:bottom w:val="single" w:sz="4" w:space="0" w:color="000000"/>
              <w:right w:val="single" w:sz="4" w:space="0" w:color="000000"/>
            </w:tcBorders>
            <w:hideMark/>
          </w:tcPr>
          <w:p w14:paraId="6272D3BC" w14:textId="77777777" w:rsidR="00DE4223" w:rsidRPr="00DE4223" w:rsidRDefault="00DE4223" w:rsidP="00DE4223">
            <w:pPr>
              <w:rPr>
                <w:rFonts w:cs="Arial"/>
                <w:sz w:val="22"/>
                <w:szCs w:val="22"/>
              </w:rPr>
            </w:pPr>
            <w:r w:rsidRPr="00DE4223">
              <w:rPr>
                <w:rFonts w:cs="Arial"/>
                <w:sz w:val="22"/>
                <w:szCs w:val="22"/>
              </w:rPr>
              <w:t>Non-commercial approach to procurement creates risk of challenge to DESNZ </w:t>
            </w:r>
          </w:p>
        </w:tc>
        <w:tc>
          <w:tcPr>
            <w:tcW w:w="1470" w:type="dxa"/>
            <w:tcBorders>
              <w:top w:val="single" w:sz="4" w:space="0" w:color="000000"/>
              <w:left w:val="single" w:sz="4" w:space="0" w:color="000000"/>
              <w:bottom w:val="single" w:sz="4" w:space="0" w:color="000000"/>
              <w:right w:val="single" w:sz="4" w:space="0" w:color="000000"/>
            </w:tcBorders>
            <w:hideMark/>
          </w:tcPr>
          <w:p w14:paraId="6A31B2C1" w14:textId="77777777" w:rsidR="00DE4223" w:rsidRPr="00DE4223" w:rsidRDefault="00DE4223" w:rsidP="00DE4223">
            <w:pPr>
              <w:rPr>
                <w:rFonts w:cs="Arial"/>
                <w:sz w:val="22"/>
                <w:szCs w:val="22"/>
              </w:rPr>
            </w:pPr>
            <w:r w:rsidRPr="00DE4223">
              <w:rPr>
                <w:rFonts w:cs="Arial"/>
                <w:sz w:val="22"/>
                <w:szCs w:val="22"/>
              </w:rPr>
              <w:t>Delivery  </w:t>
            </w:r>
          </w:p>
        </w:tc>
        <w:tc>
          <w:tcPr>
            <w:tcW w:w="1215" w:type="dxa"/>
            <w:tcBorders>
              <w:top w:val="single" w:sz="4" w:space="0" w:color="000000"/>
              <w:left w:val="single" w:sz="4" w:space="0" w:color="000000"/>
              <w:bottom w:val="single" w:sz="4" w:space="0" w:color="000000"/>
              <w:right w:val="single" w:sz="4" w:space="0" w:color="000000"/>
            </w:tcBorders>
            <w:hideMark/>
          </w:tcPr>
          <w:p w14:paraId="0FA37FB1" w14:textId="77777777" w:rsidR="00DE4223" w:rsidRPr="00DE4223" w:rsidRDefault="00DE4223" w:rsidP="00DE4223">
            <w:pPr>
              <w:rPr>
                <w:rFonts w:cs="Arial"/>
                <w:sz w:val="22"/>
                <w:szCs w:val="22"/>
              </w:rPr>
            </w:pPr>
            <w:r w:rsidRPr="00DE4223">
              <w:rPr>
                <w:rFonts w:cs="Arial"/>
                <w:sz w:val="22"/>
                <w:szCs w:val="22"/>
              </w:rPr>
              <w:t>Unlikely </w:t>
            </w:r>
          </w:p>
        </w:tc>
        <w:tc>
          <w:tcPr>
            <w:tcW w:w="1260" w:type="dxa"/>
            <w:tcBorders>
              <w:top w:val="single" w:sz="4" w:space="0" w:color="000000"/>
              <w:left w:val="single" w:sz="4" w:space="0" w:color="000000"/>
              <w:bottom w:val="single" w:sz="4" w:space="0" w:color="000000"/>
              <w:right w:val="single" w:sz="4" w:space="0" w:color="000000"/>
            </w:tcBorders>
            <w:hideMark/>
          </w:tcPr>
          <w:p w14:paraId="0E665A28" w14:textId="77777777" w:rsidR="00DE4223" w:rsidRPr="00DE4223" w:rsidRDefault="00DE4223" w:rsidP="00DE4223">
            <w:pPr>
              <w:rPr>
                <w:rFonts w:cs="Arial"/>
                <w:sz w:val="22"/>
                <w:szCs w:val="22"/>
              </w:rPr>
            </w:pPr>
            <w:r w:rsidRPr="00DE4223">
              <w:rPr>
                <w:rFonts w:cs="Arial"/>
                <w:sz w:val="22"/>
                <w:szCs w:val="22"/>
              </w:rPr>
              <w:t>Moderate </w:t>
            </w:r>
          </w:p>
        </w:tc>
        <w:tc>
          <w:tcPr>
            <w:tcW w:w="1215" w:type="dxa"/>
            <w:tcBorders>
              <w:top w:val="single" w:sz="4" w:space="0" w:color="000000"/>
              <w:left w:val="single" w:sz="4" w:space="0" w:color="000000"/>
              <w:bottom w:val="single" w:sz="4" w:space="0" w:color="000000"/>
              <w:right w:val="single" w:sz="4" w:space="0" w:color="000000"/>
            </w:tcBorders>
            <w:shd w:val="clear" w:color="auto" w:fill="FFC000"/>
            <w:hideMark/>
          </w:tcPr>
          <w:p w14:paraId="079D747F" w14:textId="77777777" w:rsidR="00DE4223" w:rsidRPr="00DE4223" w:rsidRDefault="00DE4223" w:rsidP="00DE4223">
            <w:pPr>
              <w:rPr>
                <w:rFonts w:cs="Arial"/>
                <w:sz w:val="22"/>
                <w:szCs w:val="22"/>
              </w:rPr>
            </w:pPr>
            <w:r w:rsidRPr="00DE4223">
              <w:rPr>
                <w:rFonts w:cs="Arial"/>
                <w:sz w:val="22"/>
                <w:szCs w:val="22"/>
              </w:rPr>
              <w:t>Moderate  </w:t>
            </w:r>
          </w:p>
        </w:tc>
        <w:tc>
          <w:tcPr>
            <w:tcW w:w="4755" w:type="dxa"/>
            <w:tcBorders>
              <w:top w:val="single" w:sz="4" w:space="0" w:color="000000"/>
              <w:left w:val="single" w:sz="4" w:space="0" w:color="000000"/>
              <w:bottom w:val="single" w:sz="4" w:space="0" w:color="000000"/>
              <w:right w:val="single" w:sz="4" w:space="0" w:color="000000"/>
            </w:tcBorders>
            <w:hideMark/>
          </w:tcPr>
          <w:p w14:paraId="3E8AD5F2" w14:textId="77777777" w:rsidR="00DE4223" w:rsidRPr="00DE4223" w:rsidRDefault="00DE4223" w:rsidP="00DE4223">
            <w:pPr>
              <w:rPr>
                <w:rFonts w:cs="Arial"/>
                <w:sz w:val="22"/>
                <w:szCs w:val="22"/>
              </w:rPr>
            </w:pPr>
            <w:r w:rsidRPr="00DE4223">
              <w:rPr>
                <w:rFonts w:cs="Arial"/>
                <w:sz w:val="22"/>
                <w:szCs w:val="22"/>
                <w:lang w:val="en-US"/>
              </w:rPr>
              <w:t xml:space="preserve">International Forests Unit </w:t>
            </w:r>
            <w:proofErr w:type="gramStart"/>
            <w:r w:rsidRPr="00DE4223">
              <w:rPr>
                <w:rFonts w:cs="Arial"/>
                <w:sz w:val="22"/>
                <w:szCs w:val="22"/>
                <w:lang w:val="en-US"/>
              </w:rPr>
              <w:t>to continue</w:t>
            </w:r>
            <w:proofErr w:type="gramEnd"/>
            <w:r w:rsidRPr="00DE4223">
              <w:rPr>
                <w:rFonts w:cs="Arial"/>
                <w:sz w:val="22"/>
                <w:szCs w:val="22"/>
                <w:lang w:val="en-US"/>
              </w:rPr>
              <w:t xml:space="preserve"> to work closely with DESNZ Commercial and Legal teams to ensure that we have sufficiently evidenced the strong justification for extending the existing arrangement with FAO, such that the risk of legal challenge over the procurement approach to this programme is </w:t>
            </w:r>
            <w:proofErr w:type="spellStart"/>
            <w:r w:rsidRPr="00DE4223">
              <w:rPr>
                <w:rFonts w:cs="Arial"/>
                <w:sz w:val="22"/>
                <w:szCs w:val="22"/>
                <w:lang w:val="en-US"/>
              </w:rPr>
              <w:t>minimised</w:t>
            </w:r>
            <w:proofErr w:type="spellEnd"/>
            <w:r w:rsidRPr="00DE4223">
              <w:rPr>
                <w:rFonts w:cs="Arial"/>
                <w:sz w:val="22"/>
                <w:szCs w:val="22"/>
                <w:lang w:val="en-US"/>
              </w:rPr>
              <w:t>.  </w:t>
            </w:r>
            <w:r w:rsidRPr="00DE4223">
              <w:rPr>
                <w:rFonts w:cs="Arial"/>
                <w:sz w:val="22"/>
                <w:szCs w:val="22"/>
              </w:rPr>
              <w:t> </w:t>
            </w:r>
          </w:p>
        </w:tc>
        <w:tc>
          <w:tcPr>
            <w:tcW w:w="1290" w:type="dxa"/>
            <w:tcBorders>
              <w:top w:val="single" w:sz="4" w:space="0" w:color="000000"/>
              <w:left w:val="single" w:sz="4" w:space="0" w:color="000000"/>
              <w:bottom w:val="single" w:sz="4" w:space="0" w:color="000000"/>
              <w:right w:val="single" w:sz="6" w:space="0" w:color="auto"/>
            </w:tcBorders>
            <w:shd w:val="clear" w:color="auto" w:fill="92D050"/>
            <w:hideMark/>
          </w:tcPr>
          <w:p w14:paraId="6F3E8C63" w14:textId="77777777" w:rsidR="00DE4223" w:rsidRPr="00DE4223" w:rsidRDefault="00DE4223" w:rsidP="00DE4223">
            <w:pPr>
              <w:rPr>
                <w:rFonts w:cs="Arial"/>
                <w:sz w:val="22"/>
                <w:szCs w:val="22"/>
              </w:rPr>
            </w:pPr>
            <w:r w:rsidRPr="00DE4223">
              <w:rPr>
                <w:rFonts w:cs="Arial"/>
                <w:sz w:val="22"/>
                <w:szCs w:val="22"/>
              </w:rPr>
              <w:t>Minor </w:t>
            </w:r>
          </w:p>
        </w:tc>
      </w:tr>
      <w:tr w:rsidR="00DE4223" w:rsidRPr="00DE4223" w14:paraId="443C95E5" w14:textId="77777777">
        <w:trPr>
          <w:trHeight w:val="300"/>
        </w:trPr>
        <w:tc>
          <w:tcPr>
            <w:tcW w:w="3240" w:type="dxa"/>
            <w:tcBorders>
              <w:top w:val="single" w:sz="4" w:space="0" w:color="000000"/>
              <w:left w:val="single" w:sz="6" w:space="0" w:color="auto"/>
              <w:bottom w:val="single" w:sz="4" w:space="0" w:color="000000"/>
              <w:right w:val="single" w:sz="4" w:space="0" w:color="000000"/>
            </w:tcBorders>
            <w:hideMark/>
          </w:tcPr>
          <w:p w14:paraId="0E88D783" w14:textId="77777777" w:rsidR="00DE4223" w:rsidRPr="00DE4223" w:rsidRDefault="00DE4223" w:rsidP="00DE4223">
            <w:pPr>
              <w:rPr>
                <w:rFonts w:cs="Arial"/>
                <w:sz w:val="22"/>
                <w:szCs w:val="22"/>
              </w:rPr>
            </w:pPr>
            <w:r w:rsidRPr="00DE4223">
              <w:rPr>
                <w:rFonts w:cs="Arial"/>
                <w:sz w:val="22"/>
                <w:szCs w:val="22"/>
              </w:rPr>
              <w:t>Amendments to the existing Agreement with Delivery Partner is not robust when compared to HMG principles  </w:t>
            </w:r>
          </w:p>
        </w:tc>
        <w:tc>
          <w:tcPr>
            <w:tcW w:w="1470" w:type="dxa"/>
            <w:tcBorders>
              <w:top w:val="single" w:sz="4" w:space="0" w:color="000000"/>
              <w:left w:val="single" w:sz="4" w:space="0" w:color="000000"/>
              <w:bottom w:val="single" w:sz="4" w:space="0" w:color="000000"/>
              <w:right w:val="single" w:sz="4" w:space="0" w:color="000000"/>
            </w:tcBorders>
            <w:hideMark/>
          </w:tcPr>
          <w:p w14:paraId="32C08246" w14:textId="77777777" w:rsidR="00DE4223" w:rsidRPr="00DE4223" w:rsidRDefault="00DE4223" w:rsidP="00DE4223">
            <w:pPr>
              <w:rPr>
                <w:rFonts w:cs="Arial"/>
                <w:sz w:val="22"/>
                <w:szCs w:val="22"/>
              </w:rPr>
            </w:pPr>
            <w:r w:rsidRPr="00DE4223">
              <w:rPr>
                <w:rFonts w:cs="Arial"/>
                <w:sz w:val="22"/>
                <w:szCs w:val="22"/>
              </w:rPr>
              <w:t>Compliance </w:t>
            </w:r>
          </w:p>
        </w:tc>
        <w:tc>
          <w:tcPr>
            <w:tcW w:w="1215" w:type="dxa"/>
            <w:tcBorders>
              <w:top w:val="single" w:sz="4" w:space="0" w:color="000000"/>
              <w:left w:val="single" w:sz="4" w:space="0" w:color="000000"/>
              <w:bottom w:val="single" w:sz="4" w:space="0" w:color="000000"/>
              <w:right w:val="single" w:sz="4" w:space="0" w:color="000000"/>
            </w:tcBorders>
            <w:hideMark/>
          </w:tcPr>
          <w:p w14:paraId="1E528E6C" w14:textId="77777777" w:rsidR="00DE4223" w:rsidRPr="00DE4223" w:rsidRDefault="00DE4223" w:rsidP="00DE4223">
            <w:pPr>
              <w:rPr>
                <w:rFonts w:cs="Arial"/>
                <w:sz w:val="22"/>
                <w:szCs w:val="22"/>
              </w:rPr>
            </w:pPr>
            <w:r w:rsidRPr="00DE4223">
              <w:rPr>
                <w:rFonts w:cs="Arial"/>
                <w:sz w:val="22"/>
                <w:szCs w:val="22"/>
              </w:rPr>
              <w:t>Unlikely </w:t>
            </w:r>
          </w:p>
        </w:tc>
        <w:tc>
          <w:tcPr>
            <w:tcW w:w="1260" w:type="dxa"/>
            <w:tcBorders>
              <w:top w:val="single" w:sz="4" w:space="0" w:color="000000"/>
              <w:left w:val="single" w:sz="4" w:space="0" w:color="000000"/>
              <w:bottom w:val="single" w:sz="4" w:space="0" w:color="000000"/>
              <w:right w:val="single" w:sz="4" w:space="0" w:color="000000"/>
            </w:tcBorders>
            <w:hideMark/>
          </w:tcPr>
          <w:p w14:paraId="602E9AA7" w14:textId="77777777" w:rsidR="00DE4223" w:rsidRPr="00DE4223" w:rsidRDefault="00DE4223" w:rsidP="00DE4223">
            <w:pPr>
              <w:rPr>
                <w:rFonts w:cs="Arial"/>
                <w:sz w:val="22"/>
                <w:szCs w:val="22"/>
              </w:rPr>
            </w:pPr>
            <w:r w:rsidRPr="00DE4223">
              <w:rPr>
                <w:rFonts w:cs="Arial"/>
                <w:sz w:val="22"/>
                <w:szCs w:val="22"/>
              </w:rPr>
              <w:t>Moderate </w:t>
            </w:r>
          </w:p>
        </w:tc>
        <w:tc>
          <w:tcPr>
            <w:tcW w:w="1215" w:type="dxa"/>
            <w:tcBorders>
              <w:top w:val="single" w:sz="4" w:space="0" w:color="000000"/>
              <w:left w:val="single" w:sz="4" w:space="0" w:color="000000"/>
              <w:bottom w:val="single" w:sz="4" w:space="0" w:color="000000"/>
              <w:right w:val="single" w:sz="4" w:space="0" w:color="000000"/>
            </w:tcBorders>
            <w:shd w:val="clear" w:color="auto" w:fill="FFC000"/>
            <w:hideMark/>
          </w:tcPr>
          <w:p w14:paraId="76EFD534" w14:textId="77777777" w:rsidR="00DE4223" w:rsidRPr="00DE4223" w:rsidRDefault="00DE4223" w:rsidP="00DE4223">
            <w:pPr>
              <w:rPr>
                <w:rFonts w:cs="Arial"/>
                <w:sz w:val="22"/>
                <w:szCs w:val="22"/>
              </w:rPr>
            </w:pPr>
            <w:r w:rsidRPr="00DE4223">
              <w:rPr>
                <w:rFonts w:cs="Arial"/>
                <w:sz w:val="22"/>
                <w:szCs w:val="22"/>
              </w:rPr>
              <w:t>Moderate  </w:t>
            </w:r>
          </w:p>
        </w:tc>
        <w:tc>
          <w:tcPr>
            <w:tcW w:w="4755" w:type="dxa"/>
            <w:tcBorders>
              <w:top w:val="single" w:sz="4" w:space="0" w:color="000000"/>
              <w:left w:val="single" w:sz="4" w:space="0" w:color="000000"/>
              <w:bottom w:val="single" w:sz="4" w:space="0" w:color="000000"/>
              <w:right w:val="single" w:sz="4" w:space="0" w:color="000000"/>
            </w:tcBorders>
            <w:hideMark/>
          </w:tcPr>
          <w:p w14:paraId="69D3123E" w14:textId="361A2630" w:rsidR="00DE4223" w:rsidRPr="00DE4223" w:rsidRDefault="00DE4223" w:rsidP="00DE4223">
            <w:pPr>
              <w:rPr>
                <w:rFonts w:cs="Arial"/>
                <w:sz w:val="22"/>
                <w:szCs w:val="22"/>
              </w:rPr>
            </w:pPr>
            <w:r w:rsidRPr="00DE4223">
              <w:rPr>
                <w:rFonts w:cs="Arial"/>
                <w:sz w:val="22"/>
                <w:szCs w:val="22"/>
              </w:rPr>
              <w:t>DESNZ will ensure that any amendments to the existing Standard Administrative Agreement (and any associated documents) signed with UNDP MPTF are in line with HMG principles. Legal, Finance, and </w:t>
            </w:r>
            <w:r w:rsidR="002F2831" w:rsidRPr="00DE4223">
              <w:rPr>
                <w:rFonts w:cs="Arial"/>
                <w:sz w:val="22"/>
                <w:szCs w:val="22"/>
              </w:rPr>
              <w:t>Commercial</w:t>
            </w:r>
            <w:r w:rsidRPr="00DE4223">
              <w:rPr>
                <w:rFonts w:cs="Arial"/>
                <w:sz w:val="22"/>
                <w:szCs w:val="22"/>
              </w:rPr>
              <w:t> colleagues will review and assist in negotiating terms on behalf of DESNZ. “Red lines” will be identified including but not limited to fraud, corruption and reporting and where these are not met then an agreement will not be </w:t>
            </w:r>
            <w:proofErr w:type="gramStart"/>
            <w:r w:rsidRPr="00DE4223">
              <w:rPr>
                <w:rFonts w:cs="Arial"/>
                <w:sz w:val="22"/>
                <w:szCs w:val="22"/>
              </w:rPr>
              <w:t>entered into</w:t>
            </w:r>
            <w:proofErr w:type="gramEnd"/>
            <w:r w:rsidRPr="00DE4223">
              <w:rPr>
                <w:rFonts w:cs="Arial"/>
                <w:sz w:val="22"/>
                <w:szCs w:val="22"/>
              </w:rPr>
              <w:t>.   </w:t>
            </w:r>
          </w:p>
          <w:p w14:paraId="616FB328" w14:textId="77777777" w:rsidR="00DE4223" w:rsidRPr="00DE4223" w:rsidRDefault="00DE4223" w:rsidP="00DE4223">
            <w:pPr>
              <w:rPr>
                <w:rFonts w:cs="Arial"/>
                <w:sz w:val="22"/>
                <w:szCs w:val="22"/>
              </w:rPr>
            </w:pPr>
            <w:r w:rsidRPr="00DE4223">
              <w:rPr>
                <w:rFonts w:cs="Arial"/>
                <w:sz w:val="22"/>
                <w:szCs w:val="22"/>
              </w:rPr>
              <w:t> </w:t>
            </w:r>
          </w:p>
        </w:tc>
        <w:tc>
          <w:tcPr>
            <w:tcW w:w="1290" w:type="dxa"/>
            <w:tcBorders>
              <w:top w:val="single" w:sz="4" w:space="0" w:color="000000"/>
              <w:left w:val="single" w:sz="4" w:space="0" w:color="000000"/>
              <w:bottom w:val="single" w:sz="4" w:space="0" w:color="000000"/>
              <w:right w:val="single" w:sz="6" w:space="0" w:color="auto"/>
            </w:tcBorders>
            <w:shd w:val="clear" w:color="auto" w:fill="92D050"/>
            <w:hideMark/>
          </w:tcPr>
          <w:p w14:paraId="1538EF2F" w14:textId="77777777" w:rsidR="00DE4223" w:rsidRPr="00DE4223" w:rsidRDefault="00DE4223" w:rsidP="00DE4223">
            <w:pPr>
              <w:rPr>
                <w:rFonts w:cs="Arial"/>
                <w:sz w:val="22"/>
                <w:szCs w:val="22"/>
              </w:rPr>
            </w:pPr>
            <w:r w:rsidRPr="00DE4223">
              <w:rPr>
                <w:rFonts w:cs="Arial"/>
                <w:sz w:val="22"/>
                <w:szCs w:val="22"/>
              </w:rPr>
              <w:t>Minor </w:t>
            </w:r>
          </w:p>
        </w:tc>
      </w:tr>
      <w:tr w:rsidR="00DE4223" w:rsidRPr="00DE4223" w14:paraId="66277F55" w14:textId="77777777">
        <w:trPr>
          <w:trHeight w:val="45"/>
        </w:trPr>
        <w:tc>
          <w:tcPr>
            <w:tcW w:w="3240" w:type="dxa"/>
            <w:tcBorders>
              <w:top w:val="single" w:sz="4" w:space="0" w:color="000000"/>
              <w:left w:val="single" w:sz="6" w:space="0" w:color="auto"/>
              <w:bottom w:val="single" w:sz="4" w:space="0" w:color="000000"/>
              <w:right w:val="single" w:sz="4" w:space="0" w:color="000000"/>
            </w:tcBorders>
            <w:hideMark/>
          </w:tcPr>
          <w:p w14:paraId="634F5864" w14:textId="77777777" w:rsidR="00DE4223" w:rsidRPr="00DE4223" w:rsidRDefault="00DE4223" w:rsidP="00DE4223">
            <w:pPr>
              <w:rPr>
                <w:rFonts w:cs="Arial"/>
                <w:sz w:val="22"/>
                <w:szCs w:val="22"/>
              </w:rPr>
            </w:pPr>
            <w:r w:rsidRPr="00DE4223">
              <w:rPr>
                <w:rFonts w:cs="Arial"/>
                <w:sz w:val="22"/>
                <w:szCs w:val="22"/>
              </w:rPr>
              <w:t xml:space="preserve">Reputational risks including potential negative perception of REDD+, potential failure when investing in new/ </w:t>
            </w:r>
            <w:r w:rsidRPr="00DE4223">
              <w:rPr>
                <w:rFonts w:cs="Arial"/>
                <w:sz w:val="22"/>
                <w:szCs w:val="22"/>
              </w:rPr>
              <w:lastRenderedPageBreak/>
              <w:t>innovative technologies, or global backlash against carbon finance for forests (can be a result of other risks listed in this risk register). </w:t>
            </w:r>
          </w:p>
        </w:tc>
        <w:tc>
          <w:tcPr>
            <w:tcW w:w="1470" w:type="dxa"/>
            <w:tcBorders>
              <w:top w:val="single" w:sz="4" w:space="0" w:color="000000"/>
              <w:left w:val="single" w:sz="4" w:space="0" w:color="000000"/>
              <w:bottom w:val="single" w:sz="4" w:space="0" w:color="000000"/>
              <w:right w:val="single" w:sz="4" w:space="0" w:color="000000"/>
            </w:tcBorders>
            <w:hideMark/>
          </w:tcPr>
          <w:p w14:paraId="75FEEB3D" w14:textId="77777777" w:rsidR="00DE4223" w:rsidRPr="00DE4223" w:rsidRDefault="00DE4223" w:rsidP="00DE4223">
            <w:pPr>
              <w:rPr>
                <w:rFonts w:cs="Arial"/>
                <w:sz w:val="22"/>
                <w:szCs w:val="22"/>
              </w:rPr>
            </w:pPr>
            <w:r w:rsidRPr="00DE4223">
              <w:rPr>
                <w:rFonts w:cs="Arial"/>
                <w:sz w:val="22"/>
                <w:szCs w:val="22"/>
              </w:rPr>
              <w:lastRenderedPageBreak/>
              <w:t>Reputational  </w:t>
            </w:r>
          </w:p>
        </w:tc>
        <w:tc>
          <w:tcPr>
            <w:tcW w:w="1215" w:type="dxa"/>
            <w:tcBorders>
              <w:top w:val="single" w:sz="4" w:space="0" w:color="000000"/>
              <w:left w:val="single" w:sz="4" w:space="0" w:color="000000"/>
              <w:bottom w:val="single" w:sz="4" w:space="0" w:color="000000"/>
              <w:right w:val="single" w:sz="4" w:space="0" w:color="000000"/>
            </w:tcBorders>
            <w:hideMark/>
          </w:tcPr>
          <w:p w14:paraId="4F93671D" w14:textId="77777777" w:rsidR="00DE4223" w:rsidRPr="00DE4223" w:rsidRDefault="00DE4223" w:rsidP="00DE4223">
            <w:pPr>
              <w:rPr>
                <w:rFonts w:cs="Arial"/>
                <w:sz w:val="22"/>
                <w:szCs w:val="22"/>
              </w:rPr>
            </w:pPr>
            <w:r w:rsidRPr="00DE4223">
              <w:rPr>
                <w:rFonts w:cs="Arial"/>
                <w:sz w:val="22"/>
                <w:szCs w:val="22"/>
              </w:rPr>
              <w:t>Possible  </w:t>
            </w:r>
          </w:p>
        </w:tc>
        <w:tc>
          <w:tcPr>
            <w:tcW w:w="1260" w:type="dxa"/>
            <w:tcBorders>
              <w:top w:val="single" w:sz="4" w:space="0" w:color="000000"/>
              <w:left w:val="single" w:sz="4" w:space="0" w:color="000000"/>
              <w:bottom w:val="single" w:sz="4" w:space="0" w:color="000000"/>
              <w:right w:val="single" w:sz="4" w:space="0" w:color="000000"/>
            </w:tcBorders>
            <w:hideMark/>
          </w:tcPr>
          <w:p w14:paraId="64E7A95C" w14:textId="77777777" w:rsidR="00DE4223" w:rsidRPr="00DE4223" w:rsidRDefault="00DE4223" w:rsidP="00DE4223">
            <w:pPr>
              <w:rPr>
                <w:rFonts w:cs="Arial"/>
                <w:sz w:val="22"/>
                <w:szCs w:val="22"/>
              </w:rPr>
            </w:pPr>
            <w:r w:rsidRPr="00DE4223">
              <w:rPr>
                <w:rFonts w:cs="Arial"/>
                <w:sz w:val="22"/>
                <w:szCs w:val="22"/>
              </w:rPr>
              <w:t>Minor  </w:t>
            </w:r>
          </w:p>
        </w:tc>
        <w:tc>
          <w:tcPr>
            <w:tcW w:w="1215" w:type="dxa"/>
            <w:tcBorders>
              <w:top w:val="single" w:sz="4" w:space="0" w:color="000000"/>
              <w:left w:val="single" w:sz="4" w:space="0" w:color="000000"/>
              <w:bottom w:val="single" w:sz="4" w:space="0" w:color="000000"/>
              <w:right w:val="single" w:sz="4" w:space="0" w:color="000000"/>
            </w:tcBorders>
            <w:shd w:val="clear" w:color="auto" w:fill="FFC000"/>
            <w:hideMark/>
          </w:tcPr>
          <w:p w14:paraId="265928DB" w14:textId="77777777" w:rsidR="00DE4223" w:rsidRPr="00DE4223" w:rsidRDefault="00DE4223" w:rsidP="00DE4223">
            <w:pPr>
              <w:rPr>
                <w:rFonts w:cs="Arial"/>
                <w:sz w:val="22"/>
                <w:szCs w:val="22"/>
              </w:rPr>
            </w:pPr>
            <w:r w:rsidRPr="00DE4223">
              <w:rPr>
                <w:rFonts w:cs="Arial"/>
                <w:sz w:val="22"/>
                <w:szCs w:val="22"/>
              </w:rPr>
              <w:t>Moderate </w:t>
            </w:r>
          </w:p>
        </w:tc>
        <w:tc>
          <w:tcPr>
            <w:tcW w:w="4755" w:type="dxa"/>
            <w:tcBorders>
              <w:top w:val="single" w:sz="4" w:space="0" w:color="000000"/>
              <w:left w:val="single" w:sz="4" w:space="0" w:color="000000"/>
              <w:bottom w:val="single" w:sz="4" w:space="0" w:color="000000"/>
              <w:right w:val="single" w:sz="4" w:space="0" w:color="000000"/>
            </w:tcBorders>
            <w:hideMark/>
          </w:tcPr>
          <w:p w14:paraId="45812BC1" w14:textId="77777777" w:rsidR="00DE4223" w:rsidRPr="00DE4223" w:rsidRDefault="00DE4223" w:rsidP="00DE4223">
            <w:pPr>
              <w:rPr>
                <w:rFonts w:cs="Arial"/>
                <w:sz w:val="22"/>
                <w:szCs w:val="22"/>
              </w:rPr>
            </w:pPr>
            <w:r w:rsidRPr="00DE4223">
              <w:rPr>
                <w:rFonts w:cs="Arial"/>
                <w:sz w:val="22"/>
                <w:szCs w:val="22"/>
                <w:lang w:val="en-US"/>
              </w:rPr>
              <w:t>Termination clauses have been included in the agreement, to ensure that we have visibility on potential risks and are notified early. </w:t>
            </w:r>
            <w:r w:rsidRPr="00DE4223">
              <w:rPr>
                <w:rFonts w:cs="Arial"/>
                <w:sz w:val="22"/>
                <w:szCs w:val="22"/>
              </w:rPr>
              <w:t> </w:t>
            </w:r>
          </w:p>
          <w:p w14:paraId="07786EEC" w14:textId="77777777" w:rsidR="00DE4223" w:rsidRPr="00DE4223" w:rsidRDefault="00DE4223" w:rsidP="00DE4223">
            <w:pPr>
              <w:rPr>
                <w:rFonts w:cs="Arial"/>
                <w:sz w:val="22"/>
                <w:szCs w:val="22"/>
              </w:rPr>
            </w:pPr>
            <w:r w:rsidRPr="00DE4223">
              <w:rPr>
                <w:rFonts w:cs="Arial"/>
                <w:sz w:val="22"/>
                <w:szCs w:val="22"/>
              </w:rPr>
              <w:lastRenderedPageBreak/>
              <w:t>The programme already tracks progress through monitoring and evaluation and continues to build on lessons learnt. Both DESNZ and FAO have been proactive in creating and distributing positive comms messages about AIM4Forests, such as on International Day of Forests, and will continue to do so.  </w:t>
            </w:r>
          </w:p>
          <w:p w14:paraId="3244051D" w14:textId="77777777" w:rsidR="00DE4223" w:rsidRPr="00DE4223" w:rsidRDefault="00DE4223" w:rsidP="00DE4223">
            <w:pPr>
              <w:rPr>
                <w:rFonts w:cs="Arial"/>
                <w:sz w:val="22"/>
                <w:szCs w:val="22"/>
              </w:rPr>
            </w:pPr>
            <w:r w:rsidRPr="00DE4223">
              <w:rPr>
                <w:rFonts w:cs="Arial"/>
                <w:sz w:val="22"/>
                <w:szCs w:val="22"/>
              </w:rPr>
              <w:t>AIM4Forests implementation is based on close observation of the international policy environment, to allow swiftly responding if needed. </w:t>
            </w:r>
          </w:p>
        </w:tc>
        <w:tc>
          <w:tcPr>
            <w:tcW w:w="1290" w:type="dxa"/>
            <w:tcBorders>
              <w:top w:val="single" w:sz="4" w:space="0" w:color="000000"/>
              <w:left w:val="single" w:sz="4" w:space="0" w:color="000000"/>
              <w:bottom w:val="single" w:sz="4" w:space="0" w:color="000000"/>
              <w:right w:val="single" w:sz="6" w:space="0" w:color="auto"/>
            </w:tcBorders>
            <w:shd w:val="clear" w:color="auto" w:fill="92D050"/>
            <w:hideMark/>
          </w:tcPr>
          <w:p w14:paraId="7684F7E8" w14:textId="77777777" w:rsidR="00DE4223" w:rsidRPr="00DE4223" w:rsidRDefault="00DE4223" w:rsidP="00DE4223">
            <w:pPr>
              <w:rPr>
                <w:rFonts w:cs="Arial"/>
                <w:sz w:val="22"/>
                <w:szCs w:val="22"/>
              </w:rPr>
            </w:pPr>
            <w:r w:rsidRPr="00DE4223">
              <w:rPr>
                <w:rFonts w:cs="Arial"/>
                <w:sz w:val="22"/>
                <w:szCs w:val="22"/>
              </w:rPr>
              <w:lastRenderedPageBreak/>
              <w:t>Minor </w:t>
            </w:r>
          </w:p>
        </w:tc>
      </w:tr>
      <w:tr w:rsidR="00DE4223" w:rsidRPr="00DE4223" w14:paraId="777D1323" w14:textId="77777777">
        <w:trPr>
          <w:trHeight w:val="45"/>
        </w:trPr>
        <w:tc>
          <w:tcPr>
            <w:tcW w:w="3240" w:type="dxa"/>
            <w:tcBorders>
              <w:top w:val="single" w:sz="4" w:space="0" w:color="000000"/>
              <w:left w:val="single" w:sz="6" w:space="0" w:color="auto"/>
              <w:bottom w:val="single" w:sz="4" w:space="0" w:color="000000"/>
              <w:right w:val="single" w:sz="4" w:space="0" w:color="000000"/>
            </w:tcBorders>
            <w:hideMark/>
          </w:tcPr>
          <w:p w14:paraId="144CCA0E" w14:textId="77777777" w:rsidR="00DE4223" w:rsidRPr="00DE4223" w:rsidRDefault="00DE4223" w:rsidP="00DE4223">
            <w:pPr>
              <w:rPr>
                <w:rFonts w:cs="Arial"/>
                <w:sz w:val="22"/>
                <w:szCs w:val="22"/>
              </w:rPr>
            </w:pPr>
            <w:r w:rsidRPr="00DE4223">
              <w:rPr>
                <w:rFonts w:cs="Arial"/>
                <w:sz w:val="22"/>
                <w:szCs w:val="22"/>
              </w:rPr>
              <w:t>Conflict in countries escalates or changes in political leadership causes criticism/weakening of environmental protection legislation at national/state level and reduces progress and emphasis on REDD+ and forest protection. </w:t>
            </w:r>
          </w:p>
        </w:tc>
        <w:tc>
          <w:tcPr>
            <w:tcW w:w="1470" w:type="dxa"/>
            <w:tcBorders>
              <w:top w:val="single" w:sz="4" w:space="0" w:color="000000"/>
              <w:left w:val="single" w:sz="4" w:space="0" w:color="000000"/>
              <w:bottom w:val="single" w:sz="4" w:space="0" w:color="000000"/>
              <w:right w:val="single" w:sz="4" w:space="0" w:color="000000"/>
            </w:tcBorders>
            <w:hideMark/>
          </w:tcPr>
          <w:p w14:paraId="60F03D52" w14:textId="77777777" w:rsidR="00DE4223" w:rsidRPr="00DE4223" w:rsidRDefault="00DE4223" w:rsidP="00DE4223">
            <w:pPr>
              <w:rPr>
                <w:rFonts w:cs="Arial"/>
                <w:sz w:val="22"/>
                <w:szCs w:val="22"/>
              </w:rPr>
            </w:pPr>
            <w:r w:rsidRPr="00DE4223">
              <w:rPr>
                <w:rFonts w:cs="Arial"/>
                <w:sz w:val="22"/>
                <w:szCs w:val="22"/>
              </w:rPr>
              <w:t>External context </w:t>
            </w:r>
          </w:p>
        </w:tc>
        <w:tc>
          <w:tcPr>
            <w:tcW w:w="1215" w:type="dxa"/>
            <w:tcBorders>
              <w:top w:val="single" w:sz="4" w:space="0" w:color="000000"/>
              <w:left w:val="single" w:sz="4" w:space="0" w:color="000000"/>
              <w:bottom w:val="single" w:sz="4" w:space="0" w:color="000000"/>
              <w:right w:val="single" w:sz="4" w:space="0" w:color="000000"/>
            </w:tcBorders>
            <w:hideMark/>
          </w:tcPr>
          <w:p w14:paraId="7B6D6281" w14:textId="77777777" w:rsidR="00DE4223" w:rsidRPr="00DE4223" w:rsidRDefault="00DE4223" w:rsidP="00DE4223">
            <w:pPr>
              <w:rPr>
                <w:rFonts w:cs="Arial"/>
                <w:sz w:val="22"/>
                <w:szCs w:val="22"/>
              </w:rPr>
            </w:pPr>
            <w:r w:rsidRPr="00DE4223">
              <w:rPr>
                <w:rFonts w:cs="Arial"/>
                <w:sz w:val="22"/>
                <w:szCs w:val="22"/>
              </w:rPr>
              <w:t>Possible  </w:t>
            </w:r>
          </w:p>
        </w:tc>
        <w:tc>
          <w:tcPr>
            <w:tcW w:w="1260" w:type="dxa"/>
            <w:tcBorders>
              <w:top w:val="single" w:sz="4" w:space="0" w:color="000000"/>
              <w:left w:val="single" w:sz="4" w:space="0" w:color="000000"/>
              <w:bottom w:val="single" w:sz="4" w:space="0" w:color="000000"/>
              <w:right w:val="single" w:sz="4" w:space="0" w:color="000000"/>
            </w:tcBorders>
            <w:hideMark/>
          </w:tcPr>
          <w:p w14:paraId="2E68E866" w14:textId="77777777" w:rsidR="00DE4223" w:rsidRPr="00DE4223" w:rsidRDefault="00DE4223" w:rsidP="00DE4223">
            <w:pPr>
              <w:rPr>
                <w:rFonts w:cs="Arial"/>
                <w:sz w:val="22"/>
                <w:szCs w:val="22"/>
              </w:rPr>
            </w:pPr>
            <w:r w:rsidRPr="00DE4223">
              <w:rPr>
                <w:rFonts w:cs="Arial"/>
                <w:sz w:val="22"/>
                <w:szCs w:val="22"/>
              </w:rPr>
              <w:t>Major   </w:t>
            </w:r>
          </w:p>
        </w:tc>
        <w:tc>
          <w:tcPr>
            <w:tcW w:w="1215" w:type="dxa"/>
            <w:tcBorders>
              <w:top w:val="single" w:sz="4" w:space="0" w:color="000000"/>
              <w:left w:val="single" w:sz="4" w:space="0" w:color="000000"/>
              <w:bottom w:val="single" w:sz="4" w:space="0" w:color="000000"/>
              <w:right w:val="single" w:sz="4" w:space="0" w:color="000000"/>
            </w:tcBorders>
            <w:shd w:val="clear" w:color="auto" w:fill="FF0000"/>
            <w:hideMark/>
          </w:tcPr>
          <w:p w14:paraId="09A85C83" w14:textId="77777777" w:rsidR="00DE4223" w:rsidRPr="00DE4223" w:rsidRDefault="00DE4223" w:rsidP="00DE4223">
            <w:pPr>
              <w:rPr>
                <w:rFonts w:cs="Arial"/>
                <w:sz w:val="22"/>
                <w:szCs w:val="22"/>
              </w:rPr>
            </w:pPr>
            <w:r w:rsidRPr="00DE4223">
              <w:rPr>
                <w:rFonts w:cs="Arial"/>
                <w:sz w:val="22"/>
                <w:szCs w:val="22"/>
              </w:rPr>
              <w:t>Major  </w:t>
            </w:r>
          </w:p>
        </w:tc>
        <w:tc>
          <w:tcPr>
            <w:tcW w:w="4755" w:type="dxa"/>
            <w:tcBorders>
              <w:top w:val="single" w:sz="4" w:space="0" w:color="000000"/>
              <w:left w:val="single" w:sz="4" w:space="0" w:color="000000"/>
              <w:bottom w:val="single" w:sz="4" w:space="0" w:color="000000"/>
              <w:right w:val="single" w:sz="4" w:space="0" w:color="000000"/>
            </w:tcBorders>
            <w:hideMark/>
          </w:tcPr>
          <w:p w14:paraId="1AF1BDB2" w14:textId="77777777" w:rsidR="00DE4223" w:rsidRPr="00DE4223" w:rsidRDefault="00DE4223" w:rsidP="00DE4223">
            <w:pPr>
              <w:rPr>
                <w:rFonts w:cs="Arial"/>
                <w:sz w:val="22"/>
                <w:szCs w:val="22"/>
              </w:rPr>
            </w:pPr>
            <w:r w:rsidRPr="00DE4223">
              <w:rPr>
                <w:rFonts w:cs="Arial"/>
                <w:sz w:val="22"/>
                <w:szCs w:val="22"/>
                <w:lang w:val="en-US"/>
              </w:rPr>
              <w:t>Engage with Post and FAO teams in countries for identification and monitoring of conflict and political risks at national and state </w:t>
            </w:r>
            <w:proofErr w:type="gramStart"/>
            <w:r w:rsidRPr="00DE4223">
              <w:rPr>
                <w:rFonts w:cs="Arial"/>
                <w:sz w:val="22"/>
                <w:szCs w:val="22"/>
                <w:lang w:val="en-US"/>
              </w:rPr>
              <w:t>level</w:t>
            </w:r>
            <w:proofErr w:type="gramEnd"/>
            <w:r w:rsidRPr="00DE4223">
              <w:rPr>
                <w:rFonts w:cs="Arial"/>
                <w:sz w:val="22"/>
                <w:szCs w:val="22"/>
                <w:lang w:val="en-US"/>
              </w:rPr>
              <w:t> to reduce likelihood of these. Encourage an adaptive approach to management, and embedding national priorities can ensure delivery.</w:t>
            </w:r>
            <w:r w:rsidRPr="00DE4223">
              <w:rPr>
                <w:rFonts w:cs="Arial"/>
                <w:sz w:val="22"/>
                <w:szCs w:val="22"/>
              </w:rPr>
              <w:t> </w:t>
            </w:r>
          </w:p>
        </w:tc>
        <w:tc>
          <w:tcPr>
            <w:tcW w:w="1290" w:type="dxa"/>
            <w:tcBorders>
              <w:top w:val="single" w:sz="4" w:space="0" w:color="000000"/>
              <w:left w:val="single" w:sz="4" w:space="0" w:color="000000"/>
              <w:bottom w:val="single" w:sz="4" w:space="0" w:color="000000"/>
              <w:right w:val="single" w:sz="6" w:space="0" w:color="auto"/>
            </w:tcBorders>
            <w:shd w:val="clear" w:color="auto" w:fill="FFC000"/>
            <w:hideMark/>
          </w:tcPr>
          <w:p w14:paraId="470720AB" w14:textId="77777777" w:rsidR="00DE4223" w:rsidRPr="00DE4223" w:rsidRDefault="00DE4223" w:rsidP="00DE4223">
            <w:pPr>
              <w:rPr>
                <w:rFonts w:cs="Arial"/>
                <w:sz w:val="22"/>
                <w:szCs w:val="22"/>
              </w:rPr>
            </w:pPr>
            <w:r w:rsidRPr="00DE4223">
              <w:rPr>
                <w:rFonts w:cs="Arial"/>
                <w:sz w:val="22"/>
                <w:szCs w:val="22"/>
              </w:rPr>
              <w:t>Moderate </w:t>
            </w:r>
          </w:p>
        </w:tc>
      </w:tr>
      <w:tr w:rsidR="00DE4223" w:rsidRPr="00DE4223" w14:paraId="5176676D" w14:textId="77777777">
        <w:trPr>
          <w:trHeight w:val="45"/>
        </w:trPr>
        <w:tc>
          <w:tcPr>
            <w:tcW w:w="3240" w:type="dxa"/>
            <w:tcBorders>
              <w:top w:val="single" w:sz="4" w:space="0" w:color="000000"/>
              <w:left w:val="single" w:sz="6" w:space="0" w:color="auto"/>
              <w:bottom w:val="single" w:sz="4" w:space="0" w:color="000000"/>
              <w:right w:val="single" w:sz="4" w:space="0" w:color="000000"/>
            </w:tcBorders>
            <w:hideMark/>
          </w:tcPr>
          <w:p w14:paraId="14542FD0" w14:textId="77777777" w:rsidR="00DE4223" w:rsidRPr="00DE4223" w:rsidRDefault="00DE4223" w:rsidP="00DE4223">
            <w:pPr>
              <w:rPr>
                <w:rFonts w:cs="Arial"/>
                <w:sz w:val="22"/>
                <w:szCs w:val="22"/>
              </w:rPr>
            </w:pPr>
            <w:r w:rsidRPr="00DE4223">
              <w:rPr>
                <w:rFonts w:cs="Arial"/>
                <w:sz w:val="22"/>
                <w:szCs w:val="22"/>
              </w:rPr>
              <w:t>Consumer-side regulation on deforestation-free commodity production fails to deliver positive results. </w:t>
            </w:r>
          </w:p>
        </w:tc>
        <w:tc>
          <w:tcPr>
            <w:tcW w:w="1470" w:type="dxa"/>
            <w:tcBorders>
              <w:top w:val="single" w:sz="4" w:space="0" w:color="000000"/>
              <w:left w:val="single" w:sz="4" w:space="0" w:color="000000"/>
              <w:bottom w:val="single" w:sz="4" w:space="0" w:color="000000"/>
              <w:right w:val="single" w:sz="4" w:space="0" w:color="000000"/>
            </w:tcBorders>
            <w:hideMark/>
          </w:tcPr>
          <w:p w14:paraId="7CBAE90B" w14:textId="77777777" w:rsidR="00DE4223" w:rsidRPr="00DE4223" w:rsidRDefault="00DE4223" w:rsidP="00DE4223">
            <w:pPr>
              <w:rPr>
                <w:rFonts w:cs="Arial"/>
                <w:sz w:val="22"/>
                <w:szCs w:val="22"/>
              </w:rPr>
            </w:pPr>
            <w:r w:rsidRPr="00DE4223">
              <w:rPr>
                <w:rFonts w:cs="Arial"/>
                <w:sz w:val="22"/>
                <w:szCs w:val="22"/>
              </w:rPr>
              <w:t>Delivery  </w:t>
            </w:r>
          </w:p>
        </w:tc>
        <w:tc>
          <w:tcPr>
            <w:tcW w:w="1215" w:type="dxa"/>
            <w:tcBorders>
              <w:top w:val="single" w:sz="4" w:space="0" w:color="000000"/>
              <w:left w:val="single" w:sz="4" w:space="0" w:color="000000"/>
              <w:bottom w:val="single" w:sz="4" w:space="0" w:color="000000"/>
              <w:right w:val="single" w:sz="4" w:space="0" w:color="000000"/>
            </w:tcBorders>
            <w:hideMark/>
          </w:tcPr>
          <w:p w14:paraId="298B4AD3" w14:textId="77777777" w:rsidR="00DE4223" w:rsidRPr="00DE4223" w:rsidRDefault="00DE4223" w:rsidP="00DE4223">
            <w:pPr>
              <w:rPr>
                <w:rFonts w:cs="Arial"/>
                <w:sz w:val="22"/>
                <w:szCs w:val="22"/>
              </w:rPr>
            </w:pPr>
            <w:r w:rsidRPr="00DE4223">
              <w:rPr>
                <w:rFonts w:cs="Arial"/>
                <w:sz w:val="22"/>
                <w:szCs w:val="22"/>
              </w:rPr>
              <w:t>Possible  </w:t>
            </w:r>
          </w:p>
        </w:tc>
        <w:tc>
          <w:tcPr>
            <w:tcW w:w="1260" w:type="dxa"/>
            <w:tcBorders>
              <w:top w:val="single" w:sz="4" w:space="0" w:color="000000"/>
              <w:left w:val="single" w:sz="4" w:space="0" w:color="000000"/>
              <w:bottom w:val="single" w:sz="4" w:space="0" w:color="000000"/>
              <w:right w:val="single" w:sz="4" w:space="0" w:color="000000"/>
            </w:tcBorders>
            <w:hideMark/>
          </w:tcPr>
          <w:p w14:paraId="5FC255FE" w14:textId="77777777" w:rsidR="00DE4223" w:rsidRPr="00DE4223" w:rsidRDefault="00DE4223" w:rsidP="00DE4223">
            <w:pPr>
              <w:rPr>
                <w:rFonts w:cs="Arial"/>
                <w:sz w:val="22"/>
                <w:szCs w:val="22"/>
              </w:rPr>
            </w:pPr>
            <w:r w:rsidRPr="00DE4223">
              <w:rPr>
                <w:rFonts w:cs="Arial"/>
                <w:sz w:val="22"/>
                <w:szCs w:val="22"/>
              </w:rPr>
              <w:t>Minor  </w:t>
            </w:r>
          </w:p>
        </w:tc>
        <w:tc>
          <w:tcPr>
            <w:tcW w:w="1215" w:type="dxa"/>
            <w:tcBorders>
              <w:top w:val="single" w:sz="4" w:space="0" w:color="000000"/>
              <w:left w:val="single" w:sz="4" w:space="0" w:color="000000"/>
              <w:bottom w:val="single" w:sz="4" w:space="0" w:color="000000"/>
              <w:right w:val="single" w:sz="4" w:space="0" w:color="000000"/>
            </w:tcBorders>
            <w:shd w:val="clear" w:color="auto" w:fill="FFC000"/>
            <w:hideMark/>
          </w:tcPr>
          <w:p w14:paraId="3D69ED35" w14:textId="77777777" w:rsidR="00DE4223" w:rsidRPr="00DE4223" w:rsidRDefault="00DE4223" w:rsidP="00DE4223">
            <w:pPr>
              <w:rPr>
                <w:rFonts w:cs="Arial"/>
                <w:sz w:val="22"/>
                <w:szCs w:val="22"/>
              </w:rPr>
            </w:pPr>
            <w:r w:rsidRPr="00DE4223">
              <w:rPr>
                <w:rFonts w:cs="Arial"/>
                <w:sz w:val="22"/>
                <w:szCs w:val="22"/>
              </w:rPr>
              <w:t>Moderate </w:t>
            </w:r>
          </w:p>
        </w:tc>
        <w:tc>
          <w:tcPr>
            <w:tcW w:w="4755" w:type="dxa"/>
            <w:tcBorders>
              <w:top w:val="single" w:sz="4" w:space="0" w:color="000000"/>
              <w:left w:val="single" w:sz="4" w:space="0" w:color="000000"/>
              <w:bottom w:val="single" w:sz="4" w:space="0" w:color="000000"/>
              <w:right w:val="single" w:sz="4" w:space="0" w:color="000000"/>
            </w:tcBorders>
            <w:hideMark/>
          </w:tcPr>
          <w:p w14:paraId="23BDCE5E" w14:textId="77777777" w:rsidR="00DE4223" w:rsidRPr="00DE4223" w:rsidRDefault="00DE4223" w:rsidP="00DE4223">
            <w:pPr>
              <w:rPr>
                <w:rFonts w:cs="Arial"/>
                <w:sz w:val="22"/>
                <w:szCs w:val="22"/>
              </w:rPr>
            </w:pPr>
            <w:r w:rsidRPr="00DE4223">
              <w:rPr>
                <w:rFonts w:cs="Arial"/>
                <w:sz w:val="22"/>
                <w:szCs w:val="22"/>
              </w:rPr>
              <w:t>Ensure the FAO team is ready to flexibly reprioritise focus of forest monitoring capacity development in case of reduced momentum. The programme activities will help make deforestation-free regulation a success by enabling sound claims through high-quality monitoring. </w:t>
            </w:r>
          </w:p>
        </w:tc>
        <w:tc>
          <w:tcPr>
            <w:tcW w:w="1290" w:type="dxa"/>
            <w:tcBorders>
              <w:top w:val="single" w:sz="4" w:space="0" w:color="000000"/>
              <w:left w:val="single" w:sz="4" w:space="0" w:color="000000"/>
              <w:bottom w:val="single" w:sz="4" w:space="0" w:color="000000"/>
              <w:right w:val="single" w:sz="6" w:space="0" w:color="auto"/>
            </w:tcBorders>
            <w:shd w:val="clear" w:color="auto" w:fill="92D050"/>
            <w:hideMark/>
          </w:tcPr>
          <w:p w14:paraId="43A2A3E5" w14:textId="77777777" w:rsidR="00DE4223" w:rsidRPr="00DE4223" w:rsidRDefault="00DE4223" w:rsidP="00DE4223">
            <w:pPr>
              <w:rPr>
                <w:rFonts w:cs="Arial"/>
                <w:sz w:val="22"/>
                <w:szCs w:val="22"/>
              </w:rPr>
            </w:pPr>
            <w:r w:rsidRPr="00DE4223">
              <w:rPr>
                <w:rFonts w:cs="Arial"/>
                <w:sz w:val="22"/>
                <w:szCs w:val="22"/>
              </w:rPr>
              <w:t>Minor </w:t>
            </w:r>
          </w:p>
        </w:tc>
      </w:tr>
      <w:tr w:rsidR="00DE4223" w:rsidRPr="00DE4223" w14:paraId="2502AE4C" w14:textId="77777777">
        <w:trPr>
          <w:trHeight w:val="45"/>
        </w:trPr>
        <w:tc>
          <w:tcPr>
            <w:tcW w:w="3240" w:type="dxa"/>
            <w:tcBorders>
              <w:top w:val="single" w:sz="4" w:space="0" w:color="000000"/>
              <w:left w:val="single" w:sz="6" w:space="0" w:color="auto"/>
              <w:bottom w:val="single" w:sz="4" w:space="0" w:color="000000"/>
              <w:right w:val="single" w:sz="4" w:space="0" w:color="000000"/>
            </w:tcBorders>
            <w:hideMark/>
          </w:tcPr>
          <w:p w14:paraId="466A9544" w14:textId="77777777" w:rsidR="00DE4223" w:rsidRPr="00DE4223" w:rsidRDefault="00DE4223" w:rsidP="00DE4223">
            <w:pPr>
              <w:rPr>
                <w:rFonts w:cs="Arial"/>
                <w:sz w:val="22"/>
                <w:szCs w:val="22"/>
              </w:rPr>
            </w:pPr>
            <w:r w:rsidRPr="00DE4223">
              <w:rPr>
                <w:rFonts w:cs="Arial"/>
                <w:sz w:val="22"/>
                <w:szCs w:val="22"/>
              </w:rPr>
              <w:t>Programme expenditure does not represent good value for money </w:t>
            </w:r>
          </w:p>
        </w:tc>
        <w:tc>
          <w:tcPr>
            <w:tcW w:w="1470" w:type="dxa"/>
            <w:tcBorders>
              <w:top w:val="single" w:sz="4" w:space="0" w:color="000000"/>
              <w:left w:val="single" w:sz="4" w:space="0" w:color="000000"/>
              <w:bottom w:val="single" w:sz="4" w:space="0" w:color="000000"/>
              <w:right w:val="single" w:sz="4" w:space="0" w:color="000000"/>
            </w:tcBorders>
            <w:hideMark/>
          </w:tcPr>
          <w:p w14:paraId="01ED3549" w14:textId="77777777" w:rsidR="00DE4223" w:rsidRPr="00DE4223" w:rsidRDefault="00DE4223" w:rsidP="00DE4223">
            <w:pPr>
              <w:rPr>
                <w:rFonts w:cs="Arial"/>
                <w:sz w:val="22"/>
                <w:szCs w:val="22"/>
              </w:rPr>
            </w:pPr>
            <w:r w:rsidRPr="00DE4223">
              <w:rPr>
                <w:rFonts w:cs="Arial"/>
                <w:sz w:val="22"/>
                <w:szCs w:val="22"/>
              </w:rPr>
              <w:t>Balance sheet </w:t>
            </w:r>
          </w:p>
        </w:tc>
        <w:tc>
          <w:tcPr>
            <w:tcW w:w="1215" w:type="dxa"/>
            <w:tcBorders>
              <w:top w:val="single" w:sz="4" w:space="0" w:color="000000"/>
              <w:left w:val="single" w:sz="4" w:space="0" w:color="000000"/>
              <w:bottom w:val="single" w:sz="4" w:space="0" w:color="000000"/>
              <w:right w:val="single" w:sz="4" w:space="0" w:color="000000"/>
            </w:tcBorders>
            <w:hideMark/>
          </w:tcPr>
          <w:p w14:paraId="0421F45C" w14:textId="77777777" w:rsidR="00DE4223" w:rsidRPr="00DE4223" w:rsidRDefault="00DE4223" w:rsidP="00DE4223">
            <w:pPr>
              <w:rPr>
                <w:rFonts w:cs="Arial"/>
                <w:sz w:val="22"/>
                <w:szCs w:val="22"/>
              </w:rPr>
            </w:pPr>
            <w:r w:rsidRPr="00DE4223">
              <w:rPr>
                <w:rFonts w:cs="Arial"/>
                <w:sz w:val="22"/>
                <w:szCs w:val="22"/>
              </w:rPr>
              <w:t>Possible </w:t>
            </w:r>
          </w:p>
        </w:tc>
        <w:tc>
          <w:tcPr>
            <w:tcW w:w="1260" w:type="dxa"/>
            <w:tcBorders>
              <w:top w:val="single" w:sz="4" w:space="0" w:color="000000"/>
              <w:left w:val="single" w:sz="4" w:space="0" w:color="000000"/>
              <w:bottom w:val="single" w:sz="4" w:space="0" w:color="000000"/>
              <w:right w:val="single" w:sz="4" w:space="0" w:color="000000"/>
            </w:tcBorders>
            <w:hideMark/>
          </w:tcPr>
          <w:p w14:paraId="25A821CD" w14:textId="77777777" w:rsidR="00DE4223" w:rsidRPr="00DE4223" w:rsidRDefault="00DE4223" w:rsidP="00DE4223">
            <w:pPr>
              <w:rPr>
                <w:rFonts w:cs="Arial"/>
                <w:sz w:val="22"/>
                <w:szCs w:val="22"/>
              </w:rPr>
            </w:pPr>
            <w:r w:rsidRPr="00DE4223">
              <w:rPr>
                <w:rFonts w:cs="Arial"/>
                <w:sz w:val="22"/>
                <w:szCs w:val="22"/>
              </w:rPr>
              <w:t>Moderate </w:t>
            </w:r>
          </w:p>
        </w:tc>
        <w:tc>
          <w:tcPr>
            <w:tcW w:w="1215" w:type="dxa"/>
            <w:tcBorders>
              <w:top w:val="single" w:sz="4" w:space="0" w:color="000000"/>
              <w:left w:val="single" w:sz="4" w:space="0" w:color="000000"/>
              <w:bottom w:val="single" w:sz="4" w:space="0" w:color="000000"/>
              <w:right w:val="single" w:sz="4" w:space="0" w:color="000000"/>
            </w:tcBorders>
            <w:shd w:val="clear" w:color="auto" w:fill="FF0000"/>
            <w:hideMark/>
          </w:tcPr>
          <w:p w14:paraId="3E257EAB" w14:textId="77777777" w:rsidR="00DE4223" w:rsidRPr="00DE4223" w:rsidRDefault="00DE4223" w:rsidP="00DE4223">
            <w:pPr>
              <w:rPr>
                <w:rFonts w:cs="Arial"/>
                <w:sz w:val="22"/>
                <w:szCs w:val="22"/>
              </w:rPr>
            </w:pPr>
            <w:r w:rsidRPr="00DE4223">
              <w:rPr>
                <w:rFonts w:cs="Arial"/>
                <w:sz w:val="22"/>
                <w:szCs w:val="22"/>
              </w:rPr>
              <w:t>Major </w:t>
            </w:r>
          </w:p>
        </w:tc>
        <w:tc>
          <w:tcPr>
            <w:tcW w:w="4755" w:type="dxa"/>
            <w:tcBorders>
              <w:top w:val="single" w:sz="4" w:space="0" w:color="000000"/>
              <w:left w:val="single" w:sz="4" w:space="0" w:color="000000"/>
              <w:bottom w:val="single" w:sz="4" w:space="0" w:color="000000"/>
              <w:right w:val="single" w:sz="4" w:space="0" w:color="000000"/>
            </w:tcBorders>
            <w:hideMark/>
          </w:tcPr>
          <w:p w14:paraId="3F794278" w14:textId="77777777" w:rsidR="00DE4223" w:rsidRPr="00DE4223" w:rsidRDefault="00DE4223" w:rsidP="00DE4223">
            <w:pPr>
              <w:rPr>
                <w:rFonts w:cs="Arial"/>
                <w:sz w:val="22"/>
                <w:szCs w:val="22"/>
              </w:rPr>
            </w:pPr>
            <w:r w:rsidRPr="00DE4223">
              <w:rPr>
                <w:rFonts w:cs="Arial"/>
                <w:sz w:val="22"/>
                <w:szCs w:val="22"/>
              </w:rPr>
              <w:t>A full programme review is conducted by DESNZ on an annual basis, including a </w:t>
            </w:r>
            <w:proofErr w:type="spellStart"/>
            <w:r w:rsidRPr="00DE4223">
              <w:rPr>
                <w:rFonts w:cs="Arial"/>
                <w:sz w:val="22"/>
                <w:szCs w:val="22"/>
              </w:rPr>
              <w:t>VfM</w:t>
            </w:r>
            <w:proofErr w:type="spellEnd"/>
            <w:r w:rsidRPr="00DE4223">
              <w:rPr>
                <w:rFonts w:cs="Arial"/>
                <w:sz w:val="22"/>
                <w:szCs w:val="22"/>
              </w:rPr>
              <w:t> assessment. If </w:t>
            </w:r>
            <w:proofErr w:type="spellStart"/>
            <w:r w:rsidRPr="00DE4223">
              <w:rPr>
                <w:rFonts w:cs="Arial"/>
                <w:sz w:val="22"/>
                <w:szCs w:val="22"/>
              </w:rPr>
              <w:t>VfM</w:t>
            </w:r>
            <w:proofErr w:type="spellEnd"/>
            <w:r w:rsidRPr="00DE4223">
              <w:rPr>
                <w:rFonts w:cs="Arial"/>
                <w:sz w:val="22"/>
                <w:szCs w:val="22"/>
              </w:rPr>
              <w:t xml:space="preserve"> is no longer being delivered, corrective action will be taken, which could involve changing or stopping specific elements of the programme. The programme </w:t>
            </w:r>
            <w:r w:rsidRPr="00DE4223">
              <w:rPr>
                <w:rFonts w:cs="Arial"/>
                <w:sz w:val="22"/>
                <w:szCs w:val="22"/>
              </w:rPr>
              <w:lastRenderedPageBreak/>
              <w:t>recently underwent a mid-term review which highlighted that the programme is providing excellent </w:t>
            </w:r>
            <w:proofErr w:type="spellStart"/>
            <w:r w:rsidRPr="00DE4223">
              <w:rPr>
                <w:rFonts w:cs="Arial"/>
                <w:sz w:val="22"/>
                <w:szCs w:val="22"/>
              </w:rPr>
              <w:t>VfM</w:t>
            </w:r>
            <w:proofErr w:type="spellEnd"/>
            <w:r w:rsidRPr="00DE4223">
              <w:rPr>
                <w:rFonts w:cs="Arial"/>
                <w:sz w:val="22"/>
                <w:szCs w:val="22"/>
              </w:rPr>
              <w:t> already. </w:t>
            </w:r>
          </w:p>
        </w:tc>
        <w:tc>
          <w:tcPr>
            <w:tcW w:w="1290" w:type="dxa"/>
            <w:tcBorders>
              <w:top w:val="single" w:sz="4" w:space="0" w:color="000000"/>
              <w:left w:val="single" w:sz="4" w:space="0" w:color="000000"/>
              <w:bottom w:val="single" w:sz="4" w:space="0" w:color="000000"/>
              <w:right w:val="single" w:sz="6" w:space="0" w:color="auto"/>
            </w:tcBorders>
            <w:shd w:val="clear" w:color="auto" w:fill="FFC000"/>
            <w:hideMark/>
          </w:tcPr>
          <w:p w14:paraId="29F7DDBF" w14:textId="77777777" w:rsidR="00DE4223" w:rsidRPr="00DE4223" w:rsidRDefault="00DE4223" w:rsidP="00DE4223">
            <w:pPr>
              <w:rPr>
                <w:rFonts w:cs="Arial"/>
                <w:sz w:val="22"/>
                <w:szCs w:val="22"/>
              </w:rPr>
            </w:pPr>
            <w:r w:rsidRPr="00DE4223">
              <w:rPr>
                <w:rFonts w:cs="Arial"/>
                <w:sz w:val="22"/>
                <w:szCs w:val="22"/>
              </w:rPr>
              <w:lastRenderedPageBreak/>
              <w:t>Moderate </w:t>
            </w:r>
          </w:p>
        </w:tc>
      </w:tr>
      <w:tr w:rsidR="00DE4223" w:rsidRPr="00DE4223" w14:paraId="0A79E4B2" w14:textId="77777777">
        <w:trPr>
          <w:trHeight w:val="300"/>
        </w:trPr>
        <w:tc>
          <w:tcPr>
            <w:tcW w:w="3240" w:type="dxa"/>
            <w:tcBorders>
              <w:top w:val="single" w:sz="4" w:space="0" w:color="000000"/>
              <w:left w:val="single" w:sz="6" w:space="0" w:color="auto"/>
              <w:bottom w:val="single" w:sz="4" w:space="0" w:color="000000"/>
              <w:right w:val="single" w:sz="4" w:space="0" w:color="000000"/>
            </w:tcBorders>
            <w:hideMark/>
          </w:tcPr>
          <w:p w14:paraId="72E55F24" w14:textId="77777777" w:rsidR="00DE4223" w:rsidRPr="00DE4223" w:rsidRDefault="00DE4223" w:rsidP="00DE4223">
            <w:pPr>
              <w:rPr>
                <w:rFonts w:cs="Arial"/>
                <w:sz w:val="22"/>
                <w:szCs w:val="22"/>
              </w:rPr>
            </w:pPr>
            <w:r w:rsidRPr="00DE4223">
              <w:rPr>
                <w:rFonts w:cs="Arial"/>
                <w:sz w:val="22"/>
                <w:szCs w:val="22"/>
              </w:rPr>
              <w:t>Use of Promissory notes limits DESNZ commercial rights such as termination, performance management etc.  </w:t>
            </w:r>
            <w:r w:rsidRPr="00DE4223">
              <w:rPr>
                <w:rFonts w:cs="Arial"/>
                <w:sz w:val="22"/>
                <w:szCs w:val="22"/>
              </w:rPr>
              <w:br/>
              <w:t>Additionally, there are risks that promissory notes are either not enchased after work is </w:t>
            </w:r>
            <w:proofErr w:type="gramStart"/>
            <w:r w:rsidRPr="00DE4223">
              <w:rPr>
                <w:rFonts w:cs="Arial"/>
                <w:sz w:val="22"/>
                <w:szCs w:val="22"/>
              </w:rPr>
              <w:t>complete, or</w:t>
            </w:r>
            <w:proofErr w:type="gramEnd"/>
            <w:r w:rsidRPr="00DE4223">
              <w:rPr>
                <w:rFonts w:cs="Arial"/>
                <w:sz w:val="22"/>
                <w:szCs w:val="22"/>
              </w:rPr>
              <w:t> are encashed without work being completed. DESNZ loses control over the money. </w:t>
            </w:r>
          </w:p>
        </w:tc>
        <w:tc>
          <w:tcPr>
            <w:tcW w:w="1470" w:type="dxa"/>
            <w:tcBorders>
              <w:top w:val="single" w:sz="4" w:space="0" w:color="000000"/>
              <w:left w:val="single" w:sz="4" w:space="0" w:color="000000"/>
              <w:bottom w:val="single" w:sz="4" w:space="0" w:color="000000"/>
              <w:right w:val="single" w:sz="4" w:space="0" w:color="000000"/>
            </w:tcBorders>
            <w:hideMark/>
          </w:tcPr>
          <w:p w14:paraId="647FD77F" w14:textId="77777777" w:rsidR="00DE4223" w:rsidRPr="00DE4223" w:rsidRDefault="00DE4223" w:rsidP="00DE4223">
            <w:pPr>
              <w:rPr>
                <w:rFonts w:cs="Arial"/>
                <w:sz w:val="22"/>
                <w:szCs w:val="22"/>
              </w:rPr>
            </w:pPr>
            <w:r w:rsidRPr="00DE4223">
              <w:rPr>
                <w:rFonts w:cs="Arial"/>
                <w:sz w:val="22"/>
                <w:szCs w:val="22"/>
              </w:rPr>
              <w:t>Balance sheet </w:t>
            </w:r>
          </w:p>
        </w:tc>
        <w:tc>
          <w:tcPr>
            <w:tcW w:w="1215" w:type="dxa"/>
            <w:tcBorders>
              <w:top w:val="single" w:sz="4" w:space="0" w:color="000000"/>
              <w:left w:val="single" w:sz="4" w:space="0" w:color="000000"/>
              <w:bottom w:val="single" w:sz="4" w:space="0" w:color="000000"/>
              <w:right w:val="single" w:sz="4" w:space="0" w:color="000000"/>
            </w:tcBorders>
            <w:hideMark/>
          </w:tcPr>
          <w:p w14:paraId="177B00E0" w14:textId="77777777" w:rsidR="00DE4223" w:rsidRPr="00DE4223" w:rsidRDefault="00DE4223" w:rsidP="00DE4223">
            <w:pPr>
              <w:rPr>
                <w:rFonts w:cs="Arial"/>
                <w:sz w:val="22"/>
                <w:szCs w:val="22"/>
              </w:rPr>
            </w:pPr>
            <w:r w:rsidRPr="00DE4223">
              <w:rPr>
                <w:rFonts w:cs="Arial"/>
                <w:sz w:val="22"/>
                <w:szCs w:val="22"/>
              </w:rPr>
              <w:t>Unlikely  </w:t>
            </w:r>
          </w:p>
        </w:tc>
        <w:tc>
          <w:tcPr>
            <w:tcW w:w="1260" w:type="dxa"/>
            <w:tcBorders>
              <w:top w:val="single" w:sz="4" w:space="0" w:color="000000"/>
              <w:left w:val="single" w:sz="4" w:space="0" w:color="000000"/>
              <w:bottom w:val="single" w:sz="4" w:space="0" w:color="000000"/>
              <w:right w:val="single" w:sz="4" w:space="0" w:color="000000"/>
            </w:tcBorders>
            <w:hideMark/>
          </w:tcPr>
          <w:p w14:paraId="64DD4DC4" w14:textId="77777777" w:rsidR="00DE4223" w:rsidRPr="00DE4223" w:rsidRDefault="00DE4223" w:rsidP="00DE4223">
            <w:pPr>
              <w:rPr>
                <w:rFonts w:cs="Arial"/>
                <w:sz w:val="22"/>
                <w:szCs w:val="22"/>
              </w:rPr>
            </w:pPr>
            <w:r w:rsidRPr="00DE4223">
              <w:rPr>
                <w:rFonts w:cs="Arial"/>
                <w:sz w:val="22"/>
                <w:szCs w:val="22"/>
              </w:rPr>
              <w:t>Moderate  </w:t>
            </w:r>
          </w:p>
        </w:tc>
        <w:tc>
          <w:tcPr>
            <w:tcW w:w="1215" w:type="dxa"/>
            <w:tcBorders>
              <w:top w:val="single" w:sz="4" w:space="0" w:color="000000"/>
              <w:left w:val="single" w:sz="4" w:space="0" w:color="000000"/>
              <w:bottom w:val="single" w:sz="4" w:space="0" w:color="000000"/>
              <w:right w:val="single" w:sz="4" w:space="0" w:color="000000"/>
            </w:tcBorders>
            <w:shd w:val="clear" w:color="auto" w:fill="FFC000"/>
            <w:hideMark/>
          </w:tcPr>
          <w:p w14:paraId="18FD417B" w14:textId="77777777" w:rsidR="00DE4223" w:rsidRPr="00DE4223" w:rsidRDefault="00DE4223" w:rsidP="00DE4223">
            <w:pPr>
              <w:rPr>
                <w:rFonts w:cs="Arial"/>
                <w:sz w:val="22"/>
                <w:szCs w:val="22"/>
              </w:rPr>
            </w:pPr>
            <w:r w:rsidRPr="00DE4223">
              <w:rPr>
                <w:rFonts w:cs="Arial"/>
                <w:sz w:val="22"/>
                <w:szCs w:val="22"/>
              </w:rPr>
              <w:t>Moderate </w:t>
            </w:r>
          </w:p>
        </w:tc>
        <w:tc>
          <w:tcPr>
            <w:tcW w:w="4755" w:type="dxa"/>
            <w:tcBorders>
              <w:top w:val="single" w:sz="4" w:space="0" w:color="000000"/>
              <w:left w:val="single" w:sz="4" w:space="0" w:color="000000"/>
              <w:bottom w:val="single" w:sz="4" w:space="0" w:color="000000"/>
              <w:right w:val="single" w:sz="4" w:space="0" w:color="000000"/>
            </w:tcBorders>
            <w:hideMark/>
          </w:tcPr>
          <w:p w14:paraId="46C5C707" w14:textId="45DDB18E" w:rsidR="00DE4223" w:rsidRPr="00DE4223" w:rsidRDefault="00DE4223" w:rsidP="00DE4223">
            <w:pPr>
              <w:rPr>
                <w:rFonts w:cs="Arial"/>
                <w:sz w:val="22"/>
                <w:szCs w:val="22"/>
              </w:rPr>
            </w:pPr>
            <w:r w:rsidRPr="00DE4223">
              <w:rPr>
                <w:rFonts w:cs="Arial"/>
                <w:sz w:val="22"/>
                <w:szCs w:val="22"/>
              </w:rPr>
              <w:t>Our preferred option is to retain the current delivery partner who have performed well to date.  Encashment schedules written into the agreement and an understanding that work is signed off before encashment mitigates risk of underperformance. Auditing and reporting mechanisms which are contained in the SAA also ensure that the programme team is kept updated as to the status of work. Before a PN is encashment, the delivery partner must send an encashment request which must demonstrate a need for the funds. However, with PN’s DESNZ relies on the good faith of delivery partners for this.   </w:t>
            </w:r>
          </w:p>
          <w:p w14:paraId="2C712BFD" w14:textId="77777777" w:rsidR="00DE4223" w:rsidRPr="00DE4223" w:rsidRDefault="00DE4223" w:rsidP="00DE4223">
            <w:pPr>
              <w:rPr>
                <w:rFonts w:cs="Arial"/>
                <w:sz w:val="22"/>
                <w:szCs w:val="22"/>
              </w:rPr>
            </w:pPr>
            <w:r w:rsidRPr="00DE4223">
              <w:rPr>
                <w:rFonts w:cs="Arial"/>
                <w:sz w:val="22"/>
                <w:szCs w:val="22"/>
              </w:rPr>
              <w:t> </w:t>
            </w:r>
          </w:p>
        </w:tc>
        <w:tc>
          <w:tcPr>
            <w:tcW w:w="1290" w:type="dxa"/>
            <w:tcBorders>
              <w:top w:val="single" w:sz="4" w:space="0" w:color="000000"/>
              <w:left w:val="single" w:sz="4" w:space="0" w:color="000000"/>
              <w:bottom w:val="single" w:sz="4" w:space="0" w:color="000000"/>
              <w:right w:val="single" w:sz="6" w:space="0" w:color="auto"/>
            </w:tcBorders>
            <w:shd w:val="clear" w:color="auto" w:fill="92D050"/>
            <w:hideMark/>
          </w:tcPr>
          <w:p w14:paraId="0CB15797" w14:textId="77777777" w:rsidR="00DE4223" w:rsidRPr="00DE4223" w:rsidRDefault="00DE4223" w:rsidP="00DE4223">
            <w:pPr>
              <w:rPr>
                <w:rFonts w:cs="Arial"/>
                <w:sz w:val="22"/>
                <w:szCs w:val="22"/>
              </w:rPr>
            </w:pPr>
            <w:r w:rsidRPr="00DE4223">
              <w:rPr>
                <w:rFonts w:cs="Arial"/>
                <w:sz w:val="22"/>
                <w:szCs w:val="22"/>
              </w:rPr>
              <w:t>Minor </w:t>
            </w:r>
          </w:p>
        </w:tc>
      </w:tr>
      <w:tr w:rsidR="00DE4223" w:rsidRPr="00DE4223" w14:paraId="6FDFC791" w14:textId="77777777">
        <w:trPr>
          <w:trHeight w:val="45"/>
        </w:trPr>
        <w:tc>
          <w:tcPr>
            <w:tcW w:w="3240" w:type="dxa"/>
            <w:tcBorders>
              <w:top w:val="single" w:sz="4" w:space="0" w:color="000000"/>
              <w:left w:val="single" w:sz="6" w:space="0" w:color="auto"/>
              <w:bottom w:val="single" w:sz="6" w:space="0" w:color="auto"/>
              <w:right w:val="single" w:sz="4" w:space="0" w:color="000000"/>
            </w:tcBorders>
            <w:hideMark/>
          </w:tcPr>
          <w:p w14:paraId="014733EB" w14:textId="77777777" w:rsidR="00DE4223" w:rsidRPr="00DE4223" w:rsidRDefault="00DE4223" w:rsidP="00DE4223">
            <w:pPr>
              <w:rPr>
                <w:rFonts w:cs="Arial"/>
                <w:sz w:val="22"/>
                <w:szCs w:val="22"/>
              </w:rPr>
            </w:pPr>
            <w:r w:rsidRPr="00DE4223">
              <w:rPr>
                <w:rFonts w:cs="Arial"/>
                <w:sz w:val="22"/>
                <w:szCs w:val="22"/>
              </w:rPr>
              <w:t>AIM4Forests helps establish NFMS that produce datasets of mediocre quality, that are less relevant to priorities of country stakeholders or not accessible to stakeholders. </w:t>
            </w:r>
          </w:p>
        </w:tc>
        <w:tc>
          <w:tcPr>
            <w:tcW w:w="1470" w:type="dxa"/>
            <w:tcBorders>
              <w:top w:val="single" w:sz="4" w:space="0" w:color="000000"/>
              <w:left w:val="single" w:sz="4" w:space="0" w:color="000000"/>
              <w:bottom w:val="single" w:sz="6" w:space="0" w:color="auto"/>
              <w:right w:val="single" w:sz="4" w:space="0" w:color="000000"/>
            </w:tcBorders>
            <w:hideMark/>
          </w:tcPr>
          <w:p w14:paraId="239F7B24" w14:textId="77777777" w:rsidR="00DE4223" w:rsidRPr="00DE4223" w:rsidRDefault="00DE4223" w:rsidP="00DE4223">
            <w:pPr>
              <w:rPr>
                <w:rFonts w:cs="Arial"/>
                <w:sz w:val="22"/>
                <w:szCs w:val="22"/>
              </w:rPr>
            </w:pPr>
            <w:r w:rsidRPr="00DE4223">
              <w:rPr>
                <w:rFonts w:cs="Arial"/>
                <w:sz w:val="22"/>
                <w:szCs w:val="22"/>
              </w:rPr>
              <w:t>Delivery  </w:t>
            </w:r>
          </w:p>
        </w:tc>
        <w:tc>
          <w:tcPr>
            <w:tcW w:w="1215" w:type="dxa"/>
            <w:tcBorders>
              <w:top w:val="single" w:sz="4" w:space="0" w:color="000000"/>
              <w:left w:val="single" w:sz="4" w:space="0" w:color="000000"/>
              <w:bottom w:val="single" w:sz="6" w:space="0" w:color="auto"/>
              <w:right w:val="single" w:sz="4" w:space="0" w:color="000000"/>
            </w:tcBorders>
            <w:hideMark/>
          </w:tcPr>
          <w:p w14:paraId="3843D378" w14:textId="77777777" w:rsidR="00DE4223" w:rsidRPr="00DE4223" w:rsidRDefault="00DE4223" w:rsidP="00DE4223">
            <w:pPr>
              <w:rPr>
                <w:rFonts w:cs="Arial"/>
                <w:sz w:val="22"/>
                <w:szCs w:val="22"/>
              </w:rPr>
            </w:pPr>
            <w:r w:rsidRPr="00DE4223">
              <w:rPr>
                <w:rFonts w:cs="Arial"/>
                <w:sz w:val="22"/>
                <w:szCs w:val="22"/>
              </w:rPr>
              <w:t>Possible  </w:t>
            </w:r>
          </w:p>
        </w:tc>
        <w:tc>
          <w:tcPr>
            <w:tcW w:w="1260" w:type="dxa"/>
            <w:tcBorders>
              <w:top w:val="single" w:sz="4" w:space="0" w:color="000000"/>
              <w:left w:val="single" w:sz="4" w:space="0" w:color="000000"/>
              <w:bottom w:val="single" w:sz="6" w:space="0" w:color="auto"/>
              <w:right w:val="single" w:sz="4" w:space="0" w:color="000000"/>
            </w:tcBorders>
            <w:hideMark/>
          </w:tcPr>
          <w:p w14:paraId="1D147B33" w14:textId="77777777" w:rsidR="00DE4223" w:rsidRPr="00DE4223" w:rsidRDefault="00DE4223" w:rsidP="00DE4223">
            <w:pPr>
              <w:rPr>
                <w:rFonts w:cs="Arial"/>
                <w:sz w:val="22"/>
                <w:szCs w:val="22"/>
              </w:rPr>
            </w:pPr>
            <w:r w:rsidRPr="00DE4223">
              <w:rPr>
                <w:rFonts w:cs="Arial"/>
                <w:sz w:val="22"/>
                <w:szCs w:val="22"/>
              </w:rPr>
              <w:t>Minor  </w:t>
            </w:r>
          </w:p>
        </w:tc>
        <w:tc>
          <w:tcPr>
            <w:tcW w:w="1215" w:type="dxa"/>
            <w:tcBorders>
              <w:top w:val="single" w:sz="4" w:space="0" w:color="000000"/>
              <w:left w:val="single" w:sz="4" w:space="0" w:color="000000"/>
              <w:bottom w:val="single" w:sz="6" w:space="0" w:color="auto"/>
              <w:right w:val="single" w:sz="4" w:space="0" w:color="000000"/>
            </w:tcBorders>
            <w:shd w:val="clear" w:color="auto" w:fill="FFC000"/>
            <w:hideMark/>
          </w:tcPr>
          <w:p w14:paraId="35C7122B" w14:textId="77777777" w:rsidR="00DE4223" w:rsidRPr="00DE4223" w:rsidRDefault="00DE4223" w:rsidP="00DE4223">
            <w:pPr>
              <w:rPr>
                <w:rFonts w:cs="Arial"/>
                <w:sz w:val="22"/>
                <w:szCs w:val="22"/>
              </w:rPr>
            </w:pPr>
            <w:r w:rsidRPr="00DE4223">
              <w:rPr>
                <w:rFonts w:cs="Arial"/>
                <w:sz w:val="22"/>
                <w:szCs w:val="22"/>
              </w:rPr>
              <w:t>Moderate  </w:t>
            </w:r>
          </w:p>
        </w:tc>
        <w:tc>
          <w:tcPr>
            <w:tcW w:w="4755" w:type="dxa"/>
            <w:tcBorders>
              <w:top w:val="single" w:sz="4" w:space="0" w:color="000000"/>
              <w:left w:val="single" w:sz="4" w:space="0" w:color="000000"/>
              <w:bottom w:val="single" w:sz="6" w:space="0" w:color="auto"/>
              <w:right w:val="single" w:sz="4" w:space="0" w:color="000000"/>
            </w:tcBorders>
            <w:hideMark/>
          </w:tcPr>
          <w:p w14:paraId="3110CFC4" w14:textId="77777777" w:rsidR="00DE4223" w:rsidRPr="00DE4223" w:rsidRDefault="00DE4223" w:rsidP="00DE4223">
            <w:pPr>
              <w:rPr>
                <w:rFonts w:cs="Arial"/>
                <w:sz w:val="22"/>
                <w:szCs w:val="22"/>
              </w:rPr>
            </w:pPr>
            <w:r w:rsidRPr="00DE4223">
              <w:rPr>
                <w:rFonts w:cs="Arial"/>
                <w:sz w:val="22"/>
                <w:szCs w:val="22"/>
              </w:rPr>
              <w:t>The programme supports capacity development undertaken as a continuous improvement process. Investment into forest monitoring, learning materials and methodological challenges are specific outputs/activities of this programme to ensure high quality data.  </w:t>
            </w:r>
          </w:p>
          <w:p w14:paraId="6CFF6B5E" w14:textId="77777777" w:rsidR="00DE4223" w:rsidRPr="00DE4223" w:rsidRDefault="00DE4223" w:rsidP="00DE4223">
            <w:pPr>
              <w:rPr>
                <w:rFonts w:cs="Arial"/>
                <w:sz w:val="22"/>
                <w:szCs w:val="22"/>
              </w:rPr>
            </w:pPr>
            <w:r w:rsidRPr="00DE4223">
              <w:rPr>
                <w:rFonts w:cs="Arial"/>
                <w:sz w:val="22"/>
                <w:szCs w:val="22"/>
              </w:rPr>
              <w:t xml:space="preserve"> Country-level work planning based on systematic gap analyses is part of the programme implementation (including through the country-led planning process) and is integral to the programme to ensure relevance and accessibility. Thematic focus is based on country own interests. </w:t>
            </w:r>
            <w:r w:rsidRPr="00DE4223">
              <w:rPr>
                <w:rFonts w:cs="Arial"/>
                <w:sz w:val="22"/>
                <w:szCs w:val="22"/>
              </w:rPr>
              <w:lastRenderedPageBreak/>
              <w:t>Data sharing and open-source data expectations is applied to outputs. </w:t>
            </w:r>
          </w:p>
        </w:tc>
        <w:tc>
          <w:tcPr>
            <w:tcW w:w="1290" w:type="dxa"/>
            <w:tcBorders>
              <w:top w:val="single" w:sz="4" w:space="0" w:color="000000"/>
              <w:left w:val="single" w:sz="4" w:space="0" w:color="000000"/>
              <w:bottom w:val="single" w:sz="6" w:space="0" w:color="auto"/>
              <w:right w:val="single" w:sz="6" w:space="0" w:color="auto"/>
            </w:tcBorders>
            <w:shd w:val="clear" w:color="auto" w:fill="92D050"/>
            <w:hideMark/>
          </w:tcPr>
          <w:p w14:paraId="1DC6D4D6" w14:textId="77777777" w:rsidR="00DE4223" w:rsidRPr="00DE4223" w:rsidRDefault="00DE4223" w:rsidP="00DE4223">
            <w:pPr>
              <w:rPr>
                <w:rFonts w:cs="Arial"/>
                <w:sz w:val="22"/>
                <w:szCs w:val="22"/>
              </w:rPr>
            </w:pPr>
            <w:r w:rsidRPr="00DE4223">
              <w:rPr>
                <w:rFonts w:cs="Arial"/>
                <w:sz w:val="22"/>
                <w:szCs w:val="22"/>
              </w:rPr>
              <w:lastRenderedPageBreak/>
              <w:t>Minor  </w:t>
            </w:r>
          </w:p>
        </w:tc>
      </w:tr>
    </w:tbl>
    <w:p w14:paraId="76F7FDDC" w14:textId="77777777" w:rsidR="00DE4223" w:rsidRPr="00DE4223" w:rsidRDefault="00DE4223" w:rsidP="00DE4223">
      <w:pPr>
        <w:rPr>
          <w:rFonts w:cs="Arial"/>
          <w:sz w:val="22"/>
          <w:szCs w:val="22"/>
        </w:rPr>
      </w:pPr>
      <w:r w:rsidRPr="00DE4223">
        <w:rPr>
          <w:rFonts w:cs="Arial"/>
          <w:sz w:val="22"/>
          <w:szCs w:val="22"/>
        </w:rPr>
        <w:t> </w:t>
      </w:r>
    </w:p>
    <w:p w14:paraId="22D2C840" w14:textId="77777777" w:rsidR="00DE4223" w:rsidRPr="00DE4223" w:rsidRDefault="00DE4223" w:rsidP="00DE4223">
      <w:pPr>
        <w:rPr>
          <w:rFonts w:cs="Arial"/>
          <w:sz w:val="22"/>
          <w:szCs w:val="22"/>
        </w:rPr>
      </w:pPr>
      <w:r w:rsidRPr="00DE4223">
        <w:rPr>
          <w:rFonts w:cs="Arial"/>
          <w:b/>
          <w:bCs/>
          <w:sz w:val="22"/>
          <w:szCs w:val="22"/>
        </w:rPr>
        <w:t>Risk Categories and DESNZ Risk Appetite</w:t>
      </w:r>
      <w:r w:rsidRPr="00DE4223">
        <w:rPr>
          <w:rFonts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2205"/>
        <w:gridCol w:w="2370"/>
      </w:tblGrid>
      <w:tr w:rsidR="00DE4223" w:rsidRPr="00DE4223" w14:paraId="3DAED202" w14:textId="77777777">
        <w:trPr>
          <w:trHeight w:val="300"/>
        </w:trPr>
        <w:tc>
          <w:tcPr>
            <w:tcW w:w="1635" w:type="dxa"/>
            <w:tcBorders>
              <w:top w:val="single" w:sz="12" w:space="0" w:color="auto"/>
              <w:left w:val="single" w:sz="12" w:space="0" w:color="auto"/>
              <w:bottom w:val="nil"/>
              <w:right w:val="single" w:sz="6" w:space="0" w:color="FFFFFF"/>
            </w:tcBorders>
            <w:shd w:val="clear" w:color="auto" w:fill="009FDA"/>
            <w:hideMark/>
          </w:tcPr>
          <w:p w14:paraId="0B590550" w14:textId="77777777" w:rsidR="00DE4223" w:rsidRPr="00DE4223" w:rsidRDefault="00DE4223" w:rsidP="00DE4223">
            <w:pPr>
              <w:rPr>
                <w:rFonts w:cs="Arial"/>
                <w:sz w:val="22"/>
                <w:szCs w:val="22"/>
              </w:rPr>
            </w:pPr>
            <w:r w:rsidRPr="00DE4223">
              <w:rPr>
                <w:rFonts w:cs="Arial"/>
                <w:b/>
                <w:bCs/>
                <w:sz w:val="22"/>
                <w:szCs w:val="22"/>
              </w:rPr>
              <w:t>Risk type</w:t>
            </w:r>
            <w:r w:rsidRPr="00DE4223">
              <w:rPr>
                <w:rFonts w:cs="Arial"/>
                <w:sz w:val="22"/>
                <w:szCs w:val="22"/>
              </w:rPr>
              <w:t>  </w:t>
            </w:r>
          </w:p>
        </w:tc>
        <w:tc>
          <w:tcPr>
            <w:tcW w:w="2205" w:type="dxa"/>
            <w:tcBorders>
              <w:top w:val="single" w:sz="12" w:space="0" w:color="auto"/>
              <w:left w:val="single" w:sz="6" w:space="0" w:color="FFFFFF"/>
              <w:bottom w:val="nil"/>
              <w:right w:val="single" w:sz="6" w:space="0" w:color="FFFFFF"/>
            </w:tcBorders>
            <w:shd w:val="clear" w:color="auto" w:fill="009FDA"/>
            <w:hideMark/>
          </w:tcPr>
          <w:p w14:paraId="712D7B2B" w14:textId="77777777" w:rsidR="00DE4223" w:rsidRPr="00DE4223" w:rsidRDefault="00DE4223" w:rsidP="00DE4223">
            <w:pPr>
              <w:rPr>
                <w:rFonts w:cs="Arial"/>
                <w:sz w:val="22"/>
                <w:szCs w:val="22"/>
              </w:rPr>
            </w:pPr>
            <w:r w:rsidRPr="00DE4223">
              <w:rPr>
                <w:rFonts w:cs="Arial"/>
                <w:b/>
                <w:bCs/>
                <w:sz w:val="22"/>
                <w:szCs w:val="22"/>
              </w:rPr>
              <w:t>Risk appetite: portfolio </w:t>
            </w:r>
            <w:r w:rsidRPr="00DE4223">
              <w:rPr>
                <w:rFonts w:cs="Arial"/>
                <w:sz w:val="22"/>
                <w:szCs w:val="22"/>
              </w:rPr>
              <w:t>  </w:t>
            </w:r>
          </w:p>
        </w:tc>
        <w:tc>
          <w:tcPr>
            <w:tcW w:w="2370" w:type="dxa"/>
            <w:tcBorders>
              <w:top w:val="single" w:sz="12" w:space="0" w:color="auto"/>
              <w:left w:val="single" w:sz="6" w:space="0" w:color="FFFFFF"/>
              <w:bottom w:val="nil"/>
              <w:right w:val="single" w:sz="12" w:space="0" w:color="auto"/>
            </w:tcBorders>
            <w:shd w:val="clear" w:color="auto" w:fill="009FDA"/>
            <w:hideMark/>
          </w:tcPr>
          <w:p w14:paraId="78DB07CB" w14:textId="77777777" w:rsidR="00DE4223" w:rsidRPr="00DE4223" w:rsidRDefault="00DE4223" w:rsidP="00DE4223">
            <w:pPr>
              <w:rPr>
                <w:rFonts w:cs="Arial"/>
                <w:sz w:val="22"/>
                <w:szCs w:val="22"/>
              </w:rPr>
            </w:pPr>
            <w:r w:rsidRPr="00DE4223">
              <w:rPr>
                <w:rFonts w:cs="Arial"/>
                <w:b/>
                <w:bCs/>
                <w:sz w:val="22"/>
                <w:szCs w:val="22"/>
              </w:rPr>
              <w:t>Risk appetite:</w:t>
            </w:r>
            <w:r w:rsidRPr="00DE4223">
              <w:rPr>
                <w:rFonts w:cs="Arial"/>
                <w:sz w:val="22"/>
                <w:szCs w:val="22"/>
              </w:rPr>
              <w:t> </w:t>
            </w:r>
          </w:p>
          <w:p w14:paraId="05C6FB99" w14:textId="77777777" w:rsidR="00DE4223" w:rsidRPr="00DE4223" w:rsidRDefault="00DE4223" w:rsidP="00DE4223">
            <w:pPr>
              <w:rPr>
                <w:rFonts w:cs="Arial"/>
                <w:sz w:val="22"/>
                <w:szCs w:val="22"/>
              </w:rPr>
            </w:pPr>
            <w:r w:rsidRPr="00DE4223">
              <w:rPr>
                <w:rFonts w:cs="Arial"/>
                <w:b/>
                <w:bCs/>
                <w:sz w:val="22"/>
                <w:szCs w:val="22"/>
              </w:rPr>
              <w:t>programme</w:t>
            </w:r>
            <w:r w:rsidRPr="00DE4223">
              <w:rPr>
                <w:rFonts w:cs="Arial"/>
                <w:sz w:val="22"/>
                <w:szCs w:val="22"/>
              </w:rPr>
              <w:t> </w:t>
            </w:r>
          </w:p>
        </w:tc>
      </w:tr>
      <w:tr w:rsidR="00DE4223" w:rsidRPr="00DE4223" w14:paraId="6F7AF368" w14:textId="77777777">
        <w:trPr>
          <w:trHeight w:val="300"/>
        </w:trPr>
        <w:tc>
          <w:tcPr>
            <w:tcW w:w="1635" w:type="dxa"/>
            <w:tcBorders>
              <w:top w:val="single" w:sz="24" w:space="0" w:color="FFFFFF"/>
              <w:left w:val="single" w:sz="12" w:space="0" w:color="auto"/>
              <w:bottom w:val="single" w:sz="6" w:space="0" w:color="FFFFFF"/>
              <w:right w:val="single" w:sz="6" w:space="0" w:color="FFFFFF"/>
            </w:tcBorders>
            <w:shd w:val="clear" w:color="auto" w:fill="CBDFF1"/>
            <w:hideMark/>
          </w:tcPr>
          <w:p w14:paraId="76BB5DC1" w14:textId="77777777" w:rsidR="00DE4223" w:rsidRPr="00DE4223" w:rsidRDefault="00DE4223" w:rsidP="00DE4223">
            <w:pPr>
              <w:rPr>
                <w:rFonts w:cs="Arial"/>
                <w:sz w:val="22"/>
                <w:szCs w:val="22"/>
              </w:rPr>
            </w:pPr>
            <w:r w:rsidRPr="00DE4223">
              <w:rPr>
                <w:rFonts w:cs="Arial"/>
                <w:b/>
                <w:bCs/>
                <w:sz w:val="22"/>
                <w:szCs w:val="22"/>
              </w:rPr>
              <w:t>External context</w:t>
            </w:r>
            <w:r w:rsidRPr="00DE4223">
              <w:rPr>
                <w:rFonts w:cs="Arial"/>
                <w:sz w:val="22"/>
                <w:szCs w:val="22"/>
              </w:rPr>
              <w:t>   </w:t>
            </w:r>
          </w:p>
        </w:tc>
        <w:tc>
          <w:tcPr>
            <w:tcW w:w="2205" w:type="dxa"/>
            <w:tcBorders>
              <w:top w:val="single" w:sz="24" w:space="0" w:color="FFFFFF"/>
              <w:left w:val="single" w:sz="6" w:space="0" w:color="FFFFFF"/>
              <w:bottom w:val="single" w:sz="6" w:space="0" w:color="FFFFFF"/>
              <w:right w:val="single" w:sz="6" w:space="0" w:color="FFFFFF"/>
            </w:tcBorders>
            <w:shd w:val="clear" w:color="auto" w:fill="CBDFF1"/>
            <w:hideMark/>
          </w:tcPr>
          <w:p w14:paraId="0D08BCD0" w14:textId="77777777" w:rsidR="00DE4223" w:rsidRPr="00DE4223" w:rsidRDefault="00DE4223" w:rsidP="00DE4223">
            <w:pPr>
              <w:rPr>
                <w:rFonts w:cs="Arial"/>
                <w:sz w:val="22"/>
                <w:szCs w:val="22"/>
              </w:rPr>
            </w:pPr>
            <w:r w:rsidRPr="00DE4223">
              <w:rPr>
                <w:rFonts w:cs="Arial"/>
                <w:sz w:val="22"/>
                <w:szCs w:val="22"/>
              </w:rPr>
              <w:t>Moderate (Minimalist)  </w:t>
            </w:r>
          </w:p>
        </w:tc>
        <w:tc>
          <w:tcPr>
            <w:tcW w:w="2370" w:type="dxa"/>
            <w:tcBorders>
              <w:top w:val="single" w:sz="24" w:space="0" w:color="FFFFFF"/>
              <w:left w:val="single" w:sz="6" w:space="0" w:color="FFFFFF"/>
              <w:bottom w:val="single" w:sz="6" w:space="0" w:color="FFFFFF"/>
              <w:right w:val="single" w:sz="12" w:space="0" w:color="auto"/>
            </w:tcBorders>
            <w:shd w:val="clear" w:color="auto" w:fill="CBDFF1"/>
            <w:hideMark/>
          </w:tcPr>
          <w:p w14:paraId="2340293E" w14:textId="77777777" w:rsidR="00DE4223" w:rsidRPr="00DE4223" w:rsidRDefault="00DE4223" w:rsidP="00DE4223">
            <w:pPr>
              <w:rPr>
                <w:rFonts w:cs="Arial"/>
                <w:sz w:val="22"/>
                <w:szCs w:val="22"/>
              </w:rPr>
            </w:pPr>
            <w:r w:rsidRPr="00DE4223">
              <w:rPr>
                <w:rFonts w:cs="Arial"/>
                <w:sz w:val="22"/>
                <w:szCs w:val="22"/>
              </w:rPr>
              <w:t>Moderate (Minimalist)  </w:t>
            </w:r>
          </w:p>
        </w:tc>
      </w:tr>
      <w:tr w:rsidR="00DE4223" w:rsidRPr="00DE4223" w14:paraId="0EDB4967" w14:textId="77777777">
        <w:trPr>
          <w:trHeight w:val="300"/>
        </w:trPr>
        <w:tc>
          <w:tcPr>
            <w:tcW w:w="1635" w:type="dxa"/>
            <w:tcBorders>
              <w:top w:val="single" w:sz="6" w:space="0" w:color="FFFFFF"/>
              <w:left w:val="single" w:sz="12" w:space="0" w:color="auto"/>
              <w:bottom w:val="single" w:sz="6" w:space="0" w:color="FFFFFF"/>
              <w:right w:val="single" w:sz="6" w:space="0" w:color="FFFFFF"/>
            </w:tcBorders>
            <w:shd w:val="clear" w:color="auto" w:fill="E7F0F8"/>
            <w:hideMark/>
          </w:tcPr>
          <w:p w14:paraId="5AD8CC59" w14:textId="77777777" w:rsidR="00DE4223" w:rsidRPr="00DE4223" w:rsidRDefault="00DE4223" w:rsidP="00DE4223">
            <w:pPr>
              <w:rPr>
                <w:rFonts w:cs="Arial"/>
                <w:sz w:val="22"/>
                <w:szCs w:val="22"/>
              </w:rPr>
            </w:pPr>
            <w:r w:rsidRPr="00DE4223">
              <w:rPr>
                <w:rFonts w:cs="Arial"/>
                <w:b/>
                <w:bCs/>
                <w:sz w:val="22"/>
                <w:szCs w:val="22"/>
              </w:rPr>
              <w:t>Reputational</w:t>
            </w:r>
            <w:r w:rsidRPr="00DE4223">
              <w:rPr>
                <w:rFonts w:cs="Arial"/>
                <w:sz w:val="22"/>
                <w:szCs w:val="22"/>
              </w:rPr>
              <w:t>   </w:t>
            </w:r>
          </w:p>
        </w:tc>
        <w:tc>
          <w:tcPr>
            <w:tcW w:w="2205" w:type="dxa"/>
            <w:tcBorders>
              <w:top w:val="single" w:sz="6" w:space="0" w:color="FFFFFF"/>
              <w:left w:val="single" w:sz="6" w:space="0" w:color="FFFFFF"/>
              <w:bottom w:val="single" w:sz="6" w:space="0" w:color="FFFFFF"/>
              <w:right w:val="single" w:sz="6" w:space="0" w:color="FFFFFF"/>
            </w:tcBorders>
            <w:shd w:val="clear" w:color="auto" w:fill="E7F0F8"/>
            <w:hideMark/>
          </w:tcPr>
          <w:p w14:paraId="4A245E01" w14:textId="77777777" w:rsidR="00DE4223" w:rsidRPr="00DE4223" w:rsidRDefault="00DE4223" w:rsidP="00DE4223">
            <w:pPr>
              <w:rPr>
                <w:rFonts w:cs="Arial"/>
                <w:sz w:val="22"/>
                <w:szCs w:val="22"/>
              </w:rPr>
            </w:pPr>
            <w:r w:rsidRPr="00DE4223">
              <w:rPr>
                <w:rFonts w:cs="Arial"/>
                <w:sz w:val="22"/>
                <w:szCs w:val="22"/>
              </w:rPr>
              <w:t>Minor (Averse)  </w:t>
            </w:r>
          </w:p>
        </w:tc>
        <w:tc>
          <w:tcPr>
            <w:tcW w:w="2370" w:type="dxa"/>
            <w:tcBorders>
              <w:top w:val="single" w:sz="6" w:space="0" w:color="FFFFFF"/>
              <w:left w:val="single" w:sz="6" w:space="0" w:color="FFFFFF"/>
              <w:bottom w:val="single" w:sz="6" w:space="0" w:color="FFFFFF"/>
              <w:right w:val="single" w:sz="12" w:space="0" w:color="auto"/>
            </w:tcBorders>
            <w:shd w:val="clear" w:color="auto" w:fill="E7F0F8"/>
            <w:hideMark/>
          </w:tcPr>
          <w:p w14:paraId="703726E0" w14:textId="77777777" w:rsidR="00DE4223" w:rsidRPr="00DE4223" w:rsidRDefault="00DE4223" w:rsidP="00DE4223">
            <w:pPr>
              <w:rPr>
                <w:rFonts w:cs="Arial"/>
                <w:sz w:val="22"/>
                <w:szCs w:val="22"/>
              </w:rPr>
            </w:pPr>
            <w:r w:rsidRPr="00DE4223">
              <w:rPr>
                <w:rFonts w:cs="Arial"/>
                <w:sz w:val="22"/>
                <w:szCs w:val="22"/>
              </w:rPr>
              <w:t>Moderate (Minimalist)  </w:t>
            </w:r>
          </w:p>
        </w:tc>
      </w:tr>
      <w:tr w:rsidR="00DE4223" w:rsidRPr="00DE4223" w14:paraId="7AB52D81" w14:textId="77777777">
        <w:trPr>
          <w:trHeight w:val="300"/>
        </w:trPr>
        <w:tc>
          <w:tcPr>
            <w:tcW w:w="1635" w:type="dxa"/>
            <w:tcBorders>
              <w:top w:val="single" w:sz="6" w:space="0" w:color="FFFFFF"/>
              <w:left w:val="single" w:sz="12" w:space="0" w:color="auto"/>
              <w:bottom w:val="single" w:sz="6" w:space="0" w:color="FFFFFF"/>
              <w:right w:val="single" w:sz="6" w:space="0" w:color="FFFFFF"/>
            </w:tcBorders>
            <w:shd w:val="clear" w:color="auto" w:fill="CBDFF1"/>
            <w:hideMark/>
          </w:tcPr>
          <w:p w14:paraId="0D9BA8CC" w14:textId="77777777" w:rsidR="00DE4223" w:rsidRPr="00DE4223" w:rsidRDefault="00DE4223" w:rsidP="00DE4223">
            <w:pPr>
              <w:rPr>
                <w:rFonts w:cs="Arial"/>
                <w:sz w:val="22"/>
                <w:szCs w:val="22"/>
              </w:rPr>
            </w:pPr>
            <w:r w:rsidRPr="00DE4223">
              <w:rPr>
                <w:rFonts w:cs="Arial"/>
                <w:b/>
                <w:bCs/>
                <w:sz w:val="22"/>
                <w:szCs w:val="22"/>
              </w:rPr>
              <w:t>Fiduciary</w:t>
            </w:r>
            <w:r w:rsidRPr="00DE4223">
              <w:rPr>
                <w:rFonts w:cs="Arial"/>
                <w:sz w:val="22"/>
                <w:szCs w:val="22"/>
              </w:rPr>
              <w:t>   </w:t>
            </w:r>
          </w:p>
        </w:tc>
        <w:tc>
          <w:tcPr>
            <w:tcW w:w="2205" w:type="dxa"/>
            <w:tcBorders>
              <w:top w:val="single" w:sz="6" w:space="0" w:color="FFFFFF"/>
              <w:left w:val="single" w:sz="6" w:space="0" w:color="FFFFFF"/>
              <w:bottom w:val="single" w:sz="6" w:space="0" w:color="FFFFFF"/>
              <w:right w:val="single" w:sz="6" w:space="0" w:color="FFFFFF"/>
            </w:tcBorders>
            <w:shd w:val="clear" w:color="auto" w:fill="CBDFF1"/>
            <w:hideMark/>
          </w:tcPr>
          <w:p w14:paraId="27A74C50" w14:textId="77777777" w:rsidR="00DE4223" w:rsidRPr="00DE4223" w:rsidRDefault="00DE4223" w:rsidP="00DE4223">
            <w:pPr>
              <w:rPr>
                <w:rFonts w:cs="Arial"/>
                <w:sz w:val="22"/>
                <w:szCs w:val="22"/>
              </w:rPr>
            </w:pPr>
            <w:r w:rsidRPr="00DE4223">
              <w:rPr>
                <w:rFonts w:cs="Arial"/>
                <w:sz w:val="22"/>
                <w:szCs w:val="22"/>
              </w:rPr>
              <w:t>Minor (Averse)  </w:t>
            </w:r>
          </w:p>
        </w:tc>
        <w:tc>
          <w:tcPr>
            <w:tcW w:w="2370" w:type="dxa"/>
            <w:tcBorders>
              <w:top w:val="single" w:sz="6" w:space="0" w:color="FFFFFF"/>
              <w:left w:val="single" w:sz="6" w:space="0" w:color="FFFFFF"/>
              <w:bottom w:val="single" w:sz="6" w:space="0" w:color="FFFFFF"/>
              <w:right w:val="single" w:sz="12" w:space="0" w:color="auto"/>
            </w:tcBorders>
            <w:shd w:val="clear" w:color="auto" w:fill="CBDFF1"/>
            <w:hideMark/>
          </w:tcPr>
          <w:p w14:paraId="5827675D" w14:textId="77777777" w:rsidR="00DE4223" w:rsidRPr="00DE4223" w:rsidRDefault="00DE4223" w:rsidP="00DE4223">
            <w:pPr>
              <w:rPr>
                <w:rFonts w:cs="Arial"/>
                <w:sz w:val="22"/>
                <w:szCs w:val="22"/>
              </w:rPr>
            </w:pPr>
            <w:r w:rsidRPr="00DE4223">
              <w:rPr>
                <w:rFonts w:cs="Arial"/>
                <w:sz w:val="22"/>
                <w:szCs w:val="22"/>
              </w:rPr>
              <w:t>Minor (Averse)  </w:t>
            </w:r>
          </w:p>
        </w:tc>
      </w:tr>
      <w:tr w:rsidR="00DE4223" w:rsidRPr="00DE4223" w14:paraId="13072350" w14:textId="77777777">
        <w:trPr>
          <w:trHeight w:val="300"/>
        </w:trPr>
        <w:tc>
          <w:tcPr>
            <w:tcW w:w="1635" w:type="dxa"/>
            <w:tcBorders>
              <w:top w:val="single" w:sz="6" w:space="0" w:color="FFFFFF"/>
              <w:left w:val="single" w:sz="12" w:space="0" w:color="auto"/>
              <w:bottom w:val="single" w:sz="6" w:space="0" w:color="FFFFFF"/>
              <w:right w:val="single" w:sz="6" w:space="0" w:color="FFFFFF"/>
            </w:tcBorders>
            <w:shd w:val="clear" w:color="auto" w:fill="E7F0F8"/>
            <w:hideMark/>
          </w:tcPr>
          <w:p w14:paraId="139F9C16" w14:textId="77777777" w:rsidR="00DE4223" w:rsidRPr="00DE4223" w:rsidRDefault="00DE4223" w:rsidP="00DE4223">
            <w:pPr>
              <w:rPr>
                <w:rFonts w:cs="Arial"/>
                <w:sz w:val="22"/>
                <w:szCs w:val="22"/>
              </w:rPr>
            </w:pPr>
            <w:r w:rsidRPr="00DE4223">
              <w:rPr>
                <w:rFonts w:cs="Arial"/>
                <w:b/>
                <w:bCs/>
                <w:sz w:val="22"/>
                <w:szCs w:val="22"/>
              </w:rPr>
              <w:t>Delivery</w:t>
            </w:r>
            <w:r w:rsidRPr="00DE4223">
              <w:rPr>
                <w:rFonts w:cs="Arial"/>
                <w:sz w:val="22"/>
                <w:szCs w:val="22"/>
              </w:rPr>
              <w:t>   </w:t>
            </w:r>
          </w:p>
        </w:tc>
        <w:tc>
          <w:tcPr>
            <w:tcW w:w="2205" w:type="dxa"/>
            <w:tcBorders>
              <w:top w:val="single" w:sz="6" w:space="0" w:color="FFFFFF"/>
              <w:left w:val="single" w:sz="6" w:space="0" w:color="FFFFFF"/>
              <w:bottom w:val="single" w:sz="6" w:space="0" w:color="FFFFFF"/>
              <w:right w:val="single" w:sz="6" w:space="0" w:color="FFFFFF"/>
            </w:tcBorders>
            <w:shd w:val="clear" w:color="auto" w:fill="E7F0F8"/>
            <w:hideMark/>
          </w:tcPr>
          <w:p w14:paraId="6D33B2F5" w14:textId="77777777" w:rsidR="00DE4223" w:rsidRPr="00DE4223" w:rsidRDefault="00DE4223" w:rsidP="00DE4223">
            <w:pPr>
              <w:rPr>
                <w:rFonts w:cs="Arial"/>
                <w:sz w:val="22"/>
                <w:szCs w:val="22"/>
              </w:rPr>
            </w:pPr>
            <w:r w:rsidRPr="00DE4223">
              <w:rPr>
                <w:rFonts w:cs="Arial"/>
                <w:sz w:val="22"/>
                <w:szCs w:val="22"/>
              </w:rPr>
              <w:t>Moderate (Minimalist)  </w:t>
            </w:r>
          </w:p>
        </w:tc>
        <w:tc>
          <w:tcPr>
            <w:tcW w:w="2370" w:type="dxa"/>
            <w:tcBorders>
              <w:top w:val="single" w:sz="6" w:space="0" w:color="FFFFFF"/>
              <w:left w:val="single" w:sz="6" w:space="0" w:color="FFFFFF"/>
              <w:bottom w:val="single" w:sz="6" w:space="0" w:color="FFFFFF"/>
              <w:right w:val="single" w:sz="12" w:space="0" w:color="auto"/>
            </w:tcBorders>
            <w:shd w:val="clear" w:color="auto" w:fill="E7F0F8"/>
            <w:hideMark/>
          </w:tcPr>
          <w:p w14:paraId="73655F55" w14:textId="77777777" w:rsidR="00DE4223" w:rsidRPr="00DE4223" w:rsidRDefault="00DE4223" w:rsidP="00DE4223">
            <w:pPr>
              <w:rPr>
                <w:rFonts w:cs="Arial"/>
                <w:sz w:val="22"/>
                <w:szCs w:val="22"/>
              </w:rPr>
            </w:pPr>
            <w:r w:rsidRPr="00DE4223">
              <w:rPr>
                <w:rFonts w:cs="Arial"/>
                <w:sz w:val="22"/>
                <w:szCs w:val="22"/>
              </w:rPr>
              <w:t>Major (Cautious)  </w:t>
            </w:r>
          </w:p>
        </w:tc>
      </w:tr>
      <w:tr w:rsidR="00DE4223" w:rsidRPr="00DE4223" w14:paraId="2B31556D" w14:textId="77777777">
        <w:trPr>
          <w:trHeight w:val="300"/>
        </w:trPr>
        <w:tc>
          <w:tcPr>
            <w:tcW w:w="1635" w:type="dxa"/>
            <w:tcBorders>
              <w:top w:val="single" w:sz="6" w:space="0" w:color="FFFFFF"/>
              <w:left w:val="single" w:sz="12" w:space="0" w:color="auto"/>
              <w:bottom w:val="single" w:sz="6" w:space="0" w:color="FFFFFF"/>
              <w:right w:val="single" w:sz="6" w:space="0" w:color="FFFFFF"/>
            </w:tcBorders>
            <w:shd w:val="clear" w:color="auto" w:fill="CBDFF1"/>
            <w:hideMark/>
          </w:tcPr>
          <w:p w14:paraId="13E2690A" w14:textId="77777777" w:rsidR="00DE4223" w:rsidRPr="00DE4223" w:rsidRDefault="00DE4223" w:rsidP="00DE4223">
            <w:pPr>
              <w:rPr>
                <w:rFonts w:cs="Arial"/>
                <w:sz w:val="22"/>
                <w:szCs w:val="22"/>
              </w:rPr>
            </w:pPr>
            <w:r w:rsidRPr="00DE4223">
              <w:rPr>
                <w:rFonts w:cs="Arial"/>
                <w:b/>
                <w:bCs/>
                <w:sz w:val="22"/>
                <w:szCs w:val="22"/>
              </w:rPr>
              <w:t>Compliance</w:t>
            </w:r>
            <w:r w:rsidRPr="00DE4223">
              <w:rPr>
                <w:rFonts w:cs="Arial"/>
                <w:sz w:val="22"/>
                <w:szCs w:val="22"/>
              </w:rPr>
              <w:t>   </w:t>
            </w:r>
          </w:p>
        </w:tc>
        <w:tc>
          <w:tcPr>
            <w:tcW w:w="2205" w:type="dxa"/>
            <w:tcBorders>
              <w:top w:val="single" w:sz="6" w:space="0" w:color="FFFFFF"/>
              <w:left w:val="single" w:sz="6" w:space="0" w:color="FFFFFF"/>
              <w:bottom w:val="single" w:sz="6" w:space="0" w:color="FFFFFF"/>
              <w:right w:val="single" w:sz="6" w:space="0" w:color="FFFFFF"/>
            </w:tcBorders>
            <w:shd w:val="clear" w:color="auto" w:fill="CBDFF1"/>
            <w:hideMark/>
          </w:tcPr>
          <w:p w14:paraId="6FE46837" w14:textId="77777777" w:rsidR="00DE4223" w:rsidRPr="00DE4223" w:rsidRDefault="00DE4223" w:rsidP="00DE4223">
            <w:pPr>
              <w:rPr>
                <w:rFonts w:cs="Arial"/>
                <w:sz w:val="22"/>
                <w:szCs w:val="22"/>
              </w:rPr>
            </w:pPr>
            <w:r w:rsidRPr="00DE4223">
              <w:rPr>
                <w:rFonts w:cs="Arial"/>
                <w:sz w:val="22"/>
                <w:szCs w:val="22"/>
              </w:rPr>
              <w:t>Minor (Averse)  </w:t>
            </w:r>
          </w:p>
        </w:tc>
        <w:tc>
          <w:tcPr>
            <w:tcW w:w="2370" w:type="dxa"/>
            <w:tcBorders>
              <w:top w:val="single" w:sz="6" w:space="0" w:color="FFFFFF"/>
              <w:left w:val="single" w:sz="6" w:space="0" w:color="FFFFFF"/>
              <w:bottom w:val="single" w:sz="6" w:space="0" w:color="FFFFFF"/>
              <w:right w:val="single" w:sz="12" w:space="0" w:color="auto"/>
            </w:tcBorders>
            <w:shd w:val="clear" w:color="auto" w:fill="CBDFF1"/>
            <w:hideMark/>
          </w:tcPr>
          <w:p w14:paraId="287F000A" w14:textId="77777777" w:rsidR="00DE4223" w:rsidRPr="00DE4223" w:rsidRDefault="00DE4223" w:rsidP="00DE4223">
            <w:pPr>
              <w:rPr>
                <w:rFonts w:cs="Arial"/>
                <w:sz w:val="22"/>
                <w:szCs w:val="22"/>
              </w:rPr>
            </w:pPr>
            <w:r w:rsidRPr="00DE4223">
              <w:rPr>
                <w:rFonts w:cs="Arial"/>
                <w:sz w:val="22"/>
                <w:szCs w:val="22"/>
              </w:rPr>
              <w:t>Minor (Averse)  </w:t>
            </w:r>
          </w:p>
        </w:tc>
      </w:tr>
      <w:tr w:rsidR="00DE4223" w:rsidRPr="00DE4223" w14:paraId="1C509B8F" w14:textId="77777777">
        <w:trPr>
          <w:trHeight w:val="300"/>
        </w:trPr>
        <w:tc>
          <w:tcPr>
            <w:tcW w:w="1635" w:type="dxa"/>
            <w:tcBorders>
              <w:top w:val="single" w:sz="6" w:space="0" w:color="FFFFFF"/>
              <w:left w:val="single" w:sz="12" w:space="0" w:color="auto"/>
              <w:bottom w:val="single" w:sz="6" w:space="0" w:color="FFFFFF"/>
              <w:right w:val="single" w:sz="6" w:space="0" w:color="FFFFFF"/>
            </w:tcBorders>
            <w:shd w:val="clear" w:color="auto" w:fill="E7F0F8"/>
            <w:hideMark/>
          </w:tcPr>
          <w:p w14:paraId="1EA70F9D" w14:textId="77777777" w:rsidR="00DE4223" w:rsidRPr="00DE4223" w:rsidRDefault="00DE4223" w:rsidP="00DE4223">
            <w:pPr>
              <w:rPr>
                <w:rFonts w:cs="Arial"/>
                <w:sz w:val="22"/>
                <w:szCs w:val="22"/>
              </w:rPr>
            </w:pPr>
            <w:r w:rsidRPr="00DE4223">
              <w:rPr>
                <w:rFonts w:cs="Arial"/>
                <w:b/>
                <w:bCs/>
                <w:sz w:val="22"/>
                <w:szCs w:val="22"/>
              </w:rPr>
              <w:t>Operational</w:t>
            </w:r>
            <w:r w:rsidRPr="00DE4223">
              <w:rPr>
                <w:rFonts w:cs="Arial"/>
                <w:sz w:val="22"/>
                <w:szCs w:val="22"/>
              </w:rPr>
              <w:t>   </w:t>
            </w:r>
          </w:p>
        </w:tc>
        <w:tc>
          <w:tcPr>
            <w:tcW w:w="2205" w:type="dxa"/>
            <w:tcBorders>
              <w:top w:val="single" w:sz="6" w:space="0" w:color="FFFFFF"/>
              <w:left w:val="single" w:sz="6" w:space="0" w:color="FFFFFF"/>
              <w:bottom w:val="single" w:sz="6" w:space="0" w:color="FFFFFF"/>
              <w:right w:val="single" w:sz="6" w:space="0" w:color="FFFFFF"/>
            </w:tcBorders>
            <w:shd w:val="clear" w:color="auto" w:fill="E7F0F8"/>
            <w:hideMark/>
          </w:tcPr>
          <w:p w14:paraId="0A0ECBC9" w14:textId="77777777" w:rsidR="00DE4223" w:rsidRPr="00DE4223" w:rsidRDefault="00DE4223" w:rsidP="00DE4223">
            <w:pPr>
              <w:rPr>
                <w:rFonts w:cs="Arial"/>
                <w:sz w:val="22"/>
                <w:szCs w:val="22"/>
              </w:rPr>
            </w:pPr>
            <w:r w:rsidRPr="00DE4223">
              <w:rPr>
                <w:rFonts w:cs="Arial"/>
                <w:sz w:val="22"/>
                <w:szCs w:val="22"/>
              </w:rPr>
              <w:t>Minor (Averse)  </w:t>
            </w:r>
          </w:p>
        </w:tc>
        <w:tc>
          <w:tcPr>
            <w:tcW w:w="2370" w:type="dxa"/>
            <w:tcBorders>
              <w:top w:val="single" w:sz="6" w:space="0" w:color="FFFFFF"/>
              <w:left w:val="single" w:sz="6" w:space="0" w:color="FFFFFF"/>
              <w:bottom w:val="single" w:sz="6" w:space="0" w:color="FFFFFF"/>
              <w:right w:val="single" w:sz="12" w:space="0" w:color="auto"/>
            </w:tcBorders>
            <w:shd w:val="clear" w:color="auto" w:fill="E7F0F8"/>
            <w:hideMark/>
          </w:tcPr>
          <w:p w14:paraId="74AC9803" w14:textId="77777777" w:rsidR="00DE4223" w:rsidRPr="00DE4223" w:rsidRDefault="00DE4223" w:rsidP="00DE4223">
            <w:pPr>
              <w:rPr>
                <w:rFonts w:cs="Arial"/>
                <w:sz w:val="22"/>
                <w:szCs w:val="22"/>
              </w:rPr>
            </w:pPr>
            <w:r w:rsidRPr="00DE4223">
              <w:rPr>
                <w:rFonts w:cs="Arial"/>
                <w:sz w:val="22"/>
                <w:szCs w:val="22"/>
              </w:rPr>
              <w:t>Minor (Averse)  </w:t>
            </w:r>
          </w:p>
        </w:tc>
      </w:tr>
      <w:tr w:rsidR="00DE4223" w:rsidRPr="00DE4223" w14:paraId="5D56F8B7" w14:textId="77777777">
        <w:trPr>
          <w:trHeight w:val="300"/>
        </w:trPr>
        <w:tc>
          <w:tcPr>
            <w:tcW w:w="1635" w:type="dxa"/>
            <w:tcBorders>
              <w:top w:val="single" w:sz="6" w:space="0" w:color="FFFFFF"/>
              <w:left w:val="single" w:sz="12" w:space="0" w:color="auto"/>
              <w:bottom w:val="single" w:sz="12" w:space="0" w:color="auto"/>
              <w:right w:val="single" w:sz="6" w:space="0" w:color="FFFFFF"/>
            </w:tcBorders>
            <w:shd w:val="clear" w:color="auto" w:fill="E7F0F8"/>
            <w:hideMark/>
          </w:tcPr>
          <w:p w14:paraId="5B6C8926" w14:textId="77777777" w:rsidR="00DE4223" w:rsidRPr="00DE4223" w:rsidRDefault="00DE4223" w:rsidP="00DE4223">
            <w:pPr>
              <w:rPr>
                <w:rFonts w:cs="Arial"/>
                <w:sz w:val="22"/>
                <w:szCs w:val="22"/>
              </w:rPr>
            </w:pPr>
            <w:r w:rsidRPr="00DE4223">
              <w:rPr>
                <w:rFonts w:cs="Arial"/>
                <w:b/>
                <w:bCs/>
                <w:sz w:val="22"/>
                <w:szCs w:val="22"/>
              </w:rPr>
              <w:t>Balance sheet</w:t>
            </w:r>
            <w:r w:rsidRPr="00DE4223">
              <w:rPr>
                <w:rFonts w:cs="Arial"/>
                <w:sz w:val="22"/>
                <w:szCs w:val="22"/>
              </w:rPr>
              <w:t>   </w:t>
            </w:r>
          </w:p>
        </w:tc>
        <w:tc>
          <w:tcPr>
            <w:tcW w:w="2205" w:type="dxa"/>
            <w:tcBorders>
              <w:top w:val="single" w:sz="6" w:space="0" w:color="FFFFFF"/>
              <w:left w:val="single" w:sz="6" w:space="0" w:color="FFFFFF"/>
              <w:bottom w:val="single" w:sz="12" w:space="0" w:color="auto"/>
              <w:right w:val="single" w:sz="6" w:space="0" w:color="FFFFFF"/>
            </w:tcBorders>
            <w:shd w:val="clear" w:color="auto" w:fill="E7F0F8"/>
            <w:hideMark/>
          </w:tcPr>
          <w:p w14:paraId="6DD66C97" w14:textId="77777777" w:rsidR="00DE4223" w:rsidRPr="00DE4223" w:rsidRDefault="00DE4223" w:rsidP="00DE4223">
            <w:pPr>
              <w:rPr>
                <w:rFonts w:cs="Arial"/>
                <w:sz w:val="22"/>
                <w:szCs w:val="22"/>
              </w:rPr>
            </w:pPr>
            <w:r w:rsidRPr="00DE4223">
              <w:rPr>
                <w:rFonts w:cs="Arial"/>
                <w:sz w:val="22"/>
                <w:szCs w:val="22"/>
              </w:rPr>
              <w:t>Minor (Averse)  </w:t>
            </w:r>
          </w:p>
        </w:tc>
        <w:tc>
          <w:tcPr>
            <w:tcW w:w="2370" w:type="dxa"/>
            <w:tcBorders>
              <w:top w:val="single" w:sz="6" w:space="0" w:color="FFFFFF"/>
              <w:left w:val="single" w:sz="6" w:space="0" w:color="FFFFFF"/>
              <w:bottom w:val="single" w:sz="12" w:space="0" w:color="auto"/>
              <w:right w:val="single" w:sz="12" w:space="0" w:color="auto"/>
            </w:tcBorders>
            <w:shd w:val="clear" w:color="auto" w:fill="E7F0F8"/>
            <w:hideMark/>
          </w:tcPr>
          <w:p w14:paraId="5610CB60" w14:textId="77777777" w:rsidR="00DE4223" w:rsidRPr="00DE4223" w:rsidRDefault="00DE4223" w:rsidP="00DE4223">
            <w:pPr>
              <w:rPr>
                <w:rFonts w:cs="Arial"/>
                <w:sz w:val="22"/>
                <w:szCs w:val="22"/>
              </w:rPr>
            </w:pPr>
            <w:r w:rsidRPr="00DE4223">
              <w:rPr>
                <w:rFonts w:cs="Arial"/>
                <w:sz w:val="22"/>
                <w:szCs w:val="22"/>
              </w:rPr>
              <w:t>Moderate (Minimalist)  </w:t>
            </w:r>
          </w:p>
        </w:tc>
      </w:tr>
    </w:tbl>
    <w:p w14:paraId="6C907253" w14:textId="77777777" w:rsidR="00DE4223" w:rsidRPr="00DE4223" w:rsidRDefault="00DE4223" w:rsidP="00DE4223">
      <w:pPr>
        <w:rPr>
          <w:rFonts w:cs="Arial"/>
          <w:sz w:val="22"/>
          <w:szCs w:val="22"/>
        </w:rPr>
      </w:pPr>
      <w:r w:rsidRPr="00DE4223">
        <w:rPr>
          <w:rFonts w:cs="Arial"/>
          <w:sz w:val="22"/>
          <w:szCs w:val="22"/>
        </w:rPr>
        <w:t> </w:t>
      </w:r>
    </w:p>
    <w:p w14:paraId="7C7EBEED" w14:textId="77777777" w:rsidR="00DE4223" w:rsidRPr="00DE4223" w:rsidRDefault="00DE4223" w:rsidP="00DE4223">
      <w:pPr>
        <w:rPr>
          <w:rFonts w:cs="Arial"/>
          <w:sz w:val="22"/>
          <w:szCs w:val="22"/>
        </w:rPr>
      </w:pPr>
      <w:r w:rsidRPr="00DE4223">
        <w:rPr>
          <w:rFonts w:cs="Arial"/>
          <w:b/>
          <w:bCs/>
          <w:sz w:val="22"/>
          <w:szCs w:val="22"/>
        </w:rPr>
        <w:t>Probability and Impact</w:t>
      </w:r>
      <w:r w:rsidRPr="00DE4223">
        <w:rPr>
          <w:rFonts w:cs="Arial"/>
          <w:sz w:val="22"/>
          <w:szCs w:val="22"/>
        </w:rPr>
        <w:t> </w:t>
      </w:r>
    </w:p>
    <w:p w14:paraId="256F9624" w14:textId="7D24C46E" w:rsidR="00DE4223" w:rsidRPr="00DE4223" w:rsidRDefault="00DE4223" w:rsidP="00DE4223">
      <w:pPr>
        <w:rPr>
          <w:rFonts w:cs="Arial"/>
          <w:sz w:val="22"/>
          <w:szCs w:val="22"/>
        </w:rPr>
      </w:pPr>
      <w:r w:rsidRPr="00DE4223">
        <w:rPr>
          <w:rFonts w:cs="Arial"/>
          <w:noProof/>
          <w:sz w:val="22"/>
          <w:szCs w:val="22"/>
        </w:rPr>
        <w:drawing>
          <wp:inline distT="0" distB="0" distL="0" distR="0" wp14:anchorId="39762CBB" wp14:editId="19EEE71B">
            <wp:extent cx="4133850" cy="2076450"/>
            <wp:effectExtent l="0" t="0" r="0" b="0"/>
            <wp:docPr id="28551037" name="Picture 8" descr="A chart of major min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hart of major min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2076450"/>
                    </a:xfrm>
                    <a:prstGeom prst="rect">
                      <a:avLst/>
                    </a:prstGeom>
                    <a:noFill/>
                    <a:ln>
                      <a:noFill/>
                    </a:ln>
                  </pic:spPr>
                </pic:pic>
              </a:graphicData>
            </a:graphic>
          </wp:inline>
        </w:drawing>
      </w:r>
      <w:r w:rsidRPr="00DE4223">
        <w:rPr>
          <w:rFonts w:cs="Arial"/>
          <w:sz w:val="22"/>
          <w:szCs w:val="22"/>
        </w:rPr>
        <w:t> </w:t>
      </w:r>
    </w:p>
    <w:p w14:paraId="44DFA949" w14:textId="66050F19" w:rsidR="00996637" w:rsidRDefault="00DE4223" w:rsidP="00DE4223">
      <w:pPr>
        <w:rPr>
          <w:rFonts w:cs="Arial"/>
          <w:sz w:val="22"/>
          <w:szCs w:val="22"/>
        </w:rPr>
      </w:pPr>
      <w:r w:rsidRPr="00DE4223">
        <w:rPr>
          <w:rFonts w:cs="Arial"/>
          <w:sz w:val="22"/>
          <w:szCs w:val="22"/>
        </w:rPr>
        <w:t> </w:t>
      </w:r>
    </w:p>
    <w:p w14:paraId="6B21186F" w14:textId="77777777" w:rsidR="00996637" w:rsidRDefault="00996637">
      <w:pPr>
        <w:rPr>
          <w:rFonts w:cs="Arial"/>
          <w:sz w:val="22"/>
          <w:szCs w:val="22"/>
        </w:rPr>
      </w:pPr>
      <w:r>
        <w:rPr>
          <w:rFonts w:cs="Arial"/>
          <w:sz w:val="22"/>
          <w:szCs w:val="22"/>
        </w:rPr>
        <w:br w:type="page"/>
      </w:r>
    </w:p>
    <w:p w14:paraId="5DF97E66" w14:textId="67CD4211" w:rsidR="00996637" w:rsidRPr="004271B5" w:rsidRDefault="00996637" w:rsidP="00996637">
      <w:pPr>
        <w:pStyle w:val="paragraph"/>
        <w:spacing w:before="0" w:beforeAutospacing="0" w:after="0" w:afterAutospacing="0"/>
        <w:textAlignment w:val="baseline"/>
        <w:rPr>
          <w:rFonts w:ascii="Segoe UI" w:hAnsi="Segoe UI" w:cs="Segoe UI"/>
          <w:b/>
          <w:bCs/>
          <w:sz w:val="16"/>
          <w:szCs w:val="16"/>
          <w:u w:val="single"/>
        </w:rPr>
      </w:pPr>
      <w:r w:rsidRPr="004271B5">
        <w:rPr>
          <w:rStyle w:val="normaltextrun"/>
          <w:rFonts w:ascii="Arial" w:hAnsi="Arial" w:cs="Arial"/>
          <w:b/>
          <w:bCs/>
          <w:u w:val="single"/>
        </w:rPr>
        <w:lastRenderedPageBreak/>
        <w:t>Annex G: Public Sector Equality Duty</w:t>
      </w:r>
      <w:r w:rsidRPr="004271B5">
        <w:rPr>
          <w:rStyle w:val="eop"/>
          <w:rFonts w:ascii="Arial" w:hAnsi="Arial" w:cs="Arial"/>
          <w:b/>
          <w:bCs/>
          <w:u w:val="single"/>
        </w:rPr>
        <w:t xml:space="preserve"> Impact Assessment </w:t>
      </w:r>
    </w:p>
    <w:p w14:paraId="4773054B"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32"/>
          <w:szCs w:val="32"/>
        </w:rPr>
        <w:t> </w:t>
      </w:r>
    </w:p>
    <w:p w14:paraId="229ED9DA"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normaltextrun"/>
          <w:rFonts w:ascii="Arial" w:hAnsi="Arial" w:cs="Arial"/>
          <w:color w:val="55565A"/>
          <w:sz w:val="32"/>
          <w:szCs w:val="32"/>
        </w:rPr>
        <w:t>Equality analysis for:</w:t>
      </w:r>
      <w:r>
        <w:rPr>
          <w:rStyle w:val="eop"/>
          <w:rFonts w:ascii="Arial" w:hAnsi="Arial" w:cs="Arial"/>
          <w:color w:val="55565A"/>
          <w:sz w:val="32"/>
          <w:szCs w:val="32"/>
        </w:rPr>
        <w:t> </w:t>
      </w:r>
    </w:p>
    <w:p w14:paraId="43183E3C"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normaltextrun"/>
          <w:rFonts w:ascii="Arial" w:hAnsi="Arial" w:cs="Arial"/>
          <w:color w:val="55565A"/>
          <w:sz w:val="32"/>
          <w:szCs w:val="32"/>
        </w:rPr>
        <w:t>Accelerating Innovative Monitoring for Forests (AIM4Forests) Extension</w:t>
      </w:r>
      <w:r>
        <w:rPr>
          <w:rStyle w:val="eop"/>
          <w:rFonts w:ascii="Arial" w:hAnsi="Arial" w:cs="Arial"/>
          <w:color w:val="55565A"/>
          <w:sz w:val="32"/>
          <w:szCs w:val="32"/>
        </w:rPr>
        <w:t> </w:t>
      </w:r>
    </w:p>
    <w:p w14:paraId="14186CED"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EE751B"/>
          <w:sz w:val="26"/>
          <w:szCs w:val="26"/>
        </w:rPr>
        <w:t> </w:t>
      </w:r>
    </w:p>
    <w:p w14:paraId="08176D82"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normaltextrun"/>
          <w:rFonts w:ascii="Arial" w:hAnsi="Arial" w:cs="Arial"/>
          <w:color w:val="55565A"/>
          <w:sz w:val="22"/>
          <w:szCs w:val="22"/>
        </w:rPr>
        <w:t>This analysis is designed to consider the requirements of the Public Sector Equality Duty (the equality duty) as set out in section 149 of the Equality Act 2010, to pay due regard to the need to:</w:t>
      </w:r>
      <w:r>
        <w:rPr>
          <w:rStyle w:val="eop"/>
          <w:rFonts w:ascii="Arial" w:hAnsi="Arial" w:cs="Arial"/>
          <w:color w:val="55565A"/>
          <w:sz w:val="22"/>
          <w:szCs w:val="22"/>
        </w:rPr>
        <w:t> </w:t>
      </w:r>
    </w:p>
    <w:p w14:paraId="05D0CA8E"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22"/>
          <w:szCs w:val="22"/>
        </w:rPr>
        <w:t> </w:t>
      </w:r>
    </w:p>
    <w:p w14:paraId="35F75126" w14:textId="77777777" w:rsidR="00996637" w:rsidRDefault="00996637" w:rsidP="00996637">
      <w:pPr>
        <w:pStyle w:val="paragraph"/>
        <w:spacing w:before="0" w:beforeAutospacing="0" w:after="0" w:afterAutospacing="0"/>
        <w:ind w:left="225" w:hanging="225"/>
        <w:textAlignment w:val="baseline"/>
        <w:rPr>
          <w:rFonts w:ascii="Segoe UI" w:hAnsi="Segoe UI" w:cs="Segoe UI"/>
          <w:color w:val="001423"/>
          <w:sz w:val="18"/>
          <w:szCs w:val="18"/>
        </w:rPr>
      </w:pPr>
      <w:r>
        <w:rPr>
          <w:rStyle w:val="normaltextrun"/>
          <w:rFonts w:ascii="Arial" w:hAnsi="Arial" w:cs="Arial"/>
          <w:color w:val="55565A"/>
          <w:sz w:val="22"/>
          <w:szCs w:val="22"/>
        </w:rPr>
        <w:t>1.</w:t>
      </w:r>
      <w:r>
        <w:rPr>
          <w:rStyle w:val="tabchar"/>
          <w:rFonts w:ascii="Calibri" w:hAnsi="Calibri" w:cs="Calibri"/>
          <w:color w:val="55565A"/>
          <w:sz w:val="22"/>
          <w:szCs w:val="22"/>
        </w:rPr>
        <w:tab/>
      </w:r>
      <w:r>
        <w:rPr>
          <w:rStyle w:val="normaltextrun"/>
          <w:rFonts w:ascii="Arial" w:hAnsi="Arial" w:cs="Arial"/>
          <w:color w:val="55565A"/>
          <w:sz w:val="22"/>
          <w:szCs w:val="22"/>
        </w:rPr>
        <w:t>eliminate unlawful discrimination, harassment and victimisation and other conduct prohibited by the Act</w:t>
      </w:r>
      <w:r>
        <w:rPr>
          <w:rStyle w:val="eop"/>
          <w:rFonts w:ascii="Arial" w:hAnsi="Arial" w:cs="Arial"/>
          <w:color w:val="55565A"/>
          <w:sz w:val="22"/>
          <w:szCs w:val="22"/>
        </w:rPr>
        <w:t> </w:t>
      </w:r>
    </w:p>
    <w:p w14:paraId="6BF0F50B" w14:textId="77777777" w:rsidR="00996637" w:rsidRDefault="00996637" w:rsidP="00996637">
      <w:pPr>
        <w:pStyle w:val="paragraph"/>
        <w:spacing w:before="0" w:beforeAutospacing="0" w:after="0" w:afterAutospacing="0"/>
        <w:ind w:left="225" w:hanging="225"/>
        <w:textAlignment w:val="baseline"/>
        <w:rPr>
          <w:rFonts w:ascii="Segoe UI" w:hAnsi="Segoe UI" w:cs="Segoe UI"/>
          <w:color w:val="001423"/>
          <w:sz w:val="18"/>
          <w:szCs w:val="18"/>
        </w:rPr>
      </w:pPr>
      <w:r>
        <w:rPr>
          <w:rStyle w:val="normaltextrun"/>
          <w:rFonts w:ascii="Arial" w:hAnsi="Arial" w:cs="Arial"/>
          <w:color w:val="55565A"/>
          <w:sz w:val="22"/>
          <w:szCs w:val="22"/>
        </w:rPr>
        <w:t>2.</w:t>
      </w:r>
      <w:r>
        <w:rPr>
          <w:rStyle w:val="tabchar"/>
          <w:rFonts w:ascii="Calibri" w:hAnsi="Calibri" w:cs="Calibri"/>
          <w:color w:val="55565A"/>
          <w:sz w:val="22"/>
          <w:szCs w:val="22"/>
        </w:rPr>
        <w:tab/>
      </w:r>
      <w:r>
        <w:rPr>
          <w:rStyle w:val="normaltextrun"/>
          <w:rFonts w:ascii="Arial" w:hAnsi="Arial" w:cs="Arial"/>
          <w:color w:val="55565A"/>
          <w:sz w:val="22"/>
          <w:szCs w:val="22"/>
        </w:rPr>
        <w:t>advance equality of opportunity between people who share a protected characteristic and those who do not</w:t>
      </w:r>
      <w:r>
        <w:rPr>
          <w:rStyle w:val="eop"/>
          <w:rFonts w:ascii="Arial" w:hAnsi="Arial" w:cs="Arial"/>
          <w:color w:val="55565A"/>
          <w:sz w:val="22"/>
          <w:szCs w:val="22"/>
        </w:rPr>
        <w:t> </w:t>
      </w:r>
    </w:p>
    <w:p w14:paraId="15F5A9D3" w14:textId="77777777" w:rsidR="00996637" w:rsidRDefault="00996637" w:rsidP="00996637">
      <w:pPr>
        <w:pStyle w:val="paragraph"/>
        <w:spacing w:before="0" w:beforeAutospacing="0" w:after="0" w:afterAutospacing="0"/>
        <w:ind w:left="225" w:hanging="225"/>
        <w:textAlignment w:val="baseline"/>
        <w:rPr>
          <w:rFonts w:ascii="Segoe UI" w:hAnsi="Segoe UI" w:cs="Segoe UI"/>
          <w:color w:val="001423"/>
          <w:sz w:val="18"/>
          <w:szCs w:val="18"/>
        </w:rPr>
      </w:pPr>
      <w:r>
        <w:rPr>
          <w:rStyle w:val="normaltextrun"/>
          <w:rFonts w:ascii="Arial" w:hAnsi="Arial" w:cs="Arial"/>
          <w:color w:val="55565A"/>
          <w:sz w:val="22"/>
          <w:szCs w:val="22"/>
        </w:rPr>
        <w:t>3.</w:t>
      </w:r>
      <w:r>
        <w:rPr>
          <w:rStyle w:val="tabchar"/>
          <w:rFonts w:ascii="Calibri" w:hAnsi="Calibri" w:cs="Calibri"/>
          <w:color w:val="55565A"/>
          <w:sz w:val="22"/>
          <w:szCs w:val="22"/>
        </w:rPr>
        <w:tab/>
      </w:r>
      <w:r>
        <w:rPr>
          <w:rStyle w:val="normaltextrun"/>
          <w:rFonts w:ascii="Arial" w:hAnsi="Arial" w:cs="Arial"/>
          <w:color w:val="55565A"/>
          <w:sz w:val="22"/>
          <w:szCs w:val="22"/>
        </w:rPr>
        <w:t>foster good relations between people who share a protected characteristic and those who do not</w:t>
      </w:r>
      <w:r>
        <w:rPr>
          <w:rStyle w:val="eop"/>
          <w:rFonts w:ascii="Arial" w:hAnsi="Arial" w:cs="Arial"/>
          <w:color w:val="55565A"/>
          <w:sz w:val="22"/>
          <w:szCs w:val="22"/>
        </w:rPr>
        <w:t> </w:t>
      </w:r>
    </w:p>
    <w:p w14:paraId="0C80BCD3"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22"/>
          <w:szCs w:val="22"/>
        </w:rPr>
        <w:t> </w:t>
      </w:r>
    </w:p>
    <w:p w14:paraId="41D8B4D5"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normaltextrun"/>
          <w:rFonts w:ascii="Arial" w:hAnsi="Arial" w:cs="Arial"/>
          <w:color w:val="55565A"/>
          <w:sz w:val="22"/>
          <w:szCs w:val="22"/>
        </w:rPr>
        <w:t>The protected characteristics which should be considered are:</w:t>
      </w:r>
      <w:r>
        <w:rPr>
          <w:rStyle w:val="eop"/>
          <w:rFonts w:ascii="Arial" w:hAnsi="Arial" w:cs="Arial"/>
          <w:color w:val="55565A"/>
          <w:sz w:val="22"/>
          <w:szCs w:val="22"/>
        </w:rPr>
        <w:t> </w:t>
      </w:r>
    </w:p>
    <w:p w14:paraId="319E227A"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22"/>
          <w:szCs w:val="22"/>
        </w:rPr>
        <w:t> </w:t>
      </w:r>
    </w:p>
    <w:p w14:paraId="1A9D66A8" w14:textId="77777777" w:rsidR="00996637" w:rsidRDefault="00996637" w:rsidP="00996637">
      <w:pPr>
        <w:pStyle w:val="paragraph"/>
        <w:numPr>
          <w:ilvl w:val="0"/>
          <w:numId w:val="143"/>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55565A"/>
          <w:sz w:val="22"/>
          <w:szCs w:val="22"/>
        </w:rPr>
        <w:t>age</w:t>
      </w:r>
      <w:r>
        <w:rPr>
          <w:rStyle w:val="eop"/>
          <w:rFonts w:ascii="Arial" w:hAnsi="Arial" w:cs="Arial"/>
          <w:color w:val="55565A"/>
          <w:sz w:val="22"/>
          <w:szCs w:val="22"/>
        </w:rPr>
        <w:t> </w:t>
      </w:r>
    </w:p>
    <w:p w14:paraId="237807AF" w14:textId="77777777" w:rsidR="00996637" w:rsidRDefault="00996637" w:rsidP="00996637">
      <w:pPr>
        <w:pStyle w:val="paragraph"/>
        <w:numPr>
          <w:ilvl w:val="0"/>
          <w:numId w:val="14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55565A"/>
          <w:sz w:val="22"/>
          <w:szCs w:val="22"/>
        </w:rPr>
        <w:t>disability</w:t>
      </w:r>
      <w:r>
        <w:rPr>
          <w:rStyle w:val="eop"/>
          <w:rFonts w:ascii="Arial" w:hAnsi="Arial" w:cs="Arial"/>
          <w:color w:val="55565A"/>
          <w:sz w:val="22"/>
          <w:szCs w:val="22"/>
        </w:rPr>
        <w:t> </w:t>
      </w:r>
    </w:p>
    <w:p w14:paraId="4ECB9772" w14:textId="77777777" w:rsidR="00996637" w:rsidRDefault="00996637" w:rsidP="00996637">
      <w:pPr>
        <w:pStyle w:val="paragraph"/>
        <w:numPr>
          <w:ilvl w:val="0"/>
          <w:numId w:val="14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55565A"/>
          <w:sz w:val="22"/>
          <w:szCs w:val="22"/>
        </w:rPr>
        <w:t>gender reassignment</w:t>
      </w:r>
      <w:r>
        <w:rPr>
          <w:rStyle w:val="eop"/>
          <w:rFonts w:ascii="Arial" w:hAnsi="Arial" w:cs="Arial"/>
          <w:color w:val="55565A"/>
          <w:sz w:val="22"/>
          <w:szCs w:val="22"/>
        </w:rPr>
        <w:t> </w:t>
      </w:r>
    </w:p>
    <w:p w14:paraId="737DC634" w14:textId="77777777" w:rsidR="00996637" w:rsidRDefault="00996637" w:rsidP="00996637">
      <w:pPr>
        <w:pStyle w:val="paragraph"/>
        <w:numPr>
          <w:ilvl w:val="0"/>
          <w:numId w:val="14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55565A"/>
          <w:sz w:val="22"/>
          <w:szCs w:val="22"/>
        </w:rPr>
        <w:t>marriage or civil partnership</w:t>
      </w:r>
      <w:r>
        <w:rPr>
          <w:rStyle w:val="eop"/>
          <w:rFonts w:ascii="Arial" w:hAnsi="Arial" w:cs="Arial"/>
          <w:color w:val="55565A"/>
          <w:sz w:val="22"/>
          <w:szCs w:val="22"/>
        </w:rPr>
        <w:t> </w:t>
      </w:r>
    </w:p>
    <w:p w14:paraId="3B29B845" w14:textId="77777777" w:rsidR="00996637" w:rsidRDefault="00996637" w:rsidP="00996637">
      <w:pPr>
        <w:pStyle w:val="paragraph"/>
        <w:numPr>
          <w:ilvl w:val="0"/>
          <w:numId w:val="14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55565A"/>
          <w:sz w:val="22"/>
          <w:szCs w:val="22"/>
        </w:rPr>
        <w:t>pregnancy and maternity</w:t>
      </w:r>
      <w:r>
        <w:rPr>
          <w:rStyle w:val="eop"/>
          <w:rFonts w:ascii="Arial" w:hAnsi="Arial" w:cs="Arial"/>
          <w:color w:val="55565A"/>
          <w:sz w:val="22"/>
          <w:szCs w:val="22"/>
        </w:rPr>
        <w:t> </w:t>
      </w:r>
    </w:p>
    <w:p w14:paraId="4A8F00D0" w14:textId="77777777" w:rsidR="00996637" w:rsidRDefault="00996637" w:rsidP="00996637">
      <w:pPr>
        <w:pStyle w:val="paragraph"/>
        <w:numPr>
          <w:ilvl w:val="0"/>
          <w:numId w:val="14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55565A"/>
          <w:sz w:val="22"/>
          <w:szCs w:val="22"/>
        </w:rPr>
        <w:t>race</w:t>
      </w:r>
      <w:r>
        <w:rPr>
          <w:rStyle w:val="eop"/>
          <w:rFonts w:ascii="Arial" w:hAnsi="Arial" w:cs="Arial"/>
          <w:color w:val="55565A"/>
          <w:sz w:val="22"/>
          <w:szCs w:val="22"/>
        </w:rPr>
        <w:t> </w:t>
      </w:r>
    </w:p>
    <w:p w14:paraId="6B1F0BEB" w14:textId="77777777" w:rsidR="00996637" w:rsidRDefault="00996637" w:rsidP="00996637">
      <w:pPr>
        <w:pStyle w:val="paragraph"/>
        <w:numPr>
          <w:ilvl w:val="0"/>
          <w:numId w:val="14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55565A"/>
          <w:sz w:val="22"/>
          <w:szCs w:val="22"/>
        </w:rPr>
        <w:t>religion or belief</w:t>
      </w:r>
      <w:r>
        <w:rPr>
          <w:rStyle w:val="eop"/>
          <w:rFonts w:ascii="Arial" w:hAnsi="Arial" w:cs="Arial"/>
          <w:color w:val="55565A"/>
          <w:sz w:val="22"/>
          <w:szCs w:val="22"/>
        </w:rPr>
        <w:t> </w:t>
      </w:r>
    </w:p>
    <w:p w14:paraId="211926D7" w14:textId="77777777" w:rsidR="00996637" w:rsidRDefault="00996637" w:rsidP="00996637">
      <w:pPr>
        <w:pStyle w:val="paragraph"/>
        <w:numPr>
          <w:ilvl w:val="0"/>
          <w:numId w:val="15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55565A"/>
          <w:sz w:val="22"/>
          <w:szCs w:val="22"/>
        </w:rPr>
        <w:t>sex</w:t>
      </w:r>
      <w:r>
        <w:rPr>
          <w:rStyle w:val="eop"/>
          <w:rFonts w:ascii="Arial" w:hAnsi="Arial" w:cs="Arial"/>
          <w:color w:val="55565A"/>
          <w:sz w:val="22"/>
          <w:szCs w:val="22"/>
        </w:rPr>
        <w:t> </w:t>
      </w:r>
    </w:p>
    <w:p w14:paraId="5CF3D24E" w14:textId="77777777" w:rsidR="00996637" w:rsidRDefault="00996637" w:rsidP="00996637">
      <w:pPr>
        <w:pStyle w:val="paragraph"/>
        <w:numPr>
          <w:ilvl w:val="0"/>
          <w:numId w:val="15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55565A"/>
          <w:sz w:val="22"/>
          <w:szCs w:val="22"/>
        </w:rPr>
        <w:t>sexual orientation.</w:t>
      </w:r>
      <w:r>
        <w:rPr>
          <w:rStyle w:val="eop"/>
          <w:rFonts w:ascii="Arial" w:hAnsi="Arial" w:cs="Arial"/>
          <w:color w:val="55565A"/>
          <w:sz w:val="22"/>
          <w:szCs w:val="22"/>
        </w:rPr>
        <w:t> </w:t>
      </w:r>
    </w:p>
    <w:p w14:paraId="10D7F020"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22"/>
          <w:szCs w:val="22"/>
        </w:rPr>
        <w:t> </w:t>
      </w:r>
    </w:p>
    <w:p w14:paraId="4723C3C8"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normaltextrun"/>
          <w:rFonts w:ascii="Arial" w:hAnsi="Arial" w:cs="Arial"/>
          <w:color w:val="55565A"/>
          <w:sz w:val="22"/>
          <w:szCs w:val="22"/>
        </w:rPr>
        <w:t>Please note that in relation to the protected characteristic of marriage and civil partnerships the department is required to have due regard only to point 1.</w:t>
      </w:r>
      <w:r>
        <w:rPr>
          <w:rStyle w:val="eop"/>
          <w:rFonts w:ascii="Arial" w:hAnsi="Arial" w:cs="Arial"/>
          <w:color w:val="55565A"/>
          <w:sz w:val="22"/>
          <w:szCs w:val="22"/>
        </w:rPr>
        <w:t> </w:t>
      </w:r>
    </w:p>
    <w:p w14:paraId="421AA66C"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22"/>
          <w:szCs w:val="22"/>
        </w:rPr>
        <w:t> </w:t>
      </w:r>
    </w:p>
    <w:p w14:paraId="136F641D"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proofErr w:type="gramStart"/>
      <w:r>
        <w:rPr>
          <w:rStyle w:val="normaltextrun"/>
          <w:rFonts w:ascii="Arial" w:hAnsi="Arial" w:cs="Arial"/>
          <w:color w:val="55565A"/>
          <w:sz w:val="22"/>
          <w:szCs w:val="22"/>
        </w:rPr>
        <w:t>Taking into account</w:t>
      </w:r>
      <w:proofErr w:type="gramEnd"/>
      <w:r>
        <w:rPr>
          <w:rStyle w:val="normaltextrun"/>
          <w:rFonts w:ascii="Arial" w:hAnsi="Arial" w:cs="Arial"/>
          <w:color w:val="55565A"/>
          <w:sz w:val="22"/>
          <w:szCs w:val="22"/>
        </w:rPr>
        <w:t xml:space="preserve"> the most recent caselaw (</w:t>
      </w:r>
      <w:proofErr w:type="spellStart"/>
      <w:r>
        <w:rPr>
          <w:rStyle w:val="normaltextrun"/>
          <w:rFonts w:ascii="Arial" w:hAnsi="Arial" w:cs="Arial"/>
          <w:color w:val="55565A"/>
          <w:sz w:val="22"/>
          <w:szCs w:val="22"/>
        </w:rPr>
        <w:t>Turani</w:t>
      </w:r>
      <w:proofErr w:type="spellEnd"/>
      <w:r>
        <w:rPr>
          <w:rStyle w:val="normaltextrun"/>
          <w:rFonts w:ascii="Arial" w:hAnsi="Arial" w:cs="Arial"/>
          <w:color w:val="55565A"/>
          <w:sz w:val="22"/>
          <w:szCs w:val="22"/>
        </w:rPr>
        <w:t> v Home Office [2021]) concerning the extra-territorial application of the Public Sector Equality Duty under s.149(1)(b) and (c) of the Equality Act 2010, it is not necessary for the Secretary of State to have regard to this duty in this business case. These provisions, were they to apply, would require the Secretary of State to have due regard for advancement of equality of opportunity and fostering good relations between those who share protected characteristics and those who do not. In the above-mentioned case the Court of Appeal held that </w:t>
      </w:r>
      <w:proofErr w:type="gramStart"/>
      <w:r>
        <w:rPr>
          <w:rStyle w:val="normaltextrun"/>
          <w:rFonts w:ascii="Arial" w:hAnsi="Arial" w:cs="Arial"/>
          <w:color w:val="55565A"/>
          <w:sz w:val="22"/>
          <w:szCs w:val="22"/>
        </w:rPr>
        <w:t>in order for</w:t>
      </w:r>
      <w:proofErr w:type="gramEnd"/>
      <w:r>
        <w:rPr>
          <w:rStyle w:val="normaltextrun"/>
          <w:rFonts w:ascii="Arial" w:hAnsi="Arial" w:cs="Arial"/>
          <w:color w:val="55565A"/>
          <w:sz w:val="22"/>
          <w:szCs w:val="22"/>
        </w:rPr>
        <w:t> those provisions to be engaged extra territorially, individuals affected by the policy would need to have an exceptional connection with the UK beyond simply a wish to benefit from that policy. We do not consider that this threshold is likely to be met in this case. </w:t>
      </w:r>
      <w:r>
        <w:rPr>
          <w:rStyle w:val="eop"/>
          <w:rFonts w:ascii="Arial" w:hAnsi="Arial" w:cs="Arial"/>
          <w:color w:val="55565A"/>
          <w:sz w:val="22"/>
          <w:szCs w:val="22"/>
        </w:rPr>
        <w:t> </w:t>
      </w:r>
    </w:p>
    <w:p w14:paraId="33606F13"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22"/>
          <w:szCs w:val="22"/>
        </w:rPr>
        <w:t> </w:t>
      </w:r>
    </w:p>
    <w:p w14:paraId="1591EAC5"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normaltextrun"/>
          <w:rFonts w:ascii="Arial" w:hAnsi="Arial" w:cs="Arial"/>
          <w:color w:val="55565A"/>
          <w:sz w:val="22"/>
          <w:szCs w:val="22"/>
        </w:rPr>
        <w:t>The remaining element of the Public Sector Equality Duty – the requirement under s.149(1)(a) to have regard to the need to eliminate conduct prohibited under the 2010 Act – is not relevant in this case as the relevant prohibitions in the 2010 Act do not apply extra-territorially.</w:t>
      </w:r>
      <w:r>
        <w:rPr>
          <w:rStyle w:val="eop"/>
          <w:rFonts w:ascii="Arial" w:hAnsi="Arial" w:cs="Arial"/>
          <w:color w:val="55565A"/>
          <w:sz w:val="22"/>
          <w:szCs w:val="22"/>
        </w:rPr>
        <w:t> </w:t>
      </w:r>
    </w:p>
    <w:p w14:paraId="19E84A41"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22"/>
          <w:szCs w:val="22"/>
        </w:rPr>
        <w:t> </w:t>
      </w:r>
    </w:p>
    <w:p w14:paraId="7F756C69"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normaltextrun"/>
          <w:rFonts w:ascii="Arial" w:hAnsi="Arial" w:cs="Arial"/>
          <w:color w:val="55565A"/>
          <w:sz w:val="22"/>
          <w:szCs w:val="22"/>
        </w:rPr>
        <w:t>Even though it may not be necessary to carry out a statutory PSED assessment, as noted above, the Minister is required by section 1(1A) of the International Development Act 2002 to have regard to gender considerations in relation to ODA decisions.   Please also note that </w:t>
      </w:r>
      <w:r>
        <w:rPr>
          <w:rStyle w:val="normaltextrun"/>
          <w:rFonts w:ascii="Arial" w:hAnsi="Arial" w:cs="Arial"/>
          <w:i/>
          <w:iCs/>
          <w:color w:val="55565A"/>
          <w:sz w:val="22"/>
          <w:szCs w:val="22"/>
        </w:rPr>
        <w:t>gender</w:t>
      </w:r>
      <w:r>
        <w:rPr>
          <w:rStyle w:val="normaltextrun"/>
          <w:rFonts w:ascii="Arial" w:hAnsi="Arial" w:cs="Arial"/>
          <w:color w:val="55565A"/>
          <w:sz w:val="22"/>
          <w:szCs w:val="22"/>
        </w:rPr>
        <w:t> equality, although not listed as a protected characteristic for the purposes of PSED, is of particular interest to the DESNZ ICF Portfolio. The </w:t>
      </w:r>
      <w:hyperlink r:id="rId18" w:tgtFrame="_blank" w:history="1">
        <w:r>
          <w:rPr>
            <w:rStyle w:val="normaltextrun"/>
            <w:rFonts w:ascii="Arial" w:hAnsi="Arial" w:cs="Arial"/>
            <w:color w:val="0563C1"/>
            <w:sz w:val="22"/>
            <w:szCs w:val="22"/>
            <w:u w:val="single"/>
          </w:rPr>
          <w:t>full DESNZ Gender Guidance document</w:t>
        </w:r>
      </w:hyperlink>
      <w:r>
        <w:rPr>
          <w:rStyle w:val="normaltextrun"/>
          <w:rFonts w:ascii="Arial" w:hAnsi="Arial" w:cs="Arial"/>
          <w:color w:val="55565A"/>
          <w:sz w:val="22"/>
          <w:szCs w:val="22"/>
        </w:rPr>
        <w:t> will be used to ensure gender mainstreaming is considered at every stage of the programme cycle. </w:t>
      </w:r>
      <w:r>
        <w:rPr>
          <w:rStyle w:val="eop"/>
          <w:rFonts w:ascii="Arial" w:hAnsi="Arial" w:cs="Arial"/>
          <w:color w:val="55565A"/>
          <w:sz w:val="22"/>
          <w:szCs w:val="22"/>
        </w:rPr>
        <w:t> </w:t>
      </w:r>
    </w:p>
    <w:p w14:paraId="56CCFF50"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22"/>
          <w:szCs w:val="22"/>
        </w:rPr>
        <w:t> </w:t>
      </w:r>
    </w:p>
    <w:p w14:paraId="116B93FB"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normaltextrun"/>
          <w:rFonts w:ascii="Arial" w:hAnsi="Arial" w:cs="Arial"/>
          <w:color w:val="55565A"/>
          <w:sz w:val="22"/>
          <w:szCs w:val="22"/>
        </w:rPr>
        <w:t xml:space="preserve">Women and girls in developing countries are often more vulnerable than men and boys to the impacts of climate change and have less opportunity to effect change due to pre-existing gender inequalities regarding political leadership, access to information and resources, and mobility </w:t>
      </w:r>
      <w:r>
        <w:rPr>
          <w:rStyle w:val="normaltextrun"/>
          <w:rFonts w:ascii="Arial" w:hAnsi="Arial" w:cs="Arial"/>
          <w:color w:val="55565A"/>
          <w:sz w:val="22"/>
          <w:szCs w:val="22"/>
        </w:rPr>
        <w:lastRenderedPageBreak/>
        <w:t>and voice. As mentioned, the International Development (Gender Equality) Act 2014 makes consideration of gender equality a legal requirement before the provision of any UK development and humanitarian spend. The UK Aid Strategy 2015 makes a commitment to prioritise the needs for women and girls throughout all its development spending. For more information, please see the DESNZ ICF Gender Strategy. </w:t>
      </w:r>
      <w:r>
        <w:rPr>
          <w:rStyle w:val="eop"/>
          <w:rFonts w:ascii="Arial" w:hAnsi="Arial" w:cs="Arial"/>
          <w:color w:val="55565A"/>
          <w:sz w:val="22"/>
          <w:szCs w:val="22"/>
        </w:rPr>
        <w:t> </w:t>
      </w:r>
    </w:p>
    <w:p w14:paraId="6718B795" w14:textId="77777777" w:rsidR="00996637" w:rsidRDefault="00996637" w:rsidP="00996637">
      <w:pPr>
        <w:pStyle w:val="paragraph"/>
        <w:spacing w:before="0" w:beforeAutospacing="0" w:after="0" w:afterAutospacing="0"/>
        <w:textAlignment w:val="baseline"/>
        <w:rPr>
          <w:rFonts w:ascii="Segoe UI" w:hAnsi="Segoe UI" w:cs="Segoe UI"/>
          <w:color w:val="001423"/>
          <w:sz w:val="18"/>
          <w:szCs w:val="18"/>
        </w:rPr>
      </w:pPr>
      <w:r>
        <w:rPr>
          <w:rStyle w:val="eop"/>
          <w:rFonts w:ascii="Arial" w:hAnsi="Arial" w:cs="Arial"/>
          <w:color w:val="55565A"/>
          <w:sz w:val="22"/>
          <w:szCs w:val="22"/>
        </w:rPr>
        <w:t> </w:t>
      </w:r>
    </w:p>
    <w:p w14:paraId="6DA51BAC" w14:textId="2192D4DB" w:rsidR="00996637" w:rsidRDefault="00996637" w:rsidP="002F2831">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Arial" w:hAnsi="Arial" w:cs="Arial"/>
          <w:b/>
          <w:bCs/>
          <w:color w:val="EE751B"/>
          <w:sz w:val="26"/>
          <w:szCs w:val="26"/>
        </w:rPr>
        <w:t>1.</w:t>
      </w:r>
      <w:r>
        <w:rPr>
          <w:rStyle w:val="tabchar"/>
          <w:rFonts w:ascii="Calibri" w:hAnsi="Calibri" w:cs="Calibri"/>
          <w:color w:val="EE751B"/>
          <w:sz w:val="26"/>
          <w:szCs w:val="26"/>
        </w:rPr>
        <w:tab/>
      </w:r>
      <w:r>
        <w:rPr>
          <w:rStyle w:val="normaltextrun"/>
          <w:rFonts w:ascii="Arial" w:hAnsi="Arial" w:cs="Arial"/>
          <w:b/>
          <w:bCs/>
          <w:color w:val="EE751B"/>
          <w:sz w:val="26"/>
          <w:szCs w:val="26"/>
        </w:rPr>
        <w:t>Proposal</w:t>
      </w:r>
      <w:r>
        <w:rPr>
          <w:rStyle w:val="eop"/>
          <w:rFonts w:ascii="Arial" w:hAnsi="Arial" w:cs="Arial"/>
          <w:color w:val="EE751B"/>
          <w:sz w:val="26"/>
          <w:szCs w:val="26"/>
        </w:rPr>
        <w:t> </w:t>
      </w:r>
    </w:p>
    <w:p w14:paraId="722389B2" w14:textId="77777777" w:rsidR="00996637" w:rsidRDefault="00996637" w:rsidP="002F2831">
      <w:pPr>
        <w:pStyle w:val="paragraph"/>
        <w:shd w:val="clear" w:color="auto" w:fill="FFFFFF"/>
        <w:textAlignment w:val="baseline"/>
        <w:rPr>
          <w:rFonts w:ascii="Segoe UI" w:hAnsi="Segoe UI" w:cs="Segoe UI"/>
          <w:sz w:val="18"/>
          <w:szCs w:val="18"/>
        </w:rPr>
      </w:pPr>
      <w:r>
        <w:rPr>
          <w:rStyle w:val="normaltextrun"/>
          <w:rFonts w:ascii="Arial" w:hAnsi="Arial" w:cs="Arial"/>
          <w:sz w:val="22"/>
          <w:szCs w:val="22"/>
        </w:rPr>
        <w:t>The AIM for Forests programme will support forest countries to operationalise their forest monitoring and Measuring Reporting &amp; Verification (MRV) systems. It will achieve this through partnering with FAO, UN-REDD and GFOI. UK DESNZ endeavours to focus support to those countries with limited existing focus and/or coordination on MRV, but that have the interest and/or understanding needed to advance and implement activities. The AIM4Forests programme currently works with 19 developing forest countries, with the intention to outreach more through the extension.</w:t>
      </w:r>
      <w:r>
        <w:rPr>
          <w:rStyle w:val="eop"/>
          <w:rFonts w:ascii="Arial" w:hAnsi="Arial" w:cs="Arial"/>
          <w:sz w:val="22"/>
          <w:szCs w:val="22"/>
        </w:rPr>
        <w:t> </w:t>
      </w:r>
    </w:p>
    <w:p w14:paraId="6B98B580" w14:textId="2513B1B3" w:rsidR="00996637" w:rsidRDefault="00996637" w:rsidP="002F2831">
      <w:pPr>
        <w:pStyle w:val="paragraph"/>
        <w:shd w:val="clear" w:color="auto" w:fill="FFFFFF"/>
        <w:textAlignment w:val="baseline"/>
        <w:rPr>
          <w:rFonts w:ascii="Segoe UI" w:hAnsi="Segoe UI" w:cs="Segoe UI"/>
          <w:sz w:val="18"/>
          <w:szCs w:val="18"/>
        </w:rPr>
      </w:pPr>
      <w:r>
        <w:rPr>
          <w:rStyle w:val="normaltextrun"/>
          <w:rFonts w:ascii="Arial" w:hAnsi="Arial" w:cs="Arial"/>
          <w:sz w:val="22"/>
          <w:szCs w:val="22"/>
        </w:rPr>
        <w:t>The AIM4Forests programme demonstrates a meaningful commitment to equality by intentionally strengthening participation and capacity building among underrepresented and often marginalised communities (especially IPs and LCs and women and fostering youth leadership). It is expected that the AIM programme will have a positive impact on participating forest countries, forest monitoring staff, government officials, and will have long term benefits to the wider community living in forests who will benefit from improve systems for monitoring and managing forests.  </w:t>
      </w:r>
      <w:r>
        <w:rPr>
          <w:rStyle w:val="eop"/>
          <w:rFonts w:ascii="Arial" w:hAnsi="Arial" w:cs="Arial"/>
          <w:sz w:val="22"/>
          <w:szCs w:val="22"/>
        </w:rPr>
        <w:t> </w:t>
      </w:r>
    </w:p>
    <w:p w14:paraId="5C77D15B" w14:textId="77777777" w:rsidR="00996637" w:rsidRDefault="00996637" w:rsidP="00996637">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Arial" w:hAnsi="Arial" w:cs="Arial"/>
          <w:b/>
          <w:bCs/>
          <w:color w:val="EE751B"/>
          <w:sz w:val="26"/>
          <w:szCs w:val="26"/>
        </w:rPr>
        <w:t>2.</w:t>
      </w:r>
      <w:r>
        <w:rPr>
          <w:rStyle w:val="tabchar"/>
          <w:rFonts w:ascii="Calibri" w:hAnsi="Calibri" w:cs="Calibri"/>
          <w:color w:val="EE751B"/>
          <w:sz w:val="26"/>
          <w:szCs w:val="26"/>
        </w:rPr>
        <w:tab/>
      </w:r>
      <w:r>
        <w:rPr>
          <w:rStyle w:val="normaltextrun"/>
          <w:rFonts w:ascii="Arial" w:hAnsi="Arial" w:cs="Arial"/>
          <w:b/>
          <w:bCs/>
          <w:color w:val="EE751B"/>
          <w:sz w:val="26"/>
          <w:szCs w:val="26"/>
        </w:rPr>
        <w:t>Summary of the evidence considered in demonstrating due regard to the equality duty and gender equality</w:t>
      </w:r>
      <w:r>
        <w:rPr>
          <w:rStyle w:val="eop"/>
          <w:rFonts w:ascii="Arial" w:hAnsi="Arial" w:cs="Arial"/>
          <w:color w:val="EE751B"/>
          <w:sz w:val="26"/>
          <w:szCs w:val="26"/>
        </w:rPr>
        <w:t> </w:t>
      </w:r>
    </w:p>
    <w:p w14:paraId="7BA77296"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1E3DF39"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Groups with Protected Characteristics as defined through the PSED are not considered to be at significant risk from interaction and participation of the AIM programme. However, we have considered the potential impact through various forums in the preparation of the final AIM Business Case.  </w:t>
      </w:r>
      <w:r>
        <w:rPr>
          <w:rStyle w:val="eop"/>
          <w:rFonts w:ascii="Arial" w:hAnsi="Arial" w:cs="Arial"/>
          <w:sz w:val="22"/>
          <w:szCs w:val="22"/>
        </w:rPr>
        <w:t> </w:t>
      </w:r>
    </w:p>
    <w:p w14:paraId="7DF77BEC"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A5A145B"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To inform this equality analysis, the following evidence has been considered: </w:t>
      </w:r>
      <w:r>
        <w:rPr>
          <w:rStyle w:val="eop"/>
          <w:rFonts w:ascii="Arial" w:hAnsi="Arial" w:cs="Arial"/>
          <w:sz w:val="22"/>
          <w:szCs w:val="22"/>
        </w:rPr>
        <w:t> </w:t>
      </w:r>
    </w:p>
    <w:p w14:paraId="0CCBB836" w14:textId="77777777" w:rsidR="00996637" w:rsidRDefault="00996637" w:rsidP="00996637">
      <w:pPr>
        <w:pStyle w:val="paragraph"/>
        <w:numPr>
          <w:ilvl w:val="0"/>
          <w:numId w:val="152"/>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The AIM Business Case (original B/C)</w:t>
      </w:r>
      <w:r>
        <w:rPr>
          <w:rStyle w:val="eop"/>
          <w:rFonts w:ascii="Arial" w:hAnsi="Arial" w:cs="Arial"/>
          <w:sz w:val="22"/>
          <w:szCs w:val="22"/>
        </w:rPr>
        <w:t> </w:t>
      </w:r>
    </w:p>
    <w:p w14:paraId="7E66983A" w14:textId="77777777" w:rsidR="00996637" w:rsidRDefault="00996637" w:rsidP="00996637">
      <w:pPr>
        <w:pStyle w:val="paragraph"/>
        <w:numPr>
          <w:ilvl w:val="0"/>
          <w:numId w:val="153"/>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AIM4Forests Programme Documents (and country workplans)</w:t>
      </w:r>
      <w:r>
        <w:rPr>
          <w:rStyle w:val="eop"/>
          <w:rFonts w:ascii="Arial" w:hAnsi="Arial" w:cs="Arial"/>
          <w:sz w:val="22"/>
          <w:szCs w:val="22"/>
        </w:rPr>
        <w:t> </w:t>
      </w:r>
    </w:p>
    <w:p w14:paraId="40EAD425" w14:textId="77777777" w:rsidR="00996637" w:rsidRDefault="00996637" w:rsidP="00996637">
      <w:pPr>
        <w:pStyle w:val="paragraph"/>
        <w:numPr>
          <w:ilvl w:val="0"/>
          <w:numId w:val="15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AIM4Forests Annual Reviews</w:t>
      </w:r>
      <w:r>
        <w:rPr>
          <w:rStyle w:val="eop"/>
          <w:rFonts w:ascii="Arial" w:hAnsi="Arial" w:cs="Arial"/>
          <w:sz w:val="22"/>
          <w:szCs w:val="22"/>
        </w:rPr>
        <w:t> </w:t>
      </w:r>
    </w:p>
    <w:p w14:paraId="0BD958A6" w14:textId="77777777" w:rsidR="00996637" w:rsidRDefault="00996637" w:rsidP="00996637">
      <w:pPr>
        <w:pStyle w:val="paragraph"/>
        <w:numPr>
          <w:ilvl w:val="0"/>
          <w:numId w:val="15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AIM4Forests Mid-Term Review </w:t>
      </w:r>
      <w:r>
        <w:rPr>
          <w:rStyle w:val="eop"/>
          <w:rFonts w:ascii="Arial" w:hAnsi="Arial" w:cs="Arial"/>
          <w:sz w:val="22"/>
          <w:szCs w:val="22"/>
        </w:rPr>
        <w:t> </w:t>
      </w:r>
    </w:p>
    <w:p w14:paraId="2C2A9D8A" w14:textId="77777777" w:rsidR="00996637" w:rsidRDefault="00996637" w:rsidP="00996637">
      <w:pPr>
        <w:pStyle w:val="paragraph"/>
        <w:numPr>
          <w:ilvl w:val="0"/>
          <w:numId w:val="15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DESNZ ICF Gender Strategy </w:t>
      </w:r>
      <w:r>
        <w:rPr>
          <w:rStyle w:val="eop"/>
          <w:rFonts w:ascii="Arial" w:hAnsi="Arial" w:cs="Arial"/>
          <w:sz w:val="22"/>
          <w:szCs w:val="22"/>
        </w:rPr>
        <w:t> </w:t>
      </w:r>
    </w:p>
    <w:p w14:paraId="79EA8AAD"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5D6FCFE" w14:textId="77777777" w:rsidR="00996637" w:rsidRDefault="00996637" w:rsidP="00996637">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Arial" w:hAnsi="Arial" w:cs="Arial"/>
          <w:b/>
          <w:bCs/>
          <w:color w:val="EE751B"/>
          <w:sz w:val="26"/>
          <w:szCs w:val="26"/>
        </w:rPr>
        <w:t>3. Identify the impacts</w:t>
      </w:r>
      <w:r>
        <w:rPr>
          <w:rStyle w:val="eop"/>
          <w:rFonts w:ascii="Arial" w:hAnsi="Arial" w:cs="Arial"/>
          <w:color w:val="EE751B"/>
          <w:sz w:val="26"/>
          <w:szCs w:val="26"/>
        </w:rPr>
        <w:t> </w:t>
      </w:r>
    </w:p>
    <w:p w14:paraId="13B476B7"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D3B072D"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After consideration of the evidence, the programme could have an impact upon the two protected characteristics of race and gender.</w:t>
      </w:r>
      <w:r>
        <w:rPr>
          <w:rStyle w:val="eop"/>
          <w:rFonts w:ascii="Arial" w:hAnsi="Arial" w:cs="Arial"/>
          <w:sz w:val="22"/>
          <w:szCs w:val="22"/>
        </w:rPr>
        <w:t> </w:t>
      </w:r>
    </w:p>
    <w:p w14:paraId="2C8F01C5"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543B3CB"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rPr>
        <w:t>Race</w:t>
      </w:r>
      <w:r>
        <w:rPr>
          <w:rStyle w:val="eop"/>
          <w:rFonts w:ascii="Arial" w:hAnsi="Arial" w:cs="Arial"/>
          <w:sz w:val="22"/>
          <w:szCs w:val="22"/>
        </w:rPr>
        <w:t> </w:t>
      </w:r>
    </w:p>
    <w:p w14:paraId="11552254"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A12B11C"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this assessment, demonstrating due regard for the considerations of race will focus on the impact on Indigenous Peoples and Local Communities (IPLCs), with the understanding that in some contexts, the term ‘IPLCs’ is not used and, instead, references to specific groups are used depending on country/region/culture.</w:t>
      </w:r>
      <w:r>
        <w:rPr>
          <w:rStyle w:val="eop"/>
          <w:rFonts w:ascii="Arial" w:hAnsi="Arial" w:cs="Arial"/>
          <w:sz w:val="22"/>
          <w:szCs w:val="22"/>
        </w:rPr>
        <w:t> </w:t>
      </w:r>
    </w:p>
    <w:p w14:paraId="0A212251"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42E382C"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Regarding </w:t>
      </w:r>
      <w:r>
        <w:rPr>
          <w:rStyle w:val="normaltextrun"/>
          <w:rFonts w:ascii="Arial" w:hAnsi="Arial" w:cs="Arial"/>
          <w:b/>
          <w:bCs/>
          <w:sz w:val="22"/>
          <w:szCs w:val="22"/>
        </w:rPr>
        <w:t>advancing equality of opportunity</w:t>
      </w:r>
      <w:r>
        <w:rPr>
          <w:rStyle w:val="normaltextrun"/>
          <w:rFonts w:ascii="Arial" w:hAnsi="Arial" w:cs="Arial"/>
          <w:sz w:val="22"/>
          <w:szCs w:val="22"/>
        </w:rPr>
        <w:t> for IPLCs, the AIM4Forests programme will likely have a positive impact on IPLCs equality of opportunity through several ways: </w:t>
      </w:r>
      <w:r>
        <w:rPr>
          <w:rStyle w:val="eop"/>
          <w:rFonts w:ascii="Arial" w:hAnsi="Arial" w:cs="Arial"/>
          <w:sz w:val="22"/>
          <w:szCs w:val="22"/>
        </w:rPr>
        <w:t> </w:t>
      </w:r>
    </w:p>
    <w:p w14:paraId="6C2DB30B" w14:textId="77777777" w:rsidR="00996637" w:rsidRDefault="00996637" w:rsidP="00996637">
      <w:pPr>
        <w:pStyle w:val="paragraph"/>
        <w:numPr>
          <w:ilvl w:val="0"/>
          <w:numId w:val="15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Where the AIM programme interacts directly with IPLCs, the programme has, and will continue to, ensure it collaborates with IPLCs as active participants of the programme, and not passive recipients thus ensuring a respectful and safe working environment, that does not reproduce historic discrimination or marginalisation.  AIM4Forests has a dedicated component on supporting effective inclusion of IPLCs within forest monitoring, with </w:t>
      </w:r>
      <w:r>
        <w:rPr>
          <w:rStyle w:val="normaltextrun"/>
          <w:rFonts w:ascii="Arial" w:hAnsi="Arial" w:cs="Arial"/>
          <w:sz w:val="22"/>
          <w:szCs w:val="22"/>
        </w:rPr>
        <w:lastRenderedPageBreak/>
        <w:t>specific ambitious targets. It is expected that by the end of the programme extension (to 2030), AIM4Forests will have a significant positive contribution to enhancing the role of IPs &amp; LCs, women, youth and smallholders within national forest monitoring systems.</w:t>
      </w:r>
      <w:r>
        <w:rPr>
          <w:rStyle w:val="eop"/>
          <w:rFonts w:ascii="Arial" w:hAnsi="Arial" w:cs="Arial"/>
          <w:sz w:val="22"/>
          <w:szCs w:val="22"/>
        </w:rPr>
        <w:t> </w:t>
      </w:r>
    </w:p>
    <w:p w14:paraId="303A9CA4" w14:textId="77777777" w:rsidR="00996637" w:rsidRDefault="00996637" w:rsidP="00996637">
      <w:pPr>
        <w:pStyle w:val="paragraph"/>
        <w:numPr>
          <w:ilvl w:val="0"/>
          <w:numId w:val="15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General indirect improvement in Forest Monitoring / MRV which is expected to have a positive impact on the Results Based Payment (RBP) mechanism for REDD+ programmes. This will ensure more equitable and proportionate benefit sharing, that will benefit IPLCs and other marginalised groups.  </w:t>
      </w:r>
      <w:r>
        <w:rPr>
          <w:rStyle w:val="eop"/>
          <w:rFonts w:ascii="Arial" w:hAnsi="Arial" w:cs="Arial"/>
          <w:sz w:val="22"/>
          <w:szCs w:val="22"/>
        </w:rPr>
        <w:t> </w:t>
      </w:r>
    </w:p>
    <w:p w14:paraId="53980BEE"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0B0E86D3"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To foster </w:t>
      </w:r>
      <w:r>
        <w:rPr>
          <w:rStyle w:val="normaltextrun"/>
          <w:rFonts w:ascii="Arial" w:hAnsi="Arial" w:cs="Arial"/>
          <w:b/>
          <w:bCs/>
          <w:sz w:val="22"/>
          <w:szCs w:val="22"/>
        </w:rPr>
        <w:t>good relations between people who share a protected characteristic and those who do not, </w:t>
      </w:r>
      <w:r>
        <w:rPr>
          <w:rStyle w:val="normaltextrun"/>
          <w:rFonts w:ascii="Arial" w:hAnsi="Arial" w:cs="Arial"/>
          <w:sz w:val="22"/>
          <w:szCs w:val="22"/>
        </w:rPr>
        <w:t>the AIM4Forests will likely have a positive impact, and improve understanding and collaboration between different groups. </w:t>
      </w:r>
      <w:r>
        <w:rPr>
          <w:rStyle w:val="eop"/>
          <w:rFonts w:ascii="Arial" w:hAnsi="Arial" w:cs="Arial"/>
          <w:sz w:val="22"/>
          <w:szCs w:val="22"/>
        </w:rPr>
        <w:t> </w:t>
      </w:r>
    </w:p>
    <w:p w14:paraId="47570C91" w14:textId="77777777" w:rsidR="00996637" w:rsidRDefault="00996637" w:rsidP="00996637">
      <w:pPr>
        <w:pStyle w:val="paragraph"/>
        <w:numPr>
          <w:ilvl w:val="0"/>
          <w:numId w:val="15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The AIM programme will support collaboration between IPLC and forest monitoring communities through building IPLC capacity around forest monitoring and fostering collaboration between these communities.  </w:t>
      </w:r>
      <w:r>
        <w:rPr>
          <w:rStyle w:val="eop"/>
          <w:rFonts w:ascii="Arial" w:hAnsi="Arial" w:cs="Arial"/>
          <w:sz w:val="22"/>
          <w:szCs w:val="22"/>
        </w:rPr>
        <w:t> </w:t>
      </w:r>
    </w:p>
    <w:p w14:paraId="7189EE30" w14:textId="77777777" w:rsidR="00996637" w:rsidRDefault="00996637" w:rsidP="00996637">
      <w:pPr>
        <w:pStyle w:val="paragraph"/>
        <w:numPr>
          <w:ilvl w:val="0"/>
          <w:numId w:val="16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The AIM4Forests IPLC component further support good relations between IPLCs and the wider forest monitoring community by creating opportunities for IPLCs and forest monitoring/MRV practitioners to work together towards a common goal of improving forest MRV, leading to better management of forests which creates sustainable livelihood opportunities for communities living in forests, as well as many other benefits.  </w:t>
      </w:r>
      <w:r>
        <w:rPr>
          <w:rStyle w:val="eop"/>
          <w:rFonts w:ascii="Arial" w:hAnsi="Arial" w:cs="Arial"/>
          <w:sz w:val="22"/>
          <w:szCs w:val="22"/>
        </w:rPr>
        <w:t> </w:t>
      </w:r>
    </w:p>
    <w:p w14:paraId="5383ADA2"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7DA905FA"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AIM programme aims to support technological advances, improvements to data collection and analysis, and increased knowledge and capacity (technical and political) and application around forest monitoring/MRV which can only have a positive impact on forest communities, such as IPLCs, through improved management of forests, better understanding of deforestation trends and more robust frameworks for RBP. AIM4Forests has a strong focus on transferring technical capacity to countries and communities.</w:t>
      </w:r>
      <w:r>
        <w:rPr>
          <w:rStyle w:val="eop"/>
          <w:rFonts w:ascii="Arial" w:hAnsi="Arial" w:cs="Arial"/>
          <w:sz w:val="22"/>
          <w:szCs w:val="22"/>
        </w:rPr>
        <w:t> </w:t>
      </w:r>
    </w:p>
    <w:p w14:paraId="585737C3"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5031C11"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AIM4Forests Mid-Term Review noted that </w:t>
      </w:r>
      <w:r>
        <w:rPr>
          <w:rStyle w:val="normaltextrun"/>
          <w:rFonts w:ascii="Arial" w:hAnsi="Arial" w:cs="Arial"/>
          <w:i/>
          <w:iCs/>
          <w:sz w:val="22"/>
          <w:szCs w:val="22"/>
        </w:rPr>
        <w:t>AIM4Forests was found to be highly relevant to the forest monitoring-related needs of forest countries and international initiatives and agreements related to REDD+ and promotion of multi-purpose sustainable forest management and ecosystem restoration, and </w:t>
      </w:r>
      <w:r>
        <w:rPr>
          <w:rStyle w:val="normaltextrun"/>
          <w:rFonts w:ascii="Arial" w:hAnsi="Arial" w:cs="Arial"/>
          <w:b/>
          <w:bCs/>
          <w:i/>
          <w:iCs/>
          <w:sz w:val="22"/>
          <w:szCs w:val="22"/>
        </w:rPr>
        <w:t>engagement of IP&amp;LCs. </w:t>
      </w:r>
      <w:r>
        <w:rPr>
          <w:rStyle w:val="eop"/>
          <w:rFonts w:ascii="Arial" w:hAnsi="Arial" w:cs="Arial"/>
          <w:sz w:val="22"/>
          <w:szCs w:val="22"/>
        </w:rPr>
        <w:t> </w:t>
      </w:r>
    </w:p>
    <w:p w14:paraId="0358850E"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5F52B7F"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rPr>
        <w:t>Sex</w:t>
      </w:r>
      <w:r>
        <w:rPr>
          <w:rStyle w:val="eop"/>
          <w:rFonts w:ascii="Arial" w:hAnsi="Arial" w:cs="Arial"/>
          <w:sz w:val="22"/>
          <w:szCs w:val="22"/>
        </w:rPr>
        <w:t> </w:t>
      </w:r>
    </w:p>
    <w:p w14:paraId="599296EE"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Arial" w:hAnsi="Arial" w:cs="Arial"/>
          <w:sz w:val="22"/>
          <w:szCs w:val="22"/>
        </w:rPr>
        <w:t>In regard to</w:t>
      </w:r>
      <w:proofErr w:type="gramEnd"/>
      <w:r>
        <w:rPr>
          <w:rStyle w:val="normaltextrun"/>
          <w:rFonts w:ascii="Arial" w:hAnsi="Arial" w:cs="Arial"/>
          <w:sz w:val="22"/>
          <w:szCs w:val="22"/>
        </w:rPr>
        <w:t> </w:t>
      </w:r>
      <w:r>
        <w:rPr>
          <w:rStyle w:val="normaltextrun"/>
          <w:rFonts w:ascii="Arial" w:hAnsi="Arial" w:cs="Arial"/>
          <w:b/>
          <w:bCs/>
          <w:sz w:val="22"/>
          <w:szCs w:val="22"/>
        </w:rPr>
        <w:t>eliminating unlawful discrimination</w:t>
      </w:r>
      <w:r>
        <w:rPr>
          <w:rStyle w:val="normaltextrun"/>
          <w:rFonts w:ascii="Arial" w:hAnsi="Arial" w:cs="Arial"/>
          <w:sz w:val="22"/>
          <w:szCs w:val="22"/>
        </w:rPr>
        <w:t>, the programme is not considered to actively disadvantage or discriminate against people of different gender. However, there is an intrinsic risk that women may not have the same equality of opportunity as men to effect change due to pre-existing gender inequalities regarding political leadership, access to information and resources and mobility and voice. Therefore, it is essential that deliberate action shall be taken to encourage women to participate in AIM4Forests to strengthen their meaningful representation and fulfilment of their rights,</w:t>
      </w:r>
      <w:r>
        <w:rPr>
          <w:rStyle w:val="normaltextrun"/>
          <w:rFonts w:ascii="Arial" w:hAnsi="Arial" w:cs="Arial"/>
          <w:b/>
          <w:bCs/>
          <w:sz w:val="22"/>
          <w:szCs w:val="22"/>
        </w:rPr>
        <w:t> </w:t>
      </w:r>
      <w:r>
        <w:rPr>
          <w:rStyle w:val="normaltextrun"/>
          <w:rFonts w:ascii="Arial" w:hAnsi="Arial" w:cs="Arial"/>
          <w:sz w:val="22"/>
          <w:szCs w:val="22"/>
        </w:rPr>
        <w:t>which will</w:t>
      </w:r>
      <w:r>
        <w:rPr>
          <w:rStyle w:val="normaltextrun"/>
          <w:rFonts w:ascii="Arial" w:hAnsi="Arial" w:cs="Arial"/>
          <w:b/>
          <w:bCs/>
          <w:sz w:val="22"/>
          <w:szCs w:val="22"/>
        </w:rPr>
        <w:t> advance equality of opportunity </w:t>
      </w:r>
      <w:r>
        <w:rPr>
          <w:rStyle w:val="normaltextrun"/>
          <w:rFonts w:ascii="Arial" w:hAnsi="Arial" w:cs="Arial"/>
          <w:sz w:val="22"/>
          <w:szCs w:val="22"/>
        </w:rPr>
        <w:t>in relation to gender.  </w:t>
      </w:r>
      <w:r>
        <w:rPr>
          <w:rStyle w:val="eop"/>
          <w:rFonts w:ascii="Arial" w:hAnsi="Arial" w:cs="Arial"/>
          <w:sz w:val="22"/>
          <w:szCs w:val="22"/>
        </w:rPr>
        <w:t> </w:t>
      </w:r>
    </w:p>
    <w:p w14:paraId="67B50299"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26319521"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 broader sense, due to the fact that women and girls in developing countries are often more vulnerable to negative impacts of climate change and forest degradation, the AIM programme’s wider aims to support the enabling environment for Emissions Reduction programmes and therefore mitigate the impacts of climate change, this will have a positive impact for gender equity, reducing female’s exposure to climate risks. Secondly, as the AIM programme improves the RBF enabling environment through MRV support and capacity building, reinvesting proceeds from selling carbon credits into forest protection and social and economic development opportunities for communities should be of benefit to women.  </w:t>
      </w:r>
      <w:r>
        <w:rPr>
          <w:rStyle w:val="eop"/>
          <w:rFonts w:ascii="Arial" w:hAnsi="Arial" w:cs="Arial"/>
          <w:sz w:val="22"/>
          <w:szCs w:val="22"/>
        </w:rPr>
        <w:t> </w:t>
      </w:r>
    </w:p>
    <w:p w14:paraId="5732DBE4"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As a DESNZ funded supplier, FAO is expected to factor equality-related considerations into the use of DESNZ funds. FAO and DESNZ have worked together to build gender-relevant indicators within the monitoring and reporting framework. This includes disaggregating indicators on progress to specifically track how the programme is increasing the participation of women in its activities.  </w:t>
      </w:r>
      <w:r>
        <w:rPr>
          <w:rStyle w:val="eop"/>
          <w:rFonts w:ascii="Arial" w:hAnsi="Arial" w:cs="Arial"/>
          <w:sz w:val="22"/>
          <w:szCs w:val="22"/>
        </w:rPr>
        <w:t> </w:t>
      </w:r>
    </w:p>
    <w:p w14:paraId="552AAFEA"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1AB8809"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C8EADEB" w14:textId="77777777" w:rsidR="00996637" w:rsidRDefault="00996637" w:rsidP="00996637">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Arial" w:hAnsi="Arial" w:cs="Arial"/>
          <w:b/>
          <w:bCs/>
          <w:color w:val="EE751B"/>
          <w:sz w:val="26"/>
          <w:szCs w:val="26"/>
        </w:rPr>
        <w:t>4. Analyse the impacts</w:t>
      </w:r>
      <w:r>
        <w:rPr>
          <w:rStyle w:val="eop"/>
          <w:rFonts w:ascii="Arial" w:hAnsi="Arial" w:cs="Arial"/>
          <w:color w:val="EE751B"/>
          <w:sz w:val="26"/>
          <w:szCs w:val="26"/>
        </w:rPr>
        <w:t> </w:t>
      </w:r>
    </w:p>
    <w:p w14:paraId="58B2D262"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lastRenderedPageBreak/>
        <w:t> </w:t>
      </w:r>
    </w:p>
    <w:p w14:paraId="5F3DD46A"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An initial analysis did not identify any negative impacts on protected characteristic groups as the initiative aims to improve outcomes and would not disadvantage marginalised group, such as IPLCs, and women and girls.   </w:t>
      </w:r>
      <w:r>
        <w:rPr>
          <w:rStyle w:val="eop"/>
          <w:rFonts w:ascii="Arial" w:hAnsi="Arial" w:cs="Arial"/>
          <w:sz w:val="22"/>
          <w:szCs w:val="22"/>
        </w:rPr>
        <w:t> </w:t>
      </w:r>
    </w:p>
    <w:p w14:paraId="620AC60A"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25C5E2D"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updated Theory of Change for the AIM4Forests extension explicitly outlines its intention to ensure: </w:t>
      </w:r>
      <w:r>
        <w:rPr>
          <w:rStyle w:val="normaltextrun"/>
          <w:rFonts w:ascii="Arial" w:hAnsi="Arial" w:cs="Arial"/>
          <w:i/>
          <w:iCs/>
          <w:sz w:val="22"/>
          <w:szCs w:val="22"/>
        </w:rPr>
        <w:t>“Forest monitoring processes towards greater equity and inclusiveness, ensuring that forest communities, youth, women, smallholders and Indigenous People are empowered to participate”</w:t>
      </w:r>
      <w:r>
        <w:rPr>
          <w:rStyle w:val="eop"/>
          <w:rFonts w:ascii="Arial" w:hAnsi="Arial" w:cs="Arial"/>
          <w:sz w:val="22"/>
          <w:szCs w:val="22"/>
        </w:rPr>
        <w:t> </w:t>
      </w:r>
    </w:p>
    <w:p w14:paraId="3C95B772"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6AB54BF"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Current activities in the programme that support marginalised groups include (and noting these will continue into the extension):</w:t>
      </w:r>
      <w:r>
        <w:rPr>
          <w:rStyle w:val="eop"/>
          <w:rFonts w:ascii="Arial" w:hAnsi="Arial" w:cs="Arial"/>
          <w:sz w:val="22"/>
          <w:szCs w:val="22"/>
        </w:rPr>
        <w:t> </w:t>
      </w:r>
    </w:p>
    <w:p w14:paraId="05DF1668" w14:textId="77777777" w:rsidR="00996637" w:rsidRDefault="00996637" w:rsidP="00996637">
      <w:pPr>
        <w:pStyle w:val="paragraph"/>
        <w:numPr>
          <w:ilvl w:val="0"/>
          <w:numId w:val="161"/>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In its first year, AIM4Forests trained 1,268 individuals, 40% of whom were women, alongside more than 100 members of Indigenous Peoples and local communities to strengthen their forest monitoring capacities</w:t>
      </w:r>
      <w:r>
        <w:rPr>
          <w:rStyle w:val="eop"/>
          <w:rFonts w:ascii="Arial" w:hAnsi="Arial" w:cs="Arial"/>
          <w:sz w:val="22"/>
          <w:szCs w:val="22"/>
        </w:rPr>
        <w:t> </w:t>
      </w:r>
    </w:p>
    <w:p w14:paraId="5A6B404A" w14:textId="77777777" w:rsidR="00996637" w:rsidRDefault="00996637" w:rsidP="00996637">
      <w:pPr>
        <w:pStyle w:val="paragraph"/>
        <w:numPr>
          <w:ilvl w:val="0"/>
          <w:numId w:val="16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AIM4Forests collaborates with the International Land Coalition and </w:t>
      </w:r>
      <w:proofErr w:type="spellStart"/>
      <w:r>
        <w:rPr>
          <w:rStyle w:val="normaltextrun"/>
          <w:rFonts w:ascii="Arial" w:hAnsi="Arial" w:cs="Arial"/>
          <w:sz w:val="22"/>
          <w:szCs w:val="22"/>
        </w:rPr>
        <w:t>LandMark</w:t>
      </w:r>
      <w:proofErr w:type="spellEnd"/>
      <w:r>
        <w:rPr>
          <w:rStyle w:val="normaltextrun"/>
          <w:rFonts w:ascii="Arial" w:hAnsi="Arial" w:cs="Arial"/>
          <w:sz w:val="22"/>
          <w:szCs w:val="22"/>
        </w:rPr>
        <w:t> to develop Indigenous-led Communities of Practice (CoP) and regional hubs. These spaces foster peer-to-peer learning, mentorship, and tailored capacity development in forest monitoring, land mapping, and tenure rights.</w:t>
      </w:r>
      <w:r>
        <w:rPr>
          <w:rStyle w:val="eop"/>
          <w:rFonts w:ascii="Arial" w:hAnsi="Arial" w:cs="Arial"/>
          <w:sz w:val="22"/>
          <w:szCs w:val="22"/>
        </w:rPr>
        <w:t> </w:t>
      </w:r>
    </w:p>
    <w:p w14:paraId="5F8E2CAD" w14:textId="77777777" w:rsidR="00996637" w:rsidRDefault="00996637" w:rsidP="00996637">
      <w:pPr>
        <w:pStyle w:val="paragraph"/>
        <w:numPr>
          <w:ilvl w:val="0"/>
          <w:numId w:val="16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AIM4Forests launched a Young Forest Champions Initiative, selecting 50 champions aged 22–30 from Ghana, Uganda, Peru, Zambia, and Kenya to lead restoration efforts using advanced monitoring technologies. Youth, particularly those with disabilities and Indigenous applicants, were actively encouraged to apply.</w:t>
      </w:r>
      <w:r>
        <w:rPr>
          <w:rStyle w:val="eop"/>
          <w:rFonts w:ascii="Arial" w:hAnsi="Arial" w:cs="Arial"/>
          <w:sz w:val="22"/>
          <w:szCs w:val="22"/>
        </w:rPr>
        <w:t> </w:t>
      </w:r>
    </w:p>
    <w:p w14:paraId="6C54C1DC"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A9E0D09"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 broader sense, AIM4Forests will build the enabling environment for successful and sustainable forest monitoring, which will have highly positive impacts on forest communities, including IPLCs, such as: </w:t>
      </w:r>
      <w:r>
        <w:rPr>
          <w:rStyle w:val="eop"/>
          <w:rFonts w:ascii="Arial" w:hAnsi="Arial" w:cs="Arial"/>
          <w:sz w:val="22"/>
          <w:szCs w:val="22"/>
        </w:rPr>
        <w:t> </w:t>
      </w:r>
    </w:p>
    <w:p w14:paraId="6C66CC56" w14:textId="77777777" w:rsidR="00996637" w:rsidRDefault="00996637" w:rsidP="00996637">
      <w:pPr>
        <w:pStyle w:val="paragraph"/>
        <w:numPr>
          <w:ilvl w:val="0"/>
          <w:numId w:val="16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Equitable RBP </w:t>
      </w:r>
      <w:r>
        <w:rPr>
          <w:rStyle w:val="eop"/>
          <w:rFonts w:ascii="Arial" w:hAnsi="Arial" w:cs="Arial"/>
          <w:sz w:val="22"/>
          <w:szCs w:val="22"/>
        </w:rPr>
        <w:t> </w:t>
      </w:r>
    </w:p>
    <w:p w14:paraId="3EB9F6AE" w14:textId="77777777" w:rsidR="00996637" w:rsidRDefault="00996637" w:rsidP="00996637">
      <w:pPr>
        <w:pStyle w:val="paragraph"/>
        <w:numPr>
          <w:ilvl w:val="0"/>
          <w:numId w:val="16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Participation in other RBP programmes (where these are not currently in a jurisdiction), and ability to unlock carbon finance and distribute this equitably.  </w:t>
      </w:r>
      <w:r>
        <w:rPr>
          <w:rStyle w:val="eop"/>
          <w:rFonts w:ascii="Arial" w:hAnsi="Arial" w:cs="Arial"/>
          <w:sz w:val="22"/>
          <w:szCs w:val="22"/>
        </w:rPr>
        <w:t> </w:t>
      </w:r>
    </w:p>
    <w:p w14:paraId="7F39395D" w14:textId="77777777" w:rsidR="00996637" w:rsidRDefault="00996637" w:rsidP="00996637">
      <w:pPr>
        <w:pStyle w:val="paragraph"/>
        <w:numPr>
          <w:ilvl w:val="0"/>
          <w:numId w:val="16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Increased sustainable livelihood opportunities </w:t>
      </w:r>
      <w:r>
        <w:rPr>
          <w:rStyle w:val="eop"/>
          <w:rFonts w:ascii="Arial" w:hAnsi="Arial" w:cs="Arial"/>
          <w:sz w:val="22"/>
          <w:szCs w:val="22"/>
        </w:rPr>
        <w:t> </w:t>
      </w:r>
    </w:p>
    <w:p w14:paraId="515AA1EA" w14:textId="77777777" w:rsidR="00996637" w:rsidRDefault="00996637" w:rsidP="00996637">
      <w:pPr>
        <w:pStyle w:val="paragraph"/>
        <w:numPr>
          <w:ilvl w:val="0"/>
          <w:numId w:val="16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Reduced deforestation </w:t>
      </w:r>
      <w:r>
        <w:rPr>
          <w:rStyle w:val="eop"/>
          <w:rFonts w:ascii="Arial" w:hAnsi="Arial" w:cs="Arial"/>
          <w:sz w:val="22"/>
          <w:szCs w:val="22"/>
        </w:rPr>
        <w:t> </w:t>
      </w:r>
    </w:p>
    <w:p w14:paraId="1D027509" w14:textId="77777777" w:rsidR="00996637" w:rsidRDefault="00996637" w:rsidP="00996637">
      <w:pPr>
        <w:pStyle w:val="paragraph"/>
        <w:numPr>
          <w:ilvl w:val="0"/>
          <w:numId w:val="16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Better forest management and forest-related regulations </w:t>
      </w:r>
      <w:r>
        <w:rPr>
          <w:rStyle w:val="eop"/>
          <w:rFonts w:ascii="Arial" w:hAnsi="Arial" w:cs="Arial"/>
          <w:sz w:val="22"/>
          <w:szCs w:val="22"/>
        </w:rPr>
        <w:t> </w:t>
      </w:r>
    </w:p>
    <w:p w14:paraId="0250AABF"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6BB31802"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Although it is too early to say what further positive transformational impacts groups with protected characteristics may experience as a result of the AIM programme, we will work closely with FAO to ensure this programme has widespread positive impacts on IPLCs, women and girls, and other groups that are involved or impacted by this programme (including e.g., youth).  It should be noted that the AIM4Forests MTR noted that results under the Indigenous People component of the programme are not yet as visible or concrete despite demonstrating progress (this may be due to some delivery delays at the start of the programme for this component). However, it noted also key achievements of the engagement. AIM4Forests Annual Reviews 23/24 and 24/25 continue to note need to accelerate and focus on this good work, which shall be undertaken through the extension.</w:t>
      </w:r>
      <w:r>
        <w:rPr>
          <w:rStyle w:val="eop"/>
          <w:rFonts w:ascii="Arial" w:hAnsi="Arial" w:cs="Arial"/>
          <w:sz w:val="22"/>
          <w:szCs w:val="22"/>
        </w:rPr>
        <w:t> </w:t>
      </w:r>
    </w:p>
    <w:p w14:paraId="50ACEE87"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5565A"/>
          <w:sz w:val="22"/>
          <w:szCs w:val="22"/>
        </w:rPr>
        <w:t> </w:t>
      </w:r>
    </w:p>
    <w:p w14:paraId="15478DE2" w14:textId="77777777" w:rsidR="00996637" w:rsidRDefault="00996637" w:rsidP="00996637">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Arial" w:hAnsi="Arial" w:cs="Arial"/>
          <w:b/>
          <w:bCs/>
          <w:color w:val="EE751B"/>
          <w:sz w:val="26"/>
          <w:szCs w:val="26"/>
        </w:rPr>
        <w:t>5. Record your decision</w:t>
      </w:r>
      <w:r>
        <w:rPr>
          <w:rStyle w:val="eop"/>
          <w:rFonts w:ascii="Arial" w:hAnsi="Arial" w:cs="Arial"/>
          <w:color w:val="EE751B"/>
          <w:sz w:val="26"/>
          <w:szCs w:val="26"/>
        </w:rPr>
        <w:t> </w:t>
      </w:r>
    </w:p>
    <w:p w14:paraId="751ACC99"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027FDF3"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On conclusion of the impact equality analysis, it is decided to proceed as planned with the programme as it should have no adverse or disproportionately negative impact on people who share a protected characteristic. The programme remit demonstrates proportionate consideration of the necessary steps to advance equality of opportunity and foster good relations with protected groups, such as IPs, LCs and women and girls. </w:t>
      </w:r>
      <w:r>
        <w:rPr>
          <w:rStyle w:val="eop"/>
          <w:rFonts w:ascii="Arial" w:hAnsi="Arial" w:cs="Arial"/>
          <w:sz w:val="22"/>
          <w:szCs w:val="22"/>
        </w:rPr>
        <w:t> </w:t>
      </w:r>
    </w:p>
    <w:p w14:paraId="39460A33"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5565A"/>
          <w:sz w:val="22"/>
          <w:szCs w:val="22"/>
        </w:rPr>
        <w:t> </w:t>
      </w:r>
    </w:p>
    <w:p w14:paraId="4F0225D6" w14:textId="77777777" w:rsidR="00996637" w:rsidRDefault="00996637" w:rsidP="00996637">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Arial" w:hAnsi="Arial" w:cs="Arial"/>
          <w:b/>
          <w:bCs/>
          <w:color w:val="EE751B"/>
          <w:sz w:val="26"/>
          <w:szCs w:val="26"/>
        </w:rPr>
        <w:t>6. Monitor and review</w:t>
      </w:r>
      <w:r>
        <w:rPr>
          <w:rStyle w:val="eop"/>
          <w:rFonts w:ascii="Arial" w:hAnsi="Arial" w:cs="Arial"/>
          <w:color w:val="EE751B"/>
          <w:sz w:val="26"/>
          <w:szCs w:val="26"/>
        </w:rPr>
        <w:t> </w:t>
      </w:r>
    </w:p>
    <w:p w14:paraId="20725E62"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E9B8EB2"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AIM4Forests will be monitored through both Delivery Partner data collection and regular reporting, and UK ongoing review of progress. </w:t>
      </w:r>
      <w:r>
        <w:rPr>
          <w:rStyle w:val="eop"/>
          <w:rFonts w:ascii="Arial" w:hAnsi="Arial" w:cs="Arial"/>
          <w:sz w:val="22"/>
          <w:szCs w:val="22"/>
        </w:rPr>
        <w:t> </w:t>
      </w:r>
    </w:p>
    <w:p w14:paraId="10BE2C3E"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6AB3F760"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Equality impacts will be formally assessed in Annual Reviews and annual meetings with the Delivery Partner. </w:t>
      </w:r>
      <w:r>
        <w:rPr>
          <w:rStyle w:val="eop"/>
          <w:rFonts w:ascii="Arial" w:hAnsi="Arial" w:cs="Arial"/>
          <w:sz w:val="22"/>
          <w:szCs w:val="22"/>
        </w:rPr>
        <w:t> </w:t>
      </w:r>
    </w:p>
    <w:p w14:paraId="15260834"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6F155CB3"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Specific indicators on women and IPs &amp; LCs are including the current logframe and draft logframe for the extension to be tracked to the end of the programme. These include:</w:t>
      </w:r>
      <w:r>
        <w:rPr>
          <w:rStyle w:val="eop"/>
          <w:rFonts w:ascii="Arial" w:hAnsi="Arial" w:cs="Arial"/>
          <w:sz w:val="22"/>
          <w:szCs w:val="22"/>
        </w:rPr>
        <w:t> </w:t>
      </w:r>
    </w:p>
    <w:p w14:paraId="21922681"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EDBF6DB" w14:textId="77777777" w:rsidR="00996637" w:rsidRDefault="00996637" w:rsidP="00996637">
      <w:pPr>
        <w:pStyle w:val="paragraph"/>
        <w:numPr>
          <w:ilvl w:val="0"/>
          <w:numId w:val="169"/>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Number of (a) individuals and (b) organisations supported by AIM (including women, IPs, CSOs, and local communities) - TA KPI 2</w:t>
      </w:r>
      <w:r>
        <w:rPr>
          <w:rStyle w:val="eop"/>
          <w:rFonts w:ascii="Arial" w:hAnsi="Arial" w:cs="Arial"/>
          <w:sz w:val="22"/>
          <w:szCs w:val="22"/>
        </w:rPr>
        <w:t> </w:t>
      </w:r>
    </w:p>
    <w:p w14:paraId="579A2126" w14:textId="77777777" w:rsidR="00996637" w:rsidRDefault="00996637" w:rsidP="00996637">
      <w:pPr>
        <w:pStyle w:val="paragraph"/>
        <w:numPr>
          <w:ilvl w:val="0"/>
          <w:numId w:val="170"/>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Number of (a) events showcasing IPLC stewardship; (b) IP-led community of practice events </w:t>
      </w:r>
      <w:r>
        <w:rPr>
          <w:rStyle w:val="eop"/>
          <w:rFonts w:ascii="Arial" w:hAnsi="Arial" w:cs="Arial"/>
          <w:sz w:val="22"/>
          <w:szCs w:val="22"/>
        </w:rPr>
        <w:t> </w:t>
      </w:r>
    </w:p>
    <w:p w14:paraId="4EF696BB" w14:textId="77777777" w:rsidR="00996637" w:rsidRDefault="00996637" w:rsidP="00996637">
      <w:pPr>
        <w:pStyle w:val="paragraph"/>
        <w:numPr>
          <w:ilvl w:val="0"/>
          <w:numId w:val="171"/>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Number of attendees at IP-led community of practice events and training events, specifically (a) the total number of attendees; and (b) % of women attendees; and (c) the number of countries represented</w:t>
      </w:r>
      <w:r>
        <w:rPr>
          <w:rStyle w:val="eop"/>
          <w:rFonts w:ascii="Arial" w:hAnsi="Arial" w:cs="Arial"/>
          <w:sz w:val="22"/>
          <w:szCs w:val="22"/>
        </w:rPr>
        <w:t> </w:t>
      </w:r>
    </w:p>
    <w:p w14:paraId="65015B4C" w14:textId="77777777" w:rsidR="00996637" w:rsidRDefault="00996637" w:rsidP="00996637">
      <w:pPr>
        <w:pStyle w:val="paragraph"/>
        <w:numPr>
          <w:ilvl w:val="0"/>
          <w:numId w:val="172"/>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IP-led community of practice events and training events leading to knowledge growth, specifically: (a) percentage of participants indicating they acquired new knowledge; (b) percentage of participants indicating they will apply the new knowledge; and (c) indication from periodic surveys of growing technical knowledge on forest monitoring and MRV.</w:t>
      </w:r>
      <w:r>
        <w:rPr>
          <w:rStyle w:val="eop"/>
          <w:rFonts w:ascii="Arial" w:hAnsi="Arial" w:cs="Arial"/>
          <w:sz w:val="22"/>
          <w:szCs w:val="22"/>
        </w:rPr>
        <w:t> </w:t>
      </w:r>
    </w:p>
    <w:p w14:paraId="00186AE0" w14:textId="77777777" w:rsidR="00996637" w:rsidRDefault="00996637" w:rsidP="00996637">
      <w:pPr>
        <w:pStyle w:val="paragraph"/>
        <w:numPr>
          <w:ilvl w:val="0"/>
          <w:numId w:val="173"/>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Integration of IP&amp;LC land indicators in international reporting frameworks.</w:t>
      </w:r>
      <w:r>
        <w:rPr>
          <w:rStyle w:val="eop"/>
          <w:rFonts w:ascii="Arial" w:hAnsi="Arial" w:cs="Arial"/>
          <w:sz w:val="22"/>
          <w:szCs w:val="22"/>
        </w:rPr>
        <w:t> </w:t>
      </w:r>
    </w:p>
    <w:p w14:paraId="43C8B4F1" w14:textId="77777777" w:rsidR="00996637" w:rsidRDefault="00996637" w:rsidP="00996637">
      <w:pPr>
        <w:pStyle w:val="paragraph"/>
        <w:numPr>
          <w:ilvl w:val="0"/>
          <w:numId w:val="174"/>
        </w:numPr>
        <w:spacing w:before="0" w:beforeAutospacing="0" w:after="0" w:afterAutospacing="0"/>
        <w:ind w:left="1800" w:firstLine="0"/>
        <w:textAlignment w:val="baseline"/>
        <w:rPr>
          <w:rFonts w:ascii="Arial" w:hAnsi="Arial" w:cs="Arial"/>
          <w:sz w:val="22"/>
          <w:szCs w:val="22"/>
        </w:rPr>
      </w:pPr>
      <w:r>
        <w:rPr>
          <w:rStyle w:val="normaltextrun"/>
          <w:rFonts w:ascii="Arial" w:hAnsi="Arial" w:cs="Arial"/>
          <w:sz w:val="22"/>
          <w:szCs w:val="22"/>
        </w:rPr>
        <w:t>Assessment on "to what extent is AIM4Forests contributing to enhancing the role of IP&amp;LCs, women, youth and smallholders within national forest monitoring systems and forest mitigation efforts in target countries?</w:t>
      </w:r>
      <w:r>
        <w:rPr>
          <w:rStyle w:val="eop"/>
          <w:rFonts w:ascii="Arial" w:hAnsi="Arial" w:cs="Arial"/>
          <w:sz w:val="22"/>
          <w:szCs w:val="22"/>
        </w:rPr>
        <w:t> </w:t>
      </w:r>
    </w:p>
    <w:p w14:paraId="05D269C8"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5565A"/>
          <w:sz w:val="22"/>
          <w:szCs w:val="22"/>
        </w:rPr>
        <w:t> </w:t>
      </w:r>
    </w:p>
    <w:p w14:paraId="7430D1CE"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5565A"/>
          <w:sz w:val="22"/>
          <w:szCs w:val="22"/>
        </w:rPr>
        <w:t> </w:t>
      </w:r>
    </w:p>
    <w:p w14:paraId="0FEDB5DD"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International Climate Finance ODA points to note</w:t>
      </w:r>
      <w:r>
        <w:rPr>
          <w:rStyle w:val="normaltextrun"/>
          <w:rFonts w:ascii="Arial" w:hAnsi="Arial" w:cs="Arial"/>
          <w:sz w:val="22"/>
          <w:szCs w:val="22"/>
        </w:rPr>
        <w:t>: The Courts have ruled that the Public Sector Equality Duty (PSED) does not apply generally to decisions which take effect overseas, including Official Development Assistance. DESNZ is therefore not legally required to consider the PSED in respect of people outside the UK, except in exceptional circumstances. Therefore, this assessment will not require formal sign off. </w:t>
      </w:r>
      <w:r>
        <w:rPr>
          <w:rStyle w:val="eop"/>
          <w:rFonts w:ascii="Arial" w:hAnsi="Arial" w:cs="Arial"/>
          <w:sz w:val="22"/>
          <w:szCs w:val="22"/>
        </w:rPr>
        <w:t> </w:t>
      </w:r>
    </w:p>
    <w:p w14:paraId="2D6693A9" w14:textId="77777777"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5565A"/>
          <w:sz w:val="22"/>
          <w:szCs w:val="22"/>
        </w:rPr>
        <w:t> </w:t>
      </w:r>
    </w:p>
    <w:p w14:paraId="1E2333D8" w14:textId="03686E4D" w:rsidR="00996637" w:rsidRDefault="00996637" w:rsidP="0099663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5565A"/>
          <w:sz w:val="22"/>
          <w:szCs w:val="22"/>
        </w:rPr>
        <w:t>  </w:t>
      </w:r>
    </w:p>
    <w:p w14:paraId="23BEB3D1" w14:textId="77777777" w:rsidR="00DE4223" w:rsidRPr="00DE4223" w:rsidRDefault="00DE4223" w:rsidP="00DE4223">
      <w:pPr>
        <w:rPr>
          <w:rFonts w:cs="Arial"/>
          <w:sz w:val="22"/>
          <w:szCs w:val="22"/>
        </w:rPr>
      </w:pPr>
    </w:p>
    <w:p w14:paraId="51CC8EB7" w14:textId="34C90975" w:rsidR="00A5162F" w:rsidRDefault="00A5162F">
      <w:pPr>
        <w:rPr>
          <w:rFonts w:cs="Arial"/>
          <w:sz w:val="22"/>
          <w:szCs w:val="22"/>
        </w:rPr>
      </w:pPr>
      <w:r>
        <w:rPr>
          <w:rFonts w:cs="Arial"/>
          <w:sz w:val="22"/>
          <w:szCs w:val="22"/>
        </w:rPr>
        <w:br w:type="page"/>
      </w:r>
    </w:p>
    <w:p w14:paraId="59F762A9" w14:textId="348E31B0" w:rsidR="00B56980" w:rsidRPr="00B56980" w:rsidRDefault="00B56980" w:rsidP="00B56980">
      <w:pPr>
        <w:rPr>
          <w:rFonts w:cs="Arial"/>
          <w:b/>
          <w:bCs/>
          <w:sz w:val="22"/>
          <w:szCs w:val="22"/>
          <w:u w:val="single"/>
        </w:rPr>
      </w:pPr>
      <w:r w:rsidRPr="00B56980">
        <w:rPr>
          <w:rFonts w:cs="Arial"/>
          <w:b/>
          <w:bCs/>
          <w:sz w:val="22"/>
          <w:szCs w:val="22"/>
          <w:u w:val="single"/>
          <w:lang w:val="en"/>
        </w:rPr>
        <w:lastRenderedPageBreak/>
        <w:t>Annex H: Climate and Environmental Risk Screening</w:t>
      </w:r>
      <w:r w:rsidRPr="00B56980">
        <w:rPr>
          <w:rFonts w:cs="Arial"/>
          <w:b/>
          <w:bCs/>
          <w:sz w:val="22"/>
          <w:szCs w:val="22"/>
          <w:u w:val="single"/>
        </w:rPr>
        <w:t> </w:t>
      </w:r>
    </w:p>
    <w:p w14:paraId="0290CA16" w14:textId="77777777" w:rsidR="00B56980" w:rsidRPr="00B56980" w:rsidRDefault="00B56980" w:rsidP="00B56980">
      <w:pPr>
        <w:rPr>
          <w:rFonts w:cs="Arial"/>
          <w:sz w:val="22"/>
          <w:szCs w:val="22"/>
        </w:rPr>
      </w:pPr>
      <w:r w:rsidRPr="00B56980">
        <w:rPr>
          <w:rFonts w:cs="Arial"/>
          <w:sz w:val="22"/>
          <w:szCs w:val="22"/>
        </w:rPr>
        <w:t> </w:t>
      </w:r>
    </w:p>
    <w:tbl>
      <w:tblPr>
        <w:tblW w:w="10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8"/>
        <w:gridCol w:w="4549"/>
        <w:gridCol w:w="357"/>
        <w:gridCol w:w="2394"/>
      </w:tblGrid>
      <w:tr w:rsidR="00B56980" w:rsidRPr="00B56980" w14:paraId="6CCFFED4" w14:textId="77777777" w:rsidTr="004A7D84">
        <w:trPr>
          <w:trHeight w:val="315"/>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BDD6EE"/>
            <w:hideMark/>
          </w:tcPr>
          <w:p w14:paraId="07A5558F" w14:textId="77777777" w:rsidR="00B56980" w:rsidRPr="00B56980" w:rsidRDefault="00B56980" w:rsidP="00B56980">
            <w:pPr>
              <w:rPr>
                <w:rFonts w:cs="Arial"/>
                <w:sz w:val="22"/>
                <w:szCs w:val="22"/>
              </w:rPr>
            </w:pPr>
            <w:r w:rsidRPr="00B56980">
              <w:rPr>
                <w:rFonts w:cs="Arial"/>
                <w:b/>
                <w:bCs/>
                <w:sz w:val="22"/>
                <w:szCs w:val="22"/>
              </w:rPr>
              <w:t>Risk Screening Tool</w:t>
            </w:r>
            <w:r w:rsidRPr="00B56980">
              <w:rPr>
                <w:rFonts w:cs="Arial"/>
                <w:sz w:val="22"/>
                <w:szCs w:val="22"/>
              </w:rPr>
              <w:t> </w:t>
            </w:r>
          </w:p>
        </w:tc>
      </w:tr>
      <w:tr w:rsidR="00B56980" w:rsidRPr="00B56980" w14:paraId="2654611E" w14:textId="77777777" w:rsidTr="004A7D84">
        <w:trPr>
          <w:trHeight w:val="315"/>
        </w:trPr>
        <w:tc>
          <w:tcPr>
            <w:tcW w:w="10188" w:type="dxa"/>
            <w:gridSpan w:val="4"/>
            <w:tcBorders>
              <w:top w:val="single" w:sz="6" w:space="0" w:color="CCCCCC"/>
              <w:left w:val="single" w:sz="6" w:space="0" w:color="000000"/>
              <w:bottom w:val="single" w:sz="6" w:space="0" w:color="000000"/>
              <w:right w:val="single" w:sz="6" w:space="0" w:color="000000"/>
            </w:tcBorders>
            <w:hideMark/>
          </w:tcPr>
          <w:p w14:paraId="026FFE7A" w14:textId="77777777" w:rsidR="00B56980" w:rsidRPr="00B56980" w:rsidRDefault="00B56980" w:rsidP="00B56980">
            <w:pPr>
              <w:rPr>
                <w:rFonts w:cs="Arial"/>
                <w:sz w:val="22"/>
                <w:szCs w:val="22"/>
              </w:rPr>
            </w:pPr>
            <w:r w:rsidRPr="00B56980">
              <w:rPr>
                <w:rFonts w:cs="Arial"/>
                <w:sz w:val="22"/>
                <w:szCs w:val="22"/>
                <w:u w:val="single"/>
              </w:rPr>
              <w:t>General Programme Identification </w:t>
            </w:r>
            <w:r w:rsidRPr="00B56980">
              <w:rPr>
                <w:rFonts w:cs="Arial"/>
                <w:sz w:val="22"/>
                <w:szCs w:val="22"/>
              </w:rPr>
              <w:t> </w:t>
            </w:r>
          </w:p>
          <w:p w14:paraId="1D822F11" w14:textId="77777777" w:rsidR="00B56980" w:rsidRPr="00B56980" w:rsidRDefault="00B56980" w:rsidP="00B56980">
            <w:pPr>
              <w:rPr>
                <w:rFonts w:cs="Arial"/>
                <w:sz w:val="22"/>
                <w:szCs w:val="22"/>
              </w:rPr>
            </w:pPr>
            <w:r w:rsidRPr="00B56980">
              <w:rPr>
                <w:rFonts w:cs="Arial"/>
                <w:sz w:val="22"/>
                <w:szCs w:val="22"/>
              </w:rPr>
              <w:t>1. Date: 28/08/2025 </w:t>
            </w:r>
            <w:r w:rsidRPr="00B56980">
              <w:rPr>
                <w:rFonts w:cs="Arial"/>
                <w:sz w:val="22"/>
                <w:szCs w:val="22"/>
              </w:rPr>
              <w:br/>
              <w:t>2. Programme Title: Accelerating Innovative Monitoring for Forests (AIM4Forests) </w:t>
            </w:r>
            <w:r w:rsidRPr="00B56980">
              <w:rPr>
                <w:rFonts w:cs="Arial"/>
                <w:sz w:val="22"/>
                <w:szCs w:val="22"/>
              </w:rPr>
              <w:br/>
              <w:t>3. Delivery Partner (if known): UN’s Food and Agriculture Organisation (FAO) </w:t>
            </w:r>
            <w:r w:rsidRPr="00B56980">
              <w:rPr>
                <w:rFonts w:cs="Arial"/>
                <w:sz w:val="22"/>
                <w:szCs w:val="22"/>
              </w:rPr>
              <w:br/>
              <w:t>4. Jointly Funded by FCDO/DEFRA: No </w:t>
            </w:r>
          </w:p>
        </w:tc>
      </w:tr>
      <w:tr w:rsidR="00B56980" w:rsidRPr="00B56980" w14:paraId="629BD4D5" w14:textId="77777777" w:rsidTr="00283E32">
        <w:trPr>
          <w:trHeight w:val="600"/>
        </w:trPr>
        <w:tc>
          <w:tcPr>
            <w:tcW w:w="2888" w:type="dxa"/>
            <w:tcBorders>
              <w:top w:val="single" w:sz="6" w:space="0" w:color="CCCCCC"/>
              <w:left w:val="single" w:sz="6" w:space="0" w:color="000000"/>
              <w:bottom w:val="single" w:sz="6" w:space="0" w:color="000000"/>
              <w:right w:val="single" w:sz="6" w:space="0" w:color="000000"/>
            </w:tcBorders>
            <w:shd w:val="clear" w:color="auto" w:fill="BDD6EE"/>
            <w:hideMark/>
          </w:tcPr>
          <w:p w14:paraId="0E1E8063" w14:textId="77777777" w:rsidR="00B56980" w:rsidRPr="00283E32" w:rsidRDefault="00B56980" w:rsidP="00B56980">
            <w:pPr>
              <w:rPr>
                <w:rFonts w:cs="Arial"/>
                <w:sz w:val="18"/>
                <w:szCs w:val="18"/>
              </w:rPr>
            </w:pPr>
            <w:r w:rsidRPr="00283E32">
              <w:rPr>
                <w:rFonts w:cs="Arial"/>
                <w:b/>
                <w:bCs/>
                <w:sz w:val="18"/>
                <w:szCs w:val="18"/>
              </w:rPr>
              <w:t>Climate screening factors</w:t>
            </w:r>
            <w:r w:rsidRPr="00283E32">
              <w:rPr>
                <w:rFonts w:cs="Arial"/>
                <w:sz w:val="18"/>
                <w:szCs w:val="18"/>
              </w:rPr>
              <w:t> </w:t>
            </w:r>
          </w:p>
        </w:tc>
        <w:tc>
          <w:tcPr>
            <w:tcW w:w="4549" w:type="dxa"/>
            <w:tcBorders>
              <w:top w:val="single" w:sz="6" w:space="0" w:color="CCCCCC"/>
              <w:left w:val="single" w:sz="6" w:space="0" w:color="CCCCCC"/>
              <w:bottom w:val="single" w:sz="6" w:space="0" w:color="000000"/>
              <w:right w:val="single" w:sz="6" w:space="0" w:color="000000"/>
            </w:tcBorders>
            <w:shd w:val="clear" w:color="auto" w:fill="BDD6EE"/>
            <w:hideMark/>
          </w:tcPr>
          <w:p w14:paraId="43300A31" w14:textId="77777777" w:rsidR="00B56980" w:rsidRPr="00283E32" w:rsidRDefault="00B56980" w:rsidP="00B56980">
            <w:pPr>
              <w:rPr>
                <w:rFonts w:cs="Arial"/>
                <w:sz w:val="18"/>
                <w:szCs w:val="18"/>
              </w:rPr>
            </w:pPr>
            <w:r w:rsidRPr="00283E32">
              <w:rPr>
                <w:rFonts w:cs="Arial"/>
                <w:b/>
                <w:bCs/>
                <w:sz w:val="18"/>
                <w:szCs w:val="18"/>
              </w:rPr>
              <w:t>Supporting information</w:t>
            </w:r>
            <w:r w:rsidRPr="00283E32">
              <w:rPr>
                <w:rFonts w:cs="Arial"/>
                <w:sz w:val="18"/>
                <w:szCs w:val="18"/>
              </w:rPr>
              <w:t> </w:t>
            </w:r>
          </w:p>
        </w:tc>
        <w:tc>
          <w:tcPr>
            <w:tcW w:w="777" w:type="dxa"/>
            <w:tcBorders>
              <w:top w:val="single" w:sz="6" w:space="0" w:color="CCCCCC"/>
              <w:left w:val="single" w:sz="6" w:space="0" w:color="CCCCCC"/>
              <w:bottom w:val="single" w:sz="6" w:space="0" w:color="000000"/>
              <w:right w:val="single" w:sz="6" w:space="0" w:color="000000"/>
            </w:tcBorders>
            <w:shd w:val="clear" w:color="auto" w:fill="BDD6EE"/>
            <w:hideMark/>
          </w:tcPr>
          <w:p w14:paraId="2503C46E" w14:textId="6F7A8C7A" w:rsidR="00B56980" w:rsidRPr="00283E32" w:rsidRDefault="00B56980" w:rsidP="00B56980">
            <w:pPr>
              <w:rPr>
                <w:rFonts w:cs="Arial"/>
                <w:sz w:val="18"/>
                <w:szCs w:val="18"/>
              </w:rPr>
            </w:pPr>
            <w:r w:rsidRPr="00283E32">
              <w:rPr>
                <w:rFonts w:cs="Arial"/>
                <w:b/>
                <w:bCs/>
                <w:sz w:val="18"/>
                <w:szCs w:val="18"/>
              </w:rPr>
              <w:t>Score</w:t>
            </w:r>
          </w:p>
        </w:tc>
        <w:tc>
          <w:tcPr>
            <w:tcW w:w="1974" w:type="dxa"/>
            <w:tcBorders>
              <w:top w:val="single" w:sz="6" w:space="0" w:color="CCCCCC"/>
              <w:left w:val="single" w:sz="6" w:space="0" w:color="CCCCCC"/>
              <w:bottom w:val="single" w:sz="6" w:space="0" w:color="000000"/>
              <w:right w:val="single" w:sz="6" w:space="0" w:color="000000"/>
            </w:tcBorders>
            <w:shd w:val="clear" w:color="auto" w:fill="BDD6EE"/>
            <w:hideMark/>
          </w:tcPr>
          <w:p w14:paraId="1C938681" w14:textId="77777777" w:rsidR="00B56980" w:rsidRPr="00283E32" w:rsidRDefault="00B56980" w:rsidP="00B56980">
            <w:pPr>
              <w:rPr>
                <w:rFonts w:cs="Arial"/>
                <w:sz w:val="18"/>
                <w:szCs w:val="18"/>
              </w:rPr>
            </w:pPr>
            <w:r w:rsidRPr="00283E32">
              <w:rPr>
                <w:rFonts w:cs="Arial"/>
                <w:b/>
                <w:bCs/>
                <w:sz w:val="18"/>
                <w:szCs w:val="18"/>
              </w:rPr>
              <w:t>Remarks</w:t>
            </w:r>
            <w:r w:rsidRPr="00283E32">
              <w:rPr>
                <w:rFonts w:cs="Arial"/>
                <w:sz w:val="18"/>
                <w:szCs w:val="18"/>
              </w:rPr>
              <w:t> </w:t>
            </w:r>
          </w:p>
        </w:tc>
      </w:tr>
      <w:tr w:rsidR="00B56980" w:rsidRPr="00B56980" w14:paraId="47904BAF" w14:textId="77777777" w:rsidTr="004A7D84">
        <w:trPr>
          <w:trHeight w:val="315"/>
        </w:trPr>
        <w:tc>
          <w:tcPr>
            <w:tcW w:w="10188" w:type="dxa"/>
            <w:gridSpan w:val="4"/>
            <w:tcBorders>
              <w:top w:val="single" w:sz="6" w:space="0" w:color="CCCCCC"/>
              <w:left w:val="single" w:sz="6" w:space="0" w:color="000000"/>
              <w:bottom w:val="single" w:sz="6" w:space="0" w:color="000000"/>
              <w:right w:val="single" w:sz="6" w:space="0" w:color="000000"/>
            </w:tcBorders>
            <w:hideMark/>
          </w:tcPr>
          <w:p w14:paraId="0F40E4A5" w14:textId="77777777" w:rsidR="00B56980" w:rsidRPr="00B56980" w:rsidRDefault="00B56980" w:rsidP="00B56980">
            <w:pPr>
              <w:rPr>
                <w:rFonts w:cs="Arial"/>
                <w:sz w:val="22"/>
                <w:szCs w:val="22"/>
              </w:rPr>
            </w:pPr>
            <w:r w:rsidRPr="00B56980">
              <w:rPr>
                <w:rFonts w:cs="Arial"/>
                <w:sz w:val="22"/>
                <w:szCs w:val="22"/>
                <w:u w:val="single"/>
              </w:rPr>
              <w:t>Exposure, vulnerability, and hazards</w:t>
            </w:r>
            <w:r w:rsidRPr="00B56980">
              <w:rPr>
                <w:rFonts w:cs="Arial"/>
                <w:sz w:val="22"/>
                <w:szCs w:val="22"/>
              </w:rPr>
              <w:t> </w:t>
            </w:r>
          </w:p>
        </w:tc>
      </w:tr>
      <w:tr w:rsidR="00B56980" w:rsidRPr="00B56980" w14:paraId="6B089ABE"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05B445D4" w14:textId="77777777" w:rsidR="00B56980" w:rsidRPr="00B56980" w:rsidRDefault="00B56980" w:rsidP="00B56980">
            <w:pPr>
              <w:rPr>
                <w:rFonts w:cs="Arial"/>
                <w:sz w:val="22"/>
                <w:szCs w:val="22"/>
              </w:rPr>
            </w:pPr>
            <w:r w:rsidRPr="00B56980">
              <w:rPr>
                <w:rFonts w:cs="Arial"/>
                <w:sz w:val="22"/>
                <w:szCs w:val="22"/>
              </w:rPr>
              <w:t>1. Which physical environment best describes the area the programme is taking place in? </w:t>
            </w:r>
          </w:p>
        </w:tc>
        <w:tc>
          <w:tcPr>
            <w:tcW w:w="4549" w:type="dxa"/>
            <w:tcBorders>
              <w:top w:val="single" w:sz="6" w:space="0" w:color="CCCCCC"/>
              <w:left w:val="single" w:sz="6" w:space="0" w:color="CCCCCC"/>
              <w:bottom w:val="single" w:sz="6" w:space="0" w:color="000000"/>
              <w:right w:val="single" w:sz="6" w:space="0" w:color="000000"/>
            </w:tcBorders>
            <w:hideMark/>
          </w:tcPr>
          <w:p w14:paraId="6FE793E7" w14:textId="77777777" w:rsidR="00B56980" w:rsidRPr="00B56980" w:rsidRDefault="00B56980" w:rsidP="00B56980">
            <w:pPr>
              <w:rPr>
                <w:rFonts w:cs="Arial"/>
                <w:sz w:val="22"/>
                <w:szCs w:val="22"/>
                <w:lang w:val="fr-FR"/>
              </w:rPr>
            </w:pPr>
            <w:r w:rsidRPr="00B56980">
              <w:rPr>
                <w:rFonts w:cs="Arial"/>
                <w:sz w:val="22"/>
                <w:szCs w:val="22"/>
                <w:lang w:val="fr-FR"/>
              </w:rPr>
              <w:t>See Table 1: Physical environment exposure zone examples.  </w:t>
            </w:r>
          </w:p>
          <w:p w14:paraId="22220679" w14:textId="77777777" w:rsidR="00B56980" w:rsidRPr="00B56980" w:rsidRDefault="00B56980" w:rsidP="00B56980">
            <w:pPr>
              <w:rPr>
                <w:rFonts w:cs="Arial"/>
                <w:sz w:val="22"/>
                <w:szCs w:val="22"/>
              </w:rPr>
            </w:pPr>
            <w:r w:rsidRPr="00B56980">
              <w:rPr>
                <w:rFonts w:cs="Arial"/>
                <w:sz w:val="22"/>
                <w:szCs w:val="22"/>
              </w:rPr>
              <w:t>(If you are operating in multiple exposure zones, note these and total the score. Mark at ‘4’ if the total surpasses this). </w:t>
            </w:r>
          </w:p>
        </w:tc>
        <w:tc>
          <w:tcPr>
            <w:tcW w:w="777" w:type="dxa"/>
            <w:tcBorders>
              <w:top w:val="single" w:sz="6" w:space="0" w:color="CCCCCC"/>
              <w:left w:val="single" w:sz="6" w:space="0" w:color="CCCCCC"/>
              <w:bottom w:val="single" w:sz="6" w:space="0" w:color="000000"/>
              <w:right w:val="single" w:sz="6" w:space="0" w:color="000000"/>
            </w:tcBorders>
            <w:hideMark/>
          </w:tcPr>
          <w:p w14:paraId="0E5F05AF" w14:textId="77777777" w:rsidR="00B56980" w:rsidRPr="00B56980" w:rsidRDefault="00B56980" w:rsidP="00B56980">
            <w:pPr>
              <w:rPr>
                <w:rFonts w:cs="Arial"/>
                <w:sz w:val="22"/>
                <w:szCs w:val="22"/>
              </w:rPr>
            </w:pPr>
            <w:r w:rsidRPr="00B56980">
              <w:rPr>
                <w:rFonts w:cs="Arial"/>
                <w:sz w:val="22"/>
                <w:szCs w:val="22"/>
              </w:rPr>
              <w:t>4 </w:t>
            </w:r>
          </w:p>
        </w:tc>
        <w:tc>
          <w:tcPr>
            <w:tcW w:w="1974" w:type="dxa"/>
            <w:tcBorders>
              <w:top w:val="single" w:sz="6" w:space="0" w:color="CCCCCC"/>
              <w:left w:val="single" w:sz="6" w:space="0" w:color="CCCCCC"/>
              <w:bottom w:val="single" w:sz="6" w:space="0" w:color="000000"/>
              <w:right w:val="single" w:sz="6" w:space="0" w:color="000000"/>
            </w:tcBorders>
            <w:hideMark/>
          </w:tcPr>
          <w:p w14:paraId="6E69C71D" w14:textId="77777777" w:rsidR="00B56980" w:rsidRPr="00B56980" w:rsidRDefault="00B56980" w:rsidP="00B56980">
            <w:pPr>
              <w:rPr>
                <w:rFonts w:cs="Arial"/>
                <w:sz w:val="22"/>
                <w:szCs w:val="22"/>
              </w:rPr>
            </w:pPr>
            <w:r w:rsidRPr="00B56980">
              <w:rPr>
                <w:rFonts w:cs="Arial"/>
                <w:sz w:val="22"/>
                <w:szCs w:val="22"/>
              </w:rPr>
              <w:t>A mixture – ranging from arid/semi-arid, to humid and sub-humid, as well as some small islands and low-lying coastal areas. </w:t>
            </w:r>
          </w:p>
        </w:tc>
      </w:tr>
      <w:tr w:rsidR="00B56980" w:rsidRPr="00B56980" w14:paraId="3477C336"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44256AED" w14:textId="77777777" w:rsidR="00B56980" w:rsidRPr="00B56980" w:rsidRDefault="00B56980" w:rsidP="00B56980">
            <w:pPr>
              <w:rPr>
                <w:rFonts w:cs="Arial"/>
                <w:sz w:val="22"/>
                <w:szCs w:val="22"/>
              </w:rPr>
            </w:pPr>
            <w:r w:rsidRPr="00B56980">
              <w:rPr>
                <w:rFonts w:cs="Arial"/>
                <w:sz w:val="22"/>
                <w:szCs w:val="22"/>
              </w:rPr>
              <w:t>2. What sectoral vulnerabilities can be identified?  </w:t>
            </w:r>
          </w:p>
        </w:tc>
        <w:tc>
          <w:tcPr>
            <w:tcW w:w="4549" w:type="dxa"/>
            <w:tcBorders>
              <w:top w:val="single" w:sz="6" w:space="0" w:color="CCCCCC"/>
              <w:left w:val="single" w:sz="6" w:space="0" w:color="CCCCCC"/>
              <w:bottom w:val="single" w:sz="6" w:space="0" w:color="000000"/>
              <w:right w:val="single" w:sz="6" w:space="0" w:color="000000"/>
            </w:tcBorders>
            <w:hideMark/>
          </w:tcPr>
          <w:p w14:paraId="6A83E255" w14:textId="77777777" w:rsidR="00B56980" w:rsidRPr="00B56980" w:rsidRDefault="00B56980" w:rsidP="00B56980">
            <w:pPr>
              <w:rPr>
                <w:rFonts w:cs="Arial"/>
                <w:sz w:val="22"/>
                <w:szCs w:val="22"/>
              </w:rPr>
            </w:pPr>
            <w:r w:rsidRPr="00B56980">
              <w:rPr>
                <w:rFonts w:cs="Arial"/>
                <w:sz w:val="22"/>
                <w:szCs w:val="22"/>
              </w:rPr>
              <w:t>See Table 2: Vulnerabilities by sector.  </w:t>
            </w:r>
          </w:p>
          <w:p w14:paraId="608EC7B8" w14:textId="77777777" w:rsidR="00B56980" w:rsidRPr="00B56980" w:rsidRDefault="00B56980" w:rsidP="00B56980">
            <w:pPr>
              <w:rPr>
                <w:rFonts w:cs="Arial"/>
                <w:sz w:val="22"/>
                <w:szCs w:val="22"/>
              </w:rPr>
            </w:pPr>
            <w:r w:rsidRPr="00B56980">
              <w:rPr>
                <w:rFonts w:cs="Arial"/>
                <w:sz w:val="22"/>
                <w:szCs w:val="22"/>
              </w:rPr>
              <w:t>Consider the impact of these vulnerabilities both on</w:t>
            </w:r>
            <w:r w:rsidRPr="00B56980">
              <w:rPr>
                <w:rFonts w:cs="Arial"/>
                <w:b/>
                <w:bCs/>
                <w:sz w:val="22"/>
                <w:szCs w:val="22"/>
              </w:rPr>
              <w:t> </w:t>
            </w:r>
            <w:r w:rsidRPr="00B56980">
              <w:rPr>
                <w:rFonts w:cs="Arial"/>
                <w:sz w:val="22"/>
                <w:szCs w:val="22"/>
              </w:rPr>
              <w:t>the programme, and the potential for</w:t>
            </w:r>
            <w:r w:rsidRPr="00B56980">
              <w:rPr>
                <w:rFonts w:cs="Arial"/>
                <w:b/>
                <w:bCs/>
                <w:sz w:val="22"/>
                <w:szCs w:val="22"/>
              </w:rPr>
              <w:t> </w:t>
            </w:r>
            <w:r w:rsidRPr="00B56980">
              <w:rPr>
                <w:rFonts w:cs="Arial"/>
                <w:sz w:val="22"/>
                <w:szCs w:val="22"/>
              </w:rPr>
              <w:t>the programme to exacerbate these vulnerabilities.  </w:t>
            </w:r>
          </w:p>
          <w:p w14:paraId="6090CCD0" w14:textId="77777777" w:rsidR="00B56980" w:rsidRPr="00B56980" w:rsidRDefault="00B56980" w:rsidP="00B56980">
            <w:pPr>
              <w:rPr>
                <w:rFonts w:cs="Arial"/>
                <w:sz w:val="22"/>
                <w:szCs w:val="22"/>
              </w:rPr>
            </w:pPr>
            <w:r w:rsidRPr="00B56980">
              <w:rPr>
                <w:rFonts w:cs="Arial"/>
                <w:sz w:val="22"/>
                <w:szCs w:val="22"/>
              </w:rPr>
              <w:t>(If several sectoral vulnerabilities are identified, note these and mark the highest scoring sector).  </w:t>
            </w:r>
          </w:p>
        </w:tc>
        <w:tc>
          <w:tcPr>
            <w:tcW w:w="777" w:type="dxa"/>
            <w:tcBorders>
              <w:top w:val="single" w:sz="6" w:space="0" w:color="CCCCCC"/>
              <w:left w:val="single" w:sz="6" w:space="0" w:color="CCCCCC"/>
              <w:bottom w:val="single" w:sz="6" w:space="0" w:color="000000"/>
              <w:right w:val="single" w:sz="6" w:space="0" w:color="000000"/>
            </w:tcBorders>
            <w:hideMark/>
          </w:tcPr>
          <w:p w14:paraId="2E0E21C7" w14:textId="77777777" w:rsidR="00B56980" w:rsidRPr="00B56980" w:rsidRDefault="00B56980" w:rsidP="00B56980">
            <w:pPr>
              <w:rPr>
                <w:rFonts w:cs="Arial"/>
                <w:sz w:val="22"/>
                <w:szCs w:val="22"/>
              </w:rPr>
            </w:pPr>
            <w:r w:rsidRPr="00B56980">
              <w:rPr>
                <w:rFonts w:cs="Arial"/>
                <w:sz w:val="22"/>
                <w:szCs w:val="22"/>
              </w:rPr>
              <w:t>3 </w:t>
            </w:r>
          </w:p>
        </w:tc>
        <w:tc>
          <w:tcPr>
            <w:tcW w:w="1974" w:type="dxa"/>
            <w:tcBorders>
              <w:top w:val="single" w:sz="6" w:space="0" w:color="CCCCCC"/>
              <w:left w:val="single" w:sz="6" w:space="0" w:color="CCCCCC"/>
              <w:bottom w:val="single" w:sz="6" w:space="0" w:color="000000"/>
              <w:right w:val="single" w:sz="6" w:space="0" w:color="000000"/>
            </w:tcBorders>
            <w:hideMark/>
          </w:tcPr>
          <w:p w14:paraId="6F329D71" w14:textId="77777777" w:rsidR="00B56980" w:rsidRPr="00B56980" w:rsidRDefault="00B56980" w:rsidP="00B56980">
            <w:pPr>
              <w:rPr>
                <w:rFonts w:cs="Arial"/>
                <w:sz w:val="22"/>
                <w:szCs w:val="22"/>
              </w:rPr>
            </w:pPr>
            <w:r w:rsidRPr="00B56980">
              <w:rPr>
                <w:rFonts w:cs="Arial"/>
                <w:sz w:val="22"/>
                <w:szCs w:val="22"/>
              </w:rPr>
              <w:t>Agriculture and Natural Resources – some of the impacts include:   </w:t>
            </w:r>
          </w:p>
          <w:p w14:paraId="03CEE334" w14:textId="77777777" w:rsidR="00B56980" w:rsidRPr="00B56980" w:rsidRDefault="00B56980" w:rsidP="00B56980">
            <w:pPr>
              <w:numPr>
                <w:ilvl w:val="0"/>
                <w:numId w:val="175"/>
              </w:numPr>
              <w:rPr>
                <w:rFonts w:cs="Arial"/>
                <w:sz w:val="22"/>
                <w:szCs w:val="22"/>
              </w:rPr>
            </w:pPr>
            <w:r w:rsidRPr="00B56980">
              <w:rPr>
                <w:rFonts w:cs="Arial"/>
                <w:sz w:val="22"/>
                <w:szCs w:val="22"/>
              </w:rPr>
              <w:t>impacts on crop production or yield,   </w:t>
            </w:r>
          </w:p>
          <w:p w14:paraId="32EEEBC7" w14:textId="77777777" w:rsidR="00B56980" w:rsidRPr="00B56980" w:rsidRDefault="00B56980" w:rsidP="00B56980">
            <w:pPr>
              <w:numPr>
                <w:ilvl w:val="0"/>
                <w:numId w:val="176"/>
              </w:numPr>
              <w:rPr>
                <w:rFonts w:cs="Arial"/>
                <w:sz w:val="22"/>
                <w:szCs w:val="22"/>
              </w:rPr>
            </w:pPr>
            <w:r w:rsidRPr="00B56980">
              <w:rPr>
                <w:rFonts w:cs="Arial"/>
                <w:sz w:val="22"/>
                <w:szCs w:val="22"/>
              </w:rPr>
              <w:t>changes in diversity,  </w:t>
            </w:r>
          </w:p>
          <w:p w14:paraId="12D7F961" w14:textId="77777777" w:rsidR="00B56980" w:rsidRPr="00B56980" w:rsidRDefault="00B56980" w:rsidP="00B56980">
            <w:pPr>
              <w:numPr>
                <w:ilvl w:val="0"/>
                <w:numId w:val="177"/>
              </w:numPr>
              <w:rPr>
                <w:rFonts w:cs="Arial"/>
                <w:sz w:val="22"/>
                <w:szCs w:val="22"/>
              </w:rPr>
            </w:pPr>
            <w:r w:rsidRPr="00B56980">
              <w:rPr>
                <w:rFonts w:cs="Arial"/>
                <w:sz w:val="22"/>
                <w:szCs w:val="22"/>
              </w:rPr>
              <w:t>impacts on water availability,  </w:t>
            </w:r>
          </w:p>
          <w:p w14:paraId="0286A7AD" w14:textId="77777777" w:rsidR="00B56980" w:rsidRPr="00B56980" w:rsidRDefault="00B56980" w:rsidP="00B56980">
            <w:pPr>
              <w:numPr>
                <w:ilvl w:val="0"/>
                <w:numId w:val="178"/>
              </w:numPr>
              <w:rPr>
                <w:rFonts w:cs="Arial"/>
                <w:sz w:val="22"/>
                <w:szCs w:val="22"/>
              </w:rPr>
            </w:pPr>
            <w:r w:rsidRPr="00B56980">
              <w:rPr>
                <w:rFonts w:cs="Arial"/>
                <w:sz w:val="22"/>
                <w:szCs w:val="22"/>
              </w:rPr>
              <w:t>impacts on freshwater due to drought,   </w:t>
            </w:r>
          </w:p>
          <w:p w14:paraId="02DB5C7C" w14:textId="77777777" w:rsidR="00B56980" w:rsidRPr="00B56980" w:rsidRDefault="00B56980" w:rsidP="00B56980">
            <w:pPr>
              <w:numPr>
                <w:ilvl w:val="0"/>
                <w:numId w:val="179"/>
              </w:numPr>
              <w:rPr>
                <w:rFonts w:cs="Arial"/>
                <w:sz w:val="22"/>
                <w:szCs w:val="22"/>
              </w:rPr>
            </w:pPr>
            <w:r w:rsidRPr="00B56980">
              <w:rPr>
                <w:rFonts w:cs="Arial"/>
                <w:sz w:val="22"/>
                <w:szCs w:val="22"/>
              </w:rPr>
              <w:t>Impacts on land-sea interactions affecting sensitive habitats of marine species through changing </w:t>
            </w:r>
            <w:r w:rsidRPr="00B56980">
              <w:rPr>
                <w:rFonts w:cs="Arial"/>
                <w:sz w:val="22"/>
                <w:szCs w:val="22"/>
              </w:rPr>
              <w:lastRenderedPageBreak/>
              <w:t>water temperatures, increased incidents of marine pollution, greater incidents of coastal erosion, or incidents of algae blooms from warming ocean areas.  </w:t>
            </w:r>
          </w:p>
        </w:tc>
      </w:tr>
      <w:tr w:rsidR="00B56980" w:rsidRPr="00B56980" w14:paraId="588AA895"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7188C800" w14:textId="77777777" w:rsidR="00B56980" w:rsidRPr="00B56980" w:rsidRDefault="00B56980" w:rsidP="00B56980">
            <w:pPr>
              <w:rPr>
                <w:rFonts w:cs="Arial"/>
                <w:sz w:val="22"/>
                <w:szCs w:val="22"/>
              </w:rPr>
            </w:pPr>
            <w:r w:rsidRPr="00B56980">
              <w:rPr>
                <w:rFonts w:cs="Arial"/>
                <w:sz w:val="22"/>
                <w:szCs w:val="22"/>
              </w:rPr>
              <w:lastRenderedPageBreak/>
              <w:t>3. What relevant individual hazards can be identified? </w:t>
            </w:r>
          </w:p>
        </w:tc>
        <w:tc>
          <w:tcPr>
            <w:tcW w:w="4549" w:type="dxa"/>
            <w:tcBorders>
              <w:top w:val="single" w:sz="6" w:space="0" w:color="CCCCCC"/>
              <w:left w:val="single" w:sz="6" w:space="0" w:color="CCCCCC"/>
              <w:bottom w:val="single" w:sz="6" w:space="0" w:color="000000"/>
              <w:right w:val="single" w:sz="6" w:space="0" w:color="000000"/>
            </w:tcBorders>
            <w:hideMark/>
          </w:tcPr>
          <w:p w14:paraId="276D94F3" w14:textId="77777777" w:rsidR="00B56980" w:rsidRPr="00B56980" w:rsidRDefault="00B56980" w:rsidP="00B56980">
            <w:pPr>
              <w:rPr>
                <w:rFonts w:cs="Arial"/>
                <w:sz w:val="22"/>
                <w:szCs w:val="22"/>
              </w:rPr>
            </w:pPr>
            <w:r w:rsidRPr="00B56980">
              <w:rPr>
                <w:rFonts w:cs="Arial"/>
                <w:sz w:val="22"/>
                <w:szCs w:val="22"/>
              </w:rPr>
              <w:t>See Table 3: List of hazards. </w:t>
            </w:r>
          </w:p>
          <w:p w14:paraId="31F7E5F3" w14:textId="77777777" w:rsidR="00B56980" w:rsidRPr="00B56980" w:rsidRDefault="00B56980" w:rsidP="00B56980">
            <w:pPr>
              <w:rPr>
                <w:rFonts w:cs="Arial"/>
                <w:sz w:val="22"/>
                <w:szCs w:val="22"/>
              </w:rPr>
            </w:pPr>
            <w:r w:rsidRPr="00B56980">
              <w:rPr>
                <w:rFonts w:cs="Arial"/>
                <w:sz w:val="22"/>
                <w:szCs w:val="22"/>
              </w:rPr>
              <w:t>(Add 1 for each natural hazard, up to a maximum of 4. If hazards are unknown use 3 as a risk value). </w:t>
            </w:r>
          </w:p>
        </w:tc>
        <w:tc>
          <w:tcPr>
            <w:tcW w:w="777" w:type="dxa"/>
            <w:tcBorders>
              <w:top w:val="single" w:sz="6" w:space="0" w:color="CCCCCC"/>
              <w:left w:val="single" w:sz="6" w:space="0" w:color="CCCCCC"/>
              <w:bottom w:val="single" w:sz="6" w:space="0" w:color="000000"/>
              <w:right w:val="single" w:sz="6" w:space="0" w:color="000000"/>
            </w:tcBorders>
            <w:hideMark/>
          </w:tcPr>
          <w:p w14:paraId="0E3D738C" w14:textId="77777777" w:rsidR="00B56980" w:rsidRPr="00B56980" w:rsidRDefault="00B56980" w:rsidP="00B56980">
            <w:pPr>
              <w:rPr>
                <w:rFonts w:cs="Arial"/>
                <w:sz w:val="22"/>
                <w:szCs w:val="22"/>
              </w:rPr>
            </w:pPr>
            <w:r w:rsidRPr="00B56980">
              <w:rPr>
                <w:rFonts w:cs="Arial"/>
                <w:sz w:val="22"/>
                <w:szCs w:val="22"/>
              </w:rPr>
              <w:t>4 </w:t>
            </w:r>
          </w:p>
        </w:tc>
        <w:tc>
          <w:tcPr>
            <w:tcW w:w="1974" w:type="dxa"/>
            <w:tcBorders>
              <w:top w:val="single" w:sz="6" w:space="0" w:color="CCCCCC"/>
              <w:left w:val="single" w:sz="6" w:space="0" w:color="CCCCCC"/>
              <w:bottom w:val="single" w:sz="6" w:space="0" w:color="000000"/>
              <w:right w:val="single" w:sz="6" w:space="0" w:color="000000"/>
            </w:tcBorders>
            <w:hideMark/>
          </w:tcPr>
          <w:p w14:paraId="66867449" w14:textId="77777777" w:rsidR="00B56980" w:rsidRPr="00B56980" w:rsidRDefault="00B56980" w:rsidP="00B56980">
            <w:pPr>
              <w:rPr>
                <w:rFonts w:cs="Arial"/>
                <w:sz w:val="22"/>
                <w:szCs w:val="22"/>
              </w:rPr>
            </w:pPr>
            <w:r w:rsidRPr="00B56980">
              <w:rPr>
                <w:rFonts w:cs="Arial"/>
                <w:sz w:val="22"/>
                <w:szCs w:val="22"/>
              </w:rPr>
              <w:t>Some of these may impact the programme (however as the programme operates in up to 20 countries, impacts may occur in certain countries but impact on overall programme may be lower):    </w:t>
            </w:r>
          </w:p>
          <w:p w14:paraId="4F27F7B9" w14:textId="77777777" w:rsidR="00B56980" w:rsidRPr="00B56980" w:rsidRDefault="00B56980" w:rsidP="00B56980">
            <w:pPr>
              <w:numPr>
                <w:ilvl w:val="0"/>
                <w:numId w:val="180"/>
              </w:numPr>
              <w:rPr>
                <w:rFonts w:cs="Arial"/>
                <w:sz w:val="22"/>
                <w:szCs w:val="22"/>
              </w:rPr>
            </w:pPr>
            <w:r w:rsidRPr="00B56980">
              <w:rPr>
                <w:rFonts w:cs="Arial"/>
                <w:sz w:val="22"/>
                <w:szCs w:val="22"/>
              </w:rPr>
              <w:t>Extreme temperature including heatwave.    </w:t>
            </w:r>
          </w:p>
          <w:p w14:paraId="4B5760ED" w14:textId="77777777" w:rsidR="00B56980" w:rsidRPr="00B56980" w:rsidRDefault="00B56980" w:rsidP="00B56980">
            <w:pPr>
              <w:numPr>
                <w:ilvl w:val="0"/>
                <w:numId w:val="181"/>
              </w:numPr>
              <w:rPr>
                <w:rFonts w:cs="Arial"/>
                <w:sz w:val="22"/>
                <w:szCs w:val="22"/>
              </w:rPr>
            </w:pPr>
            <w:r w:rsidRPr="00B56980">
              <w:rPr>
                <w:rFonts w:cs="Arial"/>
                <w:sz w:val="22"/>
                <w:szCs w:val="22"/>
              </w:rPr>
              <w:t>Flood   </w:t>
            </w:r>
          </w:p>
          <w:p w14:paraId="722E5370" w14:textId="77777777" w:rsidR="00B56980" w:rsidRPr="00B56980" w:rsidRDefault="00B56980" w:rsidP="00B56980">
            <w:pPr>
              <w:numPr>
                <w:ilvl w:val="0"/>
                <w:numId w:val="182"/>
              </w:numPr>
              <w:rPr>
                <w:rFonts w:cs="Arial"/>
                <w:sz w:val="22"/>
                <w:szCs w:val="22"/>
              </w:rPr>
            </w:pPr>
            <w:r w:rsidRPr="00B56980">
              <w:rPr>
                <w:rFonts w:cs="Arial"/>
                <w:sz w:val="22"/>
                <w:szCs w:val="22"/>
              </w:rPr>
              <w:t>Drought   </w:t>
            </w:r>
          </w:p>
          <w:p w14:paraId="7643ECBD" w14:textId="77777777" w:rsidR="00B56980" w:rsidRPr="00B56980" w:rsidRDefault="00B56980" w:rsidP="00B56980">
            <w:pPr>
              <w:numPr>
                <w:ilvl w:val="0"/>
                <w:numId w:val="183"/>
              </w:numPr>
              <w:rPr>
                <w:rFonts w:cs="Arial"/>
                <w:sz w:val="22"/>
                <w:szCs w:val="22"/>
              </w:rPr>
            </w:pPr>
            <w:r w:rsidRPr="00B56980">
              <w:rPr>
                <w:rFonts w:cs="Arial"/>
                <w:sz w:val="22"/>
                <w:szCs w:val="22"/>
              </w:rPr>
              <w:t>Extreme weather   </w:t>
            </w:r>
          </w:p>
          <w:p w14:paraId="26DE1502" w14:textId="77777777" w:rsidR="00B56980" w:rsidRPr="00B56980" w:rsidRDefault="00B56980" w:rsidP="00B56980">
            <w:pPr>
              <w:numPr>
                <w:ilvl w:val="0"/>
                <w:numId w:val="184"/>
              </w:numPr>
              <w:rPr>
                <w:rFonts w:cs="Arial"/>
                <w:sz w:val="22"/>
                <w:szCs w:val="22"/>
              </w:rPr>
            </w:pPr>
            <w:r w:rsidRPr="00B56980">
              <w:rPr>
                <w:rFonts w:cs="Arial"/>
                <w:sz w:val="22"/>
                <w:szCs w:val="22"/>
              </w:rPr>
              <w:t>Wildfire including forest fires, bush fires and scrubland fires.    </w:t>
            </w:r>
          </w:p>
          <w:p w14:paraId="30D8BB6E" w14:textId="77777777" w:rsidR="00B56980" w:rsidRPr="00B56980" w:rsidRDefault="00B56980" w:rsidP="00B56980">
            <w:pPr>
              <w:numPr>
                <w:ilvl w:val="0"/>
                <w:numId w:val="185"/>
              </w:numPr>
              <w:rPr>
                <w:rFonts w:cs="Arial"/>
                <w:sz w:val="22"/>
                <w:szCs w:val="22"/>
              </w:rPr>
            </w:pPr>
            <w:r w:rsidRPr="00B56980">
              <w:rPr>
                <w:rFonts w:cs="Arial"/>
                <w:sz w:val="22"/>
                <w:szCs w:val="22"/>
              </w:rPr>
              <w:t>Storms   </w:t>
            </w:r>
          </w:p>
          <w:p w14:paraId="059B2C4D" w14:textId="77777777" w:rsidR="00B56980" w:rsidRPr="00B56980" w:rsidRDefault="00B56980" w:rsidP="00B56980">
            <w:pPr>
              <w:numPr>
                <w:ilvl w:val="0"/>
                <w:numId w:val="186"/>
              </w:numPr>
              <w:rPr>
                <w:rFonts w:cs="Arial"/>
                <w:sz w:val="22"/>
                <w:szCs w:val="22"/>
              </w:rPr>
            </w:pPr>
            <w:r w:rsidRPr="00B56980">
              <w:rPr>
                <w:rFonts w:cs="Arial"/>
                <w:sz w:val="22"/>
                <w:szCs w:val="22"/>
              </w:rPr>
              <w:t>Tropical cyclone  </w:t>
            </w:r>
          </w:p>
          <w:p w14:paraId="2CFF486F" w14:textId="77777777" w:rsidR="00B56980" w:rsidRPr="00B56980" w:rsidRDefault="00B56980" w:rsidP="00B56980">
            <w:pPr>
              <w:numPr>
                <w:ilvl w:val="0"/>
                <w:numId w:val="187"/>
              </w:numPr>
              <w:rPr>
                <w:rFonts w:cs="Arial"/>
                <w:sz w:val="22"/>
                <w:szCs w:val="22"/>
              </w:rPr>
            </w:pPr>
            <w:r w:rsidRPr="00B56980">
              <w:rPr>
                <w:rFonts w:cs="Arial"/>
                <w:sz w:val="22"/>
                <w:szCs w:val="22"/>
              </w:rPr>
              <w:t>Epidemic </w:t>
            </w:r>
          </w:p>
        </w:tc>
      </w:tr>
      <w:tr w:rsidR="00B56980" w:rsidRPr="00B56980" w14:paraId="64634047"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5A72494C" w14:textId="77777777" w:rsidR="00B56980" w:rsidRPr="00B56980" w:rsidRDefault="00B56980" w:rsidP="00B56980">
            <w:pPr>
              <w:rPr>
                <w:rFonts w:cs="Arial"/>
                <w:sz w:val="22"/>
                <w:szCs w:val="22"/>
              </w:rPr>
            </w:pPr>
            <w:r w:rsidRPr="00B56980">
              <w:rPr>
                <w:rFonts w:cs="Arial"/>
                <w:sz w:val="22"/>
                <w:szCs w:val="22"/>
              </w:rPr>
              <w:lastRenderedPageBreak/>
              <w:t>4. Estimate the number of people potentially “exposed” to climate-related risks? </w:t>
            </w:r>
          </w:p>
        </w:tc>
        <w:tc>
          <w:tcPr>
            <w:tcW w:w="4549" w:type="dxa"/>
            <w:tcBorders>
              <w:top w:val="single" w:sz="6" w:space="0" w:color="CCCCCC"/>
              <w:left w:val="single" w:sz="6" w:space="0" w:color="CCCCCC"/>
              <w:bottom w:val="single" w:sz="6" w:space="0" w:color="000000"/>
              <w:right w:val="single" w:sz="6" w:space="0" w:color="000000"/>
            </w:tcBorders>
            <w:hideMark/>
          </w:tcPr>
          <w:p w14:paraId="6D72DB66" w14:textId="77777777" w:rsidR="00B56980" w:rsidRPr="00B56980" w:rsidRDefault="00B56980" w:rsidP="00B56980">
            <w:pPr>
              <w:numPr>
                <w:ilvl w:val="0"/>
                <w:numId w:val="188"/>
              </w:numPr>
              <w:rPr>
                <w:rFonts w:cs="Arial"/>
                <w:sz w:val="22"/>
                <w:szCs w:val="22"/>
              </w:rPr>
            </w:pPr>
            <w:r w:rsidRPr="00B56980">
              <w:rPr>
                <w:rFonts w:cs="Arial"/>
                <w:sz w:val="22"/>
                <w:szCs w:val="22"/>
                <w:lang w:val="en"/>
              </w:rPr>
              <w:t> &lt;100 score = 0</w:t>
            </w:r>
            <w:r w:rsidRPr="00B56980">
              <w:rPr>
                <w:rFonts w:cs="Arial"/>
                <w:sz w:val="22"/>
                <w:szCs w:val="22"/>
              </w:rPr>
              <w:t> </w:t>
            </w:r>
          </w:p>
          <w:p w14:paraId="6A57BC62" w14:textId="77777777" w:rsidR="00B56980" w:rsidRPr="00B56980" w:rsidRDefault="00B56980" w:rsidP="00B56980">
            <w:pPr>
              <w:numPr>
                <w:ilvl w:val="0"/>
                <w:numId w:val="189"/>
              </w:numPr>
              <w:rPr>
                <w:rFonts w:cs="Arial"/>
                <w:sz w:val="22"/>
                <w:szCs w:val="22"/>
              </w:rPr>
            </w:pPr>
            <w:r w:rsidRPr="00B56980">
              <w:rPr>
                <w:rFonts w:cs="Arial"/>
                <w:sz w:val="22"/>
                <w:szCs w:val="22"/>
                <w:lang w:val="en"/>
              </w:rPr>
              <w:t>100-1000 score = 1</w:t>
            </w:r>
            <w:r w:rsidRPr="00B56980">
              <w:rPr>
                <w:rFonts w:cs="Arial"/>
                <w:sz w:val="22"/>
                <w:szCs w:val="22"/>
              </w:rPr>
              <w:t> </w:t>
            </w:r>
          </w:p>
          <w:p w14:paraId="42E2DDD5" w14:textId="77777777" w:rsidR="00B56980" w:rsidRPr="00B56980" w:rsidRDefault="00B56980" w:rsidP="00B56980">
            <w:pPr>
              <w:numPr>
                <w:ilvl w:val="0"/>
                <w:numId w:val="190"/>
              </w:numPr>
              <w:rPr>
                <w:rFonts w:cs="Arial"/>
                <w:sz w:val="22"/>
                <w:szCs w:val="22"/>
              </w:rPr>
            </w:pPr>
            <w:r w:rsidRPr="00B56980">
              <w:rPr>
                <w:rFonts w:cs="Arial"/>
                <w:sz w:val="22"/>
                <w:szCs w:val="22"/>
                <w:lang w:val="en"/>
              </w:rPr>
              <w:t>1000-10,000 = 2</w:t>
            </w:r>
            <w:r w:rsidRPr="00B56980">
              <w:rPr>
                <w:rFonts w:cs="Arial"/>
                <w:sz w:val="22"/>
                <w:szCs w:val="22"/>
              </w:rPr>
              <w:t> </w:t>
            </w:r>
          </w:p>
          <w:p w14:paraId="1465133E" w14:textId="77777777" w:rsidR="00B56980" w:rsidRPr="00B56980" w:rsidRDefault="00B56980" w:rsidP="00B56980">
            <w:pPr>
              <w:numPr>
                <w:ilvl w:val="0"/>
                <w:numId w:val="191"/>
              </w:numPr>
              <w:rPr>
                <w:rFonts w:cs="Arial"/>
                <w:sz w:val="22"/>
                <w:szCs w:val="22"/>
              </w:rPr>
            </w:pPr>
            <w:r w:rsidRPr="00B56980">
              <w:rPr>
                <w:rFonts w:cs="Arial"/>
                <w:sz w:val="22"/>
                <w:szCs w:val="22"/>
                <w:lang w:val="en"/>
              </w:rPr>
              <w:t>&gt;10,000 score = 3</w:t>
            </w:r>
            <w:r w:rsidRPr="00B56980">
              <w:rPr>
                <w:rFonts w:cs="Arial"/>
                <w:sz w:val="22"/>
                <w:szCs w:val="22"/>
              </w:rPr>
              <w:t> </w:t>
            </w:r>
          </w:p>
        </w:tc>
        <w:tc>
          <w:tcPr>
            <w:tcW w:w="777" w:type="dxa"/>
            <w:tcBorders>
              <w:top w:val="single" w:sz="6" w:space="0" w:color="CCCCCC"/>
              <w:left w:val="single" w:sz="6" w:space="0" w:color="CCCCCC"/>
              <w:bottom w:val="single" w:sz="6" w:space="0" w:color="000000"/>
              <w:right w:val="single" w:sz="6" w:space="0" w:color="000000"/>
            </w:tcBorders>
            <w:hideMark/>
          </w:tcPr>
          <w:p w14:paraId="049FE35B" w14:textId="77777777" w:rsidR="00B56980" w:rsidRPr="00B56980" w:rsidRDefault="00B56980" w:rsidP="00B56980">
            <w:pPr>
              <w:rPr>
                <w:rFonts w:cs="Arial"/>
                <w:sz w:val="22"/>
                <w:szCs w:val="22"/>
              </w:rPr>
            </w:pPr>
            <w:r w:rsidRPr="00B56980">
              <w:rPr>
                <w:rFonts w:cs="Arial"/>
                <w:sz w:val="22"/>
                <w:szCs w:val="22"/>
              </w:rPr>
              <w:t>3 </w:t>
            </w:r>
          </w:p>
        </w:tc>
        <w:tc>
          <w:tcPr>
            <w:tcW w:w="1974" w:type="dxa"/>
            <w:tcBorders>
              <w:top w:val="single" w:sz="6" w:space="0" w:color="CCCCCC"/>
              <w:left w:val="single" w:sz="6" w:space="0" w:color="CCCCCC"/>
              <w:bottom w:val="single" w:sz="6" w:space="0" w:color="000000"/>
              <w:right w:val="single" w:sz="6" w:space="0" w:color="000000"/>
            </w:tcBorders>
            <w:hideMark/>
          </w:tcPr>
          <w:p w14:paraId="04E1C585" w14:textId="77777777" w:rsidR="00B56980" w:rsidRPr="00B56980" w:rsidRDefault="00B56980" w:rsidP="00B56980">
            <w:pPr>
              <w:rPr>
                <w:rFonts w:cs="Arial"/>
                <w:sz w:val="22"/>
                <w:szCs w:val="22"/>
              </w:rPr>
            </w:pPr>
            <w:r w:rsidRPr="00B56980">
              <w:rPr>
                <w:rFonts w:cs="Arial"/>
                <w:sz w:val="22"/>
                <w:szCs w:val="22"/>
              </w:rPr>
              <w:t>Scoring 3 for assumed cumulative as AIM4Forests will work in 20 different countries.  </w:t>
            </w:r>
          </w:p>
        </w:tc>
      </w:tr>
      <w:tr w:rsidR="00B56980" w:rsidRPr="00B56980" w14:paraId="4A2EC194" w14:textId="77777777" w:rsidTr="004A7D84">
        <w:trPr>
          <w:trHeight w:val="315"/>
        </w:trPr>
        <w:tc>
          <w:tcPr>
            <w:tcW w:w="10188" w:type="dxa"/>
            <w:gridSpan w:val="4"/>
            <w:tcBorders>
              <w:top w:val="single" w:sz="6" w:space="0" w:color="CCCCCC"/>
              <w:left w:val="single" w:sz="6" w:space="0" w:color="000000"/>
              <w:bottom w:val="single" w:sz="6" w:space="0" w:color="000000"/>
              <w:right w:val="single" w:sz="6" w:space="0" w:color="000000"/>
            </w:tcBorders>
            <w:hideMark/>
          </w:tcPr>
          <w:p w14:paraId="4EA5D024" w14:textId="77777777" w:rsidR="00B56980" w:rsidRPr="00B56980" w:rsidRDefault="00B56980" w:rsidP="00B56980">
            <w:pPr>
              <w:rPr>
                <w:rFonts w:cs="Arial"/>
                <w:sz w:val="22"/>
                <w:szCs w:val="22"/>
              </w:rPr>
            </w:pPr>
            <w:r w:rsidRPr="00B56980">
              <w:rPr>
                <w:rFonts w:cs="Arial"/>
                <w:b/>
                <w:bCs/>
                <w:i/>
                <w:iCs/>
                <w:sz w:val="22"/>
                <w:szCs w:val="22"/>
              </w:rPr>
              <w:t>If the TOTAL value for the first four questions sums to 4 or less there is no need to complete the remaining questions. You will not be required to complete any further scoping or full CRAA. </w:t>
            </w:r>
            <w:r w:rsidRPr="00B56980">
              <w:rPr>
                <w:rFonts w:cs="Arial"/>
                <w:sz w:val="22"/>
                <w:szCs w:val="22"/>
              </w:rPr>
              <w:t> </w:t>
            </w:r>
          </w:p>
        </w:tc>
      </w:tr>
      <w:tr w:rsidR="00B56980" w:rsidRPr="00B56980" w14:paraId="6EB7E1D8" w14:textId="77777777" w:rsidTr="004A7D84">
        <w:trPr>
          <w:trHeight w:val="315"/>
        </w:trPr>
        <w:tc>
          <w:tcPr>
            <w:tcW w:w="10188" w:type="dxa"/>
            <w:gridSpan w:val="4"/>
            <w:tcBorders>
              <w:top w:val="single" w:sz="6" w:space="0" w:color="CCCCCC"/>
              <w:left w:val="single" w:sz="6" w:space="0" w:color="000000"/>
              <w:bottom w:val="single" w:sz="6" w:space="0" w:color="000000"/>
              <w:right w:val="single" w:sz="6" w:space="0" w:color="000000"/>
            </w:tcBorders>
            <w:hideMark/>
          </w:tcPr>
          <w:p w14:paraId="7EC5360F" w14:textId="77777777" w:rsidR="00B56980" w:rsidRPr="00B56980" w:rsidRDefault="00B56980" w:rsidP="00B56980">
            <w:pPr>
              <w:rPr>
                <w:rFonts w:cs="Arial"/>
                <w:sz w:val="22"/>
                <w:szCs w:val="22"/>
              </w:rPr>
            </w:pPr>
            <w:r w:rsidRPr="00B56980">
              <w:rPr>
                <w:rFonts w:cs="Arial"/>
                <w:sz w:val="22"/>
                <w:szCs w:val="22"/>
                <w:u w:val="single"/>
              </w:rPr>
              <w:t>Stakeholder engagement and adaptation support</w:t>
            </w:r>
            <w:r w:rsidRPr="00B56980">
              <w:rPr>
                <w:rFonts w:cs="Arial"/>
                <w:sz w:val="22"/>
                <w:szCs w:val="22"/>
              </w:rPr>
              <w:t> </w:t>
            </w:r>
          </w:p>
        </w:tc>
      </w:tr>
      <w:tr w:rsidR="00B56980" w:rsidRPr="00B56980" w14:paraId="1537C436"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1F601A2D" w14:textId="77777777" w:rsidR="00B56980" w:rsidRPr="00B56980" w:rsidRDefault="00B56980" w:rsidP="00B56980">
            <w:pPr>
              <w:rPr>
                <w:rFonts w:cs="Arial"/>
                <w:sz w:val="22"/>
                <w:szCs w:val="22"/>
              </w:rPr>
            </w:pPr>
            <w:r w:rsidRPr="00B56980">
              <w:rPr>
                <w:rFonts w:cs="Arial"/>
                <w:sz w:val="22"/>
                <w:szCs w:val="22"/>
              </w:rPr>
              <w:t>5. Does the programme have the institutional capacity to successfully incorporate, manage and deliver climate risk management measures? </w:t>
            </w:r>
          </w:p>
        </w:tc>
        <w:tc>
          <w:tcPr>
            <w:tcW w:w="4549" w:type="dxa"/>
            <w:tcBorders>
              <w:top w:val="single" w:sz="6" w:space="0" w:color="CCCCCC"/>
              <w:left w:val="single" w:sz="6" w:space="0" w:color="CCCCCC"/>
              <w:bottom w:val="single" w:sz="6" w:space="0" w:color="000000"/>
              <w:right w:val="single" w:sz="6" w:space="0" w:color="000000"/>
            </w:tcBorders>
            <w:hideMark/>
          </w:tcPr>
          <w:p w14:paraId="44D8E9D1" w14:textId="77777777" w:rsidR="00B56980" w:rsidRPr="00B56980" w:rsidRDefault="00B56980" w:rsidP="00B56980">
            <w:pPr>
              <w:rPr>
                <w:rFonts w:cs="Arial"/>
                <w:sz w:val="22"/>
                <w:szCs w:val="22"/>
              </w:rPr>
            </w:pPr>
            <w:r w:rsidRPr="00B56980">
              <w:rPr>
                <w:rFonts w:cs="Arial"/>
                <w:sz w:val="22"/>
                <w:szCs w:val="22"/>
              </w:rPr>
              <w:t>Yes/No  </w:t>
            </w:r>
          </w:p>
          <w:p w14:paraId="508EDCFA" w14:textId="77777777" w:rsidR="00B56980" w:rsidRPr="00B56980" w:rsidRDefault="00B56980" w:rsidP="00B56980">
            <w:pPr>
              <w:numPr>
                <w:ilvl w:val="0"/>
                <w:numId w:val="192"/>
              </w:numPr>
              <w:rPr>
                <w:rFonts w:cs="Arial"/>
                <w:sz w:val="22"/>
                <w:szCs w:val="22"/>
              </w:rPr>
            </w:pPr>
            <w:r w:rsidRPr="00B56980">
              <w:rPr>
                <w:rFonts w:cs="Arial"/>
                <w:sz w:val="22"/>
                <w:szCs w:val="22"/>
                <w:lang w:val="en"/>
              </w:rPr>
              <w:t>Yes, good capacity = 0</w:t>
            </w:r>
            <w:r w:rsidRPr="00B56980">
              <w:rPr>
                <w:rFonts w:cs="Arial"/>
                <w:sz w:val="22"/>
                <w:szCs w:val="22"/>
              </w:rPr>
              <w:t> </w:t>
            </w:r>
          </w:p>
          <w:p w14:paraId="13C04BCC" w14:textId="77777777" w:rsidR="00B56980" w:rsidRPr="00B56980" w:rsidRDefault="00B56980" w:rsidP="00B56980">
            <w:pPr>
              <w:numPr>
                <w:ilvl w:val="0"/>
                <w:numId w:val="193"/>
              </w:numPr>
              <w:rPr>
                <w:rFonts w:cs="Arial"/>
                <w:sz w:val="22"/>
                <w:szCs w:val="22"/>
              </w:rPr>
            </w:pPr>
            <w:r w:rsidRPr="00B56980">
              <w:rPr>
                <w:rFonts w:cs="Arial"/>
                <w:sz w:val="22"/>
                <w:szCs w:val="22"/>
                <w:lang w:val="en"/>
              </w:rPr>
              <w:t>No, poor capacity = 1 </w:t>
            </w:r>
            <w:r w:rsidRPr="00B56980">
              <w:rPr>
                <w:rFonts w:cs="Arial"/>
                <w:sz w:val="22"/>
                <w:szCs w:val="22"/>
              </w:rPr>
              <w:t> </w:t>
            </w:r>
          </w:p>
          <w:p w14:paraId="532896F1" w14:textId="77777777" w:rsidR="00B56980" w:rsidRPr="00B56980" w:rsidRDefault="00B56980" w:rsidP="00B56980">
            <w:pPr>
              <w:numPr>
                <w:ilvl w:val="0"/>
                <w:numId w:val="194"/>
              </w:numPr>
              <w:rPr>
                <w:rFonts w:cs="Arial"/>
                <w:sz w:val="22"/>
                <w:szCs w:val="22"/>
              </w:rPr>
            </w:pPr>
            <w:r w:rsidRPr="00B56980">
              <w:rPr>
                <w:rFonts w:cs="Arial"/>
                <w:sz w:val="22"/>
                <w:szCs w:val="22"/>
                <w:lang w:val="en-US"/>
              </w:rPr>
              <w:t>Very poor capacity = 2</w:t>
            </w:r>
            <w:r w:rsidRPr="00B56980">
              <w:rPr>
                <w:rFonts w:cs="Arial"/>
                <w:sz w:val="22"/>
                <w:szCs w:val="22"/>
              </w:rPr>
              <w:t> </w:t>
            </w:r>
          </w:p>
        </w:tc>
        <w:tc>
          <w:tcPr>
            <w:tcW w:w="777" w:type="dxa"/>
            <w:tcBorders>
              <w:top w:val="single" w:sz="6" w:space="0" w:color="CCCCCC"/>
              <w:left w:val="single" w:sz="6" w:space="0" w:color="CCCCCC"/>
              <w:bottom w:val="single" w:sz="6" w:space="0" w:color="000000"/>
              <w:right w:val="single" w:sz="6" w:space="0" w:color="000000"/>
            </w:tcBorders>
            <w:hideMark/>
          </w:tcPr>
          <w:p w14:paraId="5733807A"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6" w:space="0" w:color="CCCCCC"/>
              <w:left w:val="single" w:sz="6" w:space="0" w:color="CCCCCC"/>
              <w:bottom w:val="single" w:sz="6" w:space="0" w:color="000000"/>
              <w:right w:val="single" w:sz="6" w:space="0" w:color="000000"/>
            </w:tcBorders>
            <w:hideMark/>
          </w:tcPr>
          <w:p w14:paraId="6DD4BBDB" w14:textId="77777777" w:rsidR="00B56980" w:rsidRPr="00B56980" w:rsidRDefault="00B56980" w:rsidP="00B56980">
            <w:pPr>
              <w:rPr>
                <w:rFonts w:cs="Arial"/>
                <w:sz w:val="22"/>
                <w:szCs w:val="22"/>
              </w:rPr>
            </w:pPr>
            <w:r w:rsidRPr="00B56980">
              <w:rPr>
                <w:rFonts w:cs="Arial"/>
                <w:sz w:val="22"/>
                <w:szCs w:val="22"/>
              </w:rPr>
              <w:t>The programme is providing technical support to monitor, track and respond to climate/forest related risks. FAO are a strong, well-reputed and trusted institution for providing appropriate support. </w:t>
            </w:r>
          </w:p>
        </w:tc>
      </w:tr>
      <w:tr w:rsidR="00B56980" w:rsidRPr="00B56980" w14:paraId="6064FD04"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176F04A4" w14:textId="77777777" w:rsidR="00B56980" w:rsidRPr="00B56980" w:rsidRDefault="00B56980" w:rsidP="00B56980">
            <w:pPr>
              <w:rPr>
                <w:rFonts w:cs="Arial"/>
                <w:sz w:val="22"/>
                <w:szCs w:val="22"/>
              </w:rPr>
            </w:pPr>
            <w:r w:rsidRPr="00B56980">
              <w:rPr>
                <w:rFonts w:cs="Arial"/>
                <w:sz w:val="22"/>
                <w:szCs w:val="22"/>
              </w:rPr>
              <w:t>6. Will potential hazards impact on communities, gender, people with disabilities or indigenous peoples?  </w:t>
            </w:r>
          </w:p>
        </w:tc>
        <w:tc>
          <w:tcPr>
            <w:tcW w:w="4549" w:type="dxa"/>
            <w:tcBorders>
              <w:top w:val="single" w:sz="6" w:space="0" w:color="CCCCCC"/>
              <w:left w:val="single" w:sz="6" w:space="0" w:color="CCCCCC"/>
              <w:bottom w:val="single" w:sz="6" w:space="0" w:color="000000"/>
              <w:right w:val="single" w:sz="6" w:space="0" w:color="000000"/>
            </w:tcBorders>
            <w:hideMark/>
          </w:tcPr>
          <w:p w14:paraId="1911C3D3" w14:textId="77777777" w:rsidR="00B56980" w:rsidRPr="00B56980" w:rsidRDefault="00B56980" w:rsidP="00B56980">
            <w:pPr>
              <w:rPr>
                <w:rFonts w:cs="Arial"/>
                <w:sz w:val="22"/>
                <w:szCs w:val="22"/>
              </w:rPr>
            </w:pPr>
            <w:r w:rsidRPr="00B56980">
              <w:rPr>
                <w:rFonts w:cs="Arial"/>
                <w:sz w:val="22"/>
                <w:szCs w:val="22"/>
              </w:rPr>
              <w:t>Yes/No  </w:t>
            </w:r>
          </w:p>
          <w:p w14:paraId="59922AA0" w14:textId="77777777" w:rsidR="00B56980" w:rsidRPr="00B56980" w:rsidRDefault="00B56980" w:rsidP="00B56980">
            <w:pPr>
              <w:numPr>
                <w:ilvl w:val="0"/>
                <w:numId w:val="195"/>
              </w:numPr>
              <w:rPr>
                <w:rFonts w:cs="Arial"/>
                <w:sz w:val="22"/>
                <w:szCs w:val="22"/>
              </w:rPr>
            </w:pPr>
            <w:r w:rsidRPr="00B56980">
              <w:rPr>
                <w:rFonts w:cs="Arial"/>
                <w:sz w:val="22"/>
                <w:szCs w:val="22"/>
                <w:lang w:val="en"/>
              </w:rPr>
              <w:t>Yes = 0</w:t>
            </w:r>
            <w:r w:rsidRPr="00B56980">
              <w:rPr>
                <w:rFonts w:cs="Arial"/>
                <w:sz w:val="22"/>
                <w:szCs w:val="22"/>
              </w:rPr>
              <w:t> </w:t>
            </w:r>
          </w:p>
          <w:p w14:paraId="577A2613" w14:textId="77777777" w:rsidR="00B56980" w:rsidRPr="00B56980" w:rsidRDefault="00B56980" w:rsidP="00B56980">
            <w:pPr>
              <w:numPr>
                <w:ilvl w:val="0"/>
                <w:numId w:val="196"/>
              </w:numPr>
              <w:rPr>
                <w:rFonts w:cs="Arial"/>
                <w:sz w:val="22"/>
                <w:szCs w:val="22"/>
              </w:rPr>
            </w:pPr>
            <w:r w:rsidRPr="00B56980">
              <w:rPr>
                <w:rFonts w:cs="Arial"/>
                <w:sz w:val="22"/>
                <w:szCs w:val="22"/>
                <w:lang w:val="en"/>
              </w:rPr>
              <w:t>No / Unsure = 1</w:t>
            </w:r>
            <w:r w:rsidRPr="00B56980">
              <w:rPr>
                <w:rFonts w:cs="Arial"/>
                <w:sz w:val="22"/>
                <w:szCs w:val="22"/>
              </w:rPr>
              <w:t> </w:t>
            </w:r>
          </w:p>
        </w:tc>
        <w:tc>
          <w:tcPr>
            <w:tcW w:w="777" w:type="dxa"/>
            <w:tcBorders>
              <w:top w:val="single" w:sz="6" w:space="0" w:color="CCCCCC"/>
              <w:left w:val="single" w:sz="6" w:space="0" w:color="CCCCCC"/>
              <w:bottom w:val="single" w:sz="6" w:space="0" w:color="000000"/>
              <w:right w:val="single" w:sz="6" w:space="0" w:color="000000"/>
            </w:tcBorders>
            <w:hideMark/>
          </w:tcPr>
          <w:p w14:paraId="04137A9A"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6" w:space="0" w:color="CCCCCC"/>
              <w:left w:val="single" w:sz="6" w:space="0" w:color="CCCCCC"/>
              <w:bottom w:val="single" w:sz="6" w:space="0" w:color="000000"/>
              <w:right w:val="single" w:sz="6" w:space="0" w:color="000000"/>
            </w:tcBorders>
            <w:hideMark/>
          </w:tcPr>
          <w:p w14:paraId="7A53154C" w14:textId="77777777" w:rsidR="00B56980" w:rsidRPr="00B56980" w:rsidRDefault="00B56980" w:rsidP="00B56980">
            <w:pPr>
              <w:rPr>
                <w:rFonts w:cs="Arial"/>
                <w:sz w:val="22"/>
                <w:szCs w:val="22"/>
              </w:rPr>
            </w:pPr>
            <w:r w:rsidRPr="00B56980">
              <w:rPr>
                <w:rFonts w:cs="Arial"/>
                <w:sz w:val="22"/>
                <w:szCs w:val="22"/>
              </w:rPr>
              <w:t>Yes. Gender impacts for women will likely be more prominent. All country programmes have marginalised communities existing within areas, including Indigenous People and Local Communities (including small holders). The programme has a focus on IP &amp; LC support. </w:t>
            </w:r>
          </w:p>
        </w:tc>
      </w:tr>
      <w:tr w:rsidR="00B56980" w:rsidRPr="00B56980" w14:paraId="4F9E5B0C"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1D4B7EC3" w14:textId="77777777" w:rsidR="00B56980" w:rsidRPr="00B56980" w:rsidRDefault="00B56980" w:rsidP="00B56980">
            <w:pPr>
              <w:rPr>
                <w:rFonts w:cs="Arial"/>
                <w:sz w:val="22"/>
                <w:szCs w:val="22"/>
              </w:rPr>
            </w:pPr>
            <w:r w:rsidRPr="00B56980">
              <w:rPr>
                <w:rFonts w:cs="Arial"/>
                <w:sz w:val="22"/>
                <w:szCs w:val="22"/>
              </w:rPr>
              <w:t>7. Are there any demographic or socio-economic variables (i.e., population increase, settlement patterns, bio-physical/environmental conditions) that may increase exposure to hazard impacts? </w:t>
            </w:r>
          </w:p>
        </w:tc>
        <w:tc>
          <w:tcPr>
            <w:tcW w:w="4549" w:type="dxa"/>
            <w:tcBorders>
              <w:top w:val="single" w:sz="6" w:space="0" w:color="CCCCCC"/>
              <w:left w:val="single" w:sz="6" w:space="0" w:color="CCCCCC"/>
              <w:bottom w:val="single" w:sz="6" w:space="0" w:color="000000"/>
              <w:right w:val="single" w:sz="6" w:space="0" w:color="000000"/>
            </w:tcBorders>
            <w:hideMark/>
          </w:tcPr>
          <w:p w14:paraId="744ABF6D" w14:textId="77777777" w:rsidR="00B56980" w:rsidRPr="00B56980" w:rsidRDefault="00B56980" w:rsidP="00B56980">
            <w:pPr>
              <w:rPr>
                <w:rFonts w:cs="Arial"/>
                <w:sz w:val="22"/>
                <w:szCs w:val="22"/>
              </w:rPr>
            </w:pPr>
            <w:r w:rsidRPr="00B56980">
              <w:rPr>
                <w:rFonts w:cs="Arial"/>
                <w:sz w:val="22"/>
                <w:szCs w:val="22"/>
              </w:rPr>
              <w:t>Yes/No </w:t>
            </w:r>
          </w:p>
          <w:p w14:paraId="729EA876" w14:textId="77777777" w:rsidR="00B56980" w:rsidRPr="00B56980" w:rsidRDefault="00B56980" w:rsidP="00B56980">
            <w:pPr>
              <w:numPr>
                <w:ilvl w:val="0"/>
                <w:numId w:val="197"/>
              </w:numPr>
              <w:rPr>
                <w:rFonts w:cs="Arial"/>
                <w:sz w:val="22"/>
                <w:szCs w:val="22"/>
              </w:rPr>
            </w:pPr>
            <w:r w:rsidRPr="00B56980">
              <w:rPr>
                <w:rFonts w:cs="Arial"/>
                <w:sz w:val="22"/>
                <w:szCs w:val="22"/>
                <w:lang w:val="en"/>
              </w:rPr>
              <w:t>Yes / Unsure = 1</w:t>
            </w:r>
            <w:r w:rsidRPr="00B56980">
              <w:rPr>
                <w:rFonts w:cs="Arial"/>
                <w:sz w:val="22"/>
                <w:szCs w:val="22"/>
              </w:rPr>
              <w:t> </w:t>
            </w:r>
          </w:p>
          <w:p w14:paraId="4BB1BE69" w14:textId="77777777" w:rsidR="00B56980" w:rsidRPr="00B56980" w:rsidRDefault="00B56980" w:rsidP="00B56980">
            <w:pPr>
              <w:numPr>
                <w:ilvl w:val="0"/>
                <w:numId w:val="198"/>
              </w:numPr>
              <w:rPr>
                <w:rFonts w:cs="Arial"/>
                <w:sz w:val="22"/>
                <w:szCs w:val="22"/>
              </w:rPr>
            </w:pPr>
            <w:r w:rsidRPr="00B56980">
              <w:rPr>
                <w:rFonts w:cs="Arial"/>
                <w:sz w:val="22"/>
                <w:szCs w:val="22"/>
                <w:lang w:val="en"/>
              </w:rPr>
              <w:t>No = 0</w:t>
            </w:r>
            <w:r w:rsidRPr="00B56980">
              <w:rPr>
                <w:rFonts w:cs="Arial"/>
                <w:sz w:val="22"/>
                <w:szCs w:val="22"/>
              </w:rPr>
              <w:t> </w:t>
            </w:r>
          </w:p>
        </w:tc>
        <w:tc>
          <w:tcPr>
            <w:tcW w:w="777" w:type="dxa"/>
            <w:tcBorders>
              <w:top w:val="single" w:sz="6" w:space="0" w:color="CCCCCC"/>
              <w:left w:val="single" w:sz="6" w:space="0" w:color="CCCCCC"/>
              <w:bottom w:val="single" w:sz="6" w:space="0" w:color="000000"/>
              <w:right w:val="single" w:sz="6" w:space="0" w:color="000000"/>
            </w:tcBorders>
            <w:hideMark/>
          </w:tcPr>
          <w:p w14:paraId="7CE2B29C" w14:textId="77777777" w:rsidR="00B56980" w:rsidRPr="00B56980" w:rsidRDefault="00B56980" w:rsidP="00B56980">
            <w:pPr>
              <w:rPr>
                <w:rFonts w:cs="Arial"/>
                <w:sz w:val="22"/>
                <w:szCs w:val="22"/>
              </w:rPr>
            </w:pPr>
            <w:r w:rsidRPr="00B56980">
              <w:rPr>
                <w:rFonts w:cs="Arial"/>
                <w:sz w:val="22"/>
                <w:szCs w:val="22"/>
              </w:rPr>
              <w:t>1 </w:t>
            </w:r>
          </w:p>
        </w:tc>
        <w:tc>
          <w:tcPr>
            <w:tcW w:w="1974" w:type="dxa"/>
            <w:tcBorders>
              <w:top w:val="single" w:sz="6" w:space="0" w:color="CCCCCC"/>
              <w:left w:val="single" w:sz="6" w:space="0" w:color="CCCCCC"/>
              <w:bottom w:val="single" w:sz="6" w:space="0" w:color="000000"/>
              <w:right w:val="single" w:sz="6" w:space="0" w:color="000000"/>
            </w:tcBorders>
            <w:hideMark/>
          </w:tcPr>
          <w:p w14:paraId="1FEAFD2A" w14:textId="77777777" w:rsidR="00B56980" w:rsidRPr="00B56980" w:rsidRDefault="00B56980" w:rsidP="00B56980">
            <w:pPr>
              <w:rPr>
                <w:rFonts w:cs="Arial"/>
                <w:sz w:val="22"/>
                <w:szCs w:val="22"/>
              </w:rPr>
            </w:pPr>
            <w:r w:rsidRPr="00B56980">
              <w:rPr>
                <w:rFonts w:cs="Arial"/>
                <w:sz w:val="22"/>
                <w:szCs w:val="22"/>
              </w:rPr>
              <w:t>AIM4Forests intends to work in 20 countries so variables will vary, but may include:  </w:t>
            </w:r>
          </w:p>
          <w:p w14:paraId="14FEFCB7" w14:textId="77777777" w:rsidR="00B56980" w:rsidRPr="00B56980" w:rsidRDefault="00B56980" w:rsidP="00B56980">
            <w:pPr>
              <w:numPr>
                <w:ilvl w:val="0"/>
                <w:numId w:val="199"/>
              </w:numPr>
              <w:rPr>
                <w:rFonts w:cs="Arial"/>
                <w:sz w:val="22"/>
                <w:szCs w:val="22"/>
              </w:rPr>
            </w:pPr>
            <w:r w:rsidRPr="00B56980">
              <w:rPr>
                <w:rFonts w:cs="Arial"/>
                <w:sz w:val="22"/>
                <w:szCs w:val="22"/>
                <w:lang w:val="en"/>
              </w:rPr>
              <w:t>Changing domestic political context </w:t>
            </w:r>
            <w:r w:rsidRPr="00B56980">
              <w:rPr>
                <w:rFonts w:cs="Arial"/>
                <w:sz w:val="22"/>
                <w:szCs w:val="22"/>
              </w:rPr>
              <w:t> </w:t>
            </w:r>
          </w:p>
          <w:p w14:paraId="1531C4C3" w14:textId="77777777" w:rsidR="00B56980" w:rsidRPr="00B56980" w:rsidRDefault="00B56980" w:rsidP="00B56980">
            <w:pPr>
              <w:numPr>
                <w:ilvl w:val="0"/>
                <w:numId w:val="200"/>
              </w:numPr>
              <w:rPr>
                <w:rFonts w:cs="Arial"/>
                <w:sz w:val="22"/>
                <w:szCs w:val="22"/>
              </w:rPr>
            </w:pPr>
            <w:r w:rsidRPr="00B56980">
              <w:rPr>
                <w:rFonts w:cs="Arial"/>
                <w:sz w:val="22"/>
                <w:szCs w:val="22"/>
                <w:lang w:val="en-US"/>
              </w:rPr>
              <w:lastRenderedPageBreak/>
              <w:t>Population increase or changes in settlement patterns </w:t>
            </w:r>
            <w:r w:rsidRPr="00B56980">
              <w:rPr>
                <w:rFonts w:cs="Arial"/>
                <w:sz w:val="22"/>
                <w:szCs w:val="22"/>
              </w:rPr>
              <w:t> </w:t>
            </w:r>
          </w:p>
          <w:p w14:paraId="31561CDF" w14:textId="77777777" w:rsidR="00B56980" w:rsidRPr="00B56980" w:rsidRDefault="00B56980" w:rsidP="00B56980">
            <w:pPr>
              <w:numPr>
                <w:ilvl w:val="0"/>
                <w:numId w:val="201"/>
              </w:numPr>
              <w:rPr>
                <w:rFonts w:cs="Arial"/>
                <w:sz w:val="22"/>
                <w:szCs w:val="22"/>
              </w:rPr>
            </w:pPr>
            <w:r w:rsidRPr="00B56980">
              <w:rPr>
                <w:rFonts w:cs="Arial"/>
                <w:sz w:val="22"/>
                <w:szCs w:val="22"/>
                <w:lang w:val="en-US"/>
              </w:rPr>
              <w:t>Civil unrest </w:t>
            </w:r>
            <w:r w:rsidRPr="00B56980">
              <w:rPr>
                <w:rFonts w:cs="Arial"/>
                <w:sz w:val="22"/>
                <w:szCs w:val="22"/>
              </w:rPr>
              <w:t> </w:t>
            </w:r>
          </w:p>
        </w:tc>
      </w:tr>
      <w:tr w:rsidR="00B56980" w:rsidRPr="00B56980" w14:paraId="4E3D74DE"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0917B281" w14:textId="77777777" w:rsidR="00B56980" w:rsidRPr="00B56980" w:rsidRDefault="00B56980" w:rsidP="00B56980">
            <w:pPr>
              <w:rPr>
                <w:rFonts w:cs="Arial"/>
                <w:sz w:val="22"/>
                <w:szCs w:val="22"/>
              </w:rPr>
            </w:pPr>
            <w:r w:rsidRPr="00B56980">
              <w:rPr>
                <w:rFonts w:cs="Arial"/>
                <w:sz w:val="22"/>
                <w:szCs w:val="22"/>
              </w:rPr>
              <w:lastRenderedPageBreak/>
              <w:t>8. Is it likely that the delivery/implementing partner has some practical knowledge of climate risk reduction measures for the programme? </w:t>
            </w:r>
          </w:p>
        </w:tc>
        <w:tc>
          <w:tcPr>
            <w:tcW w:w="4549" w:type="dxa"/>
            <w:tcBorders>
              <w:top w:val="single" w:sz="6" w:space="0" w:color="CCCCCC"/>
              <w:left w:val="single" w:sz="6" w:space="0" w:color="CCCCCC"/>
              <w:bottom w:val="single" w:sz="6" w:space="0" w:color="000000"/>
              <w:right w:val="single" w:sz="6" w:space="0" w:color="000000"/>
            </w:tcBorders>
            <w:hideMark/>
          </w:tcPr>
          <w:p w14:paraId="6D27BBDA" w14:textId="77777777" w:rsidR="00B56980" w:rsidRPr="00B56980" w:rsidRDefault="00B56980" w:rsidP="00B56980">
            <w:pPr>
              <w:rPr>
                <w:rFonts w:cs="Arial"/>
                <w:sz w:val="22"/>
                <w:szCs w:val="22"/>
              </w:rPr>
            </w:pPr>
            <w:r w:rsidRPr="00B56980">
              <w:rPr>
                <w:rFonts w:cs="Arial"/>
                <w:sz w:val="22"/>
                <w:szCs w:val="22"/>
              </w:rPr>
              <w:t>Yes/No  </w:t>
            </w:r>
          </w:p>
          <w:p w14:paraId="285E94DB" w14:textId="77777777" w:rsidR="00B56980" w:rsidRPr="00B56980" w:rsidRDefault="00B56980" w:rsidP="00B56980">
            <w:pPr>
              <w:numPr>
                <w:ilvl w:val="0"/>
                <w:numId w:val="202"/>
              </w:numPr>
              <w:rPr>
                <w:rFonts w:cs="Arial"/>
                <w:sz w:val="22"/>
                <w:szCs w:val="22"/>
              </w:rPr>
            </w:pPr>
            <w:r w:rsidRPr="00B56980">
              <w:rPr>
                <w:rFonts w:cs="Arial"/>
                <w:sz w:val="22"/>
                <w:szCs w:val="22"/>
                <w:lang w:val="en"/>
              </w:rPr>
              <w:t>Yes = 0</w:t>
            </w:r>
            <w:r w:rsidRPr="00B56980">
              <w:rPr>
                <w:rFonts w:cs="Arial"/>
                <w:sz w:val="22"/>
                <w:szCs w:val="22"/>
              </w:rPr>
              <w:t> </w:t>
            </w:r>
          </w:p>
          <w:p w14:paraId="4F81565F" w14:textId="77777777" w:rsidR="00B56980" w:rsidRPr="00B56980" w:rsidRDefault="00B56980" w:rsidP="00B56980">
            <w:pPr>
              <w:numPr>
                <w:ilvl w:val="0"/>
                <w:numId w:val="203"/>
              </w:numPr>
              <w:rPr>
                <w:rFonts w:cs="Arial"/>
                <w:sz w:val="22"/>
                <w:szCs w:val="22"/>
              </w:rPr>
            </w:pPr>
            <w:r w:rsidRPr="00B56980">
              <w:rPr>
                <w:rFonts w:cs="Arial"/>
                <w:sz w:val="22"/>
                <w:szCs w:val="22"/>
                <w:lang w:val="en"/>
              </w:rPr>
              <w:t>No / Unsure = 1</w:t>
            </w:r>
            <w:r w:rsidRPr="00B56980">
              <w:rPr>
                <w:rFonts w:cs="Arial"/>
                <w:sz w:val="22"/>
                <w:szCs w:val="22"/>
              </w:rPr>
              <w:t> </w:t>
            </w:r>
          </w:p>
        </w:tc>
        <w:tc>
          <w:tcPr>
            <w:tcW w:w="777" w:type="dxa"/>
            <w:tcBorders>
              <w:top w:val="single" w:sz="6" w:space="0" w:color="CCCCCC"/>
              <w:left w:val="single" w:sz="6" w:space="0" w:color="CCCCCC"/>
              <w:bottom w:val="single" w:sz="6" w:space="0" w:color="000000"/>
              <w:right w:val="single" w:sz="6" w:space="0" w:color="000000"/>
            </w:tcBorders>
            <w:hideMark/>
          </w:tcPr>
          <w:p w14:paraId="2FDB58EC"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6" w:space="0" w:color="CCCCCC"/>
              <w:left w:val="single" w:sz="6" w:space="0" w:color="CCCCCC"/>
              <w:bottom w:val="single" w:sz="6" w:space="0" w:color="000000"/>
              <w:right w:val="single" w:sz="6" w:space="0" w:color="000000"/>
            </w:tcBorders>
            <w:hideMark/>
          </w:tcPr>
          <w:p w14:paraId="0CEF2A7B" w14:textId="77777777" w:rsidR="00B56980" w:rsidRPr="00B56980" w:rsidRDefault="00B56980" w:rsidP="00B56980">
            <w:pPr>
              <w:rPr>
                <w:rFonts w:cs="Arial"/>
                <w:sz w:val="22"/>
                <w:szCs w:val="22"/>
              </w:rPr>
            </w:pPr>
            <w:r w:rsidRPr="00B56980">
              <w:rPr>
                <w:rFonts w:cs="Arial"/>
                <w:sz w:val="22"/>
                <w:szCs w:val="22"/>
              </w:rPr>
              <w:t>FAO are a strong, well-reputed and trusted institution for providing appropriate support. </w:t>
            </w:r>
          </w:p>
        </w:tc>
      </w:tr>
      <w:tr w:rsidR="00B56980" w:rsidRPr="00B56980" w14:paraId="3F0C8D91"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26B94DBB" w14:textId="77777777" w:rsidR="00B56980" w:rsidRPr="00B56980" w:rsidRDefault="00B56980" w:rsidP="00B56980">
            <w:pPr>
              <w:rPr>
                <w:rFonts w:cs="Arial"/>
                <w:sz w:val="22"/>
                <w:szCs w:val="22"/>
              </w:rPr>
            </w:pPr>
            <w:r w:rsidRPr="00B56980">
              <w:rPr>
                <w:rFonts w:cs="Arial"/>
                <w:sz w:val="22"/>
                <w:szCs w:val="22"/>
              </w:rPr>
              <w:t>9. Will the programme reduce, leave unaltered, or increase the risk to project beneficiaries? </w:t>
            </w:r>
          </w:p>
        </w:tc>
        <w:tc>
          <w:tcPr>
            <w:tcW w:w="4549" w:type="dxa"/>
            <w:tcBorders>
              <w:top w:val="single" w:sz="6" w:space="0" w:color="CCCCCC"/>
              <w:left w:val="single" w:sz="6" w:space="0" w:color="CCCCCC"/>
              <w:bottom w:val="single" w:sz="6" w:space="0" w:color="000000"/>
              <w:right w:val="single" w:sz="6" w:space="0" w:color="000000"/>
            </w:tcBorders>
            <w:hideMark/>
          </w:tcPr>
          <w:p w14:paraId="2DE7B3AF" w14:textId="77777777" w:rsidR="00B56980" w:rsidRPr="00B56980" w:rsidRDefault="00B56980" w:rsidP="00B56980">
            <w:pPr>
              <w:numPr>
                <w:ilvl w:val="0"/>
                <w:numId w:val="204"/>
              </w:numPr>
              <w:rPr>
                <w:rFonts w:cs="Arial"/>
                <w:sz w:val="22"/>
                <w:szCs w:val="22"/>
              </w:rPr>
            </w:pPr>
            <w:r w:rsidRPr="00B56980">
              <w:rPr>
                <w:rFonts w:cs="Arial"/>
                <w:sz w:val="22"/>
                <w:szCs w:val="22"/>
              </w:rPr>
              <w:t>Reduce = 0 </w:t>
            </w:r>
          </w:p>
          <w:p w14:paraId="2CE5159F" w14:textId="77777777" w:rsidR="00B56980" w:rsidRPr="00B56980" w:rsidRDefault="00B56980" w:rsidP="00B56980">
            <w:pPr>
              <w:numPr>
                <w:ilvl w:val="0"/>
                <w:numId w:val="205"/>
              </w:numPr>
              <w:rPr>
                <w:rFonts w:cs="Arial"/>
                <w:sz w:val="22"/>
                <w:szCs w:val="22"/>
              </w:rPr>
            </w:pPr>
            <w:r w:rsidRPr="00B56980">
              <w:rPr>
                <w:rFonts w:cs="Arial"/>
                <w:sz w:val="22"/>
                <w:szCs w:val="22"/>
              </w:rPr>
              <w:t>Unaltered = 1 </w:t>
            </w:r>
          </w:p>
          <w:p w14:paraId="6B7B2E74" w14:textId="77777777" w:rsidR="00B56980" w:rsidRPr="00B56980" w:rsidRDefault="00B56980" w:rsidP="00B56980">
            <w:pPr>
              <w:numPr>
                <w:ilvl w:val="0"/>
                <w:numId w:val="206"/>
              </w:numPr>
              <w:rPr>
                <w:rFonts w:cs="Arial"/>
                <w:sz w:val="22"/>
                <w:szCs w:val="22"/>
              </w:rPr>
            </w:pPr>
            <w:r w:rsidRPr="00B56980">
              <w:rPr>
                <w:rFonts w:cs="Arial"/>
                <w:sz w:val="22"/>
                <w:szCs w:val="22"/>
              </w:rPr>
              <w:t>Increase = 2 </w:t>
            </w:r>
          </w:p>
        </w:tc>
        <w:tc>
          <w:tcPr>
            <w:tcW w:w="777" w:type="dxa"/>
            <w:tcBorders>
              <w:top w:val="single" w:sz="6" w:space="0" w:color="CCCCCC"/>
              <w:left w:val="single" w:sz="6" w:space="0" w:color="CCCCCC"/>
              <w:bottom w:val="single" w:sz="6" w:space="0" w:color="000000"/>
              <w:right w:val="single" w:sz="6" w:space="0" w:color="000000"/>
            </w:tcBorders>
            <w:hideMark/>
          </w:tcPr>
          <w:p w14:paraId="6FB21318"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6" w:space="0" w:color="CCCCCC"/>
              <w:left w:val="single" w:sz="6" w:space="0" w:color="CCCCCC"/>
              <w:bottom w:val="single" w:sz="6" w:space="0" w:color="000000"/>
              <w:right w:val="single" w:sz="6" w:space="0" w:color="000000"/>
            </w:tcBorders>
            <w:hideMark/>
          </w:tcPr>
          <w:p w14:paraId="1D9382C5" w14:textId="77777777" w:rsidR="00B56980" w:rsidRPr="00B56980" w:rsidRDefault="00B56980" w:rsidP="00B56980">
            <w:pPr>
              <w:rPr>
                <w:rFonts w:cs="Arial"/>
                <w:sz w:val="22"/>
                <w:szCs w:val="22"/>
              </w:rPr>
            </w:pPr>
            <w:r w:rsidRPr="00B56980">
              <w:rPr>
                <w:rFonts w:cs="Arial"/>
                <w:sz w:val="22"/>
                <w:szCs w:val="22"/>
              </w:rPr>
              <w:t>The programme is providing technical support to monitor, track and respond to climate/forest related risks. FAO are a strong, well-reputed and trusted institution for providing appropriate support </w:t>
            </w:r>
          </w:p>
        </w:tc>
      </w:tr>
      <w:tr w:rsidR="00B56980" w:rsidRPr="00B56980" w14:paraId="71A32129"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5F9FD0E3" w14:textId="77777777" w:rsidR="00B56980" w:rsidRPr="00B56980" w:rsidRDefault="00B56980" w:rsidP="00B56980">
            <w:pPr>
              <w:rPr>
                <w:rFonts w:cs="Arial"/>
                <w:sz w:val="22"/>
                <w:szCs w:val="22"/>
              </w:rPr>
            </w:pPr>
            <w:r w:rsidRPr="00B56980">
              <w:rPr>
                <w:rFonts w:cs="Arial"/>
                <w:sz w:val="22"/>
                <w:szCs w:val="22"/>
              </w:rPr>
              <w:t>10. Will the programme reduce, leave unaltered, or increase the risk to the localized environment/project dependent ecosystem? </w:t>
            </w:r>
          </w:p>
        </w:tc>
        <w:tc>
          <w:tcPr>
            <w:tcW w:w="4549" w:type="dxa"/>
            <w:tcBorders>
              <w:top w:val="single" w:sz="6" w:space="0" w:color="CCCCCC"/>
              <w:left w:val="single" w:sz="6" w:space="0" w:color="CCCCCC"/>
              <w:bottom w:val="single" w:sz="6" w:space="0" w:color="000000"/>
              <w:right w:val="single" w:sz="6" w:space="0" w:color="000000"/>
            </w:tcBorders>
            <w:hideMark/>
          </w:tcPr>
          <w:p w14:paraId="111D6CCF" w14:textId="77777777" w:rsidR="00B56980" w:rsidRPr="00B56980" w:rsidRDefault="00B56980" w:rsidP="00B56980">
            <w:pPr>
              <w:numPr>
                <w:ilvl w:val="0"/>
                <w:numId w:val="207"/>
              </w:numPr>
              <w:rPr>
                <w:rFonts w:cs="Arial"/>
                <w:sz w:val="22"/>
                <w:szCs w:val="22"/>
              </w:rPr>
            </w:pPr>
            <w:r w:rsidRPr="00B56980">
              <w:rPr>
                <w:rFonts w:cs="Arial"/>
                <w:sz w:val="22"/>
                <w:szCs w:val="22"/>
              </w:rPr>
              <w:t>Reduce = 0 </w:t>
            </w:r>
          </w:p>
          <w:p w14:paraId="30E3FA98" w14:textId="77777777" w:rsidR="00B56980" w:rsidRPr="00B56980" w:rsidRDefault="00B56980" w:rsidP="00B56980">
            <w:pPr>
              <w:numPr>
                <w:ilvl w:val="0"/>
                <w:numId w:val="208"/>
              </w:numPr>
              <w:rPr>
                <w:rFonts w:cs="Arial"/>
                <w:sz w:val="22"/>
                <w:szCs w:val="22"/>
              </w:rPr>
            </w:pPr>
            <w:r w:rsidRPr="00B56980">
              <w:rPr>
                <w:rFonts w:cs="Arial"/>
                <w:sz w:val="22"/>
                <w:szCs w:val="22"/>
              </w:rPr>
              <w:t>Unaltered = 1 </w:t>
            </w:r>
          </w:p>
          <w:p w14:paraId="3511784E" w14:textId="77777777" w:rsidR="00B56980" w:rsidRPr="00B56980" w:rsidRDefault="00B56980" w:rsidP="00B56980">
            <w:pPr>
              <w:numPr>
                <w:ilvl w:val="0"/>
                <w:numId w:val="209"/>
              </w:numPr>
              <w:rPr>
                <w:rFonts w:cs="Arial"/>
                <w:sz w:val="22"/>
                <w:szCs w:val="22"/>
              </w:rPr>
            </w:pPr>
            <w:r w:rsidRPr="00B56980">
              <w:rPr>
                <w:rFonts w:cs="Arial"/>
                <w:sz w:val="22"/>
                <w:szCs w:val="22"/>
              </w:rPr>
              <w:t>Increase = 2 </w:t>
            </w:r>
          </w:p>
        </w:tc>
        <w:tc>
          <w:tcPr>
            <w:tcW w:w="777" w:type="dxa"/>
            <w:tcBorders>
              <w:top w:val="single" w:sz="6" w:space="0" w:color="CCCCCC"/>
              <w:left w:val="single" w:sz="6" w:space="0" w:color="CCCCCC"/>
              <w:bottom w:val="single" w:sz="6" w:space="0" w:color="000000"/>
              <w:right w:val="single" w:sz="6" w:space="0" w:color="000000"/>
            </w:tcBorders>
            <w:hideMark/>
          </w:tcPr>
          <w:p w14:paraId="7A410F11"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6" w:space="0" w:color="CCCCCC"/>
              <w:left w:val="single" w:sz="6" w:space="0" w:color="CCCCCC"/>
              <w:bottom w:val="single" w:sz="6" w:space="0" w:color="000000"/>
              <w:right w:val="single" w:sz="6" w:space="0" w:color="000000"/>
            </w:tcBorders>
            <w:hideMark/>
          </w:tcPr>
          <w:p w14:paraId="2CEBEB00" w14:textId="77777777" w:rsidR="00B56980" w:rsidRPr="00B56980" w:rsidRDefault="00B56980" w:rsidP="00B56980">
            <w:pPr>
              <w:rPr>
                <w:rFonts w:cs="Arial"/>
                <w:sz w:val="22"/>
                <w:szCs w:val="22"/>
              </w:rPr>
            </w:pPr>
            <w:r w:rsidRPr="00B56980">
              <w:rPr>
                <w:rFonts w:cs="Arial"/>
                <w:sz w:val="22"/>
                <w:szCs w:val="22"/>
              </w:rPr>
              <w:t>The programme is providing technical support to monitor, track and respond to climate/forest related risks. </w:t>
            </w:r>
          </w:p>
        </w:tc>
      </w:tr>
      <w:tr w:rsidR="00B56980" w:rsidRPr="00B56980" w14:paraId="3EDCB7B4"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1A3C0AA6" w14:textId="77777777" w:rsidR="00B56980" w:rsidRPr="00B56980" w:rsidRDefault="00B56980" w:rsidP="00B56980">
            <w:pPr>
              <w:rPr>
                <w:rFonts w:cs="Arial"/>
                <w:sz w:val="22"/>
                <w:szCs w:val="22"/>
              </w:rPr>
            </w:pPr>
            <w:r w:rsidRPr="00B56980">
              <w:rPr>
                <w:rFonts w:cs="Arial"/>
                <w:sz w:val="22"/>
                <w:szCs w:val="22"/>
              </w:rPr>
              <w:t>11. Will the programme improve or provide opportunities to increase adaptive (mitigation) capacity through any of the programme elements?</w:t>
            </w:r>
            <w:r w:rsidRPr="00B56980">
              <w:rPr>
                <w:rFonts w:cs="Arial"/>
                <w:sz w:val="22"/>
                <w:szCs w:val="22"/>
                <w:vertAlign w:val="superscript"/>
              </w:rPr>
              <w:t>1</w:t>
            </w:r>
            <w:r w:rsidRPr="00B56980">
              <w:rPr>
                <w:rFonts w:cs="Arial"/>
                <w:sz w:val="22"/>
                <w:szCs w:val="22"/>
              </w:rPr>
              <w:t>  </w:t>
            </w:r>
          </w:p>
        </w:tc>
        <w:tc>
          <w:tcPr>
            <w:tcW w:w="4549" w:type="dxa"/>
            <w:tcBorders>
              <w:top w:val="single" w:sz="6" w:space="0" w:color="CCCCCC"/>
              <w:left w:val="single" w:sz="6" w:space="0" w:color="CCCCCC"/>
              <w:bottom w:val="single" w:sz="6" w:space="0" w:color="000000"/>
              <w:right w:val="single" w:sz="6" w:space="0" w:color="000000"/>
            </w:tcBorders>
            <w:hideMark/>
          </w:tcPr>
          <w:p w14:paraId="0C713363" w14:textId="77777777" w:rsidR="00B56980" w:rsidRPr="00B56980" w:rsidRDefault="00B56980" w:rsidP="00B56980">
            <w:pPr>
              <w:rPr>
                <w:rFonts w:cs="Arial"/>
                <w:sz w:val="22"/>
                <w:szCs w:val="22"/>
              </w:rPr>
            </w:pPr>
            <w:r w:rsidRPr="00B56980">
              <w:rPr>
                <w:rFonts w:cs="Arial"/>
                <w:sz w:val="22"/>
                <w:szCs w:val="22"/>
              </w:rPr>
              <w:t>See Table 4: Adaptive Capacity. </w:t>
            </w:r>
          </w:p>
          <w:p w14:paraId="6DCD0F77" w14:textId="77777777" w:rsidR="00B56980" w:rsidRPr="00B56980" w:rsidRDefault="00B56980" w:rsidP="00B56980">
            <w:pPr>
              <w:rPr>
                <w:rFonts w:cs="Arial"/>
                <w:sz w:val="22"/>
                <w:szCs w:val="22"/>
              </w:rPr>
            </w:pPr>
            <w:r w:rsidRPr="00B56980">
              <w:rPr>
                <w:rFonts w:cs="Arial"/>
                <w:sz w:val="22"/>
                <w:szCs w:val="22"/>
              </w:rPr>
              <w:t>Yes / No  </w:t>
            </w:r>
          </w:p>
          <w:p w14:paraId="6ED73267" w14:textId="77777777" w:rsidR="00B56980" w:rsidRPr="00B56980" w:rsidRDefault="00B56980" w:rsidP="00B56980">
            <w:pPr>
              <w:numPr>
                <w:ilvl w:val="0"/>
                <w:numId w:val="210"/>
              </w:numPr>
              <w:rPr>
                <w:rFonts w:cs="Arial"/>
                <w:sz w:val="22"/>
                <w:szCs w:val="22"/>
              </w:rPr>
            </w:pPr>
            <w:r w:rsidRPr="00B56980">
              <w:rPr>
                <w:rFonts w:cs="Arial"/>
                <w:sz w:val="22"/>
                <w:szCs w:val="22"/>
                <w:lang w:val="en"/>
              </w:rPr>
              <w:t>Yes = 0</w:t>
            </w:r>
            <w:r w:rsidRPr="00B56980">
              <w:rPr>
                <w:rFonts w:cs="Arial"/>
                <w:sz w:val="22"/>
                <w:szCs w:val="22"/>
              </w:rPr>
              <w:t> </w:t>
            </w:r>
          </w:p>
          <w:p w14:paraId="50B58218" w14:textId="77777777" w:rsidR="00B56980" w:rsidRPr="00B56980" w:rsidRDefault="00B56980" w:rsidP="00B56980">
            <w:pPr>
              <w:numPr>
                <w:ilvl w:val="0"/>
                <w:numId w:val="211"/>
              </w:numPr>
              <w:rPr>
                <w:rFonts w:cs="Arial"/>
                <w:sz w:val="22"/>
                <w:szCs w:val="22"/>
              </w:rPr>
            </w:pPr>
            <w:r w:rsidRPr="00B56980">
              <w:rPr>
                <w:rFonts w:cs="Arial"/>
                <w:sz w:val="22"/>
                <w:szCs w:val="22"/>
                <w:lang w:val="en"/>
              </w:rPr>
              <w:t>No / Unsure = 1</w:t>
            </w:r>
            <w:r w:rsidRPr="00B56980">
              <w:rPr>
                <w:rFonts w:cs="Arial"/>
                <w:sz w:val="22"/>
                <w:szCs w:val="22"/>
              </w:rPr>
              <w:t> </w:t>
            </w:r>
          </w:p>
        </w:tc>
        <w:tc>
          <w:tcPr>
            <w:tcW w:w="777" w:type="dxa"/>
            <w:tcBorders>
              <w:top w:val="single" w:sz="6" w:space="0" w:color="CCCCCC"/>
              <w:left w:val="single" w:sz="6" w:space="0" w:color="CCCCCC"/>
              <w:bottom w:val="single" w:sz="6" w:space="0" w:color="000000"/>
              <w:right w:val="single" w:sz="6" w:space="0" w:color="000000"/>
            </w:tcBorders>
            <w:hideMark/>
          </w:tcPr>
          <w:p w14:paraId="5E4CA31E"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6" w:space="0" w:color="CCCCCC"/>
              <w:left w:val="single" w:sz="6" w:space="0" w:color="CCCCCC"/>
              <w:bottom w:val="single" w:sz="6" w:space="0" w:color="000000"/>
              <w:right w:val="single" w:sz="6" w:space="0" w:color="000000"/>
            </w:tcBorders>
            <w:hideMark/>
          </w:tcPr>
          <w:p w14:paraId="3D1A8BEB" w14:textId="77777777" w:rsidR="00B56980" w:rsidRPr="00B56980" w:rsidRDefault="00B56980" w:rsidP="00B56980">
            <w:pPr>
              <w:rPr>
                <w:rFonts w:cs="Arial"/>
                <w:sz w:val="22"/>
                <w:szCs w:val="22"/>
              </w:rPr>
            </w:pPr>
            <w:r w:rsidRPr="00B56980">
              <w:rPr>
                <w:rFonts w:cs="Arial"/>
                <w:sz w:val="22"/>
                <w:szCs w:val="22"/>
              </w:rPr>
              <w:t>Programme will improve adaptive capacity through:  </w:t>
            </w:r>
          </w:p>
          <w:p w14:paraId="3E767DEE" w14:textId="77777777" w:rsidR="00B56980" w:rsidRPr="00B56980" w:rsidRDefault="00B56980" w:rsidP="00B56980">
            <w:pPr>
              <w:numPr>
                <w:ilvl w:val="0"/>
                <w:numId w:val="212"/>
              </w:numPr>
              <w:rPr>
                <w:rFonts w:cs="Arial"/>
                <w:sz w:val="22"/>
                <w:szCs w:val="22"/>
              </w:rPr>
            </w:pPr>
            <w:r w:rsidRPr="00B56980">
              <w:rPr>
                <w:rFonts w:cs="Arial"/>
                <w:sz w:val="22"/>
                <w:szCs w:val="22"/>
              </w:rPr>
              <w:t>Institutions  </w:t>
            </w:r>
          </w:p>
          <w:p w14:paraId="62C9D8D8" w14:textId="77777777" w:rsidR="00B56980" w:rsidRPr="00B56980" w:rsidRDefault="00B56980" w:rsidP="00B56980">
            <w:pPr>
              <w:numPr>
                <w:ilvl w:val="0"/>
                <w:numId w:val="213"/>
              </w:numPr>
              <w:rPr>
                <w:rFonts w:cs="Arial"/>
                <w:sz w:val="22"/>
                <w:szCs w:val="22"/>
              </w:rPr>
            </w:pPr>
            <w:r w:rsidRPr="00B56980">
              <w:rPr>
                <w:rFonts w:cs="Arial"/>
                <w:sz w:val="22"/>
                <w:szCs w:val="22"/>
              </w:rPr>
              <w:t>Social Structures  </w:t>
            </w:r>
          </w:p>
          <w:p w14:paraId="7490B7F3" w14:textId="77777777" w:rsidR="00B56980" w:rsidRPr="00B56980" w:rsidRDefault="00B56980" w:rsidP="00B56980">
            <w:pPr>
              <w:numPr>
                <w:ilvl w:val="0"/>
                <w:numId w:val="214"/>
              </w:numPr>
              <w:rPr>
                <w:rFonts w:cs="Arial"/>
                <w:sz w:val="22"/>
                <w:szCs w:val="22"/>
              </w:rPr>
            </w:pPr>
            <w:r w:rsidRPr="00B56980">
              <w:rPr>
                <w:rFonts w:cs="Arial"/>
                <w:sz w:val="22"/>
                <w:szCs w:val="22"/>
              </w:rPr>
              <w:t>Resource Access  </w:t>
            </w:r>
          </w:p>
          <w:p w14:paraId="6EEDCB2D" w14:textId="77777777" w:rsidR="00B56980" w:rsidRPr="00B56980" w:rsidRDefault="00B56980" w:rsidP="00B56980">
            <w:pPr>
              <w:numPr>
                <w:ilvl w:val="0"/>
                <w:numId w:val="215"/>
              </w:numPr>
              <w:rPr>
                <w:rFonts w:cs="Arial"/>
                <w:sz w:val="22"/>
                <w:szCs w:val="22"/>
              </w:rPr>
            </w:pPr>
            <w:r w:rsidRPr="00B56980">
              <w:rPr>
                <w:rFonts w:cs="Arial"/>
                <w:sz w:val="22"/>
                <w:szCs w:val="22"/>
              </w:rPr>
              <w:t>Financial Capital  </w:t>
            </w:r>
          </w:p>
          <w:p w14:paraId="33987EC0" w14:textId="77777777" w:rsidR="00B56980" w:rsidRPr="00B56980" w:rsidRDefault="00B56980" w:rsidP="00B56980">
            <w:pPr>
              <w:numPr>
                <w:ilvl w:val="0"/>
                <w:numId w:val="216"/>
              </w:numPr>
              <w:rPr>
                <w:rFonts w:cs="Arial"/>
                <w:sz w:val="22"/>
                <w:szCs w:val="22"/>
              </w:rPr>
            </w:pPr>
            <w:r w:rsidRPr="00B56980">
              <w:rPr>
                <w:rFonts w:cs="Arial"/>
                <w:sz w:val="22"/>
                <w:szCs w:val="22"/>
              </w:rPr>
              <w:t>Knowledge and Information   </w:t>
            </w:r>
          </w:p>
          <w:p w14:paraId="7C4359E6" w14:textId="77777777" w:rsidR="00B56980" w:rsidRPr="00B56980" w:rsidRDefault="00B56980" w:rsidP="00B56980">
            <w:pPr>
              <w:numPr>
                <w:ilvl w:val="0"/>
                <w:numId w:val="217"/>
              </w:numPr>
              <w:rPr>
                <w:rFonts w:cs="Arial"/>
                <w:sz w:val="22"/>
                <w:szCs w:val="22"/>
              </w:rPr>
            </w:pPr>
            <w:r w:rsidRPr="00B56980">
              <w:rPr>
                <w:rFonts w:cs="Arial"/>
                <w:sz w:val="22"/>
                <w:szCs w:val="22"/>
              </w:rPr>
              <w:t>Technology  </w:t>
            </w:r>
          </w:p>
        </w:tc>
      </w:tr>
      <w:tr w:rsidR="00B56980" w:rsidRPr="00B56980" w14:paraId="2A31883D"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348044A4" w14:textId="77777777" w:rsidR="00B56980" w:rsidRPr="00B56980" w:rsidRDefault="00B56980" w:rsidP="00B56980">
            <w:pPr>
              <w:rPr>
                <w:rFonts w:cs="Arial"/>
                <w:sz w:val="22"/>
                <w:szCs w:val="22"/>
              </w:rPr>
            </w:pPr>
            <w:r w:rsidRPr="00B56980">
              <w:rPr>
                <w:rFonts w:cs="Arial"/>
                <w:sz w:val="22"/>
                <w:szCs w:val="22"/>
              </w:rPr>
              <w:lastRenderedPageBreak/>
              <w:t>12. Do country/institutional policies or climate laws significantly promote climate risk management measures?  </w:t>
            </w:r>
          </w:p>
        </w:tc>
        <w:tc>
          <w:tcPr>
            <w:tcW w:w="4549" w:type="dxa"/>
            <w:tcBorders>
              <w:top w:val="single" w:sz="6" w:space="0" w:color="CCCCCC"/>
              <w:left w:val="single" w:sz="6" w:space="0" w:color="CCCCCC"/>
              <w:bottom w:val="single" w:sz="6" w:space="0" w:color="000000"/>
              <w:right w:val="single" w:sz="6" w:space="0" w:color="000000"/>
            </w:tcBorders>
            <w:hideMark/>
          </w:tcPr>
          <w:p w14:paraId="37D60FA9" w14:textId="77777777" w:rsidR="00B56980" w:rsidRPr="00B56980" w:rsidRDefault="00B56980" w:rsidP="00B56980">
            <w:pPr>
              <w:rPr>
                <w:rFonts w:cs="Arial"/>
                <w:sz w:val="22"/>
                <w:szCs w:val="22"/>
              </w:rPr>
            </w:pPr>
            <w:r w:rsidRPr="00B56980">
              <w:rPr>
                <w:rFonts w:cs="Arial"/>
                <w:sz w:val="22"/>
                <w:szCs w:val="22"/>
              </w:rPr>
              <w:t>Yes/No  </w:t>
            </w:r>
          </w:p>
          <w:p w14:paraId="2A239632" w14:textId="77777777" w:rsidR="00B56980" w:rsidRPr="00B56980" w:rsidRDefault="00B56980" w:rsidP="00B56980">
            <w:pPr>
              <w:numPr>
                <w:ilvl w:val="0"/>
                <w:numId w:val="218"/>
              </w:numPr>
              <w:rPr>
                <w:rFonts w:cs="Arial"/>
                <w:sz w:val="22"/>
                <w:szCs w:val="22"/>
              </w:rPr>
            </w:pPr>
            <w:r w:rsidRPr="00B56980">
              <w:rPr>
                <w:rFonts w:cs="Arial"/>
                <w:sz w:val="22"/>
                <w:szCs w:val="22"/>
                <w:lang w:val="en"/>
              </w:rPr>
              <w:t>Yes = 0</w:t>
            </w:r>
            <w:r w:rsidRPr="00B56980">
              <w:rPr>
                <w:rFonts w:cs="Arial"/>
                <w:sz w:val="22"/>
                <w:szCs w:val="22"/>
              </w:rPr>
              <w:t> </w:t>
            </w:r>
          </w:p>
          <w:p w14:paraId="3245C0CD" w14:textId="77777777" w:rsidR="00B56980" w:rsidRPr="00B56980" w:rsidRDefault="00B56980" w:rsidP="00B56980">
            <w:pPr>
              <w:numPr>
                <w:ilvl w:val="0"/>
                <w:numId w:val="219"/>
              </w:numPr>
              <w:rPr>
                <w:rFonts w:cs="Arial"/>
                <w:sz w:val="22"/>
                <w:szCs w:val="22"/>
              </w:rPr>
            </w:pPr>
            <w:r w:rsidRPr="00B56980">
              <w:rPr>
                <w:rFonts w:cs="Arial"/>
                <w:sz w:val="22"/>
                <w:szCs w:val="22"/>
                <w:lang w:val="en"/>
              </w:rPr>
              <w:t>No / Unsure = 1</w:t>
            </w:r>
            <w:r w:rsidRPr="00B56980">
              <w:rPr>
                <w:rFonts w:cs="Arial"/>
                <w:sz w:val="22"/>
                <w:szCs w:val="22"/>
              </w:rPr>
              <w:t> </w:t>
            </w:r>
          </w:p>
        </w:tc>
        <w:tc>
          <w:tcPr>
            <w:tcW w:w="777" w:type="dxa"/>
            <w:tcBorders>
              <w:top w:val="single" w:sz="6" w:space="0" w:color="CCCCCC"/>
              <w:left w:val="single" w:sz="6" w:space="0" w:color="CCCCCC"/>
              <w:bottom w:val="single" w:sz="6" w:space="0" w:color="000000"/>
              <w:right w:val="single" w:sz="6" w:space="0" w:color="000000"/>
            </w:tcBorders>
            <w:hideMark/>
          </w:tcPr>
          <w:p w14:paraId="39023AA3"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6" w:space="0" w:color="CCCCCC"/>
              <w:left w:val="single" w:sz="6" w:space="0" w:color="CCCCCC"/>
              <w:bottom w:val="single" w:sz="6" w:space="0" w:color="000000"/>
              <w:right w:val="single" w:sz="6" w:space="0" w:color="000000"/>
            </w:tcBorders>
            <w:hideMark/>
          </w:tcPr>
          <w:p w14:paraId="2590419A" w14:textId="77777777" w:rsidR="00B56980" w:rsidRPr="00B56980" w:rsidRDefault="00B56980" w:rsidP="00B56980">
            <w:pPr>
              <w:rPr>
                <w:rFonts w:cs="Arial"/>
                <w:sz w:val="22"/>
                <w:szCs w:val="22"/>
              </w:rPr>
            </w:pPr>
            <w:r w:rsidRPr="00B56980">
              <w:rPr>
                <w:rFonts w:cs="Arial"/>
                <w:sz w:val="22"/>
                <w:szCs w:val="22"/>
              </w:rPr>
              <w:t>The programme will support in providing data to countries, which can support in the development of climate positive policies. Countries within the programme develop / implement national REDD+ strategies and are aligned with country climate commitments.  </w:t>
            </w:r>
          </w:p>
        </w:tc>
      </w:tr>
      <w:tr w:rsidR="00B56980" w:rsidRPr="00B56980" w14:paraId="373F9F82" w14:textId="77777777" w:rsidTr="00283E32">
        <w:trPr>
          <w:trHeight w:val="315"/>
        </w:trPr>
        <w:tc>
          <w:tcPr>
            <w:tcW w:w="2888" w:type="dxa"/>
            <w:tcBorders>
              <w:top w:val="single" w:sz="6" w:space="0" w:color="CCCCCC"/>
              <w:left w:val="single" w:sz="6" w:space="0" w:color="000000"/>
              <w:bottom w:val="single" w:sz="6" w:space="0" w:color="000000"/>
              <w:right w:val="single" w:sz="6" w:space="0" w:color="000000"/>
            </w:tcBorders>
            <w:hideMark/>
          </w:tcPr>
          <w:p w14:paraId="49445717" w14:textId="77777777" w:rsidR="00B56980" w:rsidRPr="00B56980" w:rsidRDefault="00B56980" w:rsidP="00B56980">
            <w:pPr>
              <w:rPr>
                <w:rFonts w:cs="Arial"/>
                <w:sz w:val="22"/>
                <w:szCs w:val="22"/>
              </w:rPr>
            </w:pPr>
            <w:r w:rsidRPr="00B56980">
              <w:rPr>
                <w:rFonts w:cs="Arial"/>
                <w:sz w:val="22"/>
                <w:szCs w:val="22"/>
              </w:rPr>
              <w:t>13. Does the programme require a risk expert to introduce risk reduction measures in project design, implementation, or operations and maintenance? </w:t>
            </w:r>
          </w:p>
        </w:tc>
        <w:tc>
          <w:tcPr>
            <w:tcW w:w="4549" w:type="dxa"/>
            <w:tcBorders>
              <w:top w:val="single" w:sz="6" w:space="0" w:color="CCCCCC"/>
              <w:left w:val="single" w:sz="6" w:space="0" w:color="CCCCCC"/>
              <w:bottom w:val="single" w:sz="6" w:space="0" w:color="000000"/>
              <w:right w:val="single" w:sz="6" w:space="0" w:color="000000"/>
            </w:tcBorders>
            <w:hideMark/>
          </w:tcPr>
          <w:p w14:paraId="5DCDD968" w14:textId="77777777" w:rsidR="00B56980" w:rsidRPr="00B56980" w:rsidRDefault="00B56980" w:rsidP="00B56980">
            <w:pPr>
              <w:rPr>
                <w:rFonts w:cs="Arial"/>
                <w:sz w:val="22"/>
                <w:szCs w:val="22"/>
              </w:rPr>
            </w:pPr>
            <w:r w:rsidRPr="00B56980">
              <w:rPr>
                <w:rFonts w:cs="Arial"/>
                <w:sz w:val="22"/>
                <w:szCs w:val="22"/>
              </w:rPr>
              <w:t>Yes/No  </w:t>
            </w:r>
          </w:p>
          <w:p w14:paraId="3D1A52A2" w14:textId="77777777" w:rsidR="00B56980" w:rsidRPr="00B56980" w:rsidRDefault="00B56980" w:rsidP="00B56980">
            <w:pPr>
              <w:numPr>
                <w:ilvl w:val="0"/>
                <w:numId w:val="220"/>
              </w:numPr>
              <w:rPr>
                <w:rFonts w:cs="Arial"/>
                <w:sz w:val="22"/>
                <w:szCs w:val="22"/>
              </w:rPr>
            </w:pPr>
            <w:r w:rsidRPr="00B56980">
              <w:rPr>
                <w:rFonts w:cs="Arial"/>
                <w:sz w:val="22"/>
                <w:szCs w:val="22"/>
                <w:lang w:val="en"/>
              </w:rPr>
              <w:t>Yes / Unsure = 1 or 2 (based on assessment of the level of risk)</w:t>
            </w:r>
            <w:r w:rsidRPr="00B56980">
              <w:rPr>
                <w:rFonts w:cs="Arial"/>
                <w:sz w:val="22"/>
                <w:szCs w:val="22"/>
              </w:rPr>
              <w:t> </w:t>
            </w:r>
          </w:p>
          <w:p w14:paraId="35E0E140" w14:textId="77777777" w:rsidR="00B56980" w:rsidRPr="00B56980" w:rsidRDefault="00B56980" w:rsidP="00B56980">
            <w:pPr>
              <w:numPr>
                <w:ilvl w:val="0"/>
                <w:numId w:val="221"/>
              </w:numPr>
              <w:rPr>
                <w:rFonts w:cs="Arial"/>
                <w:sz w:val="22"/>
                <w:szCs w:val="22"/>
              </w:rPr>
            </w:pPr>
            <w:r w:rsidRPr="00B56980">
              <w:rPr>
                <w:rFonts w:cs="Arial"/>
                <w:sz w:val="22"/>
                <w:szCs w:val="22"/>
                <w:lang w:val="en"/>
              </w:rPr>
              <w:t>No = 0 </w:t>
            </w:r>
            <w:r w:rsidRPr="00B56980">
              <w:rPr>
                <w:rFonts w:cs="Arial"/>
                <w:sz w:val="22"/>
                <w:szCs w:val="22"/>
              </w:rPr>
              <w:t> </w:t>
            </w:r>
          </w:p>
        </w:tc>
        <w:tc>
          <w:tcPr>
            <w:tcW w:w="777" w:type="dxa"/>
            <w:tcBorders>
              <w:top w:val="single" w:sz="6" w:space="0" w:color="CCCCCC"/>
              <w:left w:val="single" w:sz="6" w:space="0" w:color="CCCCCC"/>
              <w:bottom w:val="single" w:sz="6" w:space="0" w:color="000000"/>
              <w:right w:val="single" w:sz="6" w:space="0" w:color="000000"/>
            </w:tcBorders>
            <w:hideMark/>
          </w:tcPr>
          <w:p w14:paraId="0F2E2A45"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6" w:space="0" w:color="CCCCCC"/>
              <w:left w:val="single" w:sz="6" w:space="0" w:color="CCCCCC"/>
              <w:bottom w:val="single" w:sz="6" w:space="0" w:color="000000"/>
              <w:right w:val="single" w:sz="6" w:space="0" w:color="000000"/>
            </w:tcBorders>
            <w:hideMark/>
          </w:tcPr>
          <w:p w14:paraId="7918609F" w14:textId="77777777" w:rsidR="00B56980" w:rsidRPr="00B56980" w:rsidRDefault="00B56980" w:rsidP="00B56980">
            <w:pPr>
              <w:rPr>
                <w:rFonts w:cs="Arial"/>
                <w:sz w:val="22"/>
                <w:szCs w:val="22"/>
              </w:rPr>
            </w:pPr>
            <w:r w:rsidRPr="00B56980">
              <w:rPr>
                <w:rFonts w:cs="Arial"/>
                <w:sz w:val="22"/>
                <w:szCs w:val="22"/>
              </w:rPr>
              <w:t>We are confident in FAO’s ability to identify and monitor risks adequately. They have stable and strong governance systems in place, including regular audits.  </w:t>
            </w:r>
          </w:p>
        </w:tc>
      </w:tr>
      <w:tr w:rsidR="00B56980" w:rsidRPr="00B56980" w14:paraId="2C9549F4" w14:textId="77777777" w:rsidTr="00283E32">
        <w:trPr>
          <w:trHeight w:val="315"/>
        </w:trPr>
        <w:tc>
          <w:tcPr>
            <w:tcW w:w="2888" w:type="dxa"/>
            <w:tcBorders>
              <w:top w:val="single" w:sz="6" w:space="0" w:color="CCCCCC"/>
              <w:left w:val="single" w:sz="6" w:space="0" w:color="000000"/>
              <w:bottom w:val="single" w:sz="4" w:space="0" w:color="auto"/>
              <w:right w:val="single" w:sz="6" w:space="0" w:color="000000"/>
            </w:tcBorders>
            <w:hideMark/>
          </w:tcPr>
          <w:p w14:paraId="1ED71FDC" w14:textId="77777777" w:rsidR="00B56980" w:rsidRPr="00B56980" w:rsidRDefault="00B56980" w:rsidP="00B56980">
            <w:pPr>
              <w:rPr>
                <w:rFonts w:cs="Arial"/>
                <w:sz w:val="22"/>
                <w:szCs w:val="22"/>
              </w:rPr>
            </w:pPr>
            <w:r w:rsidRPr="00B56980">
              <w:rPr>
                <w:rFonts w:cs="Arial"/>
                <w:b/>
                <w:bCs/>
                <w:sz w:val="22"/>
                <w:szCs w:val="22"/>
              </w:rPr>
              <w:t>Total Risk Value (Range 0 to 25)</w:t>
            </w:r>
            <w:r w:rsidRPr="00B56980">
              <w:rPr>
                <w:rFonts w:cs="Arial"/>
                <w:sz w:val="22"/>
                <w:szCs w:val="22"/>
              </w:rPr>
              <w:t> </w:t>
            </w:r>
          </w:p>
        </w:tc>
        <w:tc>
          <w:tcPr>
            <w:tcW w:w="4549" w:type="dxa"/>
            <w:tcBorders>
              <w:top w:val="single" w:sz="6" w:space="0" w:color="CCCCCC"/>
              <w:left w:val="single" w:sz="6" w:space="0" w:color="CCCCCC"/>
              <w:bottom w:val="single" w:sz="4" w:space="0" w:color="auto"/>
              <w:right w:val="single" w:sz="6" w:space="0" w:color="000000"/>
            </w:tcBorders>
            <w:hideMark/>
          </w:tcPr>
          <w:p w14:paraId="3DEE0866" w14:textId="77777777" w:rsidR="00B56980" w:rsidRPr="00B56980" w:rsidRDefault="00B56980" w:rsidP="00B56980">
            <w:pPr>
              <w:rPr>
                <w:rFonts w:cs="Arial"/>
                <w:sz w:val="22"/>
                <w:szCs w:val="22"/>
              </w:rPr>
            </w:pPr>
            <w:r w:rsidRPr="00B56980">
              <w:rPr>
                <w:rFonts w:cs="Arial"/>
                <w:b/>
                <w:bCs/>
                <w:sz w:val="22"/>
                <w:szCs w:val="22"/>
              </w:rPr>
              <w:t>Severe Risk: 21-26</w:t>
            </w:r>
            <w:r w:rsidRPr="00B56980">
              <w:rPr>
                <w:rFonts w:cs="Arial"/>
                <w:sz w:val="22"/>
                <w:szCs w:val="22"/>
              </w:rPr>
              <w:t> </w:t>
            </w:r>
            <w:r w:rsidRPr="00B56980">
              <w:rPr>
                <w:rFonts w:cs="Arial"/>
                <w:sz w:val="22"/>
                <w:szCs w:val="22"/>
              </w:rPr>
              <w:br/>
            </w:r>
            <w:r w:rsidRPr="00B56980">
              <w:rPr>
                <w:rFonts w:cs="Arial"/>
                <w:b/>
                <w:bCs/>
                <w:sz w:val="22"/>
                <w:szCs w:val="22"/>
              </w:rPr>
              <w:t>Major Risk: 15-20 </w:t>
            </w:r>
            <w:r w:rsidRPr="00B56980">
              <w:rPr>
                <w:rFonts w:cs="Arial"/>
                <w:sz w:val="22"/>
                <w:szCs w:val="22"/>
              </w:rPr>
              <w:t> </w:t>
            </w:r>
            <w:r w:rsidRPr="00B56980">
              <w:rPr>
                <w:rFonts w:cs="Arial"/>
                <w:sz w:val="22"/>
                <w:szCs w:val="22"/>
              </w:rPr>
              <w:br/>
            </w:r>
            <w:r w:rsidRPr="00B56980">
              <w:rPr>
                <w:rFonts w:cs="Arial"/>
                <w:b/>
                <w:bCs/>
                <w:sz w:val="22"/>
                <w:szCs w:val="22"/>
              </w:rPr>
              <w:t>Moderate Risk: 8-14 </w:t>
            </w:r>
            <w:r w:rsidRPr="00B56980">
              <w:rPr>
                <w:rFonts w:cs="Arial"/>
                <w:sz w:val="22"/>
                <w:szCs w:val="22"/>
              </w:rPr>
              <w:t> </w:t>
            </w:r>
            <w:r w:rsidRPr="00B56980">
              <w:rPr>
                <w:rFonts w:cs="Arial"/>
                <w:sz w:val="22"/>
                <w:szCs w:val="22"/>
              </w:rPr>
              <w:br/>
            </w:r>
            <w:r w:rsidRPr="00B56980">
              <w:rPr>
                <w:rFonts w:cs="Arial"/>
                <w:b/>
                <w:bCs/>
                <w:sz w:val="22"/>
                <w:szCs w:val="22"/>
              </w:rPr>
              <w:t>Low Risk: 0-7</w:t>
            </w:r>
            <w:r w:rsidRPr="00B56980">
              <w:rPr>
                <w:rFonts w:cs="Arial"/>
                <w:sz w:val="22"/>
                <w:szCs w:val="22"/>
              </w:rPr>
              <w:t> </w:t>
            </w:r>
          </w:p>
        </w:tc>
        <w:tc>
          <w:tcPr>
            <w:tcW w:w="777" w:type="dxa"/>
            <w:tcBorders>
              <w:top w:val="single" w:sz="6" w:space="0" w:color="CCCCCC"/>
              <w:left w:val="single" w:sz="6" w:space="0" w:color="CCCCCC"/>
              <w:bottom w:val="single" w:sz="4" w:space="0" w:color="auto"/>
              <w:right w:val="single" w:sz="6" w:space="0" w:color="000000"/>
            </w:tcBorders>
            <w:hideMark/>
          </w:tcPr>
          <w:p w14:paraId="6FC503D9" w14:textId="77777777" w:rsidR="00B56980" w:rsidRPr="00B56980" w:rsidRDefault="00B56980" w:rsidP="00B56980">
            <w:pPr>
              <w:rPr>
                <w:rFonts w:cs="Arial"/>
                <w:sz w:val="22"/>
                <w:szCs w:val="22"/>
              </w:rPr>
            </w:pPr>
            <w:r w:rsidRPr="00B56980">
              <w:rPr>
                <w:rFonts w:cs="Arial"/>
                <w:sz w:val="22"/>
                <w:szCs w:val="22"/>
              </w:rPr>
              <w:t>15 </w:t>
            </w:r>
          </w:p>
        </w:tc>
        <w:tc>
          <w:tcPr>
            <w:tcW w:w="1974" w:type="dxa"/>
            <w:tcBorders>
              <w:top w:val="single" w:sz="6" w:space="0" w:color="CCCCCC"/>
              <w:left w:val="single" w:sz="6" w:space="0" w:color="CCCCCC"/>
              <w:bottom w:val="single" w:sz="4" w:space="0" w:color="auto"/>
              <w:right w:val="single" w:sz="6" w:space="0" w:color="000000"/>
            </w:tcBorders>
            <w:hideMark/>
          </w:tcPr>
          <w:p w14:paraId="74319104" w14:textId="77777777" w:rsidR="00B56980" w:rsidRPr="00B56980" w:rsidRDefault="00B56980" w:rsidP="00B56980">
            <w:pPr>
              <w:rPr>
                <w:rFonts w:cs="Arial"/>
                <w:sz w:val="22"/>
                <w:szCs w:val="22"/>
              </w:rPr>
            </w:pPr>
            <w:r w:rsidRPr="00B56980">
              <w:rPr>
                <w:rFonts w:cs="Arial"/>
                <w:sz w:val="22"/>
                <w:szCs w:val="22"/>
              </w:rPr>
              <w:t>State: Major  </w:t>
            </w:r>
          </w:p>
        </w:tc>
      </w:tr>
      <w:tr w:rsidR="00B56980" w:rsidRPr="00B56980" w14:paraId="7FA821D6" w14:textId="77777777" w:rsidTr="004A7D84">
        <w:trPr>
          <w:trHeight w:val="810"/>
        </w:trPr>
        <w:tc>
          <w:tcPr>
            <w:tcW w:w="10188" w:type="dxa"/>
            <w:gridSpan w:val="4"/>
            <w:tcBorders>
              <w:top w:val="single" w:sz="6" w:space="0" w:color="000000"/>
              <w:left w:val="single" w:sz="6" w:space="0" w:color="000000"/>
              <w:bottom w:val="single" w:sz="6" w:space="0" w:color="000000"/>
              <w:right w:val="single" w:sz="6" w:space="0" w:color="000000"/>
            </w:tcBorders>
            <w:vAlign w:val="bottom"/>
            <w:hideMark/>
          </w:tcPr>
          <w:p w14:paraId="7642E716" w14:textId="77777777" w:rsidR="00B56980" w:rsidRPr="00B56980" w:rsidRDefault="00B56980" w:rsidP="00B56980">
            <w:pPr>
              <w:rPr>
                <w:rFonts w:cs="Arial"/>
                <w:sz w:val="22"/>
                <w:szCs w:val="22"/>
              </w:rPr>
            </w:pPr>
            <w:r w:rsidRPr="00B56980">
              <w:rPr>
                <w:rFonts w:cs="Arial"/>
                <w:b/>
                <w:bCs/>
                <w:sz w:val="22"/>
                <w:szCs w:val="22"/>
              </w:rPr>
              <w:t>Low Risk (0-7):</w:t>
            </w:r>
            <w:r w:rsidRPr="00B56980">
              <w:rPr>
                <w:rFonts w:cs="Arial"/>
                <w:sz w:val="22"/>
                <w:szCs w:val="22"/>
              </w:rPr>
              <w:t> This range indicates the programme is either very low risk, or the proposal has considered risk management measures to minimize hazard impacts and associated risks, and that the programme may therefore have a potentially higher threshold against current and anticipated risks. </w:t>
            </w:r>
          </w:p>
        </w:tc>
      </w:tr>
      <w:tr w:rsidR="00B56980" w:rsidRPr="00B56980" w14:paraId="2597AA1C" w14:textId="77777777" w:rsidTr="004A7D84">
        <w:trPr>
          <w:trHeight w:val="315"/>
        </w:trPr>
        <w:tc>
          <w:tcPr>
            <w:tcW w:w="10188" w:type="dxa"/>
            <w:gridSpan w:val="4"/>
            <w:tcBorders>
              <w:top w:val="single" w:sz="6" w:space="0" w:color="000000"/>
              <w:left w:val="single" w:sz="6" w:space="0" w:color="000000"/>
              <w:bottom w:val="single" w:sz="6" w:space="0" w:color="000000"/>
              <w:right w:val="single" w:sz="6" w:space="0" w:color="000000"/>
            </w:tcBorders>
            <w:vAlign w:val="bottom"/>
            <w:hideMark/>
          </w:tcPr>
          <w:p w14:paraId="70270FD7" w14:textId="77777777" w:rsidR="00B56980" w:rsidRPr="00B56980" w:rsidRDefault="00B56980" w:rsidP="00B56980">
            <w:pPr>
              <w:rPr>
                <w:rFonts w:cs="Arial"/>
                <w:sz w:val="22"/>
                <w:szCs w:val="22"/>
              </w:rPr>
            </w:pPr>
            <w:r w:rsidRPr="00B56980">
              <w:rPr>
                <w:rFonts w:cs="Arial"/>
                <w:b/>
                <w:bCs/>
                <w:sz w:val="22"/>
                <w:szCs w:val="22"/>
              </w:rPr>
              <w:t>Moderate Risk (8-14):</w:t>
            </w:r>
            <w:r w:rsidRPr="00B56980">
              <w:rPr>
                <w:rFonts w:cs="Arial"/>
                <w:sz w:val="22"/>
                <w:szCs w:val="22"/>
              </w:rPr>
              <w:t> Climate related risks could possibly impact on the programme success, and at least light touch risk reduction measures should be incorporated into project design and activities. </w:t>
            </w:r>
          </w:p>
        </w:tc>
      </w:tr>
      <w:tr w:rsidR="00B56980" w:rsidRPr="00B56980" w14:paraId="49F0A285" w14:textId="77777777" w:rsidTr="004A7D84">
        <w:trPr>
          <w:trHeight w:val="315"/>
        </w:trPr>
        <w:tc>
          <w:tcPr>
            <w:tcW w:w="10188" w:type="dxa"/>
            <w:gridSpan w:val="4"/>
            <w:tcBorders>
              <w:top w:val="single" w:sz="6" w:space="0" w:color="CCCCCC"/>
              <w:left w:val="single" w:sz="6" w:space="0" w:color="000000"/>
              <w:bottom w:val="single" w:sz="6" w:space="0" w:color="000000"/>
              <w:right w:val="single" w:sz="6" w:space="0" w:color="000000"/>
            </w:tcBorders>
            <w:vAlign w:val="bottom"/>
            <w:hideMark/>
          </w:tcPr>
          <w:p w14:paraId="4665C984" w14:textId="77777777" w:rsidR="00B56980" w:rsidRPr="00B56980" w:rsidRDefault="00B56980" w:rsidP="00B56980">
            <w:pPr>
              <w:rPr>
                <w:rFonts w:cs="Arial"/>
                <w:sz w:val="22"/>
                <w:szCs w:val="22"/>
              </w:rPr>
            </w:pPr>
            <w:r w:rsidRPr="00B56980">
              <w:rPr>
                <w:rFonts w:cs="Arial"/>
                <w:b/>
                <w:bCs/>
                <w:sz w:val="22"/>
                <w:szCs w:val="22"/>
              </w:rPr>
              <w:t>Major Risk (15-20):</w:t>
            </w:r>
            <w:r w:rsidRPr="00B56980">
              <w:rPr>
                <w:rFonts w:cs="Arial"/>
                <w:sz w:val="22"/>
                <w:szCs w:val="22"/>
              </w:rPr>
              <w:t> Climate related risks could significantly impact on the programme success, and risk reduction measures should be incorporated into project design and activities. </w:t>
            </w:r>
          </w:p>
        </w:tc>
      </w:tr>
      <w:tr w:rsidR="00B56980" w:rsidRPr="00B56980" w14:paraId="69B2CD7E" w14:textId="77777777" w:rsidTr="004A7D84">
        <w:trPr>
          <w:trHeight w:val="315"/>
        </w:trPr>
        <w:tc>
          <w:tcPr>
            <w:tcW w:w="10188" w:type="dxa"/>
            <w:gridSpan w:val="4"/>
            <w:tcBorders>
              <w:top w:val="single" w:sz="6" w:space="0" w:color="CCCCCC"/>
              <w:left w:val="single" w:sz="6" w:space="0" w:color="000000"/>
              <w:bottom w:val="single" w:sz="6" w:space="0" w:color="000000"/>
              <w:right w:val="single" w:sz="6" w:space="0" w:color="000000"/>
            </w:tcBorders>
            <w:vAlign w:val="bottom"/>
            <w:hideMark/>
          </w:tcPr>
          <w:p w14:paraId="2F97B2CA" w14:textId="77777777" w:rsidR="00B56980" w:rsidRPr="00B56980" w:rsidRDefault="00B56980" w:rsidP="00B56980">
            <w:pPr>
              <w:rPr>
                <w:rFonts w:cs="Arial"/>
                <w:sz w:val="22"/>
                <w:szCs w:val="22"/>
              </w:rPr>
            </w:pPr>
            <w:r w:rsidRPr="00B56980">
              <w:rPr>
                <w:rFonts w:cs="Arial"/>
                <w:b/>
                <w:bCs/>
                <w:sz w:val="22"/>
                <w:szCs w:val="22"/>
              </w:rPr>
              <w:t>Severe Risk (21-26):</w:t>
            </w:r>
            <w:r w:rsidRPr="00B56980">
              <w:rPr>
                <w:rFonts w:cs="Arial"/>
                <w:sz w:val="22"/>
                <w:szCs w:val="22"/>
              </w:rPr>
              <w:t> Climate related risks are likely to derail the programme. It is highly recommended that risk reduction measures be incorporated into programme design and activities, and that a further review of the programme proposal be undertaken. At this level of risk, consideration of the suitability of undertaking this programming activity at all should be given. </w:t>
            </w:r>
          </w:p>
        </w:tc>
      </w:tr>
      <w:tr w:rsidR="00B56980" w:rsidRPr="00B56980" w14:paraId="60290071" w14:textId="77777777" w:rsidTr="00283E32">
        <w:trPr>
          <w:trHeight w:val="315"/>
        </w:trPr>
        <w:tc>
          <w:tcPr>
            <w:tcW w:w="2888" w:type="dxa"/>
            <w:tcBorders>
              <w:top w:val="single" w:sz="4" w:space="0" w:color="auto"/>
              <w:left w:val="single" w:sz="4" w:space="0" w:color="auto"/>
              <w:bottom w:val="single" w:sz="4" w:space="0" w:color="auto"/>
              <w:right w:val="single" w:sz="4" w:space="0" w:color="auto"/>
            </w:tcBorders>
            <w:shd w:val="clear" w:color="auto" w:fill="BDD6EE"/>
            <w:hideMark/>
          </w:tcPr>
          <w:p w14:paraId="0B823A03" w14:textId="77777777" w:rsidR="00B56980" w:rsidRPr="00283E32" w:rsidRDefault="00B56980" w:rsidP="00B56980">
            <w:pPr>
              <w:rPr>
                <w:rFonts w:cs="Arial"/>
                <w:sz w:val="16"/>
                <w:szCs w:val="16"/>
              </w:rPr>
            </w:pPr>
            <w:r w:rsidRPr="00283E32">
              <w:rPr>
                <w:rFonts w:cs="Arial"/>
                <w:b/>
                <w:bCs/>
                <w:sz w:val="16"/>
                <w:szCs w:val="16"/>
              </w:rPr>
              <w:t>Environmental screening factors</w:t>
            </w:r>
            <w:r w:rsidRPr="00283E32">
              <w:rPr>
                <w:rFonts w:cs="Arial"/>
                <w:sz w:val="16"/>
                <w:szCs w:val="16"/>
              </w:rPr>
              <w:t> </w:t>
            </w:r>
          </w:p>
        </w:tc>
        <w:tc>
          <w:tcPr>
            <w:tcW w:w="4549" w:type="dxa"/>
            <w:tcBorders>
              <w:top w:val="single" w:sz="4" w:space="0" w:color="auto"/>
              <w:left w:val="single" w:sz="4" w:space="0" w:color="auto"/>
              <w:bottom w:val="single" w:sz="4" w:space="0" w:color="auto"/>
              <w:right w:val="single" w:sz="4" w:space="0" w:color="auto"/>
            </w:tcBorders>
            <w:shd w:val="clear" w:color="auto" w:fill="BDD6EE"/>
            <w:hideMark/>
          </w:tcPr>
          <w:p w14:paraId="1DF83366" w14:textId="77777777" w:rsidR="00B56980" w:rsidRPr="00283E32" w:rsidRDefault="00B56980" w:rsidP="00B56980">
            <w:pPr>
              <w:rPr>
                <w:rFonts w:cs="Arial"/>
                <w:sz w:val="16"/>
                <w:szCs w:val="16"/>
              </w:rPr>
            </w:pPr>
            <w:r w:rsidRPr="00283E32">
              <w:rPr>
                <w:rFonts w:cs="Arial"/>
                <w:b/>
                <w:bCs/>
                <w:sz w:val="16"/>
                <w:szCs w:val="16"/>
              </w:rPr>
              <w:t>Supporting information</w:t>
            </w:r>
            <w:r w:rsidRPr="00283E32">
              <w:rPr>
                <w:rFonts w:cs="Arial"/>
                <w:sz w:val="16"/>
                <w:szCs w:val="16"/>
              </w:rPr>
              <w:t> </w:t>
            </w:r>
          </w:p>
        </w:tc>
        <w:tc>
          <w:tcPr>
            <w:tcW w:w="777" w:type="dxa"/>
            <w:tcBorders>
              <w:top w:val="single" w:sz="4" w:space="0" w:color="auto"/>
              <w:left w:val="single" w:sz="4" w:space="0" w:color="auto"/>
              <w:bottom w:val="single" w:sz="4" w:space="0" w:color="auto"/>
              <w:right w:val="single" w:sz="4" w:space="0" w:color="auto"/>
            </w:tcBorders>
            <w:shd w:val="clear" w:color="auto" w:fill="BDD6EE"/>
            <w:hideMark/>
          </w:tcPr>
          <w:p w14:paraId="55D88D45" w14:textId="77777777" w:rsidR="00B56980" w:rsidRPr="00283E32" w:rsidRDefault="00B56980" w:rsidP="00B56980">
            <w:pPr>
              <w:rPr>
                <w:rFonts w:cs="Arial"/>
                <w:sz w:val="16"/>
                <w:szCs w:val="16"/>
              </w:rPr>
            </w:pPr>
            <w:r w:rsidRPr="00283E32">
              <w:rPr>
                <w:rFonts w:cs="Arial"/>
                <w:b/>
                <w:bCs/>
                <w:sz w:val="16"/>
                <w:szCs w:val="16"/>
              </w:rPr>
              <w:t>Score 0-3</w:t>
            </w:r>
            <w:r w:rsidRPr="00283E32">
              <w:rPr>
                <w:rFonts w:cs="Arial"/>
                <w:sz w:val="16"/>
                <w:szCs w:val="16"/>
              </w:rPr>
              <w:t> </w:t>
            </w:r>
          </w:p>
        </w:tc>
        <w:tc>
          <w:tcPr>
            <w:tcW w:w="1974" w:type="dxa"/>
            <w:tcBorders>
              <w:top w:val="single" w:sz="4" w:space="0" w:color="auto"/>
              <w:left w:val="single" w:sz="4" w:space="0" w:color="auto"/>
              <w:bottom w:val="single" w:sz="4" w:space="0" w:color="auto"/>
              <w:right w:val="single" w:sz="4" w:space="0" w:color="auto"/>
            </w:tcBorders>
            <w:shd w:val="clear" w:color="auto" w:fill="BDD6EE"/>
            <w:hideMark/>
          </w:tcPr>
          <w:p w14:paraId="6FB07943" w14:textId="77777777" w:rsidR="00B56980" w:rsidRPr="00283E32" w:rsidRDefault="00B56980" w:rsidP="00B56980">
            <w:pPr>
              <w:rPr>
                <w:rFonts w:cs="Arial"/>
                <w:sz w:val="16"/>
                <w:szCs w:val="16"/>
              </w:rPr>
            </w:pPr>
            <w:r w:rsidRPr="00283E32">
              <w:rPr>
                <w:rFonts w:cs="Arial"/>
                <w:b/>
                <w:bCs/>
                <w:sz w:val="16"/>
                <w:szCs w:val="16"/>
              </w:rPr>
              <w:t>Remarks</w:t>
            </w:r>
            <w:r w:rsidRPr="00283E32">
              <w:rPr>
                <w:rFonts w:cs="Arial"/>
                <w:sz w:val="16"/>
                <w:szCs w:val="16"/>
              </w:rPr>
              <w:t> </w:t>
            </w:r>
          </w:p>
        </w:tc>
      </w:tr>
      <w:tr w:rsidR="00B56980" w:rsidRPr="00B56980" w14:paraId="25B3A692" w14:textId="77777777" w:rsidTr="004A7D84">
        <w:trPr>
          <w:trHeight w:val="315"/>
        </w:trPr>
        <w:tc>
          <w:tcPr>
            <w:tcW w:w="10188" w:type="dxa"/>
            <w:gridSpan w:val="4"/>
            <w:tcBorders>
              <w:top w:val="single" w:sz="4" w:space="0" w:color="auto"/>
              <w:left w:val="single" w:sz="4" w:space="0" w:color="auto"/>
              <w:bottom w:val="single" w:sz="4" w:space="0" w:color="auto"/>
              <w:right w:val="single" w:sz="4" w:space="0" w:color="auto"/>
            </w:tcBorders>
            <w:hideMark/>
          </w:tcPr>
          <w:p w14:paraId="2002C7B1" w14:textId="77777777" w:rsidR="00B56980" w:rsidRPr="00B56980" w:rsidRDefault="00B56980" w:rsidP="00B56980">
            <w:pPr>
              <w:rPr>
                <w:rFonts w:cs="Arial"/>
                <w:sz w:val="22"/>
                <w:szCs w:val="22"/>
              </w:rPr>
            </w:pPr>
            <w:r w:rsidRPr="00B56980">
              <w:rPr>
                <w:rFonts w:cs="Arial"/>
                <w:sz w:val="22"/>
                <w:szCs w:val="22"/>
                <w:u w:val="single"/>
              </w:rPr>
              <w:lastRenderedPageBreak/>
              <w:t>Safeguarding and protection</w:t>
            </w:r>
            <w:r w:rsidRPr="00B56980">
              <w:rPr>
                <w:rFonts w:cs="Arial"/>
                <w:sz w:val="22"/>
                <w:szCs w:val="22"/>
              </w:rPr>
              <w:t> </w:t>
            </w:r>
          </w:p>
        </w:tc>
      </w:tr>
      <w:tr w:rsidR="00B56980" w:rsidRPr="00B56980" w14:paraId="381A4E29"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7809FDA3" w14:textId="77777777" w:rsidR="00B56980" w:rsidRPr="00B56980" w:rsidRDefault="00B56980" w:rsidP="00B56980">
            <w:pPr>
              <w:rPr>
                <w:rFonts w:cs="Arial"/>
                <w:sz w:val="22"/>
                <w:szCs w:val="22"/>
              </w:rPr>
            </w:pPr>
            <w:r w:rsidRPr="00B56980">
              <w:rPr>
                <w:rFonts w:cs="Arial"/>
                <w:sz w:val="22"/>
                <w:szCs w:val="22"/>
              </w:rPr>
              <w:t>1. Will your programme exacerbate risk to any of the five safeguarding categories?  </w:t>
            </w:r>
          </w:p>
        </w:tc>
        <w:tc>
          <w:tcPr>
            <w:tcW w:w="4549" w:type="dxa"/>
            <w:tcBorders>
              <w:top w:val="single" w:sz="4" w:space="0" w:color="auto"/>
              <w:left w:val="single" w:sz="4" w:space="0" w:color="auto"/>
              <w:bottom w:val="single" w:sz="4" w:space="0" w:color="auto"/>
              <w:right w:val="single" w:sz="4" w:space="0" w:color="auto"/>
            </w:tcBorders>
            <w:hideMark/>
          </w:tcPr>
          <w:p w14:paraId="325444CF" w14:textId="77777777" w:rsidR="00B56980" w:rsidRPr="00B56980" w:rsidRDefault="00B56980" w:rsidP="00B56980">
            <w:pPr>
              <w:rPr>
                <w:rFonts w:cs="Arial"/>
                <w:sz w:val="22"/>
                <w:szCs w:val="22"/>
              </w:rPr>
            </w:pPr>
            <w:r w:rsidRPr="00B56980">
              <w:rPr>
                <w:rFonts w:cs="Arial"/>
                <w:sz w:val="22"/>
                <w:szCs w:val="22"/>
              </w:rPr>
              <w:t>See Table 5: Environmental Risks and Safeguarding. </w:t>
            </w:r>
          </w:p>
          <w:p w14:paraId="65E096EF" w14:textId="77777777" w:rsidR="00B56980" w:rsidRPr="00B56980" w:rsidRDefault="00B56980" w:rsidP="00B56980">
            <w:pPr>
              <w:rPr>
                <w:rFonts w:cs="Arial"/>
                <w:sz w:val="22"/>
                <w:szCs w:val="22"/>
              </w:rPr>
            </w:pPr>
            <w:r w:rsidRPr="00B56980">
              <w:rPr>
                <w:rFonts w:cs="Arial"/>
                <w:sz w:val="22"/>
                <w:szCs w:val="22"/>
              </w:rPr>
              <w:t>Yes/No </w:t>
            </w:r>
          </w:p>
          <w:p w14:paraId="740B3194" w14:textId="77777777" w:rsidR="00B56980" w:rsidRPr="00B56980" w:rsidRDefault="00B56980" w:rsidP="00B56980">
            <w:pPr>
              <w:numPr>
                <w:ilvl w:val="0"/>
                <w:numId w:val="222"/>
              </w:numPr>
              <w:rPr>
                <w:rFonts w:cs="Arial"/>
                <w:sz w:val="22"/>
                <w:szCs w:val="22"/>
              </w:rPr>
            </w:pPr>
            <w:r w:rsidRPr="00B56980">
              <w:rPr>
                <w:rFonts w:cs="Arial"/>
                <w:sz w:val="22"/>
                <w:szCs w:val="22"/>
                <w:lang w:val="en"/>
              </w:rPr>
              <w:t>Yes / Unsure = 1</w:t>
            </w:r>
            <w:r w:rsidRPr="00B56980">
              <w:rPr>
                <w:rFonts w:cs="Arial"/>
                <w:sz w:val="22"/>
                <w:szCs w:val="22"/>
              </w:rPr>
              <w:t> </w:t>
            </w:r>
          </w:p>
          <w:p w14:paraId="6C79E40A" w14:textId="77777777" w:rsidR="00B56980" w:rsidRPr="00B56980" w:rsidRDefault="00B56980" w:rsidP="00B56980">
            <w:pPr>
              <w:numPr>
                <w:ilvl w:val="0"/>
                <w:numId w:val="223"/>
              </w:numPr>
              <w:rPr>
                <w:rFonts w:cs="Arial"/>
                <w:sz w:val="22"/>
                <w:szCs w:val="22"/>
              </w:rPr>
            </w:pPr>
            <w:r w:rsidRPr="00B56980">
              <w:rPr>
                <w:rFonts w:cs="Arial"/>
                <w:sz w:val="22"/>
                <w:szCs w:val="22"/>
                <w:lang w:val="en"/>
              </w:rPr>
              <w:t>No = 0</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1B2E356B"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4" w:space="0" w:color="auto"/>
              <w:left w:val="single" w:sz="4" w:space="0" w:color="auto"/>
              <w:bottom w:val="single" w:sz="4" w:space="0" w:color="auto"/>
              <w:right w:val="single" w:sz="4" w:space="0" w:color="auto"/>
            </w:tcBorders>
            <w:hideMark/>
          </w:tcPr>
          <w:p w14:paraId="56C3FEFF" w14:textId="77777777" w:rsidR="00B56980" w:rsidRPr="00B56980" w:rsidRDefault="00B56980" w:rsidP="00B56980">
            <w:pPr>
              <w:rPr>
                <w:rFonts w:cs="Arial"/>
                <w:sz w:val="22"/>
                <w:szCs w:val="22"/>
              </w:rPr>
            </w:pPr>
            <w:r w:rsidRPr="00B56980">
              <w:rPr>
                <w:rFonts w:cs="Arial"/>
                <w:sz w:val="22"/>
                <w:szCs w:val="22"/>
              </w:rPr>
              <w:t>The programme should provide support in land-related components through better data provision and management in support of enhancing policies and practices that are climate and nature positive. </w:t>
            </w:r>
          </w:p>
        </w:tc>
      </w:tr>
      <w:tr w:rsidR="00B56980" w:rsidRPr="00B56980" w14:paraId="329C10AE"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64354658" w14:textId="77777777" w:rsidR="00B56980" w:rsidRPr="00B56980" w:rsidRDefault="00B56980" w:rsidP="00B56980">
            <w:pPr>
              <w:rPr>
                <w:rFonts w:cs="Arial"/>
                <w:sz w:val="22"/>
                <w:szCs w:val="22"/>
              </w:rPr>
            </w:pPr>
            <w:r w:rsidRPr="00B56980">
              <w:rPr>
                <w:rFonts w:cs="Arial"/>
                <w:sz w:val="22"/>
                <w:szCs w:val="22"/>
              </w:rPr>
              <w:t>2. Will the programme include any measures or safeguards to mitigate against these risks? </w:t>
            </w:r>
          </w:p>
        </w:tc>
        <w:tc>
          <w:tcPr>
            <w:tcW w:w="4549" w:type="dxa"/>
            <w:tcBorders>
              <w:top w:val="single" w:sz="4" w:space="0" w:color="auto"/>
              <w:left w:val="single" w:sz="4" w:space="0" w:color="auto"/>
              <w:bottom w:val="single" w:sz="4" w:space="0" w:color="auto"/>
              <w:right w:val="single" w:sz="4" w:space="0" w:color="auto"/>
            </w:tcBorders>
            <w:hideMark/>
          </w:tcPr>
          <w:p w14:paraId="6AD89ACC" w14:textId="77777777" w:rsidR="00B56980" w:rsidRPr="00B56980" w:rsidRDefault="00B56980" w:rsidP="00B56980">
            <w:pPr>
              <w:rPr>
                <w:rFonts w:cs="Arial"/>
                <w:sz w:val="22"/>
                <w:szCs w:val="22"/>
              </w:rPr>
            </w:pPr>
            <w:r w:rsidRPr="00B56980">
              <w:rPr>
                <w:rFonts w:cs="Arial"/>
                <w:sz w:val="22"/>
                <w:szCs w:val="22"/>
              </w:rPr>
              <w:t>See Table 5: Environmental Risks and Safeguarding. </w:t>
            </w:r>
          </w:p>
          <w:p w14:paraId="12B7757B" w14:textId="77777777" w:rsidR="00B56980" w:rsidRPr="00B56980" w:rsidRDefault="00B56980" w:rsidP="00B56980">
            <w:pPr>
              <w:rPr>
                <w:rFonts w:cs="Arial"/>
                <w:sz w:val="22"/>
                <w:szCs w:val="22"/>
              </w:rPr>
            </w:pPr>
            <w:r w:rsidRPr="00B56980">
              <w:rPr>
                <w:rFonts w:cs="Arial"/>
                <w:sz w:val="22"/>
                <w:szCs w:val="22"/>
              </w:rPr>
              <w:t>Yes/No  </w:t>
            </w:r>
          </w:p>
          <w:p w14:paraId="23229C6B" w14:textId="77777777" w:rsidR="00B56980" w:rsidRPr="00B56980" w:rsidRDefault="00B56980" w:rsidP="00B56980">
            <w:pPr>
              <w:numPr>
                <w:ilvl w:val="0"/>
                <w:numId w:val="224"/>
              </w:numPr>
              <w:rPr>
                <w:rFonts w:cs="Arial"/>
                <w:sz w:val="22"/>
                <w:szCs w:val="22"/>
              </w:rPr>
            </w:pPr>
            <w:r w:rsidRPr="00B56980">
              <w:rPr>
                <w:rFonts w:cs="Arial"/>
                <w:sz w:val="22"/>
                <w:szCs w:val="22"/>
                <w:lang w:val="en"/>
              </w:rPr>
              <w:t>Yes = 0</w:t>
            </w:r>
            <w:r w:rsidRPr="00B56980">
              <w:rPr>
                <w:rFonts w:cs="Arial"/>
                <w:sz w:val="22"/>
                <w:szCs w:val="22"/>
              </w:rPr>
              <w:t> </w:t>
            </w:r>
          </w:p>
          <w:p w14:paraId="01D77936" w14:textId="77777777" w:rsidR="00B56980" w:rsidRPr="00B56980" w:rsidRDefault="00B56980" w:rsidP="00B56980">
            <w:pPr>
              <w:numPr>
                <w:ilvl w:val="0"/>
                <w:numId w:val="225"/>
              </w:numPr>
              <w:rPr>
                <w:rFonts w:cs="Arial"/>
                <w:sz w:val="22"/>
                <w:szCs w:val="22"/>
              </w:rPr>
            </w:pPr>
            <w:r w:rsidRPr="00B56980">
              <w:rPr>
                <w:rFonts w:cs="Arial"/>
                <w:sz w:val="22"/>
                <w:szCs w:val="22"/>
                <w:lang w:val="en"/>
              </w:rPr>
              <w:t>No / Unsure = 1</w:t>
            </w:r>
            <w:r w:rsidRPr="00B56980">
              <w:rPr>
                <w:rFonts w:cs="Arial"/>
                <w:sz w:val="22"/>
                <w:szCs w:val="22"/>
              </w:rPr>
              <w:t> </w:t>
            </w:r>
          </w:p>
          <w:p w14:paraId="4251B2E8" w14:textId="77777777" w:rsidR="00B56980" w:rsidRPr="00B56980" w:rsidRDefault="00B56980" w:rsidP="00B56980">
            <w:pPr>
              <w:rPr>
                <w:rFonts w:cs="Arial"/>
                <w:sz w:val="22"/>
                <w:szCs w:val="22"/>
              </w:rPr>
            </w:pP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53494127"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4" w:space="0" w:color="auto"/>
              <w:left w:val="single" w:sz="4" w:space="0" w:color="auto"/>
              <w:bottom w:val="single" w:sz="4" w:space="0" w:color="auto"/>
              <w:right w:val="single" w:sz="4" w:space="0" w:color="auto"/>
            </w:tcBorders>
            <w:hideMark/>
          </w:tcPr>
          <w:p w14:paraId="3C5561F7" w14:textId="77777777" w:rsidR="00B56980" w:rsidRPr="00B56980" w:rsidRDefault="00B56980" w:rsidP="00B56980">
            <w:pPr>
              <w:rPr>
                <w:rFonts w:cs="Arial"/>
                <w:sz w:val="22"/>
                <w:szCs w:val="22"/>
              </w:rPr>
            </w:pPr>
            <w:r w:rsidRPr="00B56980">
              <w:rPr>
                <w:rFonts w:cs="Arial"/>
                <w:sz w:val="22"/>
                <w:szCs w:val="22"/>
              </w:rPr>
              <w:t>The programme supports REDD+ (backed by Cancun Safeguards – UNFCCC). The programme will be adaptive and respond to any major climate risks and challenges. The emphasis and intentions of the programme is inherently climate and nature positive. </w:t>
            </w:r>
          </w:p>
        </w:tc>
      </w:tr>
      <w:tr w:rsidR="00B56980" w:rsidRPr="00B56980" w14:paraId="537E2CEE"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2838B5C9" w14:textId="77777777" w:rsidR="00B56980" w:rsidRPr="00B56980" w:rsidRDefault="00B56980" w:rsidP="00B56980">
            <w:pPr>
              <w:rPr>
                <w:rFonts w:cs="Arial"/>
                <w:sz w:val="22"/>
                <w:szCs w:val="22"/>
              </w:rPr>
            </w:pPr>
            <w:r w:rsidRPr="00B56980">
              <w:rPr>
                <w:rFonts w:cs="Arial"/>
                <w:sz w:val="22"/>
                <w:szCs w:val="22"/>
              </w:rPr>
              <w:t>3. Will the programme be operating in or near critical habitats?  </w:t>
            </w:r>
          </w:p>
        </w:tc>
        <w:tc>
          <w:tcPr>
            <w:tcW w:w="4549" w:type="dxa"/>
            <w:tcBorders>
              <w:top w:val="single" w:sz="4" w:space="0" w:color="auto"/>
              <w:left w:val="single" w:sz="4" w:space="0" w:color="auto"/>
              <w:bottom w:val="single" w:sz="4" w:space="0" w:color="auto"/>
              <w:right w:val="single" w:sz="4" w:space="0" w:color="auto"/>
            </w:tcBorders>
            <w:hideMark/>
          </w:tcPr>
          <w:p w14:paraId="22A299F1" w14:textId="77777777" w:rsidR="00B56980" w:rsidRPr="00B56980" w:rsidRDefault="00B56980" w:rsidP="00B56980">
            <w:pPr>
              <w:rPr>
                <w:rFonts w:cs="Arial"/>
                <w:sz w:val="22"/>
                <w:szCs w:val="22"/>
              </w:rPr>
            </w:pPr>
            <w:r w:rsidRPr="00B56980">
              <w:rPr>
                <w:rFonts w:cs="Arial"/>
                <w:sz w:val="22"/>
                <w:szCs w:val="22"/>
              </w:rPr>
              <w:t>Yes/No </w:t>
            </w:r>
          </w:p>
          <w:p w14:paraId="52F875B0" w14:textId="77777777" w:rsidR="00B56980" w:rsidRPr="00B56980" w:rsidRDefault="00B56980" w:rsidP="00B56980">
            <w:pPr>
              <w:numPr>
                <w:ilvl w:val="0"/>
                <w:numId w:val="226"/>
              </w:numPr>
              <w:rPr>
                <w:rFonts w:cs="Arial"/>
                <w:sz w:val="22"/>
                <w:szCs w:val="22"/>
              </w:rPr>
            </w:pPr>
            <w:r w:rsidRPr="00B56980">
              <w:rPr>
                <w:rFonts w:cs="Arial"/>
                <w:sz w:val="22"/>
                <w:szCs w:val="22"/>
                <w:lang w:val="en"/>
              </w:rPr>
              <w:t>Yes = 2</w:t>
            </w:r>
            <w:r w:rsidRPr="00B56980">
              <w:rPr>
                <w:rFonts w:cs="Arial"/>
                <w:sz w:val="22"/>
                <w:szCs w:val="22"/>
              </w:rPr>
              <w:t> </w:t>
            </w:r>
          </w:p>
          <w:p w14:paraId="20C7B130" w14:textId="77777777" w:rsidR="00B56980" w:rsidRPr="00B56980" w:rsidRDefault="00B56980" w:rsidP="00B56980">
            <w:pPr>
              <w:numPr>
                <w:ilvl w:val="0"/>
                <w:numId w:val="227"/>
              </w:numPr>
              <w:rPr>
                <w:rFonts w:cs="Arial"/>
                <w:sz w:val="22"/>
                <w:szCs w:val="22"/>
              </w:rPr>
            </w:pPr>
            <w:r w:rsidRPr="00B56980">
              <w:rPr>
                <w:rFonts w:cs="Arial"/>
                <w:sz w:val="22"/>
                <w:szCs w:val="22"/>
                <w:lang w:val="en"/>
              </w:rPr>
              <w:t>Unsure = 1</w:t>
            </w:r>
            <w:r w:rsidRPr="00B56980">
              <w:rPr>
                <w:rFonts w:cs="Arial"/>
                <w:sz w:val="22"/>
                <w:szCs w:val="22"/>
              </w:rPr>
              <w:t> </w:t>
            </w:r>
          </w:p>
          <w:p w14:paraId="27E54685" w14:textId="77777777" w:rsidR="00B56980" w:rsidRPr="00B56980" w:rsidRDefault="00B56980" w:rsidP="00B56980">
            <w:pPr>
              <w:numPr>
                <w:ilvl w:val="0"/>
                <w:numId w:val="228"/>
              </w:numPr>
              <w:rPr>
                <w:rFonts w:cs="Arial"/>
                <w:sz w:val="22"/>
                <w:szCs w:val="22"/>
              </w:rPr>
            </w:pPr>
            <w:r w:rsidRPr="00B56980">
              <w:rPr>
                <w:rFonts w:cs="Arial"/>
                <w:sz w:val="22"/>
                <w:szCs w:val="22"/>
                <w:lang w:val="en"/>
              </w:rPr>
              <w:t>No = 0</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21CF2C1E" w14:textId="77777777" w:rsidR="00B56980" w:rsidRPr="00B56980" w:rsidRDefault="00B56980" w:rsidP="00B56980">
            <w:pPr>
              <w:rPr>
                <w:rFonts w:cs="Arial"/>
                <w:sz w:val="22"/>
                <w:szCs w:val="22"/>
              </w:rPr>
            </w:pPr>
            <w:r w:rsidRPr="00B56980">
              <w:rPr>
                <w:rFonts w:cs="Arial"/>
                <w:sz w:val="22"/>
                <w:szCs w:val="22"/>
              </w:rPr>
              <w:t>1 </w:t>
            </w:r>
          </w:p>
        </w:tc>
        <w:tc>
          <w:tcPr>
            <w:tcW w:w="1974" w:type="dxa"/>
            <w:tcBorders>
              <w:top w:val="single" w:sz="4" w:space="0" w:color="auto"/>
              <w:left w:val="single" w:sz="4" w:space="0" w:color="auto"/>
              <w:bottom w:val="single" w:sz="4" w:space="0" w:color="auto"/>
              <w:right w:val="single" w:sz="4" w:space="0" w:color="auto"/>
            </w:tcBorders>
            <w:hideMark/>
          </w:tcPr>
          <w:p w14:paraId="23DC3F89" w14:textId="77777777" w:rsidR="00B56980" w:rsidRPr="00B56980" w:rsidRDefault="00B56980" w:rsidP="00B56980">
            <w:pPr>
              <w:rPr>
                <w:rFonts w:cs="Arial"/>
                <w:sz w:val="22"/>
                <w:szCs w:val="22"/>
              </w:rPr>
            </w:pPr>
            <w:r w:rsidRPr="00B56980">
              <w:rPr>
                <w:rFonts w:cs="Arial"/>
                <w:sz w:val="22"/>
                <w:szCs w:val="22"/>
              </w:rPr>
              <w:t>Unsure. The programme implementation itself will not be in critical habitats, however, broader support on forest and nature restoration monitoring can support responding to risks within these habitats.  </w:t>
            </w:r>
          </w:p>
        </w:tc>
      </w:tr>
      <w:tr w:rsidR="00B56980" w:rsidRPr="00B56980" w14:paraId="4D243E3E"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2A8E8F36" w14:textId="77777777" w:rsidR="00B56980" w:rsidRPr="00B56980" w:rsidRDefault="00B56980" w:rsidP="00B56980">
            <w:pPr>
              <w:rPr>
                <w:rFonts w:cs="Arial"/>
                <w:sz w:val="22"/>
                <w:szCs w:val="22"/>
              </w:rPr>
            </w:pPr>
            <w:r w:rsidRPr="00B56980">
              <w:rPr>
                <w:rFonts w:cs="Arial"/>
                <w:sz w:val="22"/>
                <w:szCs w:val="22"/>
              </w:rPr>
              <w:t>4. Will the programme consider opportunities to enhance the environment through your programme?  </w:t>
            </w:r>
          </w:p>
        </w:tc>
        <w:tc>
          <w:tcPr>
            <w:tcW w:w="4549" w:type="dxa"/>
            <w:tcBorders>
              <w:top w:val="single" w:sz="4" w:space="0" w:color="auto"/>
              <w:left w:val="single" w:sz="4" w:space="0" w:color="auto"/>
              <w:bottom w:val="single" w:sz="4" w:space="0" w:color="auto"/>
              <w:right w:val="single" w:sz="4" w:space="0" w:color="auto"/>
            </w:tcBorders>
            <w:hideMark/>
          </w:tcPr>
          <w:p w14:paraId="3A18E1E9" w14:textId="77777777" w:rsidR="00B56980" w:rsidRPr="00B56980" w:rsidRDefault="00B56980" w:rsidP="00B56980">
            <w:pPr>
              <w:rPr>
                <w:rFonts w:cs="Arial"/>
                <w:sz w:val="22"/>
                <w:szCs w:val="22"/>
              </w:rPr>
            </w:pPr>
            <w:r w:rsidRPr="00B56980">
              <w:rPr>
                <w:rFonts w:cs="Arial"/>
                <w:sz w:val="22"/>
                <w:szCs w:val="22"/>
              </w:rPr>
              <w:t>Yes/No  </w:t>
            </w:r>
          </w:p>
          <w:p w14:paraId="679F7292" w14:textId="77777777" w:rsidR="00B56980" w:rsidRPr="00B56980" w:rsidRDefault="00B56980" w:rsidP="00B56980">
            <w:pPr>
              <w:numPr>
                <w:ilvl w:val="0"/>
                <w:numId w:val="229"/>
              </w:numPr>
              <w:rPr>
                <w:rFonts w:cs="Arial"/>
                <w:sz w:val="22"/>
                <w:szCs w:val="22"/>
              </w:rPr>
            </w:pPr>
            <w:r w:rsidRPr="00B56980">
              <w:rPr>
                <w:rFonts w:cs="Arial"/>
                <w:sz w:val="22"/>
                <w:szCs w:val="22"/>
                <w:lang w:val="en"/>
              </w:rPr>
              <w:t>Yes = 0</w:t>
            </w:r>
            <w:r w:rsidRPr="00B56980">
              <w:rPr>
                <w:rFonts w:cs="Arial"/>
                <w:sz w:val="22"/>
                <w:szCs w:val="22"/>
              </w:rPr>
              <w:t> </w:t>
            </w:r>
          </w:p>
          <w:p w14:paraId="6AFB3D74" w14:textId="77777777" w:rsidR="00B56980" w:rsidRPr="00B56980" w:rsidRDefault="00B56980" w:rsidP="00B56980">
            <w:pPr>
              <w:numPr>
                <w:ilvl w:val="0"/>
                <w:numId w:val="230"/>
              </w:numPr>
              <w:rPr>
                <w:rFonts w:cs="Arial"/>
                <w:sz w:val="22"/>
                <w:szCs w:val="22"/>
              </w:rPr>
            </w:pPr>
            <w:r w:rsidRPr="00B56980">
              <w:rPr>
                <w:rFonts w:cs="Arial"/>
                <w:sz w:val="22"/>
                <w:szCs w:val="22"/>
                <w:lang w:val="en"/>
              </w:rPr>
              <w:t>No / Unsure = 1</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437172FE"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4" w:space="0" w:color="auto"/>
              <w:left w:val="single" w:sz="4" w:space="0" w:color="auto"/>
              <w:bottom w:val="single" w:sz="4" w:space="0" w:color="auto"/>
              <w:right w:val="single" w:sz="4" w:space="0" w:color="auto"/>
            </w:tcBorders>
            <w:hideMark/>
          </w:tcPr>
          <w:p w14:paraId="72554AD2" w14:textId="77777777" w:rsidR="00B56980" w:rsidRPr="00B56980" w:rsidRDefault="00B56980" w:rsidP="00B56980">
            <w:pPr>
              <w:rPr>
                <w:rFonts w:cs="Arial"/>
                <w:sz w:val="22"/>
                <w:szCs w:val="22"/>
              </w:rPr>
            </w:pPr>
            <w:r w:rsidRPr="00B56980">
              <w:rPr>
                <w:rFonts w:cs="Arial"/>
                <w:sz w:val="22"/>
                <w:szCs w:val="22"/>
              </w:rPr>
              <w:t>Yes. This is an integral part of AIM4Forests. </w:t>
            </w:r>
          </w:p>
        </w:tc>
      </w:tr>
      <w:tr w:rsidR="00B56980" w:rsidRPr="00B56980" w14:paraId="7E4613E1"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0274B65B" w14:textId="77777777" w:rsidR="00B56980" w:rsidRPr="00B56980" w:rsidRDefault="00B56980" w:rsidP="00B56980">
            <w:pPr>
              <w:rPr>
                <w:rFonts w:cs="Arial"/>
                <w:sz w:val="22"/>
                <w:szCs w:val="22"/>
              </w:rPr>
            </w:pPr>
            <w:r w:rsidRPr="00B56980">
              <w:rPr>
                <w:rFonts w:cs="Arial"/>
                <w:sz w:val="22"/>
                <w:szCs w:val="22"/>
              </w:rPr>
              <w:t>5. Will the programme go against a country’s biodiversity strategy or plans? </w:t>
            </w:r>
          </w:p>
        </w:tc>
        <w:tc>
          <w:tcPr>
            <w:tcW w:w="4549" w:type="dxa"/>
            <w:tcBorders>
              <w:top w:val="single" w:sz="4" w:space="0" w:color="auto"/>
              <w:left w:val="single" w:sz="4" w:space="0" w:color="auto"/>
              <w:bottom w:val="single" w:sz="4" w:space="0" w:color="auto"/>
              <w:right w:val="single" w:sz="4" w:space="0" w:color="auto"/>
            </w:tcBorders>
            <w:hideMark/>
          </w:tcPr>
          <w:p w14:paraId="52846EC4" w14:textId="77777777" w:rsidR="00B56980" w:rsidRPr="00B56980" w:rsidRDefault="00B56980" w:rsidP="00B56980">
            <w:pPr>
              <w:rPr>
                <w:rFonts w:cs="Arial"/>
                <w:sz w:val="22"/>
                <w:szCs w:val="22"/>
              </w:rPr>
            </w:pPr>
            <w:r w:rsidRPr="00B56980">
              <w:rPr>
                <w:rFonts w:cs="Arial"/>
                <w:sz w:val="22"/>
                <w:szCs w:val="22"/>
              </w:rPr>
              <w:t>Yes/No </w:t>
            </w:r>
          </w:p>
          <w:p w14:paraId="3D9A2767" w14:textId="77777777" w:rsidR="00B56980" w:rsidRPr="00B56980" w:rsidRDefault="00B56980" w:rsidP="00B56980">
            <w:pPr>
              <w:numPr>
                <w:ilvl w:val="0"/>
                <w:numId w:val="231"/>
              </w:numPr>
              <w:rPr>
                <w:rFonts w:cs="Arial"/>
                <w:sz w:val="22"/>
                <w:szCs w:val="22"/>
              </w:rPr>
            </w:pPr>
            <w:r w:rsidRPr="00B56980">
              <w:rPr>
                <w:rFonts w:cs="Arial"/>
                <w:sz w:val="22"/>
                <w:szCs w:val="22"/>
                <w:lang w:val="en"/>
              </w:rPr>
              <w:t>Yes / Unsure = 1</w:t>
            </w:r>
            <w:r w:rsidRPr="00B56980">
              <w:rPr>
                <w:rFonts w:cs="Arial"/>
                <w:sz w:val="22"/>
                <w:szCs w:val="22"/>
              </w:rPr>
              <w:t> </w:t>
            </w:r>
          </w:p>
          <w:p w14:paraId="5DE66EDC" w14:textId="77777777" w:rsidR="00B56980" w:rsidRPr="00B56980" w:rsidRDefault="00B56980" w:rsidP="00B56980">
            <w:pPr>
              <w:numPr>
                <w:ilvl w:val="0"/>
                <w:numId w:val="232"/>
              </w:numPr>
              <w:rPr>
                <w:rFonts w:cs="Arial"/>
                <w:sz w:val="22"/>
                <w:szCs w:val="22"/>
              </w:rPr>
            </w:pPr>
            <w:r w:rsidRPr="00B56980">
              <w:rPr>
                <w:rFonts w:cs="Arial"/>
                <w:sz w:val="22"/>
                <w:szCs w:val="22"/>
                <w:lang w:val="en"/>
              </w:rPr>
              <w:t>No = 0</w:t>
            </w:r>
            <w:r w:rsidRPr="00B56980">
              <w:rPr>
                <w:rFonts w:cs="Arial"/>
                <w:sz w:val="22"/>
                <w:szCs w:val="22"/>
              </w:rPr>
              <w:t> </w:t>
            </w:r>
          </w:p>
          <w:p w14:paraId="6C37E2F5" w14:textId="77777777" w:rsidR="00B56980" w:rsidRPr="00B56980" w:rsidRDefault="00B56980" w:rsidP="00B56980">
            <w:pPr>
              <w:rPr>
                <w:rFonts w:cs="Arial"/>
                <w:sz w:val="22"/>
                <w:szCs w:val="22"/>
              </w:rPr>
            </w:pP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370AC691" w14:textId="77777777" w:rsidR="00B56980" w:rsidRPr="00B56980" w:rsidRDefault="00B56980" w:rsidP="00B56980">
            <w:pPr>
              <w:rPr>
                <w:rFonts w:cs="Arial"/>
                <w:sz w:val="22"/>
                <w:szCs w:val="22"/>
              </w:rPr>
            </w:pPr>
            <w:r w:rsidRPr="00B56980">
              <w:rPr>
                <w:rFonts w:cs="Arial"/>
                <w:sz w:val="22"/>
                <w:szCs w:val="22"/>
              </w:rPr>
              <w:t>0 </w:t>
            </w:r>
          </w:p>
        </w:tc>
        <w:tc>
          <w:tcPr>
            <w:tcW w:w="1974" w:type="dxa"/>
            <w:tcBorders>
              <w:top w:val="single" w:sz="4" w:space="0" w:color="auto"/>
              <w:left w:val="single" w:sz="4" w:space="0" w:color="auto"/>
              <w:bottom w:val="single" w:sz="4" w:space="0" w:color="auto"/>
              <w:right w:val="single" w:sz="4" w:space="0" w:color="auto"/>
            </w:tcBorders>
            <w:hideMark/>
          </w:tcPr>
          <w:p w14:paraId="3370825E" w14:textId="77777777" w:rsidR="00B56980" w:rsidRPr="00B56980" w:rsidRDefault="00B56980" w:rsidP="00B56980">
            <w:pPr>
              <w:rPr>
                <w:rFonts w:cs="Arial"/>
                <w:sz w:val="22"/>
                <w:szCs w:val="22"/>
              </w:rPr>
            </w:pPr>
            <w:r w:rsidRPr="00B56980">
              <w:rPr>
                <w:rFonts w:cs="Arial"/>
                <w:sz w:val="22"/>
                <w:szCs w:val="22"/>
              </w:rPr>
              <w:t xml:space="preserve">No. The programme will support a better understanding of country biodiversity strategies and plans. It will also support countries to meet </w:t>
            </w:r>
            <w:r w:rsidRPr="00B56980">
              <w:rPr>
                <w:rFonts w:cs="Arial"/>
                <w:sz w:val="22"/>
                <w:szCs w:val="22"/>
              </w:rPr>
              <w:lastRenderedPageBreak/>
              <w:t>reporting requirements under Target 2 of the Kunming-Montreal Global Biodiversity Framework.  </w:t>
            </w:r>
          </w:p>
        </w:tc>
      </w:tr>
      <w:tr w:rsidR="00B56980" w:rsidRPr="00B56980" w14:paraId="798A47D8" w14:textId="77777777" w:rsidTr="004A7D84">
        <w:trPr>
          <w:trHeight w:val="900"/>
        </w:trPr>
        <w:tc>
          <w:tcPr>
            <w:tcW w:w="10188" w:type="dxa"/>
            <w:gridSpan w:val="4"/>
            <w:tcBorders>
              <w:top w:val="single" w:sz="4" w:space="0" w:color="auto"/>
              <w:left w:val="single" w:sz="4" w:space="0" w:color="auto"/>
              <w:bottom w:val="single" w:sz="4" w:space="0" w:color="auto"/>
              <w:right w:val="single" w:sz="4" w:space="0" w:color="auto"/>
            </w:tcBorders>
            <w:hideMark/>
          </w:tcPr>
          <w:p w14:paraId="6175A6BB" w14:textId="77777777" w:rsidR="00B56980" w:rsidRPr="00B56980" w:rsidRDefault="00B56980" w:rsidP="00B56980">
            <w:pPr>
              <w:rPr>
                <w:rFonts w:cs="Arial"/>
                <w:sz w:val="22"/>
                <w:szCs w:val="22"/>
              </w:rPr>
            </w:pPr>
            <w:r w:rsidRPr="00B56980">
              <w:rPr>
                <w:rFonts w:cs="Arial"/>
                <w:b/>
                <w:bCs/>
                <w:i/>
                <w:iCs/>
                <w:sz w:val="22"/>
                <w:szCs w:val="22"/>
              </w:rPr>
              <w:lastRenderedPageBreak/>
              <w:t>If the TOTAL value for the first four questions sums to 3 or less there is no need to complete the remaining questions. You will not be required to complete any further scoping or full EIA.</w:t>
            </w:r>
            <w:r w:rsidRPr="00B56980">
              <w:rPr>
                <w:rFonts w:cs="Arial"/>
                <w:sz w:val="22"/>
                <w:szCs w:val="22"/>
              </w:rPr>
              <w:t> </w:t>
            </w:r>
          </w:p>
        </w:tc>
      </w:tr>
      <w:tr w:rsidR="00B56980" w:rsidRPr="00B56980" w14:paraId="338F9D70" w14:textId="77777777" w:rsidTr="004A7D84">
        <w:trPr>
          <w:trHeight w:val="420"/>
        </w:trPr>
        <w:tc>
          <w:tcPr>
            <w:tcW w:w="10188" w:type="dxa"/>
            <w:gridSpan w:val="4"/>
            <w:tcBorders>
              <w:top w:val="single" w:sz="4" w:space="0" w:color="auto"/>
              <w:left w:val="single" w:sz="4" w:space="0" w:color="auto"/>
              <w:bottom w:val="single" w:sz="4" w:space="0" w:color="auto"/>
              <w:right w:val="single" w:sz="4" w:space="0" w:color="auto"/>
            </w:tcBorders>
            <w:hideMark/>
          </w:tcPr>
          <w:p w14:paraId="48F32999" w14:textId="77777777" w:rsidR="00B56980" w:rsidRPr="00B56980" w:rsidRDefault="00B56980" w:rsidP="00B56980">
            <w:pPr>
              <w:rPr>
                <w:rFonts w:cs="Arial"/>
                <w:sz w:val="22"/>
                <w:szCs w:val="22"/>
              </w:rPr>
            </w:pPr>
            <w:r w:rsidRPr="00B56980">
              <w:rPr>
                <w:rFonts w:cs="Arial"/>
                <w:sz w:val="22"/>
                <w:szCs w:val="22"/>
                <w:u w:val="single"/>
              </w:rPr>
              <w:t>Stakeholder engagement and participation processes</w:t>
            </w:r>
            <w:r w:rsidRPr="00B56980">
              <w:rPr>
                <w:rFonts w:cs="Arial"/>
                <w:sz w:val="22"/>
                <w:szCs w:val="22"/>
              </w:rPr>
              <w:t> </w:t>
            </w:r>
          </w:p>
        </w:tc>
      </w:tr>
      <w:tr w:rsidR="00B56980" w:rsidRPr="00B56980" w14:paraId="11D9CCC9"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279796C6" w14:textId="77777777" w:rsidR="00B56980" w:rsidRPr="00B56980" w:rsidRDefault="00B56980" w:rsidP="00B56980">
            <w:pPr>
              <w:rPr>
                <w:rFonts w:cs="Arial"/>
                <w:sz w:val="22"/>
                <w:szCs w:val="22"/>
              </w:rPr>
            </w:pPr>
            <w:r w:rsidRPr="00B56980">
              <w:rPr>
                <w:rFonts w:cs="Arial"/>
                <w:sz w:val="22"/>
                <w:szCs w:val="22"/>
                <w:lang w:val="en-US"/>
              </w:rPr>
              <w:t>6. Does the programme have the institutional capacity to successfully incorporate, manage and deliver environmental risk management measures?</w:t>
            </w:r>
            <w:r w:rsidRPr="00B56980">
              <w:rPr>
                <w:rFonts w:cs="Arial"/>
                <w:sz w:val="22"/>
                <w:szCs w:val="22"/>
              </w:rPr>
              <w:t> </w:t>
            </w:r>
          </w:p>
        </w:tc>
        <w:tc>
          <w:tcPr>
            <w:tcW w:w="4549" w:type="dxa"/>
            <w:tcBorders>
              <w:top w:val="single" w:sz="4" w:space="0" w:color="auto"/>
              <w:left w:val="single" w:sz="4" w:space="0" w:color="auto"/>
              <w:bottom w:val="single" w:sz="4" w:space="0" w:color="auto"/>
              <w:right w:val="single" w:sz="4" w:space="0" w:color="auto"/>
            </w:tcBorders>
            <w:hideMark/>
          </w:tcPr>
          <w:p w14:paraId="7D7FEF89" w14:textId="77777777" w:rsidR="00B56980" w:rsidRPr="00B56980" w:rsidRDefault="00B56980" w:rsidP="00B56980">
            <w:pPr>
              <w:rPr>
                <w:rFonts w:cs="Arial"/>
                <w:sz w:val="22"/>
                <w:szCs w:val="22"/>
              </w:rPr>
            </w:pPr>
            <w:r w:rsidRPr="00B56980">
              <w:rPr>
                <w:rFonts w:cs="Arial"/>
                <w:sz w:val="22"/>
                <w:szCs w:val="22"/>
                <w:lang w:val="en"/>
              </w:rPr>
              <w:t>Yes/No </w:t>
            </w:r>
            <w:r w:rsidRPr="00B56980">
              <w:rPr>
                <w:rFonts w:cs="Arial"/>
                <w:sz w:val="22"/>
                <w:szCs w:val="22"/>
              </w:rPr>
              <w:t> </w:t>
            </w:r>
          </w:p>
          <w:p w14:paraId="30155128" w14:textId="77777777" w:rsidR="00B56980" w:rsidRPr="00B56980" w:rsidRDefault="00B56980" w:rsidP="00B56980">
            <w:pPr>
              <w:numPr>
                <w:ilvl w:val="0"/>
                <w:numId w:val="233"/>
              </w:numPr>
              <w:rPr>
                <w:rFonts w:cs="Arial"/>
                <w:sz w:val="22"/>
                <w:szCs w:val="22"/>
              </w:rPr>
            </w:pPr>
            <w:r w:rsidRPr="00B56980">
              <w:rPr>
                <w:rFonts w:cs="Arial"/>
                <w:sz w:val="22"/>
                <w:szCs w:val="22"/>
                <w:lang w:val="en"/>
              </w:rPr>
              <w:t>Yes, good capacity = 0</w:t>
            </w:r>
            <w:r w:rsidRPr="00B56980">
              <w:rPr>
                <w:rFonts w:cs="Arial"/>
                <w:sz w:val="22"/>
                <w:szCs w:val="22"/>
              </w:rPr>
              <w:t> </w:t>
            </w:r>
          </w:p>
          <w:p w14:paraId="3CD74512" w14:textId="77777777" w:rsidR="00B56980" w:rsidRPr="00B56980" w:rsidRDefault="00B56980" w:rsidP="00B56980">
            <w:pPr>
              <w:numPr>
                <w:ilvl w:val="0"/>
                <w:numId w:val="234"/>
              </w:numPr>
              <w:rPr>
                <w:rFonts w:cs="Arial"/>
                <w:sz w:val="22"/>
                <w:szCs w:val="22"/>
              </w:rPr>
            </w:pPr>
            <w:r w:rsidRPr="00B56980">
              <w:rPr>
                <w:rFonts w:cs="Arial"/>
                <w:sz w:val="22"/>
                <w:szCs w:val="22"/>
                <w:lang w:val="en"/>
              </w:rPr>
              <w:t>Some capacity = 1 </w:t>
            </w:r>
            <w:r w:rsidRPr="00B56980">
              <w:rPr>
                <w:rFonts w:cs="Arial"/>
                <w:sz w:val="22"/>
                <w:szCs w:val="22"/>
              </w:rPr>
              <w:t> </w:t>
            </w:r>
          </w:p>
          <w:p w14:paraId="29819FB4" w14:textId="77777777" w:rsidR="00B56980" w:rsidRPr="00B56980" w:rsidRDefault="00B56980" w:rsidP="00B56980">
            <w:pPr>
              <w:numPr>
                <w:ilvl w:val="0"/>
                <w:numId w:val="235"/>
              </w:numPr>
              <w:rPr>
                <w:rFonts w:cs="Arial"/>
                <w:sz w:val="22"/>
                <w:szCs w:val="22"/>
              </w:rPr>
            </w:pPr>
            <w:r w:rsidRPr="00B56980">
              <w:rPr>
                <w:rFonts w:cs="Arial"/>
                <w:sz w:val="22"/>
                <w:szCs w:val="22"/>
                <w:lang w:val="en"/>
              </w:rPr>
              <w:t>Poor capacity = 2</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6CD87FE6" w14:textId="77777777" w:rsidR="00B56980" w:rsidRPr="00B56980" w:rsidRDefault="00B56980" w:rsidP="00B56980">
            <w:pPr>
              <w:rPr>
                <w:rFonts w:cs="Arial"/>
                <w:sz w:val="22"/>
                <w:szCs w:val="22"/>
              </w:rPr>
            </w:pPr>
            <w:r w:rsidRPr="00B56980">
              <w:rPr>
                <w:rFonts w:cs="Arial"/>
                <w:sz w:val="22"/>
                <w:szCs w:val="22"/>
              </w:rPr>
              <w:t> </w:t>
            </w:r>
          </w:p>
        </w:tc>
        <w:tc>
          <w:tcPr>
            <w:tcW w:w="1974" w:type="dxa"/>
            <w:tcBorders>
              <w:top w:val="single" w:sz="4" w:space="0" w:color="auto"/>
              <w:left w:val="single" w:sz="4" w:space="0" w:color="auto"/>
              <w:bottom w:val="single" w:sz="4" w:space="0" w:color="auto"/>
              <w:right w:val="single" w:sz="4" w:space="0" w:color="auto"/>
            </w:tcBorders>
            <w:hideMark/>
          </w:tcPr>
          <w:p w14:paraId="48AF8DA5" w14:textId="77777777" w:rsidR="00B56980" w:rsidRPr="00B56980" w:rsidRDefault="00B56980" w:rsidP="00B56980">
            <w:pPr>
              <w:rPr>
                <w:rFonts w:cs="Arial"/>
                <w:sz w:val="22"/>
                <w:szCs w:val="22"/>
              </w:rPr>
            </w:pPr>
            <w:r w:rsidRPr="00B56980">
              <w:rPr>
                <w:rFonts w:cs="Arial"/>
                <w:sz w:val="22"/>
                <w:szCs w:val="22"/>
              </w:rPr>
              <w:t> </w:t>
            </w:r>
          </w:p>
        </w:tc>
      </w:tr>
      <w:tr w:rsidR="00B56980" w:rsidRPr="00B56980" w14:paraId="7BC7B866"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6B91E653" w14:textId="77777777" w:rsidR="00B56980" w:rsidRPr="00B56980" w:rsidRDefault="00B56980" w:rsidP="00B56980">
            <w:pPr>
              <w:rPr>
                <w:rFonts w:cs="Arial"/>
                <w:sz w:val="22"/>
                <w:szCs w:val="22"/>
              </w:rPr>
            </w:pPr>
            <w:r w:rsidRPr="00B56980">
              <w:rPr>
                <w:rFonts w:cs="Arial"/>
                <w:sz w:val="22"/>
                <w:szCs w:val="22"/>
              </w:rPr>
              <w:t>7. Will there be any environmental risks that disproportionally impact any communities, gender, people with disabilities or indigenous people? </w:t>
            </w:r>
          </w:p>
        </w:tc>
        <w:tc>
          <w:tcPr>
            <w:tcW w:w="4549" w:type="dxa"/>
            <w:tcBorders>
              <w:top w:val="single" w:sz="4" w:space="0" w:color="auto"/>
              <w:left w:val="single" w:sz="4" w:space="0" w:color="auto"/>
              <w:bottom w:val="single" w:sz="4" w:space="0" w:color="auto"/>
              <w:right w:val="single" w:sz="4" w:space="0" w:color="auto"/>
            </w:tcBorders>
            <w:hideMark/>
          </w:tcPr>
          <w:p w14:paraId="573DFDE7" w14:textId="77777777" w:rsidR="00B56980" w:rsidRPr="00B56980" w:rsidRDefault="00B56980" w:rsidP="00B56980">
            <w:pPr>
              <w:rPr>
                <w:rFonts w:cs="Arial"/>
                <w:sz w:val="22"/>
                <w:szCs w:val="22"/>
              </w:rPr>
            </w:pPr>
            <w:r w:rsidRPr="00B56980">
              <w:rPr>
                <w:rFonts w:cs="Arial"/>
                <w:sz w:val="22"/>
                <w:szCs w:val="22"/>
              </w:rPr>
              <w:t>Yes/No  </w:t>
            </w:r>
          </w:p>
          <w:p w14:paraId="00427B96" w14:textId="77777777" w:rsidR="00B56980" w:rsidRPr="00B56980" w:rsidRDefault="00B56980" w:rsidP="00B56980">
            <w:pPr>
              <w:numPr>
                <w:ilvl w:val="0"/>
                <w:numId w:val="236"/>
              </w:numPr>
              <w:rPr>
                <w:rFonts w:cs="Arial"/>
                <w:sz w:val="22"/>
                <w:szCs w:val="22"/>
              </w:rPr>
            </w:pPr>
            <w:r w:rsidRPr="00B56980">
              <w:rPr>
                <w:rFonts w:cs="Arial"/>
                <w:sz w:val="22"/>
                <w:szCs w:val="22"/>
                <w:lang w:val="en"/>
              </w:rPr>
              <w:t>Yes / Unsure = 1</w:t>
            </w:r>
            <w:r w:rsidRPr="00B56980">
              <w:rPr>
                <w:rFonts w:cs="Arial"/>
                <w:sz w:val="22"/>
                <w:szCs w:val="22"/>
              </w:rPr>
              <w:t> </w:t>
            </w:r>
          </w:p>
          <w:p w14:paraId="118BD5DA" w14:textId="77777777" w:rsidR="00B56980" w:rsidRPr="00B56980" w:rsidRDefault="00B56980" w:rsidP="00B56980">
            <w:pPr>
              <w:numPr>
                <w:ilvl w:val="0"/>
                <w:numId w:val="237"/>
              </w:numPr>
              <w:rPr>
                <w:rFonts w:cs="Arial"/>
                <w:sz w:val="22"/>
                <w:szCs w:val="22"/>
              </w:rPr>
            </w:pPr>
            <w:r w:rsidRPr="00B56980">
              <w:rPr>
                <w:rFonts w:cs="Arial"/>
                <w:sz w:val="22"/>
                <w:szCs w:val="22"/>
                <w:lang w:val="en"/>
              </w:rPr>
              <w:t>No = 0</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3C97D40E" w14:textId="77777777" w:rsidR="00B56980" w:rsidRPr="00B56980" w:rsidRDefault="00B56980" w:rsidP="00B56980">
            <w:pPr>
              <w:rPr>
                <w:rFonts w:cs="Arial"/>
                <w:sz w:val="22"/>
                <w:szCs w:val="22"/>
              </w:rPr>
            </w:pPr>
            <w:r w:rsidRPr="00B56980">
              <w:rPr>
                <w:rFonts w:cs="Arial"/>
                <w:sz w:val="22"/>
                <w:szCs w:val="22"/>
              </w:rPr>
              <w:t> </w:t>
            </w:r>
          </w:p>
        </w:tc>
        <w:tc>
          <w:tcPr>
            <w:tcW w:w="1974" w:type="dxa"/>
            <w:tcBorders>
              <w:top w:val="single" w:sz="4" w:space="0" w:color="auto"/>
              <w:left w:val="single" w:sz="4" w:space="0" w:color="auto"/>
              <w:bottom w:val="single" w:sz="4" w:space="0" w:color="auto"/>
              <w:right w:val="single" w:sz="4" w:space="0" w:color="auto"/>
            </w:tcBorders>
            <w:hideMark/>
          </w:tcPr>
          <w:p w14:paraId="27AEE659" w14:textId="77777777" w:rsidR="00B56980" w:rsidRPr="00B56980" w:rsidRDefault="00B56980" w:rsidP="00B56980">
            <w:pPr>
              <w:rPr>
                <w:rFonts w:cs="Arial"/>
                <w:sz w:val="22"/>
                <w:szCs w:val="22"/>
              </w:rPr>
            </w:pPr>
            <w:r w:rsidRPr="00B56980">
              <w:rPr>
                <w:rFonts w:cs="Arial"/>
                <w:sz w:val="22"/>
                <w:szCs w:val="22"/>
              </w:rPr>
              <w:t> </w:t>
            </w:r>
          </w:p>
        </w:tc>
      </w:tr>
      <w:tr w:rsidR="00B56980" w:rsidRPr="00B56980" w14:paraId="7BB75A95" w14:textId="77777777" w:rsidTr="00283E32">
        <w:trPr>
          <w:trHeight w:val="810"/>
        </w:trPr>
        <w:tc>
          <w:tcPr>
            <w:tcW w:w="2888" w:type="dxa"/>
            <w:tcBorders>
              <w:top w:val="single" w:sz="4" w:space="0" w:color="auto"/>
              <w:left w:val="single" w:sz="4" w:space="0" w:color="auto"/>
              <w:bottom w:val="single" w:sz="4" w:space="0" w:color="auto"/>
              <w:right w:val="single" w:sz="4" w:space="0" w:color="auto"/>
            </w:tcBorders>
            <w:hideMark/>
          </w:tcPr>
          <w:p w14:paraId="37FA199D" w14:textId="77777777" w:rsidR="00B56980" w:rsidRPr="00B56980" w:rsidRDefault="00B56980" w:rsidP="00B56980">
            <w:pPr>
              <w:rPr>
                <w:rFonts w:cs="Arial"/>
                <w:sz w:val="22"/>
                <w:szCs w:val="22"/>
              </w:rPr>
            </w:pPr>
            <w:r w:rsidRPr="00B56980">
              <w:rPr>
                <w:rFonts w:cs="Arial"/>
                <w:sz w:val="22"/>
                <w:szCs w:val="22"/>
              </w:rPr>
              <w:t>8. Have participatory processes been used, or plan to be used, in the planning, design and management of the programme? </w:t>
            </w:r>
          </w:p>
        </w:tc>
        <w:tc>
          <w:tcPr>
            <w:tcW w:w="4549" w:type="dxa"/>
            <w:tcBorders>
              <w:top w:val="single" w:sz="4" w:space="0" w:color="auto"/>
              <w:left w:val="single" w:sz="4" w:space="0" w:color="auto"/>
              <w:bottom w:val="single" w:sz="4" w:space="0" w:color="auto"/>
              <w:right w:val="single" w:sz="4" w:space="0" w:color="auto"/>
            </w:tcBorders>
            <w:hideMark/>
          </w:tcPr>
          <w:p w14:paraId="10B57FEB" w14:textId="77777777" w:rsidR="00B56980" w:rsidRPr="00B56980" w:rsidRDefault="00B56980" w:rsidP="00B56980">
            <w:pPr>
              <w:rPr>
                <w:rFonts w:cs="Arial"/>
                <w:sz w:val="22"/>
                <w:szCs w:val="22"/>
              </w:rPr>
            </w:pPr>
            <w:r w:rsidRPr="00B56980">
              <w:rPr>
                <w:rFonts w:cs="Arial"/>
                <w:sz w:val="22"/>
                <w:szCs w:val="22"/>
              </w:rPr>
              <w:t>Yes/No  </w:t>
            </w:r>
          </w:p>
          <w:p w14:paraId="1DF912B8" w14:textId="77777777" w:rsidR="00B56980" w:rsidRPr="00B56980" w:rsidRDefault="00B56980" w:rsidP="00B56980">
            <w:pPr>
              <w:numPr>
                <w:ilvl w:val="0"/>
                <w:numId w:val="238"/>
              </w:numPr>
              <w:rPr>
                <w:rFonts w:cs="Arial"/>
                <w:sz w:val="22"/>
                <w:szCs w:val="22"/>
              </w:rPr>
            </w:pPr>
            <w:r w:rsidRPr="00B56980">
              <w:rPr>
                <w:rFonts w:cs="Arial"/>
                <w:sz w:val="22"/>
                <w:szCs w:val="22"/>
                <w:lang w:val="en"/>
              </w:rPr>
              <w:t>Yes = 0</w:t>
            </w:r>
            <w:r w:rsidRPr="00B56980">
              <w:rPr>
                <w:rFonts w:cs="Arial"/>
                <w:sz w:val="22"/>
                <w:szCs w:val="22"/>
              </w:rPr>
              <w:t> </w:t>
            </w:r>
          </w:p>
          <w:p w14:paraId="774FE718" w14:textId="77777777" w:rsidR="00B56980" w:rsidRPr="00B56980" w:rsidRDefault="00B56980" w:rsidP="00B56980">
            <w:pPr>
              <w:numPr>
                <w:ilvl w:val="0"/>
                <w:numId w:val="239"/>
              </w:numPr>
              <w:rPr>
                <w:rFonts w:cs="Arial"/>
                <w:sz w:val="22"/>
                <w:szCs w:val="22"/>
              </w:rPr>
            </w:pPr>
            <w:r w:rsidRPr="00B56980">
              <w:rPr>
                <w:rFonts w:cs="Arial"/>
                <w:sz w:val="22"/>
                <w:szCs w:val="22"/>
                <w:lang w:val="en"/>
              </w:rPr>
              <w:t>No / Unsure = 1</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4F618425" w14:textId="77777777" w:rsidR="00B56980" w:rsidRPr="00B56980" w:rsidRDefault="00B56980" w:rsidP="00B56980">
            <w:pPr>
              <w:rPr>
                <w:rFonts w:cs="Arial"/>
                <w:sz w:val="22"/>
                <w:szCs w:val="22"/>
              </w:rPr>
            </w:pPr>
            <w:r w:rsidRPr="00B56980">
              <w:rPr>
                <w:rFonts w:cs="Arial"/>
                <w:sz w:val="22"/>
                <w:szCs w:val="22"/>
              </w:rPr>
              <w:t> </w:t>
            </w:r>
          </w:p>
        </w:tc>
        <w:tc>
          <w:tcPr>
            <w:tcW w:w="1974" w:type="dxa"/>
            <w:tcBorders>
              <w:top w:val="single" w:sz="4" w:space="0" w:color="auto"/>
              <w:left w:val="single" w:sz="4" w:space="0" w:color="auto"/>
              <w:bottom w:val="single" w:sz="4" w:space="0" w:color="auto"/>
              <w:right w:val="single" w:sz="4" w:space="0" w:color="auto"/>
            </w:tcBorders>
            <w:hideMark/>
          </w:tcPr>
          <w:p w14:paraId="6B17662A" w14:textId="77777777" w:rsidR="00B56980" w:rsidRPr="00B56980" w:rsidRDefault="00B56980" w:rsidP="00B56980">
            <w:pPr>
              <w:rPr>
                <w:rFonts w:cs="Arial"/>
                <w:sz w:val="22"/>
                <w:szCs w:val="22"/>
              </w:rPr>
            </w:pPr>
            <w:r w:rsidRPr="00B56980">
              <w:rPr>
                <w:rFonts w:cs="Arial"/>
                <w:sz w:val="22"/>
                <w:szCs w:val="22"/>
              </w:rPr>
              <w:t> </w:t>
            </w:r>
          </w:p>
        </w:tc>
      </w:tr>
      <w:tr w:rsidR="00B56980" w:rsidRPr="00B56980" w14:paraId="5A10D325"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441AF3C0" w14:textId="77777777" w:rsidR="00B56980" w:rsidRPr="00B56980" w:rsidRDefault="00B56980" w:rsidP="00B56980">
            <w:pPr>
              <w:rPr>
                <w:rFonts w:cs="Arial"/>
                <w:sz w:val="22"/>
                <w:szCs w:val="22"/>
              </w:rPr>
            </w:pPr>
            <w:r w:rsidRPr="00B56980">
              <w:rPr>
                <w:rFonts w:cs="Arial"/>
                <w:sz w:val="22"/>
                <w:szCs w:val="22"/>
              </w:rPr>
              <w:t>9. Is it likely that the delivery/implementing partner is skilled and has the resources and expertise to implement an environmental risk management plan?  </w:t>
            </w:r>
          </w:p>
        </w:tc>
        <w:tc>
          <w:tcPr>
            <w:tcW w:w="4549" w:type="dxa"/>
            <w:tcBorders>
              <w:top w:val="single" w:sz="4" w:space="0" w:color="auto"/>
              <w:left w:val="single" w:sz="4" w:space="0" w:color="auto"/>
              <w:bottom w:val="single" w:sz="4" w:space="0" w:color="auto"/>
              <w:right w:val="single" w:sz="4" w:space="0" w:color="auto"/>
            </w:tcBorders>
            <w:hideMark/>
          </w:tcPr>
          <w:p w14:paraId="5905DCB3" w14:textId="77777777" w:rsidR="00B56980" w:rsidRPr="00B56980" w:rsidRDefault="00B56980" w:rsidP="00B56980">
            <w:pPr>
              <w:rPr>
                <w:rFonts w:cs="Arial"/>
                <w:sz w:val="22"/>
                <w:szCs w:val="22"/>
              </w:rPr>
            </w:pPr>
            <w:r w:rsidRPr="00B56980">
              <w:rPr>
                <w:rFonts w:cs="Arial"/>
                <w:sz w:val="22"/>
                <w:szCs w:val="22"/>
              </w:rPr>
              <w:t>Yes/No  </w:t>
            </w:r>
          </w:p>
          <w:p w14:paraId="50F09199" w14:textId="77777777" w:rsidR="00B56980" w:rsidRPr="00B56980" w:rsidRDefault="00B56980" w:rsidP="00B56980">
            <w:pPr>
              <w:numPr>
                <w:ilvl w:val="0"/>
                <w:numId w:val="240"/>
              </w:numPr>
              <w:rPr>
                <w:rFonts w:cs="Arial"/>
                <w:sz w:val="22"/>
                <w:szCs w:val="22"/>
              </w:rPr>
            </w:pPr>
            <w:r w:rsidRPr="00B56980">
              <w:rPr>
                <w:rFonts w:cs="Arial"/>
                <w:sz w:val="22"/>
                <w:szCs w:val="22"/>
                <w:lang w:val="en"/>
              </w:rPr>
              <w:t>Yes = 0</w:t>
            </w:r>
            <w:r w:rsidRPr="00B56980">
              <w:rPr>
                <w:rFonts w:cs="Arial"/>
                <w:sz w:val="22"/>
                <w:szCs w:val="22"/>
              </w:rPr>
              <w:t> </w:t>
            </w:r>
          </w:p>
          <w:p w14:paraId="380E7ADE" w14:textId="77777777" w:rsidR="00B56980" w:rsidRPr="00B56980" w:rsidRDefault="00B56980" w:rsidP="00B56980">
            <w:pPr>
              <w:numPr>
                <w:ilvl w:val="0"/>
                <w:numId w:val="241"/>
              </w:numPr>
              <w:rPr>
                <w:rFonts w:cs="Arial"/>
                <w:sz w:val="22"/>
                <w:szCs w:val="22"/>
              </w:rPr>
            </w:pPr>
            <w:r w:rsidRPr="00B56980">
              <w:rPr>
                <w:rFonts w:cs="Arial"/>
                <w:sz w:val="22"/>
                <w:szCs w:val="22"/>
                <w:lang w:val="en"/>
              </w:rPr>
              <w:t>No / Unsure = 1</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1E8C59C9" w14:textId="77777777" w:rsidR="00B56980" w:rsidRPr="00B56980" w:rsidRDefault="00B56980" w:rsidP="00B56980">
            <w:pPr>
              <w:rPr>
                <w:rFonts w:cs="Arial"/>
                <w:sz w:val="22"/>
                <w:szCs w:val="22"/>
              </w:rPr>
            </w:pPr>
            <w:r w:rsidRPr="00B56980">
              <w:rPr>
                <w:rFonts w:cs="Arial"/>
                <w:sz w:val="22"/>
                <w:szCs w:val="22"/>
              </w:rPr>
              <w:t> </w:t>
            </w:r>
          </w:p>
        </w:tc>
        <w:tc>
          <w:tcPr>
            <w:tcW w:w="1974" w:type="dxa"/>
            <w:tcBorders>
              <w:top w:val="single" w:sz="4" w:space="0" w:color="auto"/>
              <w:left w:val="single" w:sz="4" w:space="0" w:color="auto"/>
              <w:bottom w:val="single" w:sz="4" w:space="0" w:color="auto"/>
              <w:right w:val="single" w:sz="4" w:space="0" w:color="auto"/>
            </w:tcBorders>
            <w:hideMark/>
          </w:tcPr>
          <w:p w14:paraId="095D4445" w14:textId="77777777" w:rsidR="00B56980" w:rsidRPr="00B56980" w:rsidRDefault="00B56980" w:rsidP="00B56980">
            <w:pPr>
              <w:rPr>
                <w:rFonts w:cs="Arial"/>
                <w:sz w:val="22"/>
                <w:szCs w:val="22"/>
              </w:rPr>
            </w:pPr>
            <w:r w:rsidRPr="00B56980">
              <w:rPr>
                <w:rFonts w:cs="Arial"/>
                <w:sz w:val="22"/>
                <w:szCs w:val="22"/>
              </w:rPr>
              <w:t> </w:t>
            </w:r>
          </w:p>
        </w:tc>
      </w:tr>
      <w:tr w:rsidR="00B56980" w:rsidRPr="00B56980" w14:paraId="127375AA"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5281289A" w14:textId="77777777" w:rsidR="00B56980" w:rsidRPr="00B56980" w:rsidRDefault="00B56980" w:rsidP="00B56980">
            <w:pPr>
              <w:rPr>
                <w:rFonts w:cs="Arial"/>
                <w:sz w:val="22"/>
                <w:szCs w:val="22"/>
              </w:rPr>
            </w:pPr>
            <w:r w:rsidRPr="00B56980">
              <w:rPr>
                <w:rFonts w:cs="Arial"/>
                <w:sz w:val="22"/>
                <w:szCs w:val="22"/>
              </w:rPr>
              <w:t>10. Does the project require a risk expert to introduce risk reduction measures in project design, implementation, or operations and maintenance? </w:t>
            </w:r>
          </w:p>
        </w:tc>
        <w:tc>
          <w:tcPr>
            <w:tcW w:w="4549" w:type="dxa"/>
            <w:tcBorders>
              <w:top w:val="single" w:sz="4" w:space="0" w:color="auto"/>
              <w:left w:val="single" w:sz="4" w:space="0" w:color="auto"/>
              <w:bottom w:val="single" w:sz="4" w:space="0" w:color="auto"/>
              <w:right w:val="single" w:sz="4" w:space="0" w:color="auto"/>
            </w:tcBorders>
            <w:hideMark/>
          </w:tcPr>
          <w:p w14:paraId="3FFF86F1" w14:textId="77777777" w:rsidR="00B56980" w:rsidRPr="00B56980" w:rsidRDefault="00B56980" w:rsidP="00B56980">
            <w:pPr>
              <w:rPr>
                <w:rFonts w:cs="Arial"/>
                <w:sz w:val="22"/>
                <w:szCs w:val="22"/>
              </w:rPr>
            </w:pPr>
            <w:r w:rsidRPr="00B56980">
              <w:rPr>
                <w:rFonts w:cs="Arial"/>
                <w:sz w:val="22"/>
                <w:szCs w:val="22"/>
              </w:rPr>
              <w:t>Yes/No  </w:t>
            </w:r>
          </w:p>
          <w:p w14:paraId="48E8B413" w14:textId="77777777" w:rsidR="00B56980" w:rsidRPr="00B56980" w:rsidRDefault="00B56980" w:rsidP="00B56980">
            <w:pPr>
              <w:numPr>
                <w:ilvl w:val="0"/>
                <w:numId w:val="242"/>
              </w:numPr>
              <w:rPr>
                <w:rFonts w:cs="Arial"/>
                <w:sz w:val="22"/>
                <w:szCs w:val="22"/>
              </w:rPr>
            </w:pPr>
            <w:r w:rsidRPr="00B56980">
              <w:rPr>
                <w:rFonts w:cs="Arial"/>
                <w:sz w:val="22"/>
                <w:szCs w:val="22"/>
                <w:lang w:val="en"/>
              </w:rPr>
              <w:t>Yes / Unsure = 1 or 2 (based on assessment of the level of risk)</w:t>
            </w:r>
            <w:r w:rsidRPr="00B56980">
              <w:rPr>
                <w:rFonts w:cs="Arial"/>
                <w:sz w:val="22"/>
                <w:szCs w:val="22"/>
              </w:rPr>
              <w:t> </w:t>
            </w:r>
          </w:p>
          <w:p w14:paraId="225125A7" w14:textId="77777777" w:rsidR="00B56980" w:rsidRPr="00B56980" w:rsidRDefault="00B56980" w:rsidP="00B56980">
            <w:pPr>
              <w:numPr>
                <w:ilvl w:val="0"/>
                <w:numId w:val="243"/>
              </w:numPr>
              <w:rPr>
                <w:rFonts w:cs="Arial"/>
                <w:sz w:val="22"/>
                <w:szCs w:val="22"/>
              </w:rPr>
            </w:pPr>
            <w:r w:rsidRPr="00B56980">
              <w:rPr>
                <w:rFonts w:cs="Arial"/>
                <w:sz w:val="22"/>
                <w:szCs w:val="22"/>
                <w:lang w:val="en"/>
              </w:rPr>
              <w:t>No = 0</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1E1E4EF6" w14:textId="77777777" w:rsidR="00B56980" w:rsidRPr="00B56980" w:rsidRDefault="00B56980" w:rsidP="00B56980">
            <w:pPr>
              <w:rPr>
                <w:rFonts w:cs="Arial"/>
                <w:sz w:val="22"/>
                <w:szCs w:val="22"/>
              </w:rPr>
            </w:pPr>
            <w:r w:rsidRPr="00B56980">
              <w:rPr>
                <w:rFonts w:cs="Arial"/>
                <w:sz w:val="22"/>
                <w:szCs w:val="22"/>
              </w:rPr>
              <w:t> </w:t>
            </w:r>
          </w:p>
        </w:tc>
        <w:tc>
          <w:tcPr>
            <w:tcW w:w="1974" w:type="dxa"/>
            <w:tcBorders>
              <w:top w:val="single" w:sz="4" w:space="0" w:color="auto"/>
              <w:left w:val="single" w:sz="4" w:space="0" w:color="auto"/>
              <w:bottom w:val="single" w:sz="4" w:space="0" w:color="auto"/>
              <w:right w:val="single" w:sz="4" w:space="0" w:color="auto"/>
            </w:tcBorders>
            <w:hideMark/>
          </w:tcPr>
          <w:p w14:paraId="0BC7FE4D" w14:textId="77777777" w:rsidR="00B56980" w:rsidRPr="00B56980" w:rsidRDefault="00B56980" w:rsidP="00B56980">
            <w:pPr>
              <w:rPr>
                <w:rFonts w:cs="Arial"/>
                <w:sz w:val="22"/>
                <w:szCs w:val="22"/>
              </w:rPr>
            </w:pPr>
            <w:r w:rsidRPr="00B56980">
              <w:rPr>
                <w:rFonts w:cs="Arial"/>
                <w:sz w:val="22"/>
                <w:szCs w:val="22"/>
              </w:rPr>
              <w:t> </w:t>
            </w:r>
          </w:p>
        </w:tc>
      </w:tr>
      <w:tr w:rsidR="00B56980" w:rsidRPr="00B56980" w14:paraId="65358FDA"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7275BC3E" w14:textId="77777777" w:rsidR="00B56980" w:rsidRPr="00B56980" w:rsidRDefault="00B56980" w:rsidP="00B56980">
            <w:pPr>
              <w:rPr>
                <w:rFonts w:cs="Arial"/>
                <w:sz w:val="22"/>
                <w:szCs w:val="22"/>
              </w:rPr>
            </w:pPr>
            <w:r w:rsidRPr="00B56980">
              <w:rPr>
                <w:rFonts w:cs="Arial"/>
                <w:sz w:val="22"/>
                <w:szCs w:val="22"/>
              </w:rPr>
              <w:lastRenderedPageBreak/>
              <w:t>11. As well as safeguards, are there opportunities to build capacity and deliver environmental benefits?  </w:t>
            </w:r>
          </w:p>
        </w:tc>
        <w:tc>
          <w:tcPr>
            <w:tcW w:w="4549" w:type="dxa"/>
            <w:tcBorders>
              <w:top w:val="single" w:sz="4" w:space="0" w:color="auto"/>
              <w:left w:val="single" w:sz="4" w:space="0" w:color="auto"/>
              <w:bottom w:val="single" w:sz="4" w:space="0" w:color="auto"/>
              <w:right w:val="single" w:sz="4" w:space="0" w:color="auto"/>
            </w:tcBorders>
            <w:hideMark/>
          </w:tcPr>
          <w:p w14:paraId="29C38D49" w14:textId="77777777" w:rsidR="00B56980" w:rsidRPr="00B56980" w:rsidRDefault="00B56980" w:rsidP="00B56980">
            <w:pPr>
              <w:rPr>
                <w:rFonts w:cs="Arial"/>
                <w:sz w:val="22"/>
                <w:szCs w:val="22"/>
              </w:rPr>
            </w:pPr>
            <w:r w:rsidRPr="00B56980">
              <w:rPr>
                <w:rFonts w:cs="Arial"/>
                <w:sz w:val="22"/>
                <w:szCs w:val="22"/>
              </w:rPr>
              <w:t>For example, if the intervention involves infrastructure, have you considered nature-based solutions? </w:t>
            </w:r>
          </w:p>
          <w:p w14:paraId="4E0FFF9D" w14:textId="77777777" w:rsidR="00B56980" w:rsidRPr="00B56980" w:rsidRDefault="00B56980" w:rsidP="00B56980">
            <w:pPr>
              <w:rPr>
                <w:rFonts w:cs="Arial"/>
                <w:sz w:val="22"/>
                <w:szCs w:val="22"/>
              </w:rPr>
            </w:pPr>
            <w:r w:rsidRPr="00B56980">
              <w:rPr>
                <w:rFonts w:cs="Arial"/>
                <w:sz w:val="22"/>
                <w:szCs w:val="22"/>
              </w:rPr>
              <w:t>Yes / No  </w:t>
            </w:r>
          </w:p>
          <w:p w14:paraId="56CDF88F" w14:textId="77777777" w:rsidR="00B56980" w:rsidRPr="00B56980" w:rsidRDefault="00B56980" w:rsidP="00B56980">
            <w:pPr>
              <w:numPr>
                <w:ilvl w:val="0"/>
                <w:numId w:val="244"/>
              </w:numPr>
              <w:rPr>
                <w:rFonts w:cs="Arial"/>
                <w:sz w:val="22"/>
                <w:szCs w:val="22"/>
              </w:rPr>
            </w:pPr>
            <w:r w:rsidRPr="00B56980">
              <w:rPr>
                <w:rFonts w:cs="Arial"/>
                <w:sz w:val="22"/>
                <w:szCs w:val="22"/>
              </w:rPr>
              <w:t>Yes = 0 </w:t>
            </w:r>
          </w:p>
          <w:p w14:paraId="36C56D93" w14:textId="77777777" w:rsidR="00B56980" w:rsidRPr="00B56980" w:rsidRDefault="00B56980" w:rsidP="00B56980">
            <w:pPr>
              <w:numPr>
                <w:ilvl w:val="0"/>
                <w:numId w:val="245"/>
              </w:numPr>
              <w:rPr>
                <w:rFonts w:cs="Arial"/>
                <w:sz w:val="22"/>
                <w:szCs w:val="22"/>
              </w:rPr>
            </w:pPr>
            <w:r w:rsidRPr="00B56980">
              <w:rPr>
                <w:rFonts w:cs="Arial"/>
                <w:sz w:val="22"/>
                <w:szCs w:val="22"/>
              </w:rPr>
              <w:t>No / Unsure = 1 </w:t>
            </w:r>
          </w:p>
        </w:tc>
        <w:tc>
          <w:tcPr>
            <w:tcW w:w="777" w:type="dxa"/>
            <w:tcBorders>
              <w:top w:val="single" w:sz="4" w:space="0" w:color="auto"/>
              <w:left w:val="single" w:sz="4" w:space="0" w:color="auto"/>
              <w:bottom w:val="single" w:sz="4" w:space="0" w:color="auto"/>
              <w:right w:val="single" w:sz="4" w:space="0" w:color="auto"/>
            </w:tcBorders>
            <w:hideMark/>
          </w:tcPr>
          <w:p w14:paraId="4F098242" w14:textId="77777777" w:rsidR="00B56980" w:rsidRPr="00B56980" w:rsidRDefault="00B56980" w:rsidP="00B56980">
            <w:pPr>
              <w:rPr>
                <w:rFonts w:cs="Arial"/>
                <w:sz w:val="22"/>
                <w:szCs w:val="22"/>
              </w:rPr>
            </w:pPr>
            <w:r w:rsidRPr="00B56980">
              <w:rPr>
                <w:rFonts w:cs="Arial"/>
                <w:sz w:val="22"/>
                <w:szCs w:val="22"/>
              </w:rPr>
              <w:t> </w:t>
            </w:r>
          </w:p>
        </w:tc>
        <w:tc>
          <w:tcPr>
            <w:tcW w:w="1974" w:type="dxa"/>
            <w:tcBorders>
              <w:top w:val="single" w:sz="4" w:space="0" w:color="auto"/>
              <w:left w:val="single" w:sz="4" w:space="0" w:color="auto"/>
              <w:bottom w:val="single" w:sz="4" w:space="0" w:color="auto"/>
              <w:right w:val="single" w:sz="4" w:space="0" w:color="auto"/>
            </w:tcBorders>
            <w:hideMark/>
          </w:tcPr>
          <w:p w14:paraId="3AD7005C" w14:textId="77777777" w:rsidR="00B56980" w:rsidRPr="00B56980" w:rsidRDefault="00B56980" w:rsidP="00B56980">
            <w:pPr>
              <w:rPr>
                <w:rFonts w:cs="Arial"/>
                <w:sz w:val="22"/>
                <w:szCs w:val="22"/>
              </w:rPr>
            </w:pPr>
            <w:r w:rsidRPr="00B56980">
              <w:rPr>
                <w:rFonts w:cs="Arial"/>
                <w:sz w:val="22"/>
                <w:szCs w:val="22"/>
              </w:rPr>
              <w:t> </w:t>
            </w:r>
          </w:p>
        </w:tc>
      </w:tr>
      <w:tr w:rsidR="00B56980" w:rsidRPr="00B56980" w14:paraId="23A89C06"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52DC9482" w14:textId="77777777" w:rsidR="00B56980" w:rsidRPr="00B56980" w:rsidRDefault="00B56980" w:rsidP="00B56980">
            <w:pPr>
              <w:rPr>
                <w:rFonts w:cs="Arial"/>
                <w:sz w:val="22"/>
                <w:szCs w:val="22"/>
              </w:rPr>
            </w:pPr>
            <w:r w:rsidRPr="00B56980">
              <w:rPr>
                <w:rFonts w:cs="Arial"/>
                <w:sz w:val="22"/>
                <w:szCs w:val="22"/>
              </w:rPr>
              <w:t>12. Do country/institutional policies, regulations or laws promote environmental risk assessments? </w:t>
            </w:r>
          </w:p>
        </w:tc>
        <w:tc>
          <w:tcPr>
            <w:tcW w:w="4549" w:type="dxa"/>
            <w:tcBorders>
              <w:top w:val="single" w:sz="4" w:space="0" w:color="auto"/>
              <w:left w:val="single" w:sz="4" w:space="0" w:color="auto"/>
              <w:bottom w:val="single" w:sz="4" w:space="0" w:color="auto"/>
              <w:right w:val="single" w:sz="4" w:space="0" w:color="auto"/>
            </w:tcBorders>
            <w:hideMark/>
          </w:tcPr>
          <w:p w14:paraId="733A11CB" w14:textId="77777777" w:rsidR="00B56980" w:rsidRPr="00B56980" w:rsidRDefault="00B56980" w:rsidP="00B56980">
            <w:pPr>
              <w:rPr>
                <w:rFonts w:cs="Arial"/>
                <w:sz w:val="22"/>
                <w:szCs w:val="22"/>
              </w:rPr>
            </w:pPr>
            <w:r w:rsidRPr="00B56980">
              <w:rPr>
                <w:rFonts w:cs="Arial"/>
                <w:sz w:val="22"/>
                <w:szCs w:val="22"/>
              </w:rPr>
              <w:t>Yes/No  </w:t>
            </w:r>
          </w:p>
          <w:p w14:paraId="15C99F65" w14:textId="77777777" w:rsidR="00B56980" w:rsidRPr="00B56980" w:rsidRDefault="00B56980" w:rsidP="00B56980">
            <w:pPr>
              <w:numPr>
                <w:ilvl w:val="0"/>
                <w:numId w:val="246"/>
              </w:numPr>
              <w:rPr>
                <w:rFonts w:cs="Arial"/>
                <w:sz w:val="22"/>
                <w:szCs w:val="22"/>
              </w:rPr>
            </w:pPr>
            <w:r w:rsidRPr="00B56980">
              <w:rPr>
                <w:rFonts w:cs="Arial"/>
                <w:sz w:val="22"/>
                <w:szCs w:val="22"/>
                <w:lang w:val="en"/>
              </w:rPr>
              <w:t>Yes = 0</w:t>
            </w:r>
            <w:r w:rsidRPr="00B56980">
              <w:rPr>
                <w:rFonts w:cs="Arial"/>
                <w:sz w:val="22"/>
                <w:szCs w:val="22"/>
              </w:rPr>
              <w:t> </w:t>
            </w:r>
          </w:p>
          <w:p w14:paraId="72F4A8E6" w14:textId="77777777" w:rsidR="00B56980" w:rsidRPr="00B56980" w:rsidRDefault="00B56980" w:rsidP="00B56980">
            <w:pPr>
              <w:numPr>
                <w:ilvl w:val="0"/>
                <w:numId w:val="247"/>
              </w:numPr>
              <w:rPr>
                <w:rFonts w:cs="Arial"/>
                <w:sz w:val="22"/>
                <w:szCs w:val="22"/>
              </w:rPr>
            </w:pPr>
            <w:r w:rsidRPr="00B56980">
              <w:rPr>
                <w:rFonts w:cs="Arial"/>
                <w:sz w:val="22"/>
                <w:szCs w:val="22"/>
                <w:lang w:val="en"/>
              </w:rPr>
              <w:t>No / Unsure = 1</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2F007D23" w14:textId="77777777" w:rsidR="00B56980" w:rsidRPr="00B56980" w:rsidRDefault="00B56980" w:rsidP="00B56980">
            <w:pPr>
              <w:rPr>
                <w:rFonts w:cs="Arial"/>
                <w:sz w:val="22"/>
                <w:szCs w:val="22"/>
              </w:rPr>
            </w:pPr>
            <w:r w:rsidRPr="00B56980">
              <w:rPr>
                <w:rFonts w:cs="Arial"/>
                <w:sz w:val="22"/>
                <w:szCs w:val="22"/>
              </w:rPr>
              <w:t> </w:t>
            </w:r>
          </w:p>
        </w:tc>
        <w:tc>
          <w:tcPr>
            <w:tcW w:w="1974" w:type="dxa"/>
            <w:tcBorders>
              <w:top w:val="single" w:sz="4" w:space="0" w:color="auto"/>
              <w:left w:val="single" w:sz="4" w:space="0" w:color="auto"/>
              <w:bottom w:val="single" w:sz="4" w:space="0" w:color="auto"/>
              <w:right w:val="single" w:sz="4" w:space="0" w:color="auto"/>
            </w:tcBorders>
            <w:hideMark/>
          </w:tcPr>
          <w:p w14:paraId="40CD6BAD" w14:textId="77777777" w:rsidR="00B56980" w:rsidRPr="00B56980" w:rsidRDefault="00B56980" w:rsidP="00B56980">
            <w:pPr>
              <w:rPr>
                <w:rFonts w:cs="Arial"/>
                <w:sz w:val="22"/>
                <w:szCs w:val="22"/>
              </w:rPr>
            </w:pPr>
            <w:r w:rsidRPr="00B56980">
              <w:rPr>
                <w:rFonts w:cs="Arial"/>
                <w:sz w:val="22"/>
                <w:szCs w:val="22"/>
              </w:rPr>
              <w:t> </w:t>
            </w:r>
          </w:p>
        </w:tc>
      </w:tr>
      <w:tr w:rsidR="00B56980" w:rsidRPr="00B56980" w14:paraId="0C42E22A" w14:textId="77777777" w:rsidTr="00283E32">
        <w:trPr>
          <w:trHeight w:val="900"/>
        </w:trPr>
        <w:tc>
          <w:tcPr>
            <w:tcW w:w="2888" w:type="dxa"/>
            <w:tcBorders>
              <w:top w:val="single" w:sz="4" w:space="0" w:color="auto"/>
              <w:left w:val="single" w:sz="4" w:space="0" w:color="auto"/>
              <w:bottom w:val="single" w:sz="4" w:space="0" w:color="auto"/>
              <w:right w:val="single" w:sz="4" w:space="0" w:color="auto"/>
            </w:tcBorders>
            <w:hideMark/>
          </w:tcPr>
          <w:p w14:paraId="1676534C" w14:textId="77777777" w:rsidR="00B56980" w:rsidRPr="00B56980" w:rsidRDefault="00B56980" w:rsidP="00B56980">
            <w:pPr>
              <w:rPr>
                <w:rFonts w:cs="Arial"/>
                <w:sz w:val="22"/>
                <w:szCs w:val="22"/>
              </w:rPr>
            </w:pPr>
            <w:r w:rsidRPr="00B56980">
              <w:rPr>
                <w:rFonts w:cs="Arial"/>
                <w:b/>
                <w:bCs/>
                <w:sz w:val="22"/>
                <w:szCs w:val="22"/>
              </w:rPr>
              <w:t>Total Risk Value (Range 0 to 16)</w:t>
            </w:r>
            <w:r w:rsidRPr="00B56980">
              <w:rPr>
                <w:rFonts w:cs="Arial"/>
                <w:sz w:val="22"/>
                <w:szCs w:val="22"/>
              </w:rPr>
              <w:t> </w:t>
            </w:r>
          </w:p>
        </w:tc>
        <w:tc>
          <w:tcPr>
            <w:tcW w:w="4549" w:type="dxa"/>
            <w:tcBorders>
              <w:top w:val="single" w:sz="4" w:space="0" w:color="auto"/>
              <w:left w:val="single" w:sz="4" w:space="0" w:color="auto"/>
              <w:bottom w:val="single" w:sz="4" w:space="0" w:color="auto"/>
              <w:right w:val="single" w:sz="4" w:space="0" w:color="auto"/>
            </w:tcBorders>
            <w:hideMark/>
          </w:tcPr>
          <w:p w14:paraId="5466382A" w14:textId="77777777" w:rsidR="00B56980" w:rsidRPr="00B56980" w:rsidRDefault="00B56980" w:rsidP="00B56980">
            <w:pPr>
              <w:rPr>
                <w:rFonts w:cs="Arial"/>
                <w:sz w:val="22"/>
                <w:szCs w:val="22"/>
              </w:rPr>
            </w:pPr>
            <w:r w:rsidRPr="00B56980">
              <w:rPr>
                <w:rFonts w:cs="Arial"/>
                <w:b/>
                <w:bCs/>
                <w:sz w:val="22"/>
                <w:szCs w:val="22"/>
              </w:rPr>
              <w:t>Severe Risk: 12-15</w:t>
            </w:r>
            <w:r w:rsidRPr="00B56980">
              <w:rPr>
                <w:rFonts w:cs="Arial"/>
                <w:sz w:val="22"/>
                <w:szCs w:val="22"/>
              </w:rPr>
              <w:t> </w:t>
            </w:r>
            <w:r w:rsidRPr="00B56980">
              <w:rPr>
                <w:rFonts w:cs="Arial"/>
                <w:sz w:val="22"/>
                <w:szCs w:val="22"/>
              </w:rPr>
              <w:br/>
            </w:r>
            <w:r w:rsidRPr="00B56980">
              <w:rPr>
                <w:rFonts w:cs="Arial"/>
                <w:b/>
                <w:bCs/>
                <w:sz w:val="22"/>
                <w:szCs w:val="22"/>
              </w:rPr>
              <w:t>Major Risk: 8-11 </w:t>
            </w:r>
            <w:r w:rsidRPr="00B56980">
              <w:rPr>
                <w:rFonts w:cs="Arial"/>
                <w:sz w:val="22"/>
                <w:szCs w:val="22"/>
              </w:rPr>
              <w:t> </w:t>
            </w:r>
            <w:r w:rsidRPr="00B56980">
              <w:rPr>
                <w:rFonts w:cs="Arial"/>
                <w:sz w:val="22"/>
                <w:szCs w:val="22"/>
              </w:rPr>
              <w:br/>
            </w:r>
            <w:r w:rsidRPr="00B56980">
              <w:rPr>
                <w:rFonts w:cs="Arial"/>
                <w:b/>
                <w:bCs/>
                <w:sz w:val="22"/>
                <w:szCs w:val="22"/>
              </w:rPr>
              <w:t>Moderate Risk: 4-7</w:t>
            </w:r>
            <w:r w:rsidRPr="00B56980">
              <w:rPr>
                <w:rFonts w:cs="Arial"/>
                <w:sz w:val="22"/>
                <w:szCs w:val="22"/>
              </w:rPr>
              <w:t> </w:t>
            </w:r>
            <w:r w:rsidRPr="00B56980">
              <w:rPr>
                <w:rFonts w:cs="Arial"/>
                <w:sz w:val="22"/>
                <w:szCs w:val="22"/>
              </w:rPr>
              <w:br/>
            </w:r>
            <w:r w:rsidRPr="00B56980">
              <w:rPr>
                <w:rFonts w:cs="Arial"/>
                <w:b/>
                <w:bCs/>
                <w:sz w:val="22"/>
                <w:szCs w:val="22"/>
              </w:rPr>
              <w:t>Low Risk: 0-3</w:t>
            </w:r>
            <w:r w:rsidRPr="00B56980">
              <w:rPr>
                <w:rFonts w:cs="Arial"/>
                <w:sz w:val="22"/>
                <w:szCs w:val="22"/>
              </w:rPr>
              <w:t> </w:t>
            </w:r>
          </w:p>
        </w:tc>
        <w:tc>
          <w:tcPr>
            <w:tcW w:w="777" w:type="dxa"/>
            <w:tcBorders>
              <w:top w:val="single" w:sz="4" w:space="0" w:color="auto"/>
              <w:left w:val="single" w:sz="4" w:space="0" w:color="auto"/>
              <w:bottom w:val="single" w:sz="4" w:space="0" w:color="auto"/>
              <w:right w:val="single" w:sz="4" w:space="0" w:color="auto"/>
            </w:tcBorders>
            <w:hideMark/>
          </w:tcPr>
          <w:p w14:paraId="70858DE1" w14:textId="77777777" w:rsidR="00B56980" w:rsidRPr="00B56980" w:rsidRDefault="00B56980" w:rsidP="00B56980">
            <w:pPr>
              <w:rPr>
                <w:rFonts w:cs="Arial"/>
                <w:sz w:val="22"/>
                <w:szCs w:val="22"/>
              </w:rPr>
            </w:pPr>
            <w:r w:rsidRPr="00B56980">
              <w:rPr>
                <w:rFonts w:cs="Arial"/>
                <w:sz w:val="22"/>
                <w:szCs w:val="22"/>
              </w:rPr>
              <w:t> </w:t>
            </w:r>
          </w:p>
        </w:tc>
        <w:tc>
          <w:tcPr>
            <w:tcW w:w="1974" w:type="dxa"/>
            <w:tcBorders>
              <w:top w:val="single" w:sz="4" w:space="0" w:color="auto"/>
              <w:left w:val="single" w:sz="4" w:space="0" w:color="auto"/>
              <w:bottom w:val="single" w:sz="4" w:space="0" w:color="auto"/>
              <w:right w:val="single" w:sz="4" w:space="0" w:color="auto"/>
            </w:tcBorders>
            <w:hideMark/>
          </w:tcPr>
          <w:p w14:paraId="4EA0DCC9" w14:textId="77777777" w:rsidR="00B56980" w:rsidRPr="00B56980" w:rsidRDefault="00B56980" w:rsidP="00B56980">
            <w:pPr>
              <w:rPr>
                <w:rFonts w:cs="Arial"/>
                <w:sz w:val="22"/>
                <w:szCs w:val="22"/>
              </w:rPr>
            </w:pPr>
            <w:r w:rsidRPr="00B56980">
              <w:rPr>
                <w:rFonts w:cs="Arial"/>
                <w:sz w:val="22"/>
                <w:szCs w:val="22"/>
              </w:rPr>
              <w:t>Low Risk  </w:t>
            </w:r>
          </w:p>
        </w:tc>
      </w:tr>
      <w:tr w:rsidR="00B56980" w:rsidRPr="00B56980" w14:paraId="638DC58B" w14:textId="77777777" w:rsidTr="004A7D84">
        <w:trPr>
          <w:trHeight w:val="810"/>
        </w:trPr>
        <w:tc>
          <w:tcPr>
            <w:tcW w:w="10188" w:type="dxa"/>
            <w:gridSpan w:val="4"/>
            <w:tcBorders>
              <w:top w:val="single" w:sz="6" w:space="0" w:color="000000"/>
              <w:left w:val="single" w:sz="6" w:space="0" w:color="000000"/>
              <w:bottom w:val="single" w:sz="6" w:space="0" w:color="000000"/>
              <w:right w:val="single" w:sz="6" w:space="0" w:color="000000"/>
            </w:tcBorders>
            <w:vAlign w:val="bottom"/>
            <w:hideMark/>
          </w:tcPr>
          <w:p w14:paraId="7CEB223F" w14:textId="77777777" w:rsidR="00B56980" w:rsidRPr="00B56980" w:rsidRDefault="00B56980" w:rsidP="00B56980">
            <w:pPr>
              <w:rPr>
                <w:rFonts w:cs="Arial"/>
                <w:sz w:val="22"/>
                <w:szCs w:val="22"/>
              </w:rPr>
            </w:pPr>
            <w:r w:rsidRPr="00B56980">
              <w:rPr>
                <w:rFonts w:cs="Arial"/>
                <w:b/>
                <w:bCs/>
                <w:sz w:val="22"/>
                <w:szCs w:val="22"/>
              </w:rPr>
              <w:t>Low Risk (0-3):</w:t>
            </w:r>
            <w:r w:rsidRPr="00B56980">
              <w:rPr>
                <w:rFonts w:cs="Arial"/>
                <w:sz w:val="22"/>
                <w:szCs w:val="22"/>
              </w:rPr>
              <w:t> This range indicates the programme is either very low risk, or the proposal has considered risk management measures to minimize hazard impacts and associated risks, and that the programme may therefore have a potentially higher threshold against current and anticipated risks. </w:t>
            </w:r>
          </w:p>
        </w:tc>
      </w:tr>
      <w:tr w:rsidR="00B56980" w:rsidRPr="00B56980" w14:paraId="47EA40E5" w14:textId="77777777" w:rsidTr="004A7D84">
        <w:trPr>
          <w:trHeight w:val="315"/>
        </w:trPr>
        <w:tc>
          <w:tcPr>
            <w:tcW w:w="10188" w:type="dxa"/>
            <w:gridSpan w:val="4"/>
            <w:tcBorders>
              <w:top w:val="single" w:sz="6" w:space="0" w:color="000000"/>
              <w:left w:val="single" w:sz="6" w:space="0" w:color="000000"/>
              <w:bottom w:val="single" w:sz="6" w:space="0" w:color="000000"/>
              <w:right w:val="single" w:sz="6" w:space="0" w:color="000000"/>
            </w:tcBorders>
            <w:vAlign w:val="bottom"/>
            <w:hideMark/>
          </w:tcPr>
          <w:p w14:paraId="50E04CAC" w14:textId="77777777" w:rsidR="00B56980" w:rsidRPr="00B56980" w:rsidRDefault="00B56980" w:rsidP="00B56980">
            <w:pPr>
              <w:rPr>
                <w:rFonts w:cs="Arial"/>
                <w:sz w:val="22"/>
                <w:szCs w:val="22"/>
              </w:rPr>
            </w:pPr>
            <w:r w:rsidRPr="00B56980">
              <w:rPr>
                <w:rFonts w:cs="Arial"/>
                <w:b/>
                <w:bCs/>
                <w:sz w:val="22"/>
                <w:szCs w:val="22"/>
              </w:rPr>
              <w:t>Moderate Risk (4-7):</w:t>
            </w:r>
            <w:r w:rsidRPr="00B56980">
              <w:rPr>
                <w:rFonts w:cs="Arial"/>
                <w:sz w:val="22"/>
                <w:szCs w:val="22"/>
              </w:rPr>
              <w:t> Environmental risks could possibly impact on the programme success, and at least light touch risk reduction measures should be incorporated into project design and activities. </w:t>
            </w:r>
          </w:p>
        </w:tc>
      </w:tr>
      <w:tr w:rsidR="00B56980" w:rsidRPr="00B56980" w14:paraId="22FB6C60" w14:textId="77777777" w:rsidTr="004A7D84">
        <w:trPr>
          <w:trHeight w:val="315"/>
        </w:trPr>
        <w:tc>
          <w:tcPr>
            <w:tcW w:w="10188" w:type="dxa"/>
            <w:gridSpan w:val="4"/>
            <w:tcBorders>
              <w:top w:val="single" w:sz="6" w:space="0" w:color="CCCCCC"/>
              <w:left w:val="single" w:sz="6" w:space="0" w:color="000000"/>
              <w:bottom w:val="single" w:sz="6" w:space="0" w:color="000000"/>
              <w:right w:val="single" w:sz="6" w:space="0" w:color="000000"/>
            </w:tcBorders>
            <w:vAlign w:val="bottom"/>
            <w:hideMark/>
          </w:tcPr>
          <w:p w14:paraId="00C865F1" w14:textId="77777777" w:rsidR="00B56980" w:rsidRPr="00B56980" w:rsidRDefault="00B56980" w:rsidP="00B56980">
            <w:pPr>
              <w:rPr>
                <w:rFonts w:cs="Arial"/>
                <w:sz w:val="22"/>
                <w:szCs w:val="22"/>
              </w:rPr>
            </w:pPr>
            <w:r w:rsidRPr="00B56980">
              <w:rPr>
                <w:rFonts w:cs="Arial"/>
                <w:b/>
                <w:bCs/>
                <w:sz w:val="22"/>
                <w:szCs w:val="22"/>
              </w:rPr>
              <w:t>Major Risk (8-11):</w:t>
            </w:r>
            <w:r w:rsidRPr="00B56980">
              <w:rPr>
                <w:rFonts w:cs="Arial"/>
                <w:sz w:val="22"/>
                <w:szCs w:val="22"/>
              </w:rPr>
              <w:t> Environmental risks could significantly impact on the programme success, and risk reduction measures should be incorporated into project design and activities. </w:t>
            </w:r>
          </w:p>
        </w:tc>
      </w:tr>
      <w:tr w:rsidR="00B56980" w:rsidRPr="00B56980" w14:paraId="25085079" w14:textId="77777777" w:rsidTr="004A7D84">
        <w:trPr>
          <w:trHeight w:val="1650"/>
        </w:trPr>
        <w:tc>
          <w:tcPr>
            <w:tcW w:w="10188" w:type="dxa"/>
            <w:gridSpan w:val="4"/>
            <w:tcBorders>
              <w:top w:val="single" w:sz="6" w:space="0" w:color="CCCCCC"/>
              <w:left w:val="single" w:sz="6" w:space="0" w:color="000000"/>
              <w:bottom w:val="single" w:sz="6" w:space="0" w:color="000000"/>
              <w:right w:val="single" w:sz="6" w:space="0" w:color="000000"/>
            </w:tcBorders>
            <w:vAlign w:val="bottom"/>
            <w:hideMark/>
          </w:tcPr>
          <w:p w14:paraId="22795D98" w14:textId="77777777" w:rsidR="00B56980" w:rsidRPr="00B56980" w:rsidRDefault="00B56980" w:rsidP="00B56980">
            <w:pPr>
              <w:rPr>
                <w:rFonts w:cs="Arial"/>
                <w:sz w:val="22"/>
                <w:szCs w:val="22"/>
              </w:rPr>
            </w:pPr>
            <w:r w:rsidRPr="00B56980">
              <w:rPr>
                <w:rFonts w:cs="Arial"/>
                <w:b/>
                <w:bCs/>
                <w:sz w:val="22"/>
                <w:szCs w:val="22"/>
              </w:rPr>
              <w:t>Severe Risk (12-16):</w:t>
            </w:r>
            <w:r w:rsidRPr="00B56980">
              <w:rPr>
                <w:rFonts w:cs="Arial"/>
                <w:sz w:val="22"/>
                <w:szCs w:val="22"/>
              </w:rPr>
              <w:t> Environmental related risks are likely to derail the programme. It is highly recommended that risk reduction measures be incorporated into programme design and activities, and that a further review of the programme proposal be undertaken. At this level of risk, consideration of the suitability of undertaking this programming activity at all should be given. </w:t>
            </w:r>
          </w:p>
        </w:tc>
      </w:tr>
    </w:tbl>
    <w:p w14:paraId="4B03EF49" w14:textId="77777777" w:rsidR="00B56980" w:rsidRPr="00B56980" w:rsidRDefault="00B56980" w:rsidP="00B56980">
      <w:pPr>
        <w:rPr>
          <w:rFonts w:cs="Arial"/>
          <w:b/>
          <w:bCs/>
          <w:sz w:val="22"/>
          <w:szCs w:val="22"/>
        </w:rPr>
      </w:pPr>
      <w:r w:rsidRPr="00B56980">
        <w:rPr>
          <w:rFonts w:cs="Arial"/>
          <w:b/>
          <w:bCs/>
          <w:sz w:val="22"/>
          <w:szCs w:val="22"/>
        </w:rPr>
        <w:t> </w:t>
      </w:r>
    </w:p>
    <w:p w14:paraId="70FFA3FD" w14:textId="0C0363A0" w:rsidR="00B56980" w:rsidRPr="00B56980" w:rsidRDefault="00B56980" w:rsidP="00B56980">
      <w:pPr>
        <w:rPr>
          <w:rFonts w:cs="Arial"/>
          <w:b/>
          <w:bCs/>
          <w:sz w:val="22"/>
          <w:szCs w:val="22"/>
        </w:rPr>
      </w:pPr>
      <w:r w:rsidRPr="00B56980">
        <w:rPr>
          <w:rFonts w:cs="Arial"/>
          <w:b/>
          <w:bCs/>
          <w:sz w:val="22"/>
          <w:szCs w:val="22"/>
          <w:lang w:val="en"/>
        </w:rPr>
        <w:t>Tables 1- 5 to support CERA screening</w:t>
      </w:r>
      <w:r w:rsidRPr="00B56980">
        <w:rPr>
          <w:rFonts w:cs="Arial"/>
          <w:b/>
          <w:bCs/>
          <w:sz w:val="22"/>
          <w:szCs w:val="22"/>
        </w:rPr>
        <w:t> </w:t>
      </w:r>
    </w:p>
    <w:p w14:paraId="1A43089D" w14:textId="77777777" w:rsidR="00B56980" w:rsidRPr="00B56980" w:rsidRDefault="00B56980" w:rsidP="00B56980">
      <w:pPr>
        <w:rPr>
          <w:rFonts w:cs="Arial"/>
          <w:sz w:val="22"/>
          <w:szCs w:val="22"/>
        </w:rPr>
      </w:pPr>
      <w:r w:rsidRPr="00B56980">
        <w:rPr>
          <w:rFonts w:cs="Arial"/>
          <w:sz w:val="22"/>
          <w:szCs w:val="22"/>
          <w:lang w:val="en"/>
        </w:rPr>
        <w:t>Table 1: Physical environment exposure zones (selected examples for guidance)</w:t>
      </w:r>
      <w:r w:rsidRPr="00B56980">
        <w:rPr>
          <w:rFonts w:cs="Arial"/>
          <w:sz w:val="22"/>
          <w:szCs w:val="22"/>
        </w:rPr>
        <w:t> </w:t>
      </w:r>
    </w:p>
    <w:tbl>
      <w:tblPr>
        <w:tblW w:w="96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3"/>
        <w:gridCol w:w="6315"/>
        <w:gridCol w:w="705"/>
      </w:tblGrid>
      <w:tr w:rsidR="00B56980" w:rsidRPr="00B56980" w14:paraId="5DEC5251" w14:textId="77777777" w:rsidTr="005953D7">
        <w:trPr>
          <w:trHeight w:val="315"/>
        </w:trPr>
        <w:tc>
          <w:tcPr>
            <w:tcW w:w="2673" w:type="dxa"/>
            <w:tcBorders>
              <w:top w:val="single" w:sz="6" w:space="0" w:color="000000"/>
              <w:left w:val="single" w:sz="6" w:space="0" w:color="000000"/>
              <w:bottom w:val="single" w:sz="6" w:space="0" w:color="000000"/>
              <w:right w:val="single" w:sz="6" w:space="0" w:color="000000"/>
            </w:tcBorders>
            <w:hideMark/>
          </w:tcPr>
          <w:p w14:paraId="18AE3180" w14:textId="77777777" w:rsidR="00B56980" w:rsidRPr="00B56980" w:rsidRDefault="00B56980" w:rsidP="00B56980">
            <w:pPr>
              <w:rPr>
                <w:rFonts w:cs="Arial"/>
                <w:sz w:val="22"/>
                <w:szCs w:val="22"/>
              </w:rPr>
            </w:pPr>
            <w:r w:rsidRPr="00B56980">
              <w:rPr>
                <w:rFonts w:cs="Arial"/>
                <w:sz w:val="22"/>
                <w:szCs w:val="22"/>
              </w:rPr>
              <w:t>Physical Environment Exposure Zones </w:t>
            </w:r>
          </w:p>
        </w:tc>
        <w:tc>
          <w:tcPr>
            <w:tcW w:w="6315" w:type="dxa"/>
            <w:tcBorders>
              <w:top w:val="single" w:sz="6" w:space="0" w:color="000000"/>
              <w:left w:val="single" w:sz="6" w:space="0" w:color="CCCCCC"/>
              <w:bottom w:val="single" w:sz="6" w:space="0" w:color="000000"/>
              <w:right w:val="single" w:sz="6" w:space="0" w:color="000000"/>
            </w:tcBorders>
            <w:hideMark/>
          </w:tcPr>
          <w:p w14:paraId="6DADB365" w14:textId="77777777" w:rsidR="00B56980" w:rsidRPr="00B56980" w:rsidRDefault="00B56980" w:rsidP="00B56980">
            <w:pPr>
              <w:rPr>
                <w:rFonts w:cs="Arial"/>
                <w:sz w:val="22"/>
                <w:szCs w:val="22"/>
              </w:rPr>
            </w:pPr>
            <w:r w:rsidRPr="00B56980">
              <w:rPr>
                <w:rFonts w:cs="Arial"/>
                <w:sz w:val="22"/>
                <w:szCs w:val="22"/>
              </w:rPr>
              <w:t>Natural Hazards and Climate Change exposure </w:t>
            </w:r>
          </w:p>
        </w:tc>
        <w:tc>
          <w:tcPr>
            <w:tcW w:w="705" w:type="dxa"/>
            <w:tcBorders>
              <w:top w:val="single" w:sz="6" w:space="0" w:color="000000"/>
              <w:left w:val="single" w:sz="6" w:space="0" w:color="CCCCCC"/>
              <w:bottom w:val="single" w:sz="6" w:space="0" w:color="000000"/>
              <w:right w:val="single" w:sz="6" w:space="0" w:color="000000"/>
            </w:tcBorders>
            <w:hideMark/>
          </w:tcPr>
          <w:p w14:paraId="3BC816DD" w14:textId="77777777" w:rsidR="00B56980" w:rsidRPr="00B56980" w:rsidRDefault="00B56980" w:rsidP="00B56980">
            <w:pPr>
              <w:rPr>
                <w:rFonts w:cs="Arial"/>
                <w:sz w:val="22"/>
                <w:szCs w:val="22"/>
              </w:rPr>
            </w:pPr>
            <w:r w:rsidRPr="00B56980">
              <w:rPr>
                <w:rFonts w:cs="Arial"/>
                <w:sz w:val="22"/>
                <w:szCs w:val="22"/>
              </w:rPr>
              <w:t>Score </w:t>
            </w:r>
          </w:p>
          <w:p w14:paraId="0621E8CA" w14:textId="77777777" w:rsidR="00B56980" w:rsidRPr="00B56980" w:rsidRDefault="00B56980" w:rsidP="00B56980">
            <w:pPr>
              <w:rPr>
                <w:rFonts w:cs="Arial"/>
                <w:sz w:val="22"/>
                <w:szCs w:val="22"/>
              </w:rPr>
            </w:pPr>
            <w:r w:rsidRPr="00B56980">
              <w:rPr>
                <w:rFonts w:cs="Arial"/>
                <w:sz w:val="22"/>
                <w:szCs w:val="22"/>
              </w:rPr>
              <w:t>0-3 </w:t>
            </w:r>
          </w:p>
        </w:tc>
      </w:tr>
      <w:tr w:rsidR="00B56980" w:rsidRPr="00B56980" w14:paraId="0E31CB49" w14:textId="77777777" w:rsidTr="005953D7">
        <w:trPr>
          <w:trHeight w:val="315"/>
        </w:trPr>
        <w:tc>
          <w:tcPr>
            <w:tcW w:w="2673" w:type="dxa"/>
            <w:tcBorders>
              <w:top w:val="single" w:sz="6" w:space="0" w:color="CCCCCC"/>
              <w:left w:val="single" w:sz="6" w:space="0" w:color="000000"/>
              <w:bottom w:val="single" w:sz="6" w:space="0" w:color="000000"/>
              <w:right w:val="single" w:sz="6" w:space="0" w:color="000000"/>
            </w:tcBorders>
            <w:hideMark/>
          </w:tcPr>
          <w:p w14:paraId="4E1ECB76" w14:textId="77777777" w:rsidR="00B56980" w:rsidRPr="00B56980" w:rsidRDefault="00B56980" w:rsidP="00B56980">
            <w:pPr>
              <w:rPr>
                <w:rFonts w:cs="Arial"/>
                <w:sz w:val="22"/>
                <w:szCs w:val="22"/>
                <w:lang w:val="fr-FR"/>
              </w:rPr>
            </w:pPr>
            <w:r w:rsidRPr="00B56980">
              <w:rPr>
                <w:rFonts w:cs="Arial"/>
                <w:sz w:val="22"/>
                <w:szCs w:val="22"/>
                <w:lang w:val="fr-FR"/>
              </w:rPr>
              <w:lastRenderedPageBreak/>
              <w:t>Arid/Semi-Arid &amp; desert environments </w:t>
            </w:r>
          </w:p>
        </w:tc>
        <w:tc>
          <w:tcPr>
            <w:tcW w:w="6315" w:type="dxa"/>
            <w:tcBorders>
              <w:top w:val="single" w:sz="6" w:space="0" w:color="CCCCCC"/>
              <w:left w:val="single" w:sz="6" w:space="0" w:color="CCCCCC"/>
              <w:bottom w:val="single" w:sz="6" w:space="0" w:color="000000"/>
              <w:right w:val="single" w:sz="6" w:space="0" w:color="000000"/>
            </w:tcBorders>
            <w:hideMark/>
          </w:tcPr>
          <w:p w14:paraId="0E704623" w14:textId="77777777" w:rsidR="00B56980" w:rsidRPr="00B56980" w:rsidRDefault="00B56980" w:rsidP="00B56980">
            <w:pPr>
              <w:rPr>
                <w:rFonts w:cs="Arial"/>
                <w:sz w:val="22"/>
                <w:szCs w:val="22"/>
              </w:rPr>
            </w:pPr>
            <w:r w:rsidRPr="00B56980">
              <w:rPr>
                <w:rFonts w:cs="Arial"/>
                <w:sz w:val="22"/>
                <w:szCs w:val="22"/>
              </w:rPr>
              <w:t>Low rainfall of up to 500 mm rainfall per annum with periodic droughts and high rainfall variability. Low vegetative cover. Relatively resilient ecosystems &amp; complex pastoral and systems. Mobilisation of sand dunes and other soils as vegetation cover. Earthquakes and other geophysical hazards may also occur in these environments. </w:t>
            </w:r>
          </w:p>
        </w:tc>
        <w:tc>
          <w:tcPr>
            <w:tcW w:w="705" w:type="dxa"/>
            <w:tcBorders>
              <w:top w:val="single" w:sz="6" w:space="0" w:color="CCCCCC"/>
              <w:left w:val="single" w:sz="6" w:space="0" w:color="CCCCCC"/>
              <w:bottom w:val="single" w:sz="6" w:space="0" w:color="000000"/>
              <w:right w:val="single" w:sz="6" w:space="0" w:color="000000"/>
            </w:tcBorders>
            <w:hideMark/>
          </w:tcPr>
          <w:p w14:paraId="043F5F25" w14:textId="77777777" w:rsidR="00B56980" w:rsidRPr="00B56980" w:rsidRDefault="00B56980" w:rsidP="00B56980">
            <w:pPr>
              <w:rPr>
                <w:rFonts w:cs="Arial"/>
                <w:sz w:val="22"/>
                <w:szCs w:val="22"/>
              </w:rPr>
            </w:pPr>
            <w:r w:rsidRPr="00B56980">
              <w:rPr>
                <w:rFonts w:cs="Arial"/>
                <w:sz w:val="22"/>
                <w:szCs w:val="22"/>
              </w:rPr>
              <w:t>1 or 2 </w:t>
            </w:r>
          </w:p>
        </w:tc>
      </w:tr>
      <w:tr w:rsidR="00B56980" w:rsidRPr="00B56980" w14:paraId="336255AE" w14:textId="77777777" w:rsidTr="005953D7">
        <w:trPr>
          <w:trHeight w:val="315"/>
        </w:trPr>
        <w:tc>
          <w:tcPr>
            <w:tcW w:w="2673" w:type="dxa"/>
            <w:tcBorders>
              <w:top w:val="single" w:sz="6" w:space="0" w:color="CCCCCC"/>
              <w:left w:val="single" w:sz="6" w:space="0" w:color="000000"/>
              <w:bottom w:val="single" w:sz="6" w:space="0" w:color="000000"/>
              <w:right w:val="single" w:sz="6" w:space="0" w:color="000000"/>
            </w:tcBorders>
            <w:hideMark/>
          </w:tcPr>
          <w:p w14:paraId="275075E1" w14:textId="77777777" w:rsidR="00B56980" w:rsidRPr="00B56980" w:rsidRDefault="00B56980" w:rsidP="00B56980">
            <w:pPr>
              <w:rPr>
                <w:rFonts w:cs="Arial"/>
                <w:sz w:val="22"/>
                <w:szCs w:val="22"/>
              </w:rPr>
            </w:pPr>
            <w:r w:rsidRPr="00B56980">
              <w:rPr>
                <w:rFonts w:cs="Arial"/>
                <w:sz w:val="22"/>
                <w:szCs w:val="22"/>
              </w:rPr>
              <w:t>Humid and sub-humid plains, foothills and hill country </w:t>
            </w:r>
          </w:p>
        </w:tc>
        <w:tc>
          <w:tcPr>
            <w:tcW w:w="6315" w:type="dxa"/>
            <w:tcBorders>
              <w:top w:val="single" w:sz="6" w:space="0" w:color="CCCCCC"/>
              <w:left w:val="single" w:sz="6" w:space="0" w:color="CCCCCC"/>
              <w:bottom w:val="single" w:sz="6" w:space="0" w:color="000000"/>
              <w:right w:val="single" w:sz="6" w:space="0" w:color="000000"/>
            </w:tcBorders>
            <w:hideMark/>
          </w:tcPr>
          <w:p w14:paraId="54C701B8" w14:textId="77777777" w:rsidR="00B56980" w:rsidRPr="00B56980" w:rsidRDefault="00B56980" w:rsidP="00B56980">
            <w:pPr>
              <w:rPr>
                <w:rFonts w:cs="Arial"/>
                <w:sz w:val="22"/>
                <w:szCs w:val="22"/>
              </w:rPr>
            </w:pPr>
            <w:r w:rsidRPr="00B56980">
              <w:rPr>
                <w:rFonts w:cs="Arial"/>
                <w:sz w:val="22"/>
                <w:szCs w:val="22"/>
              </w:rPr>
              <w:t>More than 500 mm precipitation/yr. Resilient ecosystems &amp; complex human pastoral and cropping systems. Erosion of loess-mantled landscapes by wind and water; gully erosion; landslides likely on steeper slopes. Incidence of forest and agriculture-based insect infestations. Earthquakes and other geophysical hazards may also occur in these environments. </w:t>
            </w:r>
          </w:p>
        </w:tc>
        <w:tc>
          <w:tcPr>
            <w:tcW w:w="705" w:type="dxa"/>
            <w:tcBorders>
              <w:top w:val="single" w:sz="6" w:space="0" w:color="CCCCCC"/>
              <w:left w:val="single" w:sz="6" w:space="0" w:color="CCCCCC"/>
              <w:bottom w:val="single" w:sz="6" w:space="0" w:color="000000"/>
              <w:right w:val="single" w:sz="6" w:space="0" w:color="000000"/>
            </w:tcBorders>
            <w:hideMark/>
          </w:tcPr>
          <w:p w14:paraId="7199C688" w14:textId="77777777" w:rsidR="00B56980" w:rsidRPr="00B56980" w:rsidRDefault="00B56980" w:rsidP="00B56980">
            <w:pPr>
              <w:rPr>
                <w:rFonts w:cs="Arial"/>
                <w:sz w:val="22"/>
                <w:szCs w:val="22"/>
              </w:rPr>
            </w:pPr>
            <w:r w:rsidRPr="00B56980">
              <w:rPr>
                <w:rFonts w:cs="Arial"/>
                <w:sz w:val="22"/>
                <w:szCs w:val="22"/>
              </w:rPr>
              <w:t>1 </w:t>
            </w:r>
          </w:p>
        </w:tc>
      </w:tr>
      <w:tr w:rsidR="00B56980" w:rsidRPr="00B56980" w14:paraId="1C0335F3" w14:textId="77777777" w:rsidTr="005953D7">
        <w:trPr>
          <w:trHeight w:val="315"/>
        </w:trPr>
        <w:tc>
          <w:tcPr>
            <w:tcW w:w="2673" w:type="dxa"/>
            <w:tcBorders>
              <w:top w:val="single" w:sz="6" w:space="0" w:color="CCCCCC"/>
              <w:left w:val="single" w:sz="6" w:space="0" w:color="000000"/>
              <w:bottom w:val="single" w:sz="6" w:space="0" w:color="000000"/>
              <w:right w:val="single" w:sz="6" w:space="0" w:color="000000"/>
            </w:tcBorders>
            <w:hideMark/>
          </w:tcPr>
          <w:p w14:paraId="5E7DBADE" w14:textId="77777777" w:rsidR="00B56980" w:rsidRPr="00B56980" w:rsidRDefault="00B56980" w:rsidP="00B56980">
            <w:pPr>
              <w:rPr>
                <w:rFonts w:cs="Arial"/>
                <w:sz w:val="22"/>
                <w:szCs w:val="22"/>
              </w:rPr>
            </w:pPr>
            <w:r w:rsidRPr="00B56980">
              <w:rPr>
                <w:rFonts w:cs="Arial"/>
                <w:sz w:val="22"/>
                <w:szCs w:val="22"/>
              </w:rPr>
              <w:t>River valleys/deltas and estuaries and other low-lying coastal areas </w:t>
            </w:r>
          </w:p>
        </w:tc>
        <w:tc>
          <w:tcPr>
            <w:tcW w:w="6315" w:type="dxa"/>
            <w:tcBorders>
              <w:top w:val="single" w:sz="6" w:space="0" w:color="CCCCCC"/>
              <w:left w:val="single" w:sz="6" w:space="0" w:color="CCCCCC"/>
              <w:bottom w:val="single" w:sz="6" w:space="0" w:color="000000"/>
              <w:right w:val="single" w:sz="6" w:space="0" w:color="000000"/>
            </w:tcBorders>
            <w:hideMark/>
          </w:tcPr>
          <w:p w14:paraId="1876BB81" w14:textId="77777777" w:rsidR="00B56980" w:rsidRPr="00B56980" w:rsidRDefault="00B56980" w:rsidP="00B56980">
            <w:pPr>
              <w:rPr>
                <w:rFonts w:cs="Arial"/>
                <w:sz w:val="22"/>
                <w:szCs w:val="22"/>
              </w:rPr>
            </w:pPr>
            <w:r w:rsidRPr="00B56980">
              <w:rPr>
                <w:rFonts w:cs="Arial"/>
                <w:sz w:val="22"/>
                <w:szCs w:val="22"/>
              </w:rPr>
              <w:t>River basins, deltas and estuaries in low-lying areas are exposed to riverine floods, storm surges associated with tropical cyclones/typhoons and sea level rise; natural (and human-induced) subsidence resulting from sediment compaction and ground water extraction; liquefaction of soft sediments as result of earthquake ground shaking. Tsunami possible/likely on some coasts. </w:t>
            </w:r>
          </w:p>
        </w:tc>
        <w:tc>
          <w:tcPr>
            <w:tcW w:w="705" w:type="dxa"/>
            <w:tcBorders>
              <w:top w:val="single" w:sz="6" w:space="0" w:color="CCCCCC"/>
              <w:left w:val="single" w:sz="6" w:space="0" w:color="CCCCCC"/>
              <w:bottom w:val="single" w:sz="6" w:space="0" w:color="000000"/>
              <w:right w:val="single" w:sz="6" w:space="0" w:color="000000"/>
            </w:tcBorders>
            <w:hideMark/>
          </w:tcPr>
          <w:p w14:paraId="1E040A13" w14:textId="77777777" w:rsidR="00B56980" w:rsidRPr="00B56980" w:rsidRDefault="00B56980" w:rsidP="00B56980">
            <w:pPr>
              <w:rPr>
                <w:rFonts w:cs="Arial"/>
                <w:sz w:val="22"/>
                <w:szCs w:val="22"/>
              </w:rPr>
            </w:pPr>
            <w:r w:rsidRPr="00B56980">
              <w:rPr>
                <w:rFonts w:cs="Arial"/>
                <w:sz w:val="22"/>
                <w:szCs w:val="22"/>
              </w:rPr>
              <w:t>2 </w:t>
            </w:r>
          </w:p>
        </w:tc>
      </w:tr>
      <w:tr w:rsidR="00B56980" w:rsidRPr="00B56980" w14:paraId="78AB2B28" w14:textId="77777777" w:rsidTr="005953D7">
        <w:trPr>
          <w:trHeight w:val="315"/>
        </w:trPr>
        <w:tc>
          <w:tcPr>
            <w:tcW w:w="2673" w:type="dxa"/>
            <w:tcBorders>
              <w:top w:val="single" w:sz="6" w:space="0" w:color="CCCCCC"/>
              <w:left w:val="single" w:sz="6" w:space="0" w:color="000000"/>
              <w:bottom w:val="single" w:sz="6" w:space="0" w:color="000000"/>
              <w:right w:val="single" w:sz="6" w:space="0" w:color="000000"/>
            </w:tcBorders>
            <w:hideMark/>
          </w:tcPr>
          <w:p w14:paraId="423963D9" w14:textId="77777777" w:rsidR="00B56980" w:rsidRPr="00B56980" w:rsidRDefault="00B56980" w:rsidP="00B56980">
            <w:pPr>
              <w:rPr>
                <w:rFonts w:cs="Arial"/>
                <w:sz w:val="22"/>
                <w:szCs w:val="22"/>
              </w:rPr>
            </w:pPr>
            <w:r w:rsidRPr="00B56980">
              <w:rPr>
                <w:rFonts w:cs="Arial"/>
                <w:sz w:val="22"/>
                <w:szCs w:val="22"/>
              </w:rPr>
              <w:t>Small islands </w:t>
            </w:r>
          </w:p>
        </w:tc>
        <w:tc>
          <w:tcPr>
            <w:tcW w:w="6315" w:type="dxa"/>
            <w:tcBorders>
              <w:top w:val="single" w:sz="6" w:space="0" w:color="CCCCCC"/>
              <w:left w:val="single" w:sz="6" w:space="0" w:color="CCCCCC"/>
              <w:bottom w:val="single" w:sz="6" w:space="0" w:color="000000"/>
              <w:right w:val="single" w:sz="6" w:space="0" w:color="000000"/>
            </w:tcBorders>
            <w:hideMark/>
          </w:tcPr>
          <w:p w14:paraId="2EB85AFE" w14:textId="77777777" w:rsidR="00B56980" w:rsidRPr="00B56980" w:rsidRDefault="00B56980" w:rsidP="00B56980">
            <w:pPr>
              <w:rPr>
                <w:rFonts w:cs="Arial"/>
                <w:sz w:val="22"/>
                <w:szCs w:val="22"/>
              </w:rPr>
            </w:pPr>
            <w:r w:rsidRPr="00B56980">
              <w:rPr>
                <w:rFonts w:cs="Arial"/>
                <w:sz w:val="22"/>
                <w:szCs w:val="22"/>
              </w:rPr>
              <w:t>Small islands generally have land areas of less than 10,000km</w:t>
            </w:r>
            <w:r w:rsidRPr="00B56980">
              <w:rPr>
                <w:rFonts w:cs="Arial"/>
                <w:sz w:val="22"/>
                <w:szCs w:val="22"/>
                <w:vertAlign w:val="superscript"/>
              </w:rPr>
              <w:t>2</w:t>
            </w:r>
            <w:r w:rsidRPr="00B56980">
              <w:rPr>
                <w:rFonts w:cs="Arial"/>
                <w:sz w:val="22"/>
                <w:szCs w:val="22"/>
              </w:rPr>
              <w:t> in area, though Papua New Guinea and Timor with much larger land areas are commonly included in lists of small island developing states. Low-lying islands are exposed to storm surge, tsunami and sea-level rise and, frequently, coastal erosion, with coral reefs threatened by ocean warming in some areas. Sea level rise threatens the limited ground water resources. High islands often experience high rainfall intensities, frequent landslides and tectonic environments in which landslides and earthquakes are not uncommon with (occasional) volcanic eruptions.  </w:t>
            </w:r>
          </w:p>
        </w:tc>
        <w:tc>
          <w:tcPr>
            <w:tcW w:w="705" w:type="dxa"/>
            <w:tcBorders>
              <w:top w:val="single" w:sz="6" w:space="0" w:color="CCCCCC"/>
              <w:left w:val="single" w:sz="6" w:space="0" w:color="CCCCCC"/>
              <w:bottom w:val="single" w:sz="6" w:space="0" w:color="000000"/>
              <w:right w:val="single" w:sz="6" w:space="0" w:color="000000"/>
            </w:tcBorders>
            <w:hideMark/>
          </w:tcPr>
          <w:p w14:paraId="71878FF9" w14:textId="77777777" w:rsidR="00B56980" w:rsidRPr="00B56980" w:rsidRDefault="00B56980" w:rsidP="00B56980">
            <w:pPr>
              <w:rPr>
                <w:rFonts w:cs="Arial"/>
                <w:sz w:val="22"/>
                <w:szCs w:val="22"/>
              </w:rPr>
            </w:pPr>
            <w:r w:rsidRPr="00B56980">
              <w:rPr>
                <w:rFonts w:cs="Arial"/>
                <w:sz w:val="22"/>
                <w:szCs w:val="22"/>
              </w:rPr>
              <w:t>3 </w:t>
            </w:r>
          </w:p>
        </w:tc>
      </w:tr>
      <w:tr w:rsidR="00B56980" w:rsidRPr="00B56980" w14:paraId="24D2DB0D" w14:textId="77777777" w:rsidTr="005953D7">
        <w:trPr>
          <w:trHeight w:val="315"/>
        </w:trPr>
        <w:tc>
          <w:tcPr>
            <w:tcW w:w="2673" w:type="dxa"/>
            <w:tcBorders>
              <w:top w:val="single" w:sz="6" w:space="0" w:color="CCCCCC"/>
              <w:left w:val="single" w:sz="6" w:space="0" w:color="000000"/>
              <w:bottom w:val="single" w:sz="6" w:space="0" w:color="000000"/>
              <w:right w:val="single" w:sz="6" w:space="0" w:color="000000"/>
            </w:tcBorders>
            <w:hideMark/>
          </w:tcPr>
          <w:p w14:paraId="59A3865B" w14:textId="77777777" w:rsidR="00B56980" w:rsidRPr="00B56980" w:rsidRDefault="00B56980" w:rsidP="00B56980">
            <w:pPr>
              <w:rPr>
                <w:rFonts w:cs="Arial"/>
                <w:sz w:val="22"/>
                <w:szCs w:val="22"/>
              </w:rPr>
            </w:pPr>
            <w:r w:rsidRPr="00B56980">
              <w:rPr>
                <w:rFonts w:cs="Arial"/>
                <w:sz w:val="22"/>
                <w:szCs w:val="22"/>
              </w:rPr>
              <w:t>Mountain ecosystems </w:t>
            </w:r>
          </w:p>
        </w:tc>
        <w:tc>
          <w:tcPr>
            <w:tcW w:w="6315" w:type="dxa"/>
            <w:tcBorders>
              <w:top w:val="single" w:sz="6" w:space="0" w:color="CCCCCC"/>
              <w:left w:val="single" w:sz="6" w:space="0" w:color="CCCCCC"/>
              <w:bottom w:val="single" w:sz="6" w:space="0" w:color="000000"/>
              <w:right w:val="single" w:sz="6" w:space="0" w:color="000000"/>
            </w:tcBorders>
            <w:hideMark/>
          </w:tcPr>
          <w:p w14:paraId="71662F64" w14:textId="77777777" w:rsidR="00B56980" w:rsidRPr="00B56980" w:rsidRDefault="00B56980" w:rsidP="00B56980">
            <w:pPr>
              <w:rPr>
                <w:rFonts w:cs="Arial"/>
                <w:sz w:val="22"/>
                <w:szCs w:val="22"/>
              </w:rPr>
            </w:pPr>
            <w:r w:rsidRPr="00B56980">
              <w:rPr>
                <w:rFonts w:cs="Arial"/>
                <w:sz w:val="22"/>
                <w:szCs w:val="22"/>
              </w:rPr>
              <w:t>Accelerated glacial melting, rockfalls/landslides and glacial lake outburst floods, leading to increased debris flows, </w:t>
            </w:r>
            <w:proofErr w:type="gramStart"/>
            <w:r w:rsidRPr="00B56980">
              <w:rPr>
                <w:rFonts w:cs="Arial"/>
                <w:sz w:val="22"/>
                <w:szCs w:val="22"/>
              </w:rPr>
              <w:t>river bank</w:t>
            </w:r>
            <w:proofErr w:type="gramEnd"/>
            <w:r w:rsidRPr="00B56980">
              <w:rPr>
                <w:rFonts w:cs="Arial"/>
                <w:sz w:val="22"/>
                <w:szCs w:val="22"/>
              </w:rPr>
              <w:t> erosion and floods and more extensive outwash plains. Wind erosion in intermontane valleys. Flooding and drought associated with enhanced snow melt and fluctuating stream flows. Melting of permafrost in some environments. Faunal and floral species migration. Earthquakes, landslides and other geophysical hazards may also occur in these environments. </w:t>
            </w:r>
          </w:p>
        </w:tc>
        <w:tc>
          <w:tcPr>
            <w:tcW w:w="705" w:type="dxa"/>
            <w:tcBorders>
              <w:top w:val="single" w:sz="6" w:space="0" w:color="CCCCCC"/>
              <w:left w:val="single" w:sz="6" w:space="0" w:color="CCCCCC"/>
              <w:bottom w:val="single" w:sz="6" w:space="0" w:color="000000"/>
              <w:right w:val="single" w:sz="6" w:space="0" w:color="000000"/>
            </w:tcBorders>
            <w:hideMark/>
          </w:tcPr>
          <w:p w14:paraId="78350377" w14:textId="77777777" w:rsidR="00B56980" w:rsidRPr="00B56980" w:rsidRDefault="00B56980" w:rsidP="00B56980">
            <w:pPr>
              <w:rPr>
                <w:rFonts w:cs="Arial"/>
                <w:sz w:val="22"/>
                <w:szCs w:val="22"/>
              </w:rPr>
            </w:pPr>
            <w:r w:rsidRPr="00B56980">
              <w:rPr>
                <w:rFonts w:cs="Arial"/>
                <w:sz w:val="22"/>
                <w:szCs w:val="22"/>
              </w:rPr>
              <w:t>3 </w:t>
            </w:r>
          </w:p>
        </w:tc>
      </w:tr>
      <w:tr w:rsidR="00B56980" w:rsidRPr="00B56980" w14:paraId="3C9120EA" w14:textId="77777777" w:rsidTr="005953D7">
        <w:trPr>
          <w:trHeight w:val="315"/>
        </w:trPr>
        <w:tc>
          <w:tcPr>
            <w:tcW w:w="2673" w:type="dxa"/>
            <w:tcBorders>
              <w:top w:val="single" w:sz="6" w:space="0" w:color="CCCCCC"/>
              <w:left w:val="single" w:sz="6" w:space="0" w:color="000000"/>
              <w:bottom w:val="single" w:sz="6" w:space="0" w:color="000000"/>
              <w:right w:val="single" w:sz="6" w:space="0" w:color="000000"/>
            </w:tcBorders>
            <w:hideMark/>
          </w:tcPr>
          <w:p w14:paraId="482A4E13" w14:textId="77777777" w:rsidR="00B56980" w:rsidRPr="00B56980" w:rsidRDefault="00B56980" w:rsidP="00B56980">
            <w:pPr>
              <w:rPr>
                <w:rFonts w:cs="Arial"/>
                <w:sz w:val="22"/>
                <w:szCs w:val="22"/>
              </w:rPr>
            </w:pPr>
            <w:r w:rsidRPr="00B56980">
              <w:rPr>
                <w:rFonts w:cs="Arial"/>
                <w:sz w:val="22"/>
                <w:szCs w:val="22"/>
              </w:rPr>
              <w:t>Volcanic environments </w:t>
            </w:r>
          </w:p>
        </w:tc>
        <w:tc>
          <w:tcPr>
            <w:tcW w:w="6315" w:type="dxa"/>
            <w:tcBorders>
              <w:top w:val="single" w:sz="6" w:space="0" w:color="CCCCCC"/>
              <w:left w:val="single" w:sz="6" w:space="0" w:color="CCCCCC"/>
              <w:bottom w:val="single" w:sz="6" w:space="0" w:color="000000"/>
              <w:right w:val="single" w:sz="6" w:space="0" w:color="000000"/>
            </w:tcBorders>
            <w:hideMark/>
          </w:tcPr>
          <w:p w14:paraId="1A020C44" w14:textId="77777777" w:rsidR="00B56980" w:rsidRPr="00B56980" w:rsidRDefault="00B56980" w:rsidP="00B56980">
            <w:pPr>
              <w:rPr>
                <w:rFonts w:cs="Arial"/>
                <w:sz w:val="22"/>
                <w:szCs w:val="22"/>
              </w:rPr>
            </w:pPr>
            <w:r w:rsidRPr="00B56980">
              <w:rPr>
                <w:rFonts w:cs="Arial"/>
                <w:sz w:val="22"/>
                <w:szCs w:val="22"/>
              </w:rPr>
              <w:t>Recently active volcanoes (erupted in last 10,000 years – see www.volcano.si.edu). Often fertile soils with intensive agriculture and landslides on steep slopes. Subject to earthquakes and volcanic eruptions including pyroclastic flows and mudflows/lahars and/or gas emissions and occasionally widespread ashfall. </w:t>
            </w:r>
          </w:p>
        </w:tc>
        <w:tc>
          <w:tcPr>
            <w:tcW w:w="705" w:type="dxa"/>
            <w:tcBorders>
              <w:top w:val="single" w:sz="6" w:space="0" w:color="CCCCCC"/>
              <w:left w:val="single" w:sz="6" w:space="0" w:color="CCCCCC"/>
              <w:bottom w:val="single" w:sz="6" w:space="0" w:color="000000"/>
              <w:right w:val="single" w:sz="6" w:space="0" w:color="000000"/>
            </w:tcBorders>
            <w:hideMark/>
          </w:tcPr>
          <w:p w14:paraId="5B9D4C9E" w14:textId="77777777" w:rsidR="00B56980" w:rsidRPr="00B56980" w:rsidRDefault="00B56980" w:rsidP="00B56980">
            <w:pPr>
              <w:rPr>
                <w:rFonts w:cs="Arial"/>
                <w:sz w:val="22"/>
                <w:szCs w:val="22"/>
              </w:rPr>
            </w:pPr>
            <w:r w:rsidRPr="00B56980">
              <w:rPr>
                <w:rFonts w:cs="Arial"/>
                <w:sz w:val="22"/>
                <w:szCs w:val="22"/>
              </w:rPr>
              <w:t>2 </w:t>
            </w:r>
          </w:p>
        </w:tc>
      </w:tr>
    </w:tbl>
    <w:p w14:paraId="0AD12489" w14:textId="67DE6DA0" w:rsidR="005953D7" w:rsidRPr="005953D7" w:rsidRDefault="005953D7" w:rsidP="005953D7">
      <w:pPr>
        <w:rPr>
          <w:rFonts w:cs="Arial"/>
          <w:sz w:val="22"/>
          <w:szCs w:val="22"/>
        </w:rPr>
      </w:pPr>
      <w:r w:rsidRPr="005953D7">
        <w:rPr>
          <w:rFonts w:cs="Arial"/>
          <w:b/>
          <w:bCs/>
          <w:sz w:val="22"/>
          <w:szCs w:val="22"/>
          <w:u w:val="single"/>
        </w:rPr>
        <w:lastRenderedPageBreak/>
        <w:t>Annex </w:t>
      </w:r>
      <w:r w:rsidR="00744EB8">
        <w:rPr>
          <w:rFonts w:cs="Arial"/>
          <w:b/>
          <w:bCs/>
          <w:sz w:val="22"/>
          <w:szCs w:val="22"/>
          <w:u w:val="single"/>
        </w:rPr>
        <w:t>I</w:t>
      </w:r>
      <w:r w:rsidRPr="005953D7">
        <w:rPr>
          <w:rFonts w:cs="Arial"/>
          <w:b/>
          <w:bCs/>
          <w:sz w:val="22"/>
          <w:szCs w:val="22"/>
          <w:u w:val="single"/>
        </w:rPr>
        <w:t> – Critical Success Factors and strategic fit objectives</w:t>
      </w:r>
      <w:r w:rsidRPr="005953D7">
        <w:rPr>
          <w:rFonts w:cs="Arial"/>
          <w:sz w:val="22"/>
          <w:szCs w:val="22"/>
        </w:rPr>
        <w:t> </w:t>
      </w:r>
    </w:p>
    <w:p w14:paraId="1473546B" w14:textId="77777777" w:rsidR="005953D7" w:rsidRPr="005953D7" w:rsidRDefault="005953D7" w:rsidP="005953D7">
      <w:pPr>
        <w:rPr>
          <w:rFonts w:cs="Arial"/>
          <w:sz w:val="22"/>
          <w:szCs w:val="22"/>
        </w:rPr>
      </w:pPr>
      <w:r w:rsidRPr="005953D7">
        <w:rPr>
          <w:rFonts w:cs="Arial"/>
          <w:b/>
          <w:bCs/>
          <w:sz w:val="22"/>
          <w:szCs w:val="22"/>
        </w:rPr>
        <w:t>Critical Success Factors</w:t>
      </w:r>
      <w:r w:rsidRPr="005953D7">
        <w:rPr>
          <w:rFonts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6030"/>
      </w:tblGrid>
      <w:tr w:rsidR="005953D7" w:rsidRPr="005953D7" w14:paraId="19DAD2CC" w14:textId="77777777">
        <w:trPr>
          <w:trHeight w:val="300"/>
        </w:trPr>
        <w:tc>
          <w:tcPr>
            <w:tcW w:w="9000" w:type="dxa"/>
            <w:gridSpan w:val="2"/>
            <w:tcBorders>
              <w:top w:val="single" w:sz="6" w:space="0" w:color="auto"/>
              <w:left w:val="single" w:sz="6" w:space="0" w:color="auto"/>
              <w:bottom w:val="single" w:sz="6" w:space="0" w:color="auto"/>
              <w:right w:val="single" w:sz="6" w:space="0" w:color="auto"/>
            </w:tcBorders>
            <w:hideMark/>
          </w:tcPr>
          <w:p w14:paraId="277A4CA3" w14:textId="77777777" w:rsidR="005953D7" w:rsidRPr="005953D7" w:rsidRDefault="005953D7" w:rsidP="005953D7">
            <w:pPr>
              <w:rPr>
                <w:rFonts w:cs="Arial"/>
                <w:sz w:val="22"/>
                <w:szCs w:val="22"/>
              </w:rPr>
            </w:pPr>
            <w:r w:rsidRPr="005953D7">
              <w:rPr>
                <w:rFonts w:cs="Arial"/>
                <w:b/>
                <w:bCs/>
                <w:sz w:val="22"/>
                <w:szCs w:val="22"/>
              </w:rPr>
              <w:t>Critical Success Factors</w:t>
            </w:r>
            <w:r w:rsidRPr="005953D7">
              <w:rPr>
                <w:rFonts w:cs="Arial"/>
                <w:sz w:val="22"/>
                <w:szCs w:val="22"/>
              </w:rPr>
              <w:t>  </w:t>
            </w:r>
          </w:p>
        </w:tc>
      </w:tr>
      <w:tr w:rsidR="005953D7" w:rsidRPr="005953D7" w14:paraId="0E969A24" w14:textId="77777777">
        <w:trPr>
          <w:trHeight w:val="300"/>
        </w:trPr>
        <w:tc>
          <w:tcPr>
            <w:tcW w:w="2970" w:type="dxa"/>
            <w:tcBorders>
              <w:top w:val="single" w:sz="6" w:space="0" w:color="auto"/>
              <w:left w:val="single" w:sz="6" w:space="0" w:color="auto"/>
              <w:bottom w:val="single" w:sz="6" w:space="0" w:color="auto"/>
              <w:right w:val="single" w:sz="6" w:space="0" w:color="auto"/>
            </w:tcBorders>
            <w:hideMark/>
          </w:tcPr>
          <w:p w14:paraId="7AD59DD1" w14:textId="77777777" w:rsidR="005953D7" w:rsidRPr="005953D7" w:rsidRDefault="005953D7" w:rsidP="005953D7">
            <w:pPr>
              <w:rPr>
                <w:rFonts w:cs="Arial"/>
                <w:sz w:val="22"/>
                <w:szCs w:val="22"/>
              </w:rPr>
            </w:pPr>
            <w:r w:rsidRPr="005953D7">
              <w:rPr>
                <w:rFonts w:cs="Arial"/>
                <w:b/>
                <w:bCs/>
                <w:sz w:val="22"/>
                <w:szCs w:val="22"/>
              </w:rPr>
              <w:t>CSF1: Strategic fit and meets business needs</w:t>
            </w:r>
            <w:r w:rsidRPr="005953D7">
              <w:rPr>
                <w:rFonts w:cs="Arial"/>
                <w:sz w:val="22"/>
                <w:szCs w:val="22"/>
              </w:rPr>
              <w:t>  </w:t>
            </w:r>
          </w:p>
        </w:tc>
        <w:tc>
          <w:tcPr>
            <w:tcW w:w="6030" w:type="dxa"/>
            <w:tcBorders>
              <w:top w:val="single" w:sz="6" w:space="0" w:color="auto"/>
              <w:left w:val="single" w:sz="6" w:space="0" w:color="auto"/>
              <w:bottom w:val="single" w:sz="6" w:space="0" w:color="auto"/>
              <w:right w:val="single" w:sz="6" w:space="0" w:color="auto"/>
            </w:tcBorders>
            <w:hideMark/>
          </w:tcPr>
          <w:p w14:paraId="70146697" w14:textId="77777777" w:rsidR="005953D7" w:rsidRPr="005953D7" w:rsidRDefault="005953D7" w:rsidP="005953D7">
            <w:pPr>
              <w:rPr>
                <w:rFonts w:cs="Arial"/>
                <w:sz w:val="22"/>
                <w:szCs w:val="22"/>
              </w:rPr>
            </w:pPr>
            <w:r w:rsidRPr="005953D7">
              <w:rPr>
                <w:rFonts w:cs="Arial"/>
                <w:sz w:val="22"/>
                <w:szCs w:val="22"/>
              </w:rPr>
              <w:t>How well the option:  </w:t>
            </w:r>
          </w:p>
          <w:p w14:paraId="59B09EDF" w14:textId="77777777" w:rsidR="005953D7" w:rsidRPr="005953D7" w:rsidRDefault="005953D7" w:rsidP="005953D7">
            <w:pPr>
              <w:numPr>
                <w:ilvl w:val="0"/>
                <w:numId w:val="248"/>
              </w:numPr>
              <w:rPr>
                <w:rFonts w:cs="Arial"/>
                <w:sz w:val="22"/>
                <w:szCs w:val="22"/>
              </w:rPr>
            </w:pPr>
            <w:r w:rsidRPr="005953D7">
              <w:rPr>
                <w:rFonts w:cs="Arial"/>
                <w:sz w:val="22"/>
                <w:szCs w:val="22"/>
              </w:rPr>
              <w:t>meets the agreed spending objectives, related business needs and service requirements  </w:t>
            </w:r>
          </w:p>
          <w:p w14:paraId="67CBC021" w14:textId="77777777" w:rsidR="005953D7" w:rsidRPr="005953D7" w:rsidRDefault="005953D7" w:rsidP="005953D7">
            <w:pPr>
              <w:numPr>
                <w:ilvl w:val="0"/>
                <w:numId w:val="249"/>
              </w:numPr>
              <w:rPr>
                <w:rFonts w:cs="Arial"/>
                <w:sz w:val="22"/>
                <w:szCs w:val="22"/>
              </w:rPr>
            </w:pPr>
            <w:r w:rsidRPr="005953D7">
              <w:rPr>
                <w:rFonts w:cs="Arial"/>
                <w:sz w:val="22"/>
                <w:szCs w:val="22"/>
              </w:rPr>
              <w:t>provides holistic fit and synergy with other strategies, programmes and projects  </w:t>
            </w:r>
          </w:p>
        </w:tc>
      </w:tr>
      <w:tr w:rsidR="005953D7" w:rsidRPr="005953D7" w14:paraId="51FF7241" w14:textId="77777777">
        <w:trPr>
          <w:trHeight w:val="300"/>
        </w:trPr>
        <w:tc>
          <w:tcPr>
            <w:tcW w:w="2970" w:type="dxa"/>
            <w:tcBorders>
              <w:top w:val="single" w:sz="6" w:space="0" w:color="auto"/>
              <w:left w:val="single" w:sz="6" w:space="0" w:color="auto"/>
              <w:bottom w:val="single" w:sz="6" w:space="0" w:color="auto"/>
              <w:right w:val="single" w:sz="6" w:space="0" w:color="auto"/>
            </w:tcBorders>
            <w:hideMark/>
          </w:tcPr>
          <w:p w14:paraId="42A41CFD" w14:textId="77777777" w:rsidR="005953D7" w:rsidRPr="005953D7" w:rsidRDefault="005953D7" w:rsidP="005953D7">
            <w:pPr>
              <w:rPr>
                <w:rFonts w:cs="Arial"/>
                <w:sz w:val="22"/>
                <w:szCs w:val="22"/>
              </w:rPr>
            </w:pPr>
            <w:r w:rsidRPr="005953D7">
              <w:rPr>
                <w:rFonts w:cs="Arial"/>
                <w:b/>
                <w:bCs/>
                <w:sz w:val="22"/>
                <w:szCs w:val="22"/>
              </w:rPr>
              <w:t>CSF2: Potential Value for Money</w:t>
            </w:r>
            <w:r w:rsidRPr="005953D7">
              <w:rPr>
                <w:rFonts w:cs="Arial"/>
                <w:sz w:val="22"/>
                <w:szCs w:val="22"/>
              </w:rPr>
              <w:t>  </w:t>
            </w:r>
          </w:p>
        </w:tc>
        <w:tc>
          <w:tcPr>
            <w:tcW w:w="6030" w:type="dxa"/>
            <w:tcBorders>
              <w:top w:val="single" w:sz="6" w:space="0" w:color="auto"/>
              <w:left w:val="single" w:sz="6" w:space="0" w:color="auto"/>
              <w:bottom w:val="single" w:sz="6" w:space="0" w:color="auto"/>
              <w:right w:val="single" w:sz="6" w:space="0" w:color="auto"/>
            </w:tcBorders>
            <w:hideMark/>
          </w:tcPr>
          <w:p w14:paraId="2CF8DB72" w14:textId="77777777" w:rsidR="005953D7" w:rsidRPr="005953D7" w:rsidRDefault="005953D7" w:rsidP="005953D7">
            <w:pPr>
              <w:rPr>
                <w:rFonts w:cs="Arial"/>
                <w:sz w:val="22"/>
                <w:szCs w:val="22"/>
              </w:rPr>
            </w:pPr>
            <w:r w:rsidRPr="005953D7">
              <w:rPr>
                <w:rFonts w:cs="Arial"/>
                <w:sz w:val="22"/>
                <w:szCs w:val="22"/>
              </w:rPr>
              <w:t>How well the option:  </w:t>
            </w:r>
          </w:p>
          <w:p w14:paraId="62076D78" w14:textId="77777777" w:rsidR="005953D7" w:rsidRPr="005953D7" w:rsidRDefault="005953D7" w:rsidP="005953D7">
            <w:pPr>
              <w:numPr>
                <w:ilvl w:val="0"/>
                <w:numId w:val="250"/>
              </w:numPr>
              <w:rPr>
                <w:rFonts w:cs="Arial"/>
                <w:sz w:val="22"/>
                <w:szCs w:val="22"/>
              </w:rPr>
            </w:pPr>
            <w:r w:rsidRPr="005953D7">
              <w:rPr>
                <w:rFonts w:cs="Arial"/>
                <w:sz w:val="22"/>
                <w:szCs w:val="22"/>
              </w:rPr>
              <w:t>optimises social value (social, economic and environmental), in terms of the potential costs, benefits and risks  </w:t>
            </w:r>
          </w:p>
        </w:tc>
      </w:tr>
      <w:tr w:rsidR="005953D7" w:rsidRPr="005953D7" w14:paraId="06C00A00" w14:textId="77777777">
        <w:trPr>
          <w:trHeight w:val="300"/>
        </w:trPr>
        <w:tc>
          <w:tcPr>
            <w:tcW w:w="2970" w:type="dxa"/>
            <w:tcBorders>
              <w:top w:val="single" w:sz="6" w:space="0" w:color="auto"/>
              <w:left w:val="single" w:sz="6" w:space="0" w:color="auto"/>
              <w:bottom w:val="single" w:sz="6" w:space="0" w:color="auto"/>
              <w:right w:val="single" w:sz="6" w:space="0" w:color="auto"/>
            </w:tcBorders>
            <w:hideMark/>
          </w:tcPr>
          <w:p w14:paraId="4FCF0366" w14:textId="77777777" w:rsidR="005953D7" w:rsidRPr="005953D7" w:rsidRDefault="005953D7" w:rsidP="005953D7">
            <w:pPr>
              <w:rPr>
                <w:rFonts w:cs="Arial"/>
                <w:sz w:val="22"/>
                <w:szCs w:val="22"/>
              </w:rPr>
            </w:pPr>
            <w:r w:rsidRPr="005953D7">
              <w:rPr>
                <w:rFonts w:cs="Arial"/>
                <w:b/>
                <w:bCs/>
                <w:sz w:val="22"/>
                <w:szCs w:val="22"/>
              </w:rPr>
              <w:t>CSF3: Supplier capacity and capability</w:t>
            </w:r>
            <w:r w:rsidRPr="005953D7">
              <w:rPr>
                <w:rFonts w:cs="Arial"/>
                <w:sz w:val="22"/>
                <w:szCs w:val="22"/>
              </w:rPr>
              <w:t>  </w:t>
            </w:r>
          </w:p>
        </w:tc>
        <w:tc>
          <w:tcPr>
            <w:tcW w:w="6030" w:type="dxa"/>
            <w:tcBorders>
              <w:top w:val="single" w:sz="6" w:space="0" w:color="auto"/>
              <w:left w:val="single" w:sz="6" w:space="0" w:color="auto"/>
              <w:bottom w:val="single" w:sz="6" w:space="0" w:color="auto"/>
              <w:right w:val="single" w:sz="6" w:space="0" w:color="auto"/>
            </w:tcBorders>
            <w:hideMark/>
          </w:tcPr>
          <w:p w14:paraId="53C24D73" w14:textId="77777777" w:rsidR="005953D7" w:rsidRPr="005953D7" w:rsidRDefault="005953D7" w:rsidP="005953D7">
            <w:pPr>
              <w:rPr>
                <w:rFonts w:cs="Arial"/>
                <w:sz w:val="22"/>
                <w:szCs w:val="22"/>
              </w:rPr>
            </w:pPr>
            <w:r w:rsidRPr="005953D7">
              <w:rPr>
                <w:rFonts w:cs="Arial"/>
                <w:sz w:val="22"/>
                <w:szCs w:val="22"/>
              </w:rPr>
              <w:t>How well the option:  </w:t>
            </w:r>
          </w:p>
          <w:p w14:paraId="6022161C" w14:textId="77777777" w:rsidR="005953D7" w:rsidRPr="005953D7" w:rsidRDefault="005953D7" w:rsidP="005953D7">
            <w:pPr>
              <w:numPr>
                <w:ilvl w:val="0"/>
                <w:numId w:val="251"/>
              </w:numPr>
              <w:rPr>
                <w:rFonts w:cs="Arial"/>
                <w:sz w:val="22"/>
                <w:szCs w:val="22"/>
              </w:rPr>
            </w:pPr>
            <w:r w:rsidRPr="005953D7">
              <w:rPr>
                <w:rFonts w:cs="Arial"/>
                <w:sz w:val="22"/>
                <w:szCs w:val="22"/>
              </w:rPr>
              <w:t>matches the ability of potential suppliers to deliver the required services  </w:t>
            </w:r>
          </w:p>
          <w:p w14:paraId="16B70824" w14:textId="77777777" w:rsidR="005953D7" w:rsidRPr="005953D7" w:rsidRDefault="005953D7" w:rsidP="005953D7">
            <w:pPr>
              <w:numPr>
                <w:ilvl w:val="0"/>
                <w:numId w:val="252"/>
              </w:numPr>
              <w:rPr>
                <w:rFonts w:cs="Arial"/>
                <w:sz w:val="22"/>
                <w:szCs w:val="22"/>
              </w:rPr>
            </w:pPr>
            <w:r w:rsidRPr="005953D7">
              <w:rPr>
                <w:rFonts w:cs="Arial"/>
                <w:sz w:val="22"/>
                <w:szCs w:val="22"/>
              </w:rPr>
              <w:t>appeals to the supply side  </w:t>
            </w:r>
          </w:p>
        </w:tc>
      </w:tr>
      <w:tr w:rsidR="005953D7" w:rsidRPr="005953D7" w14:paraId="2E5DAEAE" w14:textId="77777777">
        <w:trPr>
          <w:trHeight w:val="300"/>
        </w:trPr>
        <w:tc>
          <w:tcPr>
            <w:tcW w:w="2970" w:type="dxa"/>
            <w:tcBorders>
              <w:top w:val="single" w:sz="6" w:space="0" w:color="auto"/>
              <w:left w:val="single" w:sz="6" w:space="0" w:color="auto"/>
              <w:bottom w:val="single" w:sz="6" w:space="0" w:color="auto"/>
              <w:right w:val="single" w:sz="6" w:space="0" w:color="auto"/>
            </w:tcBorders>
            <w:hideMark/>
          </w:tcPr>
          <w:p w14:paraId="104C48F7" w14:textId="77777777" w:rsidR="005953D7" w:rsidRPr="005953D7" w:rsidRDefault="005953D7" w:rsidP="005953D7">
            <w:pPr>
              <w:rPr>
                <w:rFonts w:cs="Arial"/>
                <w:sz w:val="22"/>
                <w:szCs w:val="22"/>
              </w:rPr>
            </w:pPr>
            <w:r w:rsidRPr="005953D7">
              <w:rPr>
                <w:rFonts w:cs="Arial"/>
                <w:b/>
                <w:bCs/>
                <w:sz w:val="22"/>
                <w:szCs w:val="22"/>
              </w:rPr>
              <w:t>CSF4: Potential affordability</w:t>
            </w:r>
            <w:r w:rsidRPr="005953D7">
              <w:rPr>
                <w:rFonts w:cs="Arial"/>
                <w:sz w:val="22"/>
                <w:szCs w:val="22"/>
              </w:rPr>
              <w:t>  </w:t>
            </w:r>
          </w:p>
        </w:tc>
        <w:tc>
          <w:tcPr>
            <w:tcW w:w="6030" w:type="dxa"/>
            <w:tcBorders>
              <w:top w:val="single" w:sz="6" w:space="0" w:color="auto"/>
              <w:left w:val="single" w:sz="6" w:space="0" w:color="auto"/>
              <w:bottom w:val="single" w:sz="6" w:space="0" w:color="auto"/>
              <w:right w:val="single" w:sz="6" w:space="0" w:color="auto"/>
            </w:tcBorders>
            <w:hideMark/>
          </w:tcPr>
          <w:p w14:paraId="5997F097" w14:textId="77777777" w:rsidR="005953D7" w:rsidRPr="005953D7" w:rsidRDefault="005953D7" w:rsidP="005953D7">
            <w:pPr>
              <w:rPr>
                <w:rFonts w:cs="Arial"/>
                <w:sz w:val="22"/>
                <w:szCs w:val="22"/>
              </w:rPr>
            </w:pPr>
            <w:r w:rsidRPr="005953D7">
              <w:rPr>
                <w:rFonts w:cs="Arial"/>
                <w:sz w:val="22"/>
                <w:szCs w:val="22"/>
              </w:rPr>
              <w:t>How well the option:  </w:t>
            </w:r>
          </w:p>
          <w:p w14:paraId="34F5A7EC" w14:textId="77777777" w:rsidR="005953D7" w:rsidRPr="005953D7" w:rsidRDefault="005953D7" w:rsidP="005953D7">
            <w:pPr>
              <w:numPr>
                <w:ilvl w:val="0"/>
                <w:numId w:val="253"/>
              </w:numPr>
              <w:rPr>
                <w:rFonts w:cs="Arial"/>
                <w:sz w:val="22"/>
                <w:szCs w:val="22"/>
              </w:rPr>
            </w:pPr>
            <w:r w:rsidRPr="005953D7">
              <w:rPr>
                <w:rFonts w:cs="Arial"/>
                <w:sz w:val="22"/>
                <w:szCs w:val="22"/>
              </w:rPr>
              <w:t>can be financed from available funds  </w:t>
            </w:r>
          </w:p>
          <w:p w14:paraId="4F37E51F" w14:textId="77777777" w:rsidR="005953D7" w:rsidRPr="005953D7" w:rsidRDefault="005953D7" w:rsidP="005953D7">
            <w:pPr>
              <w:numPr>
                <w:ilvl w:val="0"/>
                <w:numId w:val="254"/>
              </w:numPr>
              <w:rPr>
                <w:rFonts w:cs="Arial"/>
                <w:sz w:val="22"/>
                <w:szCs w:val="22"/>
              </w:rPr>
            </w:pPr>
            <w:r w:rsidRPr="005953D7">
              <w:rPr>
                <w:rFonts w:cs="Arial"/>
                <w:sz w:val="22"/>
                <w:szCs w:val="22"/>
              </w:rPr>
              <w:t>aligns with sourcing constraints  </w:t>
            </w:r>
          </w:p>
        </w:tc>
      </w:tr>
      <w:tr w:rsidR="005953D7" w:rsidRPr="005953D7" w14:paraId="03801DDB" w14:textId="77777777">
        <w:trPr>
          <w:trHeight w:val="300"/>
        </w:trPr>
        <w:tc>
          <w:tcPr>
            <w:tcW w:w="2970" w:type="dxa"/>
            <w:tcBorders>
              <w:top w:val="single" w:sz="6" w:space="0" w:color="auto"/>
              <w:left w:val="single" w:sz="6" w:space="0" w:color="auto"/>
              <w:bottom w:val="single" w:sz="6" w:space="0" w:color="auto"/>
              <w:right w:val="single" w:sz="6" w:space="0" w:color="auto"/>
            </w:tcBorders>
            <w:hideMark/>
          </w:tcPr>
          <w:p w14:paraId="5B030993" w14:textId="77777777" w:rsidR="005953D7" w:rsidRPr="005953D7" w:rsidRDefault="005953D7" w:rsidP="005953D7">
            <w:pPr>
              <w:rPr>
                <w:rFonts w:cs="Arial"/>
                <w:sz w:val="22"/>
                <w:szCs w:val="22"/>
              </w:rPr>
            </w:pPr>
            <w:r w:rsidRPr="005953D7">
              <w:rPr>
                <w:rFonts w:cs="Arial"/>
                <w:b/>
                <w:bCs/>
                <w:sz w:val="22"/>
                <w:szCs w:val="22"/>
              </w:rPr>
              <w:t>CSF5: Potential achievability</w:t>
            </w:r>
            <w:r w:rsidRPr="005953D7">
              <w:rPr>
                <w:rFonts w:cs="Arial"/>
                <w:sz w:val="22"/>
                <w:szCs w:val="22"/>
              </w:rPr>
              <w:t>  </w:t>
            </w:r>
          </w:p>
        </w:tc>
        <w:tc>
          <w:tcPr>
            <w:tcW w:w="6030" w:type="dxa"/>
            <w:tcBorders>
              <w:top w:val="single" w:sz="6" w:space="0" w:color="auto"/>
              <w:left w:val="single" w:sz="6" w:space="0" w:color="auto"/>
              <w:bottom w:val="single" w:sz="6" w:space="0" w:color="auto"/>
              <w:right w:val="single" w:sz="6" w:space="0" w:color="auto"/>
            </w:tcBorders>
            <w:hideMark/>
          </w:tcPr>
          <w:p w14:paraId="1E93275E" w14:textId="77777777" w:rsidR="005953D7" w:rsidRPr="005953D7" w:rsidRDefault="005953D7" w:rsidP="005953D7">
            <w:pPr>
              <w:rPr>
                <w:rFonts w:cs="Arial"/>
                <w:sz w:val="22"/>
                <w:szCs w:val="22"/>
              </w:rPr>
            </w:pPr>
            <w:r w:rsidRPr="005953D7">
              <w:rPr>
                <w:rFonts w:cs="Arial"/>
                <w:sz w:val="22"/>
                <w:szCs w:val="22"/>
              </w:rPr>
              <w:t>How well the option:   </w:t>
            </w:r>
          </w:p>
          <w:p w14:paraId="0E5A0842" w14:textId="77777777" w:rsidR="005953D7" w:rsidRPr="005953D7" w:rsidRDefault="005953D7" w:rsidP="005953D7">
            <w:pPr>
              <w:numPr>
                <w:ilvl w:val="0"/>
                <w:numId w:val="255"/>
              </w:numPr>
              <w:rPr>
                <w:rFonts w:cs="Arial"/>
                <w:sz w:val="22"/>
                <w:szCs w:val="22"/>
              </w:rPr>
            </w:pPr>
            <w:r w:rsidRPr="005953D7">
              <w:rPr>
                <w:rFonts w:cs="Arial"/>
                <w:sz w:val="22"/>
                <w:szCs w:val="22"/>
              </w:rPr>
              <w:t>is likely to be delivered given an organisation's ability to respond to the changes required  </w:t>
            </w:r>
          </w:p>
          <w:p w14:paraId="2EFB8DEA" w14:textId="77777777" w:rsidR="005953D7" w:rsidRPr="005953D7" w:rsidRDefault="005953D7" w:rsidP="005953D7">
            <w:pPr>
              <w:numPr>
                <w:ilvl w:val="0"/>
                <w:numId w:val="256"/>
              </w:numPr>
              <w:rPr>
                <w:rFonts w:cs="Arial"/>
                <w:sz w:val="22"/>
                <w:szCs w:val="22"/>
              </w:rPr>
            </w:pPr>
            <w:r w:rsidRPr="005953D7">
              <w:rPr>
                <w:rFonts w:cs="Arial"/>
                <w:sz w:val="22"/>
                <w:szCs w:val="22"/>
              </w:rPr>
              <w:t>matches the level of available skills required for successful delivery  </w:t>
            </w:r>
          </w:p>
        </w:tc>
      </w:tr>
    </w:tbl>
    <w:p w14:paraId="650617D9" w14:textId="77777777" w:rsidR="005953D7" w:rsidRPr="005953D7" w:rsidRDefault="005953D7" w:rsidP="005953D7">
      <w:pPr>
        <w:rPr>
          <w:rFonts w:cs="Arial"/>
          <w:sz w:val="22"/>
          <w:szCs w:val="22"/>
        </w:rPr>
      </w:pPr>
      <w:r w:rsidRPr="005953D7">
        <w:rPr>
          <w:rFonts w:cs="Arial"/>
          <w:sz w:val="22"/>
          <w:szCs w:val="22"/>
        </w:rPr>
        <w:t> </w:t>
      </w:r>
    </w:p>
    <w:p w14:paraId="35CDD000" w14:textId="77777777" w:rsidR="005953D7" w:rsidRPr="005953D7" w:rsidRDefault="005953D7" w:rsidP="005953D7">
      <w:pPr>
        <w:rPr>
          <w:rFonts w:cs="Arial"/>
          <w:sz w:val="22"/>
          <w:szCs w:val="22"/>
        </w:rPr>
      </w:pPr>
      <w:r w:rsidRPr="005953D7">
        <w:rPr>
          <w:rFonts w:cs="Arial"/>
          <w:b/>
          <w:bCs/>
          <w:sz w:val="22"/>
          <w:szCs w:val="22"/>
        </w:rPr>
        <w:t>Strategic fit objectives for the extension business case </w:t>
      </w:r>
      <w:r w:rsidRPr="005953D7">
        <w:rPr>
          <w:rFonts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0"/>
        <w:gridCol w:w="4530"/>
      </w:tblGrid>
      <w:tr w:rsidR="005953D7" w:rsidRPr="005953D7" w14:paraId="0BD99863" w14:textId="77777777">
        <w:trPr>
          <w:trHeight w:val="300"/>
        </w:trPr>
        <w:tc>
          <w:tcPr>
            <w:tcW w:w="4470" w:type="dxa"/>
            <w:tcBorders>
              <w:top w:val="single" w:sz="6" w:space="0" w:color="auto"/>
              <w:left w:val="single" w:sz="6" w:space="0" w:color="auto"/>
              <w:bottom w:val="single" w:sz="6" w:space="0" w:color="auto"/>
              <w:right w:val="single" w:sz="6" w:space="0" w:color="auto"/>
            </w:tcBorders>
            <w:shd w:val="clear" w:color="auto" w:fill="D9E2F3"/>
            <w:hideMark/>
          </w:tcPr>
          <w:p w14:paraId="33B1669E" w14:textId="77777777" w:rsidR="005953D7" w:rsidRPr="005953D7" w:rsidRDefault="005953D7" w:rsidP="005953D7">
            <w:pPr>
              <w:rPr>
                <w:rFonts w:cs="Arial"/>
                <w:sz w:val="22"/>
                <w:szCs w:val="22"/>
              </w:rPr>
            </w:pPr>
            <w:r w:rsidRPr="005953D7">
              <w:rPr>
                <w:rFonts w:cs="Arial"/>
                <w:b/>
                <w:bCs/>
                <w:i/>
                <w:iCs/>
                <w:sz w:val="22"/>
                <w:szCs w:val="22"/>
              </w:rPr>
              <w:t>Strategic Fit SMART </w:t>
            </w:r>
            <w:r w:rsidRPr="005953D7">
              <w:rPr>
                <w:rFonts w:cs="Arial"/>
                <w:b/>
                <w:bCs/>
                <w:sz w:val="22"/>
                <w:szCs w:val="22"/>
              </w:rPr>
              <w:t>Objective </w:t>
            </w:r>
            <w:r w:rsidRPr="005953D7">
              <w:rPr>
                <w:rFonts w:cs="Arial"/>
                <w:sz w:val="22"/>
                <w:szCs w:val="22"/>
              </w:rPr>
              <w:t>  </w:t>
            </w:r>
          </w:p>
        </w:tc>
        <w:tc>
          <w:tcPr>
            <w:tcW w:w="4530" w:type="dxa"/>
            <w:tcBorders>
              <w:top w:val="single" w:sz="6" w:space="0" w:color="auto"/>
              <w:left w:val="single" w:sz="6" w:space="0" w:color="auto"/>
              <w:bottom w:val="single" w:sz="6" w:space="0" w:color="auto"/>
              <w:right w:val="single" w:sz="6" w:space="0" w:color="auto"/>
            </w:tcBorders>
            <w:shd w:val="clear" w:color="auto" w:fill="D9E2F3"/>
            <w:hideMark/>
          </w:tcPr>
          <w:p w14:paraId="37BA9457" w14:textId="77777777" w:rsidR="005953D7" w:rsidRPr="005953D7" w:rsidRDefault="005953D7" w:rsidP="005953D7">
            <w:pPr>
              <w:rPr>
                <w:rFonts w:cs="Arial"/>
                <w:sz w:val="22"/>
                <w:szCs w:val="22"/>
              </w:rPr>
            </w:pPr>
            <w:r w:rsidRPr="005953D7">
              <w:rPr>
                <w:rFonts w:cs="Arial"/>
                <w:b/>
                <w:bCs/>
                <w:sz w:val="22"/>
                <w:szCs w:val="22"/>
              </w:rPr>
              <w:t>How will it be measured? </w:t>
            </w:r>
            <w:r w:rsidRPr="005953D7">
              <w:rPr>
                <w:rFonts w:cs="Arial"/>
                <w:sz w:val="22"/>
                <w:szCs w:val="22"/>
              </w:rPr>
              <w:t>  </w:t>
            </w:r>
          </w:p>
        </w:tc>
      </w:tr>
      <w:tr w:rsidR="005953D7" w:rsidRPr="005953D7" w14:paraId="5F102355" w14:textId="77777777">
        <w:trPr>
          <w:trHeight w:val="300"/>
        </w:trPr>
        <w:tc>
          <w:tcPr>
            <w:tcW w:w="4470" w:type="dxa"/>
            <w:tcBorders>
              <w:top w:val="single" w:sz="6" w:space="0" w:color="auto"/>
              <w:left w:val="single" w:sz="6" w:space="0" w:color="auto"/>
              <w:bottom w:val="single" w:sz="6" w:space="0" w:color="auto"/>
              <w:right w:val="single" w:sz="6" w:space="0" w:color="auto"/>
            </w:tcBorders>
            <w:hideMark/>
          </w:tcPr>
          <w:p w14:paraId="35B7CC15" w14:textId="77777777" w:rsidR="005953D7" w:rsidRPr="005953D7" w:rsidRDefault="005953D7" w:rsidP="005953D7">
            <w:pPr>
              <w:numPr>
                <w:ilvl w:val="0"/>
                <w:numId w:val="257"/>
              </w:numPr>
              <w:rPr>
                <w:rFonts w:cs="Arial"/>
                <w:sz w:val="22"/>
                <w:szCs w:val="22"/>
              </w:rPr>
            </w:pPr>
            <w:r w:rsidRPr="005953D7">
              <w:rPr>
                <w:rFonts w:cs="Arial"/>
                <w:b/>
                <w:bCs/>
                <w:sz w:val="22"/>
                <w:szCs w:val="22"/>
              </w:rPr>
              <w:t>Objective 1:</w:t>
            </w:r>
            <w:r w:rsidRPr="005953D7">
              <w:rPr>
                <w:rFonts w:cs="Arial"/>
                <w:sz w:val="22"/>
                <w:szCs w:val="22"/>
              </w:rPr>
              <w:t> Continue to build long-lasting capacity for forest countries to </w:t>
            </w:r>
            <w:r w:rsidRPr="005953D7">
              <w:rPr>
                <w:rFonts w:cs="Arial"/>
                <w:b/>
                <w:bCs/>
                <w:sz w:val="22"/>
                <w:szCs w:val="22"/>
              </w:rPr>
              <w:t xml:space="preserve">strengthen and institutionalise MRV </w:t>
            </w:r>
            <w:r w:rsidRPr="005953D7">
              <w:rPr>
                <w:rFonts w:cs="Arial"/>
                <w:b/>
                <w:bCs/>
                <w:sz w:val="22"/>
                <w:szCs w:val="22"/>
              </w:rPr>
              <w:lastRenderedPageBreak/>
              <w:t>and National Forest Monitoring Systems </w:t>
            </w:r>
            <w:r w:rsidRPr="005953D7">
              <w:rPr>
                <w:rFonts w:cs="Arial"/>
                <w:sz w:val="22"/>
                <w:szCs w:val="22"/>
              </w:rPr>
              <w:t>through a country-led, adaptable and sustained process that engages stakeholders across all levels, overcomes methodological and procedural challenges, and aligns with national policy and development priorities, throughout the term of the programme.  </w:t>
            </w:r>
          </w:p>
        </w:tc>
        <w:tc>
          <w:tcPr>
            <w:tcW w:w="4530" w:type="dxa"/>
            <w:tcBorders>
              <w:top w:val="single" w:sz="6" w:space="0" w:color="auto"/>
              <w:left w:val="single" w:sz="6" w:space="0" w:color="auto"/>
              <w:bottom w:val="single" w:sz="6" w:space="0" w:color="auto"/>
              <w:right w:val="single" w:sz="6" w:space="0" w:color="auto"/>
            </w:tcBorders>
            <w:hideMark/>
          </w:tcPr>
          <w:p w14:paraId="671D0B5B" w14:textId="77777777" w:rsidR="005953D7" w:rsidRPr="005953D7" w:rsidRDefault="005953D7" w:rsidP="005953D7">
            <w:pPr>
              <w:numPr>
                <w:ilvl w:val="0"/>
                <w:numId w:val="258"/>
              </w:numPr>
              <w:rPr>
                <w:rFonts w:cs="Arial"/>
                <w:sz w:val="22"/>
                <w:szCs w:val="22"/>
              </w:rPr>
            </w:pPr>
            <w:r w:rsidRPr="005953D7">
              <w:rPr>
                <w:rFonts w:cs="Arial"/>
                <w:sz w:val="22"/>
                <w:szCs w:val="22"/>
              </w:rPr>
              <w:lastRenderedPageBreak/>
              <w:t>Number of countries </w:t>
            </w:r>
            <w:proofErr w:type="gramStart"/>
            <w:r w:rsidRPr="005953D7">
              <w:rPr>
                <w:rFonts w:cs="Arial"/>
                <w:sz w:val="22"/>
                <w:szCs w:val="22"/>
              </w:rPr>
              <w:t>supported  with</w:t>
            </w:r>
            <w:proofErr w:type="gramEnd"/>
            <w:r w:rsidRPr="005953D7">
              <w:rPr>
                <w:rFonts w:cs="Arial"/>
                <w:sz w:val="22"/>
                <w:szCs w:val="22"/>
              </w:rPr>
              <w:t xml:space="preserve"> direct technical assistance, (target of 20 by 2030). We are currently supporting </w:t>
            </w:r>
            <w:r w:rsidRPr="005953D7">
              <w:rPr>
                <w:rFonts w:cs="Arial"/>
                <w:sz w:val="22"/>
                <w:szCs w:val="22"/>
              </w:rPr>
              <w:lastRenderedPageBreak/>
              <w:t>16 countries directly however budget for this work is due to run out in 2026 so this proposal would ensure it continues (TA KPI 1). This extension proposal would allow an increase from 16 countries to 20 countries.    </w:t>
            </w:r>
          </w:p>
          <w:p w14:paraId="60499812" w14:textId="77777777" w:rsidR="005953D7" w:rsidRPr="005953D7" w:rsidRDefault="005953D7" w:rsidP="005953D7">
            <w:pPr>
              <w:numPr>
                <w:ilvl w:val="0"/>
                <w:numId w:val="259"/>
              </w:numPr>
              <w:rPr>
                <w:rFonts w:cs="Arial"/>
                <w:sz w:val="22"/>
                <w:szCs w:val="22"/>
              </w:rPr>
            </w:pPr>
            <w:r w:rsidRPr="005953D7">
              <w:rPr>
                <w:rFonts w:cs="Arial"/>
                <w:sz w:val="22"/>
                <w:szCs w:val="22"/>
              </w:rPr>
              <w:t>Number of key methodological challenges overcome through alignment, innovation and deployment (12 by 2030, increased from 10)   </w:t>
            </w:r>
          </w:p>
          <w:p w14:paraId="025BC79B" w14:textId="77777777" w:rsidR="005953D7" w:rsidRPr="005953D7" w:rsidRDefault="005953D7" w:rsidP="005953D7">
            <w:pPr>
              <w:numPr>
                <w:ilvl w:val="0"/>
                <w:numId w:val="260"/>
              </w:numPr>
              <w:rPr>
                <w:rFonts w:cs="Arial"/>
                <w:sz w:val="22"/>
                <w:szCs w:val="22"/>
              </w:rPr>
            </w:pPr>
            <w:r w:rsidRPr="005953D7">
              <w:rPr>
                <w:rFonts w:cs="Arial"/>
                <w:sz w:val="22"/>
                <w:szCs w:val="22"/>
              </w:rPr>
              <w:t>Number of countries supported to institutionalise NFMS and associated MRV procedures within their national institutions, through the Country-Led Planning process, so that they can be operationalised and sustained with national resources over time. Target of 10 countries supported by 2030, up from 2-3 from the original business case.   </w:t>
            </w:r>
          </w:p>
          <w:p w14:paraId="1605295A" w14:textId="77777777" w:rsidR="005953D7" w:rsidRPr="005953D7" w:rsidRDefault="005953D7" w:rsidP="005953D7">
            <w:pPr>
              <w:numPr>
                <w:ilvl w:val="0"/>
                <w:numId w:val="261"/>
              </w:numPr>
              <w:rPr>
                <w:rFonts w:cs="Arial"/>
                <w:sz w:val="22"/>
                <w:szCs w:val="22"/>
              </w:rPr>
            </w:pPr>
            <w:r w:rsidRPr="005953D7">
              <w:rPr>
                <w:rFonts w:cs="Arial"/>
                <w:sz w:val="22"/>
                <w:szCs w:val="22"/>
              </w:rPr>
              <w:t>Number of (sub)national forest and climate policies and legislation informed by country technical assistance (10 by 2030, increased from 8)  </w:t>
            </w:r>
          </w:p>
        </w:tc>
      </w:tr>
      <w:tr w:rsidR="005953D7" w:rsidRPr="005953D7" w14:paraId="25158A6A" w14:textId="77777777">
        <w:trPr>
          <w:trHeight w:val="300"/>
        </w:trPr>
        <w:tc>
          <w:tcPr>
            <w:tcW w:w="4470" w:type="dxa"/>
            <w:tcBorders>
              <w:top w:val="single" w:sz="6" w:space="0" w:color="auto"/>
              <w:left w:val="single" w:sz="6" w:space="0" w:color="auto"/>
              <w:bottom w:val="single" w:sz="6" w:space="0" w:color="auto"/>
              <w:right w:val="single" w:sz="6" w:space="0" w:color="auto"/>
            </w:tcBorders>
            <w:hideMark/>
          </w:tcPr>
          <w:p w14:paraId="09286938" w14:textId="77777777" w:rsidR="005953D7" w:rsidRPr="005953D7" w:rsidRDefault="005953D7" w:rsidP="005953D7">
            <w:pPr>
              <w:numPr>
                <w:ilvl w:val="0"/>
                <w:numId w:val="262"/>
              </w:numPr>
              <w:rPr>
                <w:rFonts w:cs="Arial"/>
                <w:sz w:val="22"/>
                <w:szCs w:val="22"/>
              </w:rPr>
            </w:pPr>
            <w:r w:rsidRPr="005953D7">
              <w:rPr>
                <w:rFonts w:cs="Arial"/>
                <w:b/>
                <w:bCs/>
                <w:sz w:val="22"/>
                <w:szCs w:val="22"/>
              </w:rPr>
              <w:lastRenderedPageBreak/>
              <w:t>Objective 2:</w:t>
            </w:r>
            <w:r w:rsidRPr="005953D7">
              <w:rPr>
                <w:rFonts w:cs="Arial"/>
                <w:sz w:val="22"/>
                <w:szCs w:val="22"/>
              </w:rPr>
              <w:t> Strengthen forest monitoring and MRV in forest countries to </w:t>
            </w:r>
            <w:r w:rsidRPr="005953D7">
              <w:rPr>
                <w:rFonts w:cs="Arial"/>
                <w:b/>
                <w:bCs/>
                <w:sz w:val="22"/>
                <w:szCs w:val="22"/>
              </w:rPr>
              <w:t>enable greater financial flows for forest countries and communities for long-term financial sustainability, including </w:t>
            </w:r>
            <w:r w:rsidRPr="005953D7">
              <w:rPr>
                <w:rFonts w:cs="Arial"/>
                <w:sz w:val="22"/>
                <w:szCs w:val="22"/>
              </w:rPr>
              <w:t>supporting the effective and high-integrity delivery of large-scale performance-based forest programmes and opportunities (e.g., FCPF, ART-TREES, GCF, BioCarbon Fund ISFL, SCALE, LEAF, TFFF, Article 6).  </w:t>
            </w:r>
          </w:p>
        </w:tc>
        <w:tc>
          <w:tcPr>
            <w:tcW w:w="4530" w:type="dxa"/>
            <w:tcBorders>
              <w:top w:val="single" w:sz="6" w:space="0" w:color="auto"/>
              <w:left w:val="single" w:sz="6" w:space="0" w:color="auto"/>
              <w:bottom w:val="single" w:sz="6" w:space="0" w:color="auto"/>
              <w:right w:val="single" w:sz="6" w:space="0" w:color="auto"/>
            </w:tcBorders>
            <w:hideMark/>
          </w:tcPr>
          <w:p w14:paraId="6E594E0D" w14:textId="77777777" w:rsidR="005953D7" w:rsidRPr="005953D7" w:rsidRDefault="005953D7" w:rsidP="005953D7">
            <w:pPr>
              <w:numPr>
                <w:ilvl w:val="0"/>
                <w:numId w:val="263"/>
              </w:numPr>
              <w:rPr>
                <w:rFonts w:cs="Arial"/>
                <w:sz w:val="22"/>
                <w:szCs w:val="22"/>
              </w:rPr>
            </w:pPr>
            <w:r w:rsidRPr="005953D7">
              <w:rPr>
                <w:rFonts w:cs="Arial"/>
                <w:sz w:val="22"/>
                <w:szCs w:val="22"/>
              </w:rPr>
              <w:t>Number of countries supported by the programme (20 by 2030) - TA KPI 1  </w:t>
            </w:r>
          </w:p>
          <w:p w14:paraId="73143837" w14:textId="77777777" w:rsidR="005953D7" w:rsidRPr="005953D7" w:rsidRDefault="005953D7" w:rsidP="005953D7">
            <w:pPr>
              <w:numPr>
                <w:ilvl w:val="0"/>
                <w:numId w:val="264"/>
              </w:numPr>
              <w:rPr>
                <w:rFonts w:cs="Arial"/>
                <w:sz w:val="22"/>
                <w:szCs w:val="22"/>
              </w:rPr>
            </w:pPr>
            <w:r w:rsidRPr="005953D7">
              <w:rPr>
                <w:rFonts w:cs="Arial"/>
                <w:sz w:val="22"/>
                <w:szCs w:val="22"/>
              </w:rPr>
              <w:t>Increased volume of forest/land-use credits produced and verified due to support from AIM4Forests (emissions reductions) </w:t>
            </w:r>
            <w:proofErr w:type="gramStart"/>
            <w:r w:rsidRPr="005953D7">
              <w:rPr>
                <w:rFonts w:cs="Arial"/>
                <w:sz w:val="22"/>
                <w:szCs w:val="22"/>
              </w:rPr>
              <w:t>-  TA</w:t>
            </w:r>
            <w:proofErr w:type="gramEnd"/>
            <w:r w:rsidRPr="005953D7">
              <w:rPr>
                <w:rFonts w:cs="Arial"/>
                <w:sz w:val="22"/>
                <w:szCs w:val="22"/>
              </w:rPr>
              <w:t> KPI 5 (180 m by 2030 an increase of 130 by 2028)  </w:t>
            </w:r>
          </w:p>
          <w:p w14:paraId="69BD7A9B" w14:textId="77777777" w:rsidR="005953D7" w:rsidRPr="005953D7" w:rsidRDefault="005953D7" w:rsidP="005953D7">
            <w:pPr>
              <w:numPr>
                <w:ilvl w:val="0"/>
                <w:numId w:val="265"/>
              </w:numPr>
              <w:rPr>
                <w:rFonts w:cs="Arial"/>
                <w:sz w:val="22"/>
                <w:szCs w:val="22"/>
              </w:rPr>
            </w:pPr>
            <w:r w:rsidRPr="005953D7">
              <w:rPr>
                <w:rFonts w:cs="Arial"/>
                <w:sz w:val="22"/>
                <w:szCs w:val="22"/>
              </w:rPr>
              <w:t>Increased number of national/ sub-national programmes actively supported by AIM4Forests to access climate finance (including REDD+ and other forest service schemes) (16 by 2030, increased from 15)  </w:t>
            </w:r>
          </w:p>
        </w:tc>
      </w:tr>
      <w:tr w:rsidR="005953D7" w:rsidRPr="005953D7" w14:paraId="72BD2C50" w14:textId="77777777">
        <w:trPr>
          <w:trHeight w:val="300"/>
        </w:trPr>
        <w:tc>
          <w:tcPr>
            <w:tcW w:w="4470" w:type="dxa"/>
            <w:tcBorders>
              <w:top w:val="single" w:sz="6" w:space="0" w:color="auto"/>
              <w:left w:val="single" w:sz="6" w:space="0" w:color="auto"/>
              <w:bottom w:val="single" w:sz="6" w:space="0" w:color="auto"/>
              <w:right w:val="single" w:sz="6" w:space="0" w:color="auto"/>
            </w:tcBorders>
            <w:hideMark/>
          </w:tcPr>
          <w:p w14:paraId="466BD2E2" w14:textId="77777777" w:rsidR="005953D7" w:rsidRPr="005953D7" w:rsidRDefault="005953D7" w:rsidP="005953D7">
            <w:pPr>
              <w:numPr>
                <w:ilvl w:val="0"/>
                <w:numId w:val="266"/>
              </w:numPr>
              <w:rPr>
                <w:rFonts w:cs="Arial"/>
                <w:sz w:val="22"/>
                <w:szCs w:val="22"/>
              </w:rPr>
            </w:pPr>
            <w:r w:rsidRPr="005953D7">
              <w:rPr>
                <w:rFonts w:cs="Arial"/>
                <w:b/>
                <w:bCs/>
                <w:sz w:val="22"/>
                <w:szCs w:val="22"/>
                <w:lang w:val="en-US"/>
              </w:rPr>
              <w:t>Objective 3: Empower and enhance the social inclusion of </w:t>
            </w:r>
            <w:proofErr w:type="spellStart"/>
            <w:r w:rsidRPr="005953D7">
              <w:rPr>
                <w:rFonts w:cs="Arial"/>
                <w:b/>
                <w:bCs/>
                <w:sz w:val="22"/>
                <w:szCs w:val="22"/>
                <w:lang w:val="en-US"/>
              </w:rPr>
              <w:t>marginalised</w:t>
            </w:r>
            <w:proofErr w:type="spellEnd"/>
            <w:r w:rsidRPr="005953D7">
              <w:rPr>
                <w:rFonts w:cs="Arial"/>
                <w:b/>
                <w:bCs/>
                <w:sz w:val="22"/>
                <w:szCs w:val="22"/>
                <w:lang w:val="en-US"/>
              </w:rPr>
              <w:t> and disadvantaged groups by enabling greater equity in forest monitoring</w:t>
            </w:r>
            <w:r w:rsidRPr="005953D7">
              <w:rPr>
                <w:rFonts w:cs="Arial"/>
                <w:sz w:val="22"/>
                <w:szCs w:val="22"/>
                <w:lang w:val="en-US"/>
              </w:rPr>
              <w:t xml:space="preserve"> through the meaningful </w:t>
            </w:r>
            <w:r w:rsidRPr="005953D7">
              <w:rPr>
                <w:rFonts w:cs="Arial"/>
                <w:sz w:val="22"/>
                <w:szCs w:val="22"/>
                <w:lang w:val="en-US"/>
              </w:rPr>
              <w:lastRenderedPageBreak/>
              <w:t>participation of indigenous peoples, local communities, women, small-holders and youth through targeted capacity-building and inclusive, gender-responsive methodologies</w:t>
            </w:r>
            <w:r w:rsidRPr="005953D7">
              <w:rPr>
                <w:rFonts w:cs="Arial"/>
                <w:sz w:val="22"/>
                <w:szCs w:val="22"/>
              </w:rPr>
              <w:t>  </w:t>
            </w:r>
          </w:p>
        </w:tc>
        <w:tc>
          <w:tcPr>
            <w:tcW w:w="4530" w:type="dxa"/>
            <w:tcBorders>
              <w:top w:val="single" w:sz="6" w:space="0" w:color="auto"/>
              <w:left w:val="single" w:sz="6" w:space="0" w:color="auto"/>
              <w:bottom w:val="single" w:sz="6" w:space="0" w:color="auto"/>
              <w:right w:val="single" w:sz="6" w:space="0" w:color="auto"/>
            </w:tcBorders>
            <w:hideMark/>
          </w:tcPr>
          <w:p w14:paraId="318601CB" w14:textId="77777777" w:rsidR="005953D7" w:rsidRPr="005953D7" w:rsidRDefault="005953D7" w:rsidP="005953D7">
            <w:pPr>
              <w:numPr>
                <w:ilvl w:val="0"/>
                <w:numId w:val="267"/>
              </w:numPr>
              <w:rPr>
                <w:rFonts w:cs="Arial"/>
                <w:sz w:val="22"/>
                <w:szCs w:val="22"/>
              </w:rPr>
            </w:pPr>
            <w:r w:rsidRPr="005953D7">
              <w:rPr>
                <w:rFonts w:cs="Arial"/>
                <w:sz w:val="22"/>
                <w:szCs w:val="22"/>
              </w:rPr>
              <w:lastRenderedPageBreak/>
              <w:t>Increased percentage of IPLCs, youth and women (and where relevant smallholders) at AIM4</w:t>
            </w:r>
            <w:proofErr w:type="gramStart"/>
            <w:r w:rsidRPr="005953D7">
              <w:rPr>
                <w:rFonts w:cs="Arial"/>
                <w:sz w:val="22"/>
                <w:szCs w:val="22"/>
              </w:rPr>
              <w:t>Forests  supported</w:t>
            </w:r>
            <w:proofErr w:type="gramEnd"/>
            <w:r w:rsidRPr="005953D7">
              <w:rPr>
                <w:rFonts w:cs="Arial"/>
                <w:sz w:val="22"/>
                <w:szCs w:val="22"/>
              </w:rPr>
              <w:t xml:space="preserve"> events and </w:t>
            </w:r>
            <w:r w:rsidRPr="005953D7">
              <w:rPr>
                <w:rFonts w:cs="Arial"/>
                <w:sz w:val="22"/>
                <w:szCs w:val="22"/>
              </w:rPr>
              <w:lastRenderedPageBreak/>
              <w:t>exchanges (TA KPI 2), (target of 45% by 2030)  </w:t>
            </w:r>
          </w:p>
          <w:p w14:paraId="7CFF8C7A" w14:textId="77777777" w:rsidR="005953D7" w:rsidRPr="005953D7" w:rsidRDefault="005953D7" w:rsidP="005953D7">
            <w:pPr>
              <w:numPr>
                <w:ilvl w:val="0"/>
                <w:numId w:val="268"/>
              </w:numPr>
              <w:rPr>
                <w:rFonts w:cs="Arial"/>
                <w:sz w:val="22"/>
                <w:szCs w:val="22"/>
              </w:rPr>
            </w:pPr>
            <w:r w:rsidRPr="005953D7">
              <w:rPr>
                <w:rFonts w:cs="Arial"/>
                <w:sz w:val="22"/>
                <w:szCs w:val="22"/>
              </w:rPr>
              <w:t>Innovative biocentric restoration projects developed and implementing (2 by 2030)  </w:t>
            </w:r>
          </w:p>
        </w:tc>
      </w:tr>
      <w:tr w:rsidR="005953D7" w:rsidRPr="005953D7" w14:paraId="1F0BB20F" w14:textId="77777777">
        <w:trPr>
          <w:trHeight w:val="300"/>
        </w:trPr>
        <w:tc>
          <w:tcPr>
            <w:tcW w:w="4470" w:type="dxa"/>
            <w:tcBorders>
              <w:top w:val="single" w:sz="6" w:space="0" w:color="auto"/>
              <w:left w:val="single" w:sz="6" w:space="0" w:color="auto"/>
              <w:bottom w:val="single" w:sz="6" w:space="0" w:color="auto"/>
              <w:right w:val="single" w:sz="6" w:space="0" w:color="auto"/>
            </w:tcBorders>
            <w:hideMark/>
          </w:tcPr>
          <w:p w14:paraId="5E59ECFA" w14:textId="77777777" w:rsidR="005953D7" w:rsidRPr="005953D7" w:rsidRDefault="005953D7" w:rsidP="005953D7">
            <w:pPr>
              <w:numPr>
                <w:ilvl w:val="0"/>
                <w:numId w:val="269"/>
              </w:numPr>
              <w:rPr>
                <w:rFonts w:cs="Arial"/>
                <w:sz w:val="22"/>
                <w:szCs w:val="22"/>
              </w:rPr>
            </w:pPr>
            <w:r w:rsidRPr="005953D7">
              <w:rPr>
                <w:rFonts w:cs="Arial"/>
                <w:b/>
                <w:bCs/>
                <w:sz w:val="22"/>
                <w:szCs w:val="22"/>
              </w:rPr>
              <w:lastRenderedPageBreak/>
              <w:t>Objective 4:</w:t>
            </w:r>
            <w:r w:rsidRPr="005953D7">
              <w:rPr>
                <w:rFonts w:cs="Arial"/>
                <w:sz w:val="22"/>
                <w:szCs w:val="22"/>
              </w:rPr>
              <w:t> Enhance country capacity to meet national and international reporting obligations through the </w:t>
            </w:r>
            <w:r w:rsidRPr="005953D7">
              <w:rPr>
                <w:rFonts w:cs="Arial"/>
                <w:b/>
                <w:bCs/>
                <w:sz w:val="22"/>
                <w:szCs w:val="22"/>
              </w:rPr>
              <w:t>deployment of high-integrity datasets to</w:t>
            </w:r>
            <w:r w:rsidRPr="005953D7">
              <w:rPr>
                <w:rFonts w:cs="Arial"/>
                <w:sz w:val="22"/>
                <w:szCs w:val="22"/>
              </w:rPr>
              <w:t> </w:t>
            </w:r>
            <w:r w:rsidRPr="005953D7">
              <w:rPr>
                <w:rFonts w:cs="Arial"/>
                <w:b/>
                <w:bCs/>
                <w:sz w:val="22"/>
                <w:szCs w:val="22"/>
              </w:rPr>
              <w:t>meet relevant data and reporting needs on forest mitigation, ecosystem restoration and forest-risk commodities</w:t>
            </w:r>
            <w:r w:rsidRPr="005953D7">
              <w:rPr>
                <w:rFonts w:cs="Arial"/>
                <w:sz w:val="22"/>
                <w:szCs w:val="22"/>
              </w:rPr>
              <w:t> - including around UNFCCC reporting in 2030 (FRELs and GHG inventories, AFOLU in NDCs), within transparent commodity value chains in 2030, and for KMGBF ecosystem restoration targets in 2029.   </w:t>
            </w:r>
          </w:p>
        </w:tc>
        <w:tc>
          <w:tcPr>
            <w:tcW w:w="4530" w:type="dxa"/>
            <w:tcBorders>
              <w:top w:val="single" w:sz="6" w:space="0" w:color="auto"/>
              <w:left w:val="single" w:sz="6" w:space="0" w:color="auto"/>
              <w:bottom w:val="single" w:sz="6" w:space="0" w:color="auto"/>
              <w:right w:val="single" w:sz="6" w:space="0" w:color="auto"/>
            </w:tcBorders>
            <w:hideMark/>
          </w:tcPr>
          <w:p w14:paraId="3AE50CA9" w14:textId="77777777" w:rsidR="005953D7" w:rsidRPr="005953D7" w:rsidRDefault="005953D7" w:rsidP="005953D7">
            <w:pPr>
              <w:numPr>
                <w:ilvl w:val="0"/>
                <w:numId w:val="270"/>
              </w:numPr>
              <w:rPr>
                <w:rFonts w:cs="Arial"/>
                <w:sz w:val="22"/>
                <w:szCs w:val="22"/>
              </w:rPr>
            </w:pPr>
            <w:r w:rsidRPr="005953D7">
              <w:rPr>
                <w:rFonts w:cs="Arial"/>
                <w:sz w:val="22"/>
                <w:szCs w:val="22"/>
              </w:rPr>
              <w:t>Number of countries reporting on nature restoration to the CBD, which received support from AIM4Forests – target of 20 by 2030  </w:t>
            </w:r>
          </w:p>
          <w:p w14:paraId="00238112" w14:textId="77777777" w:rsidR="005953D7" w:rsidRPr="005953D7" w:rsidRDefault="005953D7" w:rsidP="005953D7">
            <w:pPr>
              <w:numPr>
                <w:ilvl w:val="0"/>
                <w:numId w:val="271"/>
              </w:numPr>
              <w:rPr>
                <w:rFonts w:cs="Arial"/>
                <w:sz w:val="22"/>
                <w:szCs w:val="22"/>
              </w:rPr>
            </w:pPr>
            <w:r w:rsidRPr="005953D7">
              <w:rPr>
                <w:rFonts w:cs="Arial"/>
                <w:sz w:val="22"/>
                <w:szCs w:val="22"/>
              </w:rPr>
              <w:t>Number of countries supported to cover forests and land-use categories within UNFCCC reporting (including against NDCs) - target of 14 countries by 2030 which is an increase of an additional 4 countries  </w:t>
            </w:r>
          </w:p>
          <w:p w14:paraId="6D1B4290" w14:textId="77777777" w:rsidR="005953D7" w:rsidRPr="005953D7" w:rsidRDefault="005953D7" w:rsidP="005953D7">
            <w:pPr>
              <w:numPr>
                <w:ilvl w:val="0"/>
                <w:numId w:val="272"/>
              </w:numPr>
              <w:rPr>
                <w:rFonts w:cs="Arial"/>
                <w:sz w:val="22"/>
                <w:szCs w:val="22"/>
              </w:rPr>
            </w:pPr>
            <w:r w:rsidRPr="005953D7">
              <w:rPr>
                <w:rFonts w:cs="Arial"/>
                <w:sz w:val="22"/>
                <w:szCs w:val="22"/>
              </w:rPr>
              <w:t>Number of countries supported to comply with EUDR regulations – target of 5 countries by 2030.   </w:t>
            </w:r>
          </w:p>
          <w:p w14:paraId="49D582E7" w14:textId="77777777" w:rsidR="005953D7" w:rsidRPr="005953D7" w:rsidRDefault="005953D7" w:rsidP="005953D7">
            <w:pPr>
              <w:numPr>
                <w:ilvl w:val="0"/>
                <w:numId w:val="273"/>
              </w:numPr>
              <w:rPr>
                <w:rFonts w:cs="Arial"/>
                <w:sz w:val="22"/>
                <w:szCs w:val="22"/>
              </w:rPr>
            </w:pPr>
            <w:r w:rsidRPr="005953D7">
              <w:rPr>
                <w:rFonts w:cs="Arial"/>
                <w:sz w:val="22"/>
                <w:szCs w:val="22"/>
              </w:rPr>
              <w:t>Increase development and deployment of high-integrity datasets (Number of emerging technologies, tools and innovative solutions developed/supported to deployment by AIM4Forests – 12 by 2030, increased from 10)   </w:t>
            </w:r>
          </w:p>
        </w:tc>
      </w:tr>
      <w:tr w:rsidR="005953D7" w:rsidRPr="005953D7" w14:paraId="1128D98F" w14:textId="77777777">
        <w:trPr>
          <w:trHeight w:val="300"/>
        </w:trPr>
        <w:tc>
          <w:tcPr>
            <w:tcW w:w="4470" w:type="dxa"/>
            <w:tcBorders>
              <w:top w:val="single" w:sz="6" w:space="0" w:color="auto"/>
              <w:left w:val="single" w:sz="6" w:space="0" w:color="auto"/>
              <w:bottom w:val="single" w:sz="6" w:space="0" w:color="auto"/>
              <w:right w:val="single" w:sz="6" w:space="0" w:color="auto"/>
            </w:tcBorders>
            <w:hideMark/>
          </w:tcPr>
          <w:p w14:paraId="1EBAB0A2" w14:textId="77777777" w:rsidR="005953D7" w:rsidRPr="005953D7" w:rsidRDefault="005953D7" w:rsidP="005953D7">
            <w:pPr>
              <w:numPr>
                <w:ilvl w:val="0"/>
                <w:numId w:val="274"/>
              </w:numPr>
              <w:rPr>
                <w:rFonts w:cs="Arial"/>
                <w:sz w:val="22"/>
                <w:szCs w:val="22"/>
              </w:rPr>
            </w:pPr>
            <w:r w:rsidRPr="005953D7">
              <w:rPr>
                <w:rFonts w:cs="Arial"/>
                <w:b/>
                <w:bCs/>
                <w:sz w:val="22"/>
                <w:szCs w:val="22"/>
              </w:rPr>
              <w:t>Objective 5:</w:t>
            </w:r>
            <w:r w:rsidRPr="005953D7">
              <w:rPr>
                <w:rFonts w:cs="Arial"/>
                <w:sz w:val="22"/>
                <w:szCs w:val="22"/>
              </w:rPr>
              <w:t> Strengthen and operationalise forest monitoring solutions to </w:t>
            </w:r>
            <w:r w:rsidRPr="005953D7">
              <w:rPr>
                <w:rFonts w:cs="Arial"/>
                <w:b/>
                <w:bCs/>
                <w:sz w:val="22"/>
                <w:szCs w:val="22"/>
              </w:rPr>
              <w:t>address unsustainable commodity production </w:t>
            </w:r>
            <w:r w:rsidRPr="005953D7">
              <w:rPr>
                <w:rFonts w:cs="Arial"/>
                <w:sz w:val="22"/>
                <w:szCs w:val="22"/>
              </w:rPr>
              <w:t>by developing open, inclusive, and scalable solutions to support smallholders, producers, companies and regulators ensure sustainable and deforestation-free value chains.  </w:t>
            </w:r>
          </w:p>
        </w:tc>
        <w:tc>
          <w:tcPr>
            <w:tcW w:w="4530" w:type="dxa"/>
            <w:tcBorders>
              <w:top w:val="single" w:sz="6" w:space="0" w:color="auto"/>
              <w:left w:val="single" w:sz="6" w:space="0" w:color="auto"/>
              <w:bottom w:val="single" w:sz="6" w:space="0" w:color="auto"/>
              <w:right w:val="single" w:sz="6" w:space="0" w:color="auto"/>
            </w:tcBorders>
            <w:hideMark/>
          </w:tcPr>
          <w:p w14:paraId="7B16FFC1" w14:textId="77777777" w:rsidR="005953D7" w:rsidRPr="005953D7" w:rsidRDefault="005953D7" w:rsidP="005953D7">
            <w:pPr>
              <w:numPr>
                <w:ilvl w:val="0"/>
                <w:numId w:val="275"/>
              </w:numPr>
              <w:rPr>
                <w:rFonts w:cs="Arial"/>
                <w:sz w:val="22"/>
                <w:szCs w:val="22"/>
              </w:rPr>
            </w:pPr>
            <w:r w:rsidRPr="005953D7">
              <w:rPr>
                <w:rFonts w:cs="Arial"/>
                <w:sz w:val="22"/>
                <w:szCs w:val="22"/>
              </w:rPr>
              <w:t>Development and use of a global public infrastructure for transparent commodities (by 2030). This will include the refinement of technical solutions, a partnership on transparent commodities, and a roll out in 4 countries.    </w:t>
            </w:r>
          </w:p>
          <w:p w14:paraId="3C5E8533" w14:textId="77777777" w:rsidR="005953D7" w:rsidRPr="005953D7" w:rsidRDefault="005953D7" w:rsidP="005953D7">
            <w:pPr>
              <w:numPr>
                <w:ilvl w:val="0"/>
                <w:numId w:val="276"/>
              </w:numPr>
              <w:rPr>
                <w:rFonts w:cs="Arial"/>
                <w:sz w:val="22"/>
                <w:szCs w:val="22"/>
              </w:rPr>
            </w:pPr>
            <w:r w:rsidRPr="005953D7">
              <w:rPr>
                <w:rFonts w:cs="Arial"/>
                <w:sz w:val="22"/>
                <w:szCs w:val="22"/>
              </w:rPr>
              <w:t>Number of countries supported with the roll-out of technical solutions (between 4-8 by 2030)   </w:t>
            </w:r>
          </w:p>
        </w:tc>
      </w:tr>
    </w:tbl>
    <w:p w14:paraId="672F093B" w14:textId="77777777" w:rsidR="005953D7" w:rsidRPr="005953D7" w:rsidRDefault="005953D7" w:rsidP="005953D7">
      <w:pPr>
        <w:rPr>
          <w:rFonts w:cs="Arial"/>
          <w:sz w:val="22"/>
          <w:szCs w:val="22"/>
        </w:rPr>
      </w:pPr>
      <w:r w:rsidRPr="005953D7">
        <w:rPr>
          <w:rFonts w:cs="Arial"/>
          <w:sz w:val="22"/>
          <w:szCs w:val="22"/>
        </w:rPr>
        <w:t> </w:t>
      </w:r>
    </w:p>
    <w:p w14:paraId="128204D0" w14:textId="77777777" w:rsidR="005953D7" w:rsidRPr="005953D7" w:rsidRDefault="005953D7" w:rsidP="005953D7">
      <w:pPr>
        <w:rPr>
          <w:rFonts w:cs="Arial"/>
          <w:sz w:val="22"/>
          <w:szCs w:val="22"/>
        </w:rPr>
      </w:pPr>
      <w:r w:rsidRPr="005953D7">
        <w:rPr>
          <w:rFonts w:cs="Arial"/>
          <w:b/>
          <w:bCs/>
          <w:sz w:val="22"/>
          <w:szCs w:val="22"/>
        </w:rPr>
        <w:t>Objectives from the original AIM4Forests Business case </w:t>
      </w:r>
      <w:r w:rsidRPr="005953D7">
        <w:rPr>
          <w:rFonts w:cs="Arial"/>
          <w:sz w:val="22"/>
          <w:szCs w:val="22"/>
        </w:rPr>
        <w:t> </w:t>
      </w:r>
    </w:p>
    <w:p w14:paraId="20FF5404" w14:textId="77777777" w:rsidR="005953D7" w:rsidRPr="005953D7" w:rsidRDefault="005953D7" w:rsidP="005953D7">
      <w:pPr>
        <w:rPr>
          <w:rFonts w:cs="Arial"/>
          <w:sz w:val="22"/>
          <w:szCs w:val="22"/>
        </w:rPr>
      </w:pPr>
      <w:r w:rsidRPr="005953D7">
        <w:rPr>
          <w:rFonts w:cs="Arial"/>
          <w:sz w:val="22"/>
          <w:szCs w:val="22"/>
        </w:rPr>
        <w:t>This proposal is an extension to the existing AIM4Forests programme. The table below sets out the objectives from the original AIM4Forests business case. However, due to changing demands and international context the scope and objectives of the programme have shifted.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0"/>
      </w:tblGrid>
      <w:tr w:rsidR="005953D7" w:rsidRPr="005953D7" w14:paraId="7EA4824D" w14:textId="77777777">
        <w:trPr>
          <w:trHeight w:val="300"/>
        </w:trPr>
        <w:tc>
          <w:tcPr>
            <w:tcW w:w="9000" w:type="dxa"/>
            <w:tcBorders>
              <w:top w:val="single" w:sz="6" w:space="0" w:color="E3F2EB"/>
              <w:left w:val="single" w:sz="6" w:space="0" w:color="E3F2EB"/>
              <w:bottom w:val="single" w:sz="6" w:space="0" w:color="E3F2EB"/>
              <w:right w:val="single" w:sz="6" w:space="0" w:color="E3F2EB"/>
            </w:tcBorders>
            <w:shd w:val="clear" w:color="auto" w:fill="DEEAF6"/>
            <w:hideMark/>
          </w:tcPr>
          <w:p w14:paraId="7E46D69F" w14:textId="77777777" w:rsidR="005953D7" w:rsidRPr="005953D7" w:rsidRDefault="005953D7" w:rsidP="005953D7">
            <w:pPr>
              <w:rPr>
                <w:rFonts w:cs="Arial"/>
                <w:sz w:val="22"/>
                <w:szCs w:val="22"/>
              </w:rPr>
            </w:pPr>
            <w:r w:rsidRPr="005953D7">
              <w:rPr>
                <w:rFonts w:cs="Arial"/>
                <w:b/>
                <w:bCs/>
                <w:i/>
                <w:iCs/>
                <w:sz w:val="22"/>
                <w:szCs w:val="22"/>
              </w:rPr>
              <w:lastRenderedPageBreak/>
              <w:t>Strategic Fit Objectives</w:t>
            </w:r>
            <w:r w:rsidRPr="005953D7">
              <w:rPr>
                <w:rFonts w:cs="Arial"/>
                <w:i/>
                <w:iCs/>
                <w:sz w:val="22"/>
                <w:szCs w:val="22"/>
              </w:rPr>
              <w:t>  </w:t>
            </w:r>
            <w:r w:rsidRPr="005953D7">
              <w:rPr>
                <w:rFonts w:cs="Arial"/>
                <w:sz w:val="22"/>
                <w:szCs w:val="22"/>
              </w:rPr>
              <w:t> </w:t>
            </w:r>
          </w:p>
        </w:tc>
      </w:tr>
      <w:tr w:rsidR="005953D7" w:rsidRPr="005953D7" w14:paraId="77A0CF79"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0827BD96" w14:textId="77777777" w:rsidR="005953D7" w:rsidRPr="005953D7" w:rsidRDefault="005953D7" w:rsidP="005953D7">
            <w:pPr>
              <w:numPr>
                <w:ilvl w:val="0"/>
                <w:numId w:val="277"/>
              </w:numPr>
              <w:rPr>
                <w:rFonts w:cs="Arial"/>
                <w:sz w:val="22"/>
                <w:szCs w:val="22"/>
              </w:rPr>
            </w:pPr>
            <w:r w:rsidRPr="005953D7">
              <w:rPr>
                <w:rFonts w:cs="Arial"/>
                <w:b/>
                <w:bCs/>
                <w:i/>
                <w:iCs/>
                <w:sz w:val="22"/>
                <w:szCs w:val="22"/>
              </w:rPr>
              <w:t>B1: In-country presence: </w:t>
            </w:r>
            <w:r w:rsidRPr="005953D7">
              <w:rPr>
                <w:rFonts w:cs="Arial"/>
                <w:i/>
                <w:iCs/>
                <w:sz w:val="22"/>
                <w:szCs w:val="22"/>
              </w:rPr>
              <w:t>Ability, presence and capacity to meaningfully engage actors and drive implementation across levels and across stakeholder groups in REDD+ countries – particularly those with limited support/focus/coordination on MRV.</w:t>
            </w:r>
            <w:r w:rsidRPr="005953D7">
              <w:rPr>
                <w:rFonts w:cs="Arial"/>
                <w:b/>
                <w:bCs/>
                <w:i/>
                <w:iCs/>
                <w:sz w:val="22"/>
                <w:szCs w:val="22"/>
              </w:rPr>
              <w:t>  </w:t>
            </w:r>
            <w:r w:rsidRPr="005953D7">
              <w:rPr>
                <w:rFonts w:cs="Arial"/>
                <w:i/>
                <w:iCs/>
                <w:sz w:val="22"/>
                <w:szCs w:val="22"/>
              </w:rPr>
              <w:t>  </w:t>
            </w:r>
            <w:r w:rsidRPr="005953D7">
              <w:rPr>
                <w:rFonts w:cs="Arial"/>
                <w:sz w:val="22"/>
                <w:szCs w:val="22"/>
              </w:rPr>
              <w:t> </w:t>
            </w:r>
          </w:p>
        </w:tc>
      </w:tr>
      <w:tr w:rsidR="005953D7" w:rsidRPr="005953D7" w14:paraId="295910AE"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6F4446B2" w14:textId="77777777" w:rsidR="005953D7" w:rsidRPr="005953D7" w:rsidRDefault="005953D7" w:rsidP="005953D7">
            <w:pPr>
              <w:numPr>
                <w:ilvl w:val="0"/>
                <w:numId w:val="278"/>
              </w:numPr>
              <w:rPr>
                <w:rFonts w:cs="Arial"/>
                <w:sz w:val="22"/>
                <w:szCs w:val="22"/>
              </w:rPr>
            </w:pPr>
            <w:r w:rsidRPr="005953D7">
              <w:rPr>
                <w:rFonts w:cs="Arial"/>
                <w:b/>
                <w:bCs/>
                <w:i/>
                <w:iCs/>
                <w:sz w:val="22"/>
                <w:szCs w:val="22"/>
              </w:rPr>
              <w:t>B2: Increasing country/jurisdiction capacity and capability to deliver REDD+ results through country-led processes, </w:t>
            </w:r>
            <w:r w:rsidRPr="005953D7">
              <w:rPr>
                <w:rFonts w:cs="Arial"/>
                <w:i/>
                <w:iCs/>
                <w:sz w:val="22"/>
                <w:szCs w:val="22"/>
              </w:rPr>
              <w:t>including ability to be flexible and adapt to country-specific needs  </w:t>
            </w:r>
            <w:r w:rsidRPr="005953D7">
              <w:rPr>
                <w:rFonts w:cs="Arial"/>
                <w:sz w:val="22"/>
                <w:szCs w:val="22"/>
              </w:rPr>
              <w:t> </w:t>
            </w:r>
          </w:p>
        </w:tc>
      </w:tr>
      <w:tr w:rsidR="005953D7" w:rsidRPr="005953D7" w14:paraId="61DD29EB"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58E199FB" w14:textId="77777777" w:rsidR="005953D7" w:rsidRPr="005953D7" w:rsidRDefault="005953D7" w:rsidP="005953D7">
            <w:pPr>
              <w:numPr>
                <w:ilvl w:val="0"/>
                <w:numId w:val="279"/>
              </w:numPr>
              <w:rPr>
                <w:rFonts w:cs="Arial"/>
                <w:sz w:val="22"/>
                <w:szCs w:val="22"/>
              </w:rPr>
            </w:pPr>
            <w:r w:rsidRPr="005953D7">
              <w:rPr>
                <w:rFonts w:cs="Arial"/>
                <w:b/>
                <w:bCs/>
                <w:i/>
                <w:iCs/>
                <w:sz w:val="22"/>
                <w:szCs w:val="22"/>
              </w:rPr>
              <w:t>B3: Creating an enabling environment and building long-lasting capacity for REDD+ countries to strengthen own MRV systems and access REDD+ finance</w:t>
            </w:r>
            <w:r w:rsidRPr="005953D7">
              <w:rPr>
                <w:rFonts w:cs="Arial"/>
                <w:i/>
                <w:iCs/>
                <w:sz w:val="22"/>
                <w:szCs w:val="22"/>
              </w:rPr>
              <w:t>  </w:t>
            </w:r>
            <w:r w:rsidRPr="005953D7">
              <w:rPr>
                <w:rFonts w:cs="Arial"/>
                <w:sz w:val="22"/>
                <w:szCs w:val="22"/>
              </w:rPr>
              <w:t> </w:t>
            </w:r>
          </w:p>
        </w:tc>
      </w:tr>
      <w:tr w:rsidR="005953D7" w:rsidRPr="005953D7" w14:paraId="547C75F5"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7C9E003F" w14:textId="77777777" w:rsidR="005953D7" w:rsidRPr="005953D7" w:rsidRDefault="005953D7" w:rsidP="005953D7">
            <w:pPr>
              <w:numPr>
                <w:ilvl w:val="0"/>
                <w:numId w:val="280"/>
              </w:numPr>
              <w:rPr>
                <w:rFonts w:cs="Arial"/>
                <w:sz w:val="22"/>
                <w:szCs w:val="22"/>
              </w:rPr>
            </w:pPr>
            <w:r w:rsidRPr="005953D7">
              <w:rPr>
                <w:rFonts w:cs="Arial"/>
                <w:b/>
                <w:bCs/>
                <w:i/>
                <w:iCs/>
                <w:sz w:val="22"/>
                <w:szCs w:val="22"/>
              </w:rPr>
              <w:t>B4: Operationalising national/sub-national REDD+ MRV systems</w:t>
            </w:r>
            <w:r w:rsidRPr="005953D7">
              <w:rPr>
                <w:rFonts w:cs="Arial"/>
                <w:i/>
                <w:iCs/>
                <w:sz w:val="22"/>
                <w:szCs w:val="22"/>
              </w:rPr>
              <w:t>: Support countries who wish to participate in REDD+ to put in place the essential MRV/carbon accounting elements of the REDD+ framework as determined by the UNFCCC and other high-integrity standards.  </w:t>
            </w:r>
            <w:r w:rsidRPr="005953D7">
              <w:rPr>
                <w:rFonts w:cs="Arial"/>
                <w:sz w:val="22"/>
                <w:szCs w:val="22"/>
              </w:rPr>
              <w:t> </w:t>
            </w:r>
          </w:p>
        </w:tc>
      </w:tr>
      <w:tr w:rsidR="005953D7" w:rsidRPr="005953D7" w14:paraId="5E1135D3"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45C6289F" w14:textId="77777777" w:rsidR="005953D7" w:rsidRPr="005953D7" w:rsidRDefault="005953D7" w:rsidP="005953D7">
            <w:pPr>
              <w:numPr>
                <w:ilvl w:val="0"/>
                <w:numId w:val="281"/>
              </w:numPr>
              <w:rPr>
                <w:rFonts w:cs="Arial"/>
                <w:sz w:val="22"/>
                <w:szCs w:val="22"/>
              </w:rPr>
            </w:pPr>
            <w:r w:rsidRPr="005953D7">
              <w:rPr>
                <w:rFonts w:cs="Arial"/>
                <w:b/>
                <w:bCs/>
                <w:i/>
                <w:iCs/>
                <w:sz w:val="22"/>
                <w:szCs w:val="22"/>
              </w:rPr>
              <w:t>B5: Aligning REDD+ under Paris Agreement</w:t>
            </w:r>
            <w:r w:rsidRPr="005953D7">
              <w:rPr>
                <w:rFonts w:cs="Arial"/>
                <w:i/>
                <w:iCs/>
                <w:sz w:val="22"/>
                <w:szCs w:val="22"/>
              </w:rPr>
              <w:t>: Support countries to align their methodologies and data for their national Forest Reference Emissions Levels (FRELs) with GHG inventories, and supporting Agriculture, Forestry and Other Land-Uses (AFOLU) inclusion within NDCs.  </w:t>
            </w:r>
            <w:r w:rsidRPr="005953D7">
              <w:rPr>
                <w:rFonts w:cs="Arial"/>
                <w:sz w:val="22"/>
                <w:szCs w:val="22"/>
              </w:rPr>
              <w:t> </w:t>
            </w:r>
          </w:p>
        </w:tc>
      </w:tr>
      <w:tr w:rsidR="005953D7" w:rsidRPr="005953D7" w14:paraId="30A39276"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554AC63A" w14:textId="77777777" w:rsidR="005953D7" w:rsidRPr="005953D7" w:rsidRDefault="005953D7" w:rsidP="005953D7">
            <w:pPr>
              <w:numPr>
                <w:ilvl w:val="0"/>
                <w:numId w:val="282"/>
              </w:numPr>
              <w:rPr>
                <w:rFonts w:cs="Arial"/>
                <w:sz w:val="22"/>
                <w:szCs w:val="22"/>
              </w:rPr>
            </w:pPr>
            <w:r w:rsidRPr="005953D7">
              <w:rPr>
                <w:rFonts w:cs="Arial"/>
                <w:b/>
                <w:bCs/>
                <w:i/>
                <w:iCs/>
                <w:sz w:val="22"/>
                <w:szCs w:val="22"/>
              </w:rPr>
              <w:t>B6: Integration of MRV within wider national policy priorities</w:t>
            </w:r>
            <w:r w:rsidRPr="005953D7">
              <w:rPr>
                <w:rFonts w:cs="Arial"/>
                <w:i/>
                <w:iCs/>
                <w:sz w:val="22"/>
                <w:szCs w:val="22"/>
              </w:rPr>
              <w:t xml:space="preserve">: Support countries in their own strategic REDD+ thinking and optimise the fit between REDD+ requirements/methodologies and their wider policy priorities (through a country-led </w:t>
            </w:r>
            <w:proofErr w:type="gramStart"/>
            <w:r w:rsidRPr="005953D7">
              <w:rPr>
                <w:rFonts w:cs="Arial"/>
                <w:i/>
                <w:iCs/>
                <w:sz w:val="22"/>
                <w:szCs w:val="22"/>
              </w:rPr>
              <w:t>approach)  </w:t>
            </w:r>
            <w:r w:rsidRPr="005953D7">
              <w:rPr>
                <w:rFonts w:cs="Arial"/>
                <w:sz w:val="22"/>
                <w:szCs w:val="22"/>
              </w:rPr>
              <w:t> </w:t>
            </w:r>
            <w:proofErr w:type="gramEnd"/>
          </w:p>
        </w:tc>
      </w:tr>
      <w:tr w:rsidR="005953D7" w:rsidRPr="005953D7" w14:paraId="5D148D88"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0E368838" w14:textId="77777777" w:rsidR="005953D7" w:rsidRPr="005953D7" w:rsidRDefault="005953D7" w:rsidP="005953D7">
            <w:pPr>
              <w:numPr>
                <w:ilvl w:val="0"/>
                <w:numId w:val="283"/>
              </w:numPr>
              <w:rPr>
                <w:rFonts w:cs="Arial"/>
                <w:sz w:val="22"/>
                <w:szCs w:val="22"/>
              </w:rPr>
            </w:pPr>
            <w:r w:rsidRPr="005953D7">
              <w:rPr>
                <w:rFonts w:cs="Arial"/>
                <w:b/>
                <w:bCs/>
                <w:i/>
                <w:iCs/>
                <w:sz w:val="22"/>
                <w:szCs w:val="22"/>
              </w:rPr>
              <w:t>B7: Realising performance-based payments</w:t>
            </w:r>
            <w:r w:rsidRPr="005953D7">
              <w:rPr>
                <w:rFonts w:cs="Arial"/>
                <w:i/>
                <w:iCs/>
                <w:sz w:val="22"/>
                <w:szCs w:val="22"/>
              </w:rPr>
              <w:t>: Support the delivery of REDD+ payments through performance-based programmes (e.g., existing/new UK ICF-funded programming such as BioCarbon Fund ISFL; FCPF Carbon Fund; REDD Early Movers; GCF) where there may be additional gaps identified on technical MRV requirements, including support to countries achieving set requirements while aligning with broader national systems  </w:t>
            </w:r>
            <w:r w:rsidRPr="005953D7">
              <w:rPr>
                <w:rFonts w:cs="Arial"/>
                <w:sz w:val="22"/>
                <w:szCs w:val="22"/>
              </w:rPr>
              <w:t> </w:t>
            </w:r>
          </w:p>
        </w:tc>
      </w:tr>
      <w:tr w:rsidR="005953D7" w:rsidRPr="005953D7" w14:paraId="594EA4BF"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7886754B" w14:textId="77777777" w:rsidR="005953D7" w:rsidRPr="005953D7" w:rsidRDefault="005953D7" w:rsidP="005953D7">
            <w:pPr>
              <w:numPr>
                <w:ilvl w:val="0"/>
                <w:numId w:val="284"/>
              </w:numPr>
              <w:rPr>
                <w:rFonts w:cs="Arial"/>
                <w:sz w:val="22"/>
                <w:szCs w:val="22"/>
              </w:rPr>
            </w:pPr>
            <w:r w:rsidRPr="005953D7">
              <w:rPr>
                <w:rFonts w:cs="Arial"/>
                <w:b/>
                <w:bCs/>
                <w:i/>
                <w:iCs/>
                <w:sz w:val="22"/>
                <w:szCs w:val="22"/>
              </w:rPr>
              <w:t>B8: Enabling additional scalability and long-term financial sustainability</w:t>
            </w:r>
            <w:r w:rsidRPr="005953D7">
              <w:rPr>
                <w:rFonts w:cs="Arial"/>
                <w:i/>
                <w:iCs/>
                <w:sz w:val="22"/>
                <w:szCs w:val="22"/>
              </w:rPr>
              <w:t> of finance through market-driven standards and opportunities (e.g., LEAF).  </w:t>
            </w:r>
            <w:r w:rsidRPr="005953D7">
              <w:rPr>
                <w:rFonts w:cs="Arial"/>
                <w:sz w:val="22"/>
                <w:szCs w:val="22"/>
              </w:rPr>
              <w:t> </w:t>
            </w:r>
          </w:p>
        </w:tc>
      </w:tr>
      <w:tr w:rsidR="005953D7" w:rsidRPr="005953D7" w14:paraId="2DB81BAC"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39131FCF" w14:textId="77777777" w:rsidR="005953D7" w:rsidRPr="005953D7" w:rsidRDefault="005953D7" w:rsidP="005953D7">
            <w:pPr>
              <w:numPr>
                <w:ilvl w:val="0"/>
                <w:numId w:val="285"/>
              </w:numPr>
              <w:rPr>
                <w:rFonts w:cs="Arial"/>
                <w:sz w:val="22"/>
                <w:szCs w:val="22"/>
              </w:rPr>
            </w:pPr>
            <w:r w:rsidRPr="005953D7">
              <w:rPr>
                <w:rFonts w:cs="Arial"/>
                <w:b/>
                <w:bCs/>
                <w:i/>
                <w:iCs/>
                <w:sz w:val="22"/>
                <w:szCs w:val="22"/>
              </w:rPr>
              <w:t>B9: Strengthen the reliability of forest cover data for high integrity supply of forest carbon credits</w:t>
            </w:r>
            <w:r w:rsidRPr="005953D7">
              <w:rPr>
                <w:rFonts w:cs="Arial"/>
                <w:i/>
                <w:iCs/>
                <w:sz w:val="22"/>
                <w:szCs w:val="22"/>
              </w:rPr>
              <w:t>  </w:t>
            </w:r>
            <w:r w:rsidRPr="005953D7">
              <w:rPr>
                <w:rFonts w:cs="Arial"/>
                <w:sz w:val="22"/>
                <w:szCs w:val="22"/>
              </w:rPr>
              <w:t> </w:t>
            </w:r>
          </w:p>
        </w:tc>
      </w:tr>
      <w:tr w:rsidR="005953D7" w:rsidRPr="005953D7" w14:paraId="269D8005" w14:textId="77777777">
        <w:trPr>
          <w:trHeight w:val="300"/>
        </w:trPr>
        <w:tc>
          <w:tcPr>
            <w:tcW w:w="9000" w:type="dxa"/>
            <w:tcBorders>
              <w:top w:val="single" w:sz="6" w:space="0" w:color="E3F2EB"/>
              <w:left w:val="single" w:sz="6" w:space="0" w:color="E3F2EB"/>
              <w:bottom w:val="single" w:sz="6" w:space="0" w:color="E3F2EB"/>
              <w:right w:val="single" w:sz="6" w:space="0" w:color="E3F2EB"/>
            </w:tcBorders>
            <w:hideMark/>
          </w:tcPr>
          <w:p w14:paraId="0B0A564D" w14:textId="77777777" w:rsidR="005953D7" w:rsidRPr="005953D7" w:rsidRDefault="005953D7" w:rsidP="005953D7">
            <w:pPr>
              <w:numPr>
                <w:ilvl w:val="0"/>
                <w:numId w:val="286"/>
              </w:numPr>
              <w:rPr>
                <w:rFonts w:cs="Arial"/>
                <w:sz w:val="22"/>
                <w:szCs w:val="22"/>
              </w:rPr>
            </w:pPr>
            <w:r w:rsidRPr="005953D7">
              <w:rPr>
                <w:rFonts w:cs="Arial"/>
                <w:i/>
                <w:iCs/>
                <w:sz w:val="22"/>
                <w:szCs w:val="22"/>
              </w:rPr>
              <w:t>B10: Secondary outcomes: More robust data to support supply chain traceability and businesses in meeting their due diligence objectives. Increased country R&amp;D (e.g., mangroves, livestock), innovation (new tech/tools).   </w:t>
            </w:r>
            <w:r w:rsidRPr="005953D7">
              <w:rPr>
                <w:rFonts w:cs="Arial"/>
                <w:sz w:val="22"/>
                <w:szCs w:val="22"/>
              </w:rPr>
              <w:t> </w:t>
            </w:r>
          </w:p>
        </w:tc>
      </w:tr>
    </w:tbl>
    <w:p w14:paraId="03451490" w14:textId="77777777" w:rsidR="005953D7" w:rsidRPr="005953D7" w:rsidRDefault="005953D7" w:rsidP="005953D7">
      <w:pPr>
        <w:rPr>
          <w:rFonts w:cs="Arial"/>
          <w:sz w:val="22"/>
          <w:szCs w:val="22"/>
        </w:rPr>
      </w:pPr>
      <w:r w:rsidRPr="005953D7">
        <w:rPr>
          <w:rFonts w:cs="Arial"/>
          <w:sz w:val="22"/>
          <w:szCs w:val="22"/>
        </w:rPr>
        <w:t> </w:t>
      </w:r>
    </w:p>
    <w:p w14:paraId="1F7CADDD" w14:textId="486EB64D" w:rsidR="00023039" w:rsidRDefault="00023039">
      <w:pPr>
        <w:rPr>
          <w:rFonts w:cs="Arial"/>
          <w:sz w:val="22"/>
          <w:szCs w:val="22"/>
        </w:rPr>
      </w:pPr>
      <w:r>
        <w:rPr>
          <w:rFonts w:cs="Arial"/>
          <w:sz w:val="22"/>
          <w:szCs w:val="22"/>
        </w:rPr>
        <w:br w:type="page"/>
      </w:r>
    </w:p>
    <w:p w14:paraId="316F1F99" w14:textId="77777777" w:rsidR="00023039" w:rsidRPr="00023039" w:rsidRDefault="00023039" w:rsidP="00023039">
      <w:pPr>
        <w:rPr>
          <w:rFonts w:cs="Arial"/>
          <w:sz w:val="22"/>
          <w:szCs w:val="22"/>
        </w:rPr>
      </w:pPr>
      <w:r w:rsidRPr="00023039">
        <w:rPr>
          <w:rFonts w:cs="Arial"/>
          <w:b/>
          <w:bCs/>
          <w:sz w:val="22"/>
          <w:szCs w:val="22"/>
          <w:u w:val="single"/>
        </w:rPr>
        <w:lastRenderedPageBreak/>
        <w:t>Annex J: Options Appraisal document </w:t>
      </w:r>
      <w:r w:rsidRPr="00023039">
        <w:rPr>
          <w:rFonts w:cs="Arial"/>
          <w:sz w:val="22"/>
          <w:szCs w:val="22"/>
        </w:rPr>
        <w:t> </w:t>
      </w:r>
    </w:p>
    <w:p w14:paraId="0F1C0674" w14:textId="77777777" w:rsidR="00023039" w:rsidRPr="00023039" w:rsidRDefault="00023039" w:rsidP="00023039">
      <w:pPr>
        <w:numPr>
          <w:ilvl w:val="0"/>
          <w:numId w:val="287"/>
        </w:numPr>
        <w:rPr>
          <w:rFonts w:cs="Arial"/>
          <w:sz w:val="22"/>
          <w:szCs w:val="22"/>
        </w:rPr>
      </w:pPr>
      <w:r w:rsidRPr="00023039">
        <w:rPr>
          <w:rFonts w:cs="Arial"/>
          <w:b/>
          <w:bCs/>
          <w:sz w:val="22"/>
          <w:szCs w:val="22"/>
        </w:rPr>
        <w:t> Purpose and Objectives of the Intervention </w:t>
      </w:r>
      <w:r w:rsidRPr="00023039">
        <w:rPr>
          <w:rFonts w:cs="Arial"/>
          <w:sz w:val="22"/>
          <w:szCs w:val="22"/>
        </w:rPr>
        <w:t> </w:t>
      </w:r>
    </w:p>
    <w:p w14:paraId="413049C3" w14:textId="77777777" w:rsidR="00023039" w:rsidRPr="00023039" w:rsidRDefault="00023039" w:rsidP="00023039">
      <w:pPr>
        <w:rPr>
          <w:rFonts w:cs="Arial"/>
          <w:sz w:val="22"/>
          <w:szCs w:val="22"/>
        </w:rPr>
      </w:pPr>
      <w:r w:rsidRPr="00023039">
        <w:rPr>
          <w:rFonts w:cs="Arial"/>
          <w:b/>
          <w:bCs/>
          <w:i/>
          <w:iCs/>
          <w:sz w:val="22"/>
          <w:szCs w:val="22"/>
        </w:rPr>
        <w:t>Problem </w:t>
      </w:r>
      <w:r w:rsidRPr="00023039">
        <w:rPr>
          <w:rFonts w:cs="Arial"/>
          <w:sz w:val="22"/>
          <w:szCs w:val="22"/>
        </w:rPr>
        <w:t> </w:t>
      </w:r>
    </w:p>
    <w:p w14:paraId="748A8B76" w14:textId="77777777" w:rsidR="00023039" w:rsidRPr="00023039" w:rsidRDefault="00023039" w:rsidP="00023039">
      <w:pPr>
        <w:rPr>
          <w:rFonts w:cs="Arial"/>
          <w:sz w:val="22"/>
          <w:szCs w:val="22"/>
        </w:rPr>
      </w:pPr>
      <w:r w:rsidRPr="00023039">
        <w:rPr>
          <w:rFonts w:cs="Arial"/>
          <w:sz w:val="22"/>
          <w:szCs w:val="22"/>
        </w:rPr>
        <w:t>The AIM4Forests programme is currently facing a demand for forest monitoring and MRV support which it cannot meet within current budgets. The programme budget for delivering in-country technical assistance is estimated to run out in 2026, 2 years earlier than the current end date of the programme (December 2028). There are also opportunities to increase the impact of the programme and better tackle key drivers of deforestation by (a) increasing the scope of the programme to include monitoring for sustainable commodity supply chains; and (b) to extend the term of the programme by 2 years.   </w:t>
      </w:r>
    </w:p>
    <w:p w14:paraId="021534F8" w14:textId="77777777" w:rsidR="00023039" w:rsidRPr="00023039" w:rsidRDefault="00023039" w:rsidP="00023039">
      <w:pPr>
        <w:numPr>
          <w:ilvl w:val="0"/>
          <w:numId w:val="288"/>
        </w:numPr>
        <w:rPr>
          <w:rFonts w:cs="Arial"/>
          <w:sz w:val="22"/>
          <w:szCs w:val="22"/>
        </w:rPr>
      </w:pPr>
      <w:r w:rsidRPr="00023039">
        <w:rPr>
          <w:rFonts w:cs="Arial"/>
          <w:b/>
          <w:bCs/>
          <w:sz w:val="22"/>
          <w:szCs w:val="22"/>
        </w:rPr>
        <w:t>What the appraisal will cover </w:t>
      </w:r>
      <w:r w:rsidRPr="00023039">
        <w:rPr>
          <w:rFonts w:cs="Arial"/>
          <w:sz w:val="22"/>
          <w:szCs w:val="22"/>
        </w:rPr>
        <w:t> </w:t>
      </w:r>
    </w:p>
    <w:p w14:paraId="029DAE64" w14:textId="77777777" w:rsidR="00023039" w:rsidRPr="00023039" w:rsidRDefault="00023039" w:rsidP="00023039">
      <w:pPr>
        <w:rPr>
          <w:rFonts w:cs="Arial"/>
          <w:sz w:val="22"/>
          <w:szCs w:val="22"/>
        </w:rPr>
      </w:pPr>
      <w:r w:rsidRPr="00023039">
        <w:rPr>
          <w:rFonts w:cs="Arial"/>
          <w:b/>
          <w:bCs/>
          <w:i/>
          <w:iCs/>
          <w:sz w:val="22"/>
          <w:szCs w:val="22"/>
        </w:rPr>
        <w:t>Fixed elements </w:t>
      </w:r>
      <w:r w:rsidRPr="00023039">
        <w:rPr>
          <w:rFonts w:cs="Arial"/>
          <w:sz w:val="22"/>
          <w:szCs w:val="22"/>
        </w:rPr>
        <w:t> </w:t>
      </w:r>
    </w:p>
    <w:p w14:paraId="7637F0D1" w14:textId="77777777" w:rsidR="00023039" w:rsidRPr="00023039" w:rsidRDefault="00023039" w:rsidP="00023039">
      <w:pPr>
        <w:rPr>
          <w:rFonts w:cs="Arial"/>
          <w:sz w:val="22"/>
          <w:szCs w:val="22"/>
        </w:rPr>
      </w:pPr>
      <w:r w:rsidRPr="00023039">
        <w:rPr>
          <w:rFonts w:cs="Arial"/>
          <w:sz w:val="22"/>
          <w:szCs w:val="22"/>
          <w:u w:val="single"/>
        </w:rPr>
        <w:t>Where the programme must operate </w:t>
      </w:r>
      <w:r w:rsidRPr="00023039">
        <w:rPr>
          <w:rFonts w:cs="Arial"/>
          <w:sz w:val="22"/>
          <w:szCs w:val="22"/>
        </w:rPr>
        <w:t> </w:t>
      </w:r>
    </w:p>
    <w:p w14:paraId="5B1E857E" w14:textId="77777777" w:rsidR="00023039" w:rsidRPr="00023039" w:rsidRDefault="00023039" w:rsidP="00023039">
      <w:pPr>
        <w:rPr>
          <w:rFonts w:cs="Arial"/>
          <w:sz w:val="22"/>
          <w:szCs w:val="22"/>
        </w:rPr>
      </w:pPr>
      <w:r w:rsidRPr="00023039">
        <w:rPr>
          <w:rFonts w:cs="Arial"/>
          <w:sz w:val="22"/>
          <w:szCs w:val="22"/>
        </w:rPr>
        <w:t>AIM4Forests is a global programme that is already working in 19 countries across Africa, Latin America and the Caribbean, Asia, and the Pacific (16 with direct technical assistance and three additional with a country-led planning). Countries selected are ODA-eligible countries where mitigating climate change through reducing GHG emissions by combatting deforestation and protecting nature is possible.  </w:t>
      </w:r>
    </w:p>
    <w:p w14:paraId="3CF429FC" w14:textId="77777777" w:rsidR="00023039" w:rsidRPr="00023039" w:rsidRDefault="00023039" w:rsidP="00023039">
      <w:pPr>
        <w:rPr>
          <w:rFonts w:cs="Arial"/>
          <w:sz w:val="22"/>
          <w:szCs w:val="22"/>
        </w:rPr>
      </w:pPr>
      <w:r w:rsidRPr="00023039">
        <w:rPr>
          <w:rFonts w:cs="Arial"/>
          <w:sz w:val="22"/>
          <w:szCs w:val="22"/>
          <w:u w:val="single"/>
        </w:rPr>
        <w:t>When it must be delivered </w:t>
      </w:r>
      <w:r w:rsidRPr="00023039">
        <w:rPr>
          <w:rFonts w:cs="Arial"/>
          <w:sz w:val="22"/>
          <w:szCs w:val="22"/>
        </w:rPr>
        <w:t> </w:t>
      </w:r>
    </w:p>
    <w:p w14:paraId="7DFB8202" w14:textId="77777777" w:rsidR="00023039" w:rsidRPr="00023039" w:rsidRDefault="00023039" w:rsidP="00023039">
      <w:pPr>
        <w:rPr>
          <w:rFonts w:cs="Arial"/>
          <w:sz w:val="22"/>
          <w:szCs w:val="22"/>
        </w:rPr>
      </w:pPr>
      <w:r w:rsidRPr="00023039">
        <w:rPr>
          <w:rFonts w:cs="Arial"/>
          <w:sz w:val="22"/>
          <w:szCs w:val="22"/>
        </w:rPr>
        <w:t>The programme is currently ongoing, and the budget on the in-country technical assistance is due to run out in 2026 so any additional funding to address this, and/or any expansion to the scope of the programme would need to take place from 2026.  </w:t>
      </w:r>
    </w:p>
    <w:p w14:paraId="34B78249" w14:textId="77777777" w:rsidR="00023039" w:rsidRPr="00023039" w:rsidRDefault="00023039" w:rsidP="00023039">
      <w:pPr>
        <w:rPr>
          <w:rFonts w:cs="Arial"/>
          <w:sz w:val="22"/>
          <w:szCs w:val="22"/>
        </w:rPr>
      </w:pPr>
      <w:r w:rsidRPr="00023039">
        <w:rPr>
          <w:rFonts w:cs="Arial"/>
          <w:sz w:val="22"/>
          <w:szCs w:val="22"/>
          <w:u w:val="single"/>
        </w:rPr>
        <w:t>A maximum or minimum funding level </w:t>
      </w:r>
      <w:r w:rsidRPr="00023039">
        <w:rPr>
          <w:rFonts w:cs="Arial"/>
          <w:sz w:val="22"/>
          <w:szCs w:val="22"/>
        </w:rPr>
        <w:t> </w:t>
      </w:r>
    </w:p>
    <w:p w14:paraId="7F0DF239" w14:textId="77777777" w:rsidR="00023039" w:rsidRPr="00023039" w:rsidRDefault="00023039" w:rsidP="00023039">
      <w:pPr>
        <w:rPr>
          <w:rFonts w:cs="Arial"/>
          <w:sz w:val="22"/>
          <w:szCs w:val="22"/>
        </w:rPr>
      </w:pPr>
      <w:r w:rsidRPr="00023039">
        <w:rPr>
          <w:rFonts w:cs="Arial"/>
          <w:sz w:val="22"/>
          <w:szCs w:val="22"/>
        </w:rPr>
        <w:t>The provisional allocated funding is £20m however following more detailed analysis of the required funding this extension business case asks for up to £20.9m. The minimum funding to be considered is BAU, i.e., no additional funding and no time extension.  </w:t>
      </w:r>
    </w:p>
    <w:p w14:paraId="55126E64" w14:textId="77777777" w:rsidR="00023039" w:rsidRPr="00023039" w:rsidRDefault="00023039" w:rsidP="00023039">
      <w:pPr>
        <w:rPr>
          <w:rFonts w:cs="Arial"/>
          <w:sz w:val="22"/>
          <w:szCs w:val="22"/>
        </w:rPr>
      </w:pPr>
      <w:r w:rsidRPr="00023039">
        <w:rPr>
          <w:rFonts w:cs="Arial"/>
          <w:sz w:val="22"/>
          <w:szCs w:val="22"/>
          <w:u w:val="single"/>
        </w:rPr>
        <w:t>Political or strategic commitments </w:t>
      </w:r>
      <w:r w:rsidRPr="00023039">
        <w:rPr>
          <w:rFonts w:cs="Arial"/>
          <w:sz w:val="22"/>
          <w:szCs w:val="22"/>
        </w:rPr>
        <w:t> </w:t>
      </w:r>
    </w:p>
    <w:p w14:paraId="3F21CB91" w14:textId="77777777" w:rsidR="00023039" w:rsidRPr="00023039" w:rsidRDefault="00023039" w:rsidP="00023039">
      <w:pPr>
        <w:rPr>
          <w:rFonts w:cs="Arial"/>
          <w:sz w:val="22"/>
          <w:szCs w:val="22"/>
        </w:rPr>
      </w:pPr>
      <w:r w:rsidRPr="00023039">
        <w:rPr>
          <w:rFonts w:cs="Arial"/>
          <w:sz w:val="22"/>
          <w:szCs w:val="22"/>
        </w:rPr>
        <w:t>The business case must comply with requirements under the International Development Act 2002, including that it contributes to reducing poverty. The programme must also fit with domestic UK ODA and Climate Finance objectives.  </w:t>
      </w:r>
    </w:p>
    <w:p w14:paraId="0E8B6055" w14:textId="77777777" w:rsidR="00023039" w:rsidRPr="00023039" w:rsidRDefault="00023039" w:rsidP="00023039">
      <w:pPr>
        <w:rPr>
          <w:rFonts w:cs="Arial"/>
          <w:sz w:val="22"/>
          <w:szCs w:val="22"/>
        </w:rPr>
      </w:pPr>
      <w:r w:rsidRPr="00023039">
        <w:rPr>
          <w:rFonts w:cs="Arial"/>
          <w:b/>
          <w:bCs/>
          <w:i/>
          <w:iCs/>
          <w:sz w:val="22"/>
          <w:szCs w:val="22"/>
        </w:rPr>
        <w:t>Options framework </w:t>
      </w:r>
      <w:r w:rsidRPr="00023039">
        <w:rPr>
          <w:rFonts w:cs="Arial"/>
          <w:sz w:val="22"/>
          <w:szCs w:val="22"/>
        </w:rPr>
        <w:t> </w:t>
      </w:r>
    </w:p>
    <w:p w14:paraId="13FB4A83" w14:textId="77777777" w:rsidR="00023039" w:rsidRPr="00023039" w:rsidRDefault="00023039" w:rsidP="00023039">
      <w:pPr>
        <w:rPr>
          <w:rFonts w:cs="Arial"/>
          <w:sz w:val="22"/>
          <w:szCs w:val="22"/>
        </w:rPr>
      </w:pPr>
      <w:r w:rsidRPr="00023039">
        <w:rPr>
          <w:rFonts w:cs="Arial"/>
          <w:sz w:val="22"/>
          <w:szCs w:val="22"/>
        </w:rPr>
        <w:t>Each of the elements set out below will assess against the CSF and strategic fit objectives.  </w:t>
      </w:r>
    </w:p>
    <w:p w14:paraId="2A664ED2" w14:textId="77777777" w:rsidR="00023039" w:rsidRPr="00023039" w:rsidRDefault="00023039" w:rsidP="00023039">
      <w:pPr>
        <w:rPr>
          <w:rFonts w:cs="Arial"/>
          <w:sz w:val="22"/>
          <w:szCs w:val="22"/>
        </w:rPr>
      </w:pPr>
      <w:r w:rsidRPr="00023039">
        <w:rPr>
          <w:rFonts w:cs="Arial"/>
          <w:b/>
          <w:bCs/>
          <w:sz w:val="22"/>
          <w:szCs w:val="22"/>
          <w:u w:val="single"/>
        </w:rPr>
        <w:t>Scope</w:t>
      </w:r>
      <w:r w:rsidRPr="00023039">
        <w:rPr>
          <w:rFonts w:cs="Arial"/>
          <w:sz w:val="22"/>
          <w:szCs w:val="22"/>
          <w:u w:val="single"/>
        </w:rPr>
        <w:t> – How wide or ambitious the intervention is</w:t>
      </w:r>
      <w:r w:rsidRPr="00023039">
        <w:rPr>
          <w:rFonts w:cs="Arial"/>
          <w:sz w:val="22"/>
          <w:szCs w:val="22"/>
        </w:rPr>
        <w:t> </w:t>
      </w:r>
    </w:p>
    <w:p w14:paraId="31EA8FDA" w14:textId="77777777" w:rsidR="00023039" w:rsidRPr="00023039" w:rsidRDefault="00023039" w:rsidP="00023039">
      <w:pPr>
        <w:rPr>
          <w:rFonts w:cs="Arial"/>
          <w:sz w:val="22"/>
          <w:szCs w:val="22"/>
        </w:rPr>
      </w:pPr>
      <w:r w:rsidRPr="00023039">
        <w:rPr>
          <w:rFonts w:cs="Arial"/>
          <w:sz w:val="22"/>
          <w:szCs w:val="22"/>
        </w:rPr>
        <w:t>AIM4Forests is a global programme. Countries selected are ODA-eligible countries where mitigating climate change through reducing GHG emissions by combatting deforestation and protecting nature is possible. The geographic scope of the programme is set to ODA-eligible countries, with tropical or sub-tropical forests, so this is not explored further below.  </w:t>
      </w:r>
    </w:p>
    <w:p w14:paraId="0E9D7591" w14:textId="77777777" w:rsidR="00023039" w:rsidRPr="00023039" w:rsidRDefault="00023039" w:rsidP="00023039">
      <w:pPr>
        <w:rPr>
          <w:rFonts w:cs="Arial"/>
          <w:sz w:val="22"/>
          <w:szCs w:val="22"/>
        </w:rPr>
      </w:pPr>
      <w:r w:rsidRPr="00023039">
        <w:rPr>
          <w:rFonts w:cs="Arial"/>
          <w:sz w:val="22"/>
          <w:szCs w:val="22"/>
        </w:rPr>
        <w:lastRenderedPageBreak/>
        <w:t> </w:t>
      </w:r>
    </w:p>
    <w:p w14:paraId="49B3E735" w14:textId="77777777" w:rsidR="00023039" w:rsidRPr="00023039" w:rsidRDefault="00023039" w:rsidP="00023039">
      <w:pPr>
        <w:rPr>
          <w:rFonts w:cs="Arial"/>
          <w:sz w:val="22"/>
          <w:szCs w:val="22"/>
        </w:rPr>
      </w:pPr>
      <w:r w:rsidRPr="00023039">
        <w:rPr>
          <w:rFonts w:cs="Arial"/>
          <w:b/>
          <w:bCs/>
          <w:sz w:val="22"/>
          <w:szCs w:val="22"/>
          <w:u w:val="single"/>
        </w:rPr>
        <w:t>Solution</w:t>
      </w:r>
      <w:r w:rsidRPr="00023039">
        <w:rPr>
          <w:rFonts w:cs="Arial"/>
          <w:sz w:val="22"/>
          <w:szCs w:val="22"/>
          <w:u w:val="single"/>
        </w:rPr>
        <w:t> – What kind of activity or service is being delivered</w:t>
      </w:r>
      <w:r w:rsidRPr="00023039">
        <w:rPr>
          <w:rFonts w:cs="Arial"/>
          <w:sz w:val="22"/>
          <w:szCs w:val="22"/>
        </w:rPr>
        <w:t> </w:t>
      </w:r>
    </w:p>
    <w:p w14:paraId="15B9CA8D" w14:textId="77777777" w:rsidR="00023039" w:rsidRPr="00023039" w:rsidRDefault="00023039" w:rsidP="00023039">
      <w:pPr>
        <w:rPr>
          <w:rFonts w:cs="Arial"/>
          <w:sz w:val="22"/>
          <w:szCs w:val="22"/>
        </w:rPr>
      </w:pPr>
      <w:r w:rsidRPr="00023039">
        <w:rPr>
          <w:rFonts w:cs="Arial"/>
          <w:sz w:val="22"/>
          <w:szCs w:val="22"/>
        </w:rPr>
        <w:t>The programme seeks to provide support to forest countries on forest and ecosystem monitoring. This extension seeks to (a) increase tailored support delivered on forest monitoring directly within countries, (b) increase global and country support on forest monitoring for transparent commodity value chains, and (c) increase the overall impact, ambition and timelines of AIM4Forests delivery. Therefore, the design areas explored include the extent of technical assistance offered, whether monitoring also includes monitoring around transparent commodity supply chains, and whether continuous support is offered to meet reporting requirements under international processes.  </w:t>
      </w:r>
    </w:p>
    <w:p w14:paraId="139C4516" w14:textId="77777777" w:rsidR="00023039" w:rsidRPr="00023039" w:rsidRDefault="00023039" w:rsidP="00023039">
      <w:pPr>
        <w:rPr>
          <w:rFonts w:cs="Arial"/>
          <w:sz w:val="22"/>
          <w:szCs w:val="22"/>
        </w:rPr>
      </w:pPr>
      <w:r w:rsidRPr="00023039">
        <w:rPr>
          <w:rFonts w:cs="Arial"/>
          <w:sz w:val="22"/>
          <w:szCs w:val="22"/>
        </w:rPr>
        <w:t> </w:t>
      </w:r>
    </w:p>
    <w:p w14:paraId="6D1329DE" w14:textId="77777777" w:rsidR="00023039" w:rsidRPr="00023039" w:rsidRDefault="00023039" w:rsidP="00023039">
      <w:pPr>
        <w:rPr>
          <w:rFonts w:cs="Arial"/>
          <w:sz w:val="22"/>
          <w:szCs w:val="22"/>
        </w:rPr>
      </w:pPr>
      <w:r w:rsidRPr="00023039">
        <w:rPr>
          <w:rFonts w:cs="Arial"/>
          <w:b/>
          <w:bCs/>
          <w:sz w:val="22"/>
          <w:szCs w:val="22"/>
          <w:u w:val="single"/>
        </w:rPr>
        <w:t>Delivery</w:t>
      </w:r>
      <w:r w:rsidRPr="00023039">
        <w:rPr>
          <w:rFonts w:cs="Arial"/>
          <w:sz w:val="22"/>
          <w:szCs w:val="22"/>
          <w:u w:val="single"/>
        </w:rPr>
        <w:t> – Who is responsible for delivering it</w:t>
      </w:r>
      <w:r w:rsidRPr="00023039">
        <w:rPr>
          <w:rFonts w:cs="Arial"/>
          <w:sz w:val="22"/>
          <w:szCs w:val="22"/>
        </w:rPr>
        <w:t> </w:t>
      </w:r>
    </w:p>
    <w:p w14:paraId="133A116D" w14:textId="77777777" w:rsidR="00023039" w:rsidRPr="00023039" w:rsidRDefault="00023039" w:rsidP="00023039">
      <w:pPr>
        <w:rPr>
          <w:rFonts w:cs="Arial"/>
          <w:sz w:val="22"/>
          <w:szCs w:val="22"/>
        </w:rPr>
      </w:pPr>
      <w:r w:rsidRPr="00023039">
        <w:rPr>
          <w:rFonts w:cs="Arial"/>
          <w:sz w:val="22"/>
          <w:szCs w:val="22"/>
        </w:rPr>
        <w:t>Options appraisal will explore the range of delivery options available including additional funding to the existing AIM4Forests programme through the same delivery partner, additional funding to a different HMG-funded programme through alternative delivery partners, direct award to an alternative delivery partner, or the establishment of a new programme.  </w:t>
      </w:r>
    </w:p>
    <w:p w14:paraId="35BB4C1A" w14:textId="77777777" w:rsidR="00023039" w:rsidRPr="00023039" w:rsidRDefault="00023039" w:rsidP="00023039">
      <w:pPr>
        <w:rPr>
          <w:rFonts w:cs="Arial"/>
          <w:sz w:val="22"/>
          <w:szCs w:val="22"/>
        </w:rPr>
      </w:pPr>
      <w:r w:rsidRPr="00023039">
        <w:rPr>
          <w:rFonts w:cs="Arial"/>
          <w:sz w:val="22"/>
          <w:szCs w:val="22"/>
        </w:rPr>
        <w:t> </w:t>
      </w:r>
    </w:p>
    <w:p w14:paraId="6D63628D" w14:textId="77777777" w:rsidR="00023039" w:rsidRPr="00023039" w:rsidRDefault="00023039" w:rsidP="00023039">
      <w:pPr>
        <w:rPr>
          <w:rFonts w:cs="Arial"/>
          <w:sz w:val="22"/>
          <w:szCs w:val="22"/>
        </w:rPr>
      </w:pPr>
      <w:r w:rsidRPr="00023039">
        <w:rPr>
          <w:rFonts w:cs="Arial"/>
          <w:b/>
          <w:bCs/>
          <w:sz w:val="22"/>
          <w:szCs w:val="22"/>
          <w:u w:val="single"/>
        </w:rPr>
        <w:t>Implementation</w:t>
      </w:r>
      <w:r w:rsidRPr="00023039">
        <w:rPr>
          <w:rFonts w:cs="Arial"/>
          <w:sz w:val="22"/>
          <w:szCs w:val="22"/>
          <w:u w:val="single"/>
        </w:rPr>
        <w:t> – How and when it is delivered (e.g. phased, one-off)</w:t>
      </w:r>
      <w:r w:rsidRPr="00023039">
        <w:rPr>
          <w:rFonts w:cs="Arial"/>
          <w:sz w:val="22"/>
          <w:szCs w:val="22"/>
        </w:rPr>
        <w:t> </w:t>
      </w:r>
    </w:p>
    <w:p w14:paraId="18C8A4A6" w14:textId="77777777" w:rsidR="00023039" w:rsidRPr="00023039" w:rsidRDefault="00023039" w:rsidP="00023039">
      <w:pPr>
        <w:rPr>
          <w:rFonts w:cs="Arial"/>
          <w:sz w:val="22"/>
          <w:szCs w:val="22"/>
        </w:rPr>
      </w:pPr>
      <w:r w:rsidRPr="00023039">
        <w:rPr>
          <w:rFonts w:cs="Arial"/>
          <w:sz w:val="22"/>
          <w:szCs w:val="22"/>
        </w:rPr>
        <w:t>AIM4Forests is a programme that provides continuous support across the term of the programme. There are no distinct phases of the programme where support could appropriately be phased. Therefore, this element is not explored further below.   </w:t>
      </w:r>
    </w:p>
    <w:p w14:paraId="64613DA8" w14:textId="77777777" w:rsidR="00023039" w:rsidRPr="00023039" w:rsidRDefault="00023039" w:rsidP="00023039">
      <w:pPr>
        <w:rPr>
          <w:rFonts w:cs="Arial"/>
          <w:sz w:val="22"/>
          <w:szCs w:val="22"/>
        </w:rPr>
      </w:pPr>
      <w:r w:rsidRPr="00023039">
        <w:rPr>
          <w:rFonts w:cs="Arial"/>
          <w:sz w:val="22"/>
          <w:szCs w:val="22"/>
        </w:rPr>
        <w:t> </w:t>
      </w:r>
    </w:p>
    <w:p w14:paraId="01874F92" w14:textId="77777777" w:rsidR="00023039" w:rsidRPr="00023039" w:rsidRDefault="00023039" w:rsidP="00023039">
      <w:pPr>
        <w:rPr>
          <w:rFonts w:cs="Arial"/>
          <w:sz w:val="22"/>
          <w:szCs w:val="22"/>
        </w:rPr>
      </w:pPr>
      <w:r w:rsidRPr="00023039">
        <w:rPr>
          <w:rFonts w:cs="Arial"/>
          <w:b/>
          <w:bCs/>
          <w:sz w:val="22"/>
          <w:szCs w:val="22"/>
          <w:u w:val="single"/>
        </w:rPr>
        <w:t>Funding</w:t>
      </w:r>
      <w:r w:rsidRPr="00023039">
        <w:rPr>
          <w:rFonts w:cs="Arial"/>
          <w:sz w:val="22"/>
          <w:szCs w:val="22"/>
          <w:u w:val="single"/>
        </w:rPr>
        <w:t> – How much it costs and how it's funded</w:t>
      </w:r>
      <w:r w:rsidRPr="00023039">
        <w:rPr>
          <w:rFonts w:cs="Arial"/>
          <w:sz w:val="22"/>
          <w:szCs w:val="22"/>
        </w:rPr>
        <w:t> </w:t>
      </w:r>
    </w:p>
    <w:p w14:paraId="3F0438FB" w14:textId="77777777" w:rsidR="00023039" w:rsidRPr="00023039" w:rsidRDefault="00023039" w:rsidP="00023039">
      <w:pPr>
        <w:rPr>
          <w:rFonts w:cs="Arial"/>
          <w:sz w:val="22"/>
          <w:szCs w:val="22"/>
        </w:rPr>
      </w:pPr>
      <w:r w:rsidRPr="00023039">
        <w:rPr>
          <w:rFonts w:cs="Arial"/>
          <w:sz w:val="22"/>
          <w:szCs w:val="22"/>
        </w:rPr>
        <w:t>The funding provisionally allocated to this extension business case was £20m, however following more detailed analysis of the required funding the concept note sought £20.9m, which was approved to take forward into this business case. Options will include different funding amounts. The funding will come from DESNZ International Climate Finance budget, within its Overseas Development Assistance.  </w:t>
      </w:r>
    </w:p>
    <w:p w14:paraId="200ABDB8" w14:textId="77777777" w:rsidR="00023039" w:rsidRPr="00023039" w:rsidRDefault="00023039" w:rsidP="00023039">
      <w:pPr>
        <w:numPr>
          <w:ilvl w:val="0"/>
          <w:numId w:val="289"/>
        </w:numPr>
        <w:rPr>
          <w:rFonts w:cs="Arial"/>
          <w:sz w:val="22"/>
          <w:szCs w:val="22"/>
        </w:rPr>
      </w:pPr>
      <w:r w:rsidRPr="00023039">
        <w:rPr>
          <w:rFonts w:cs="Arial"/>
          <w:b/>
          <w:bCs/>
          <w:sz w:val="22"/>
          <w:szCs w:val="22"/>
        </w:rPr>
        <w:t>Long List Options Appraisal </w:t>
      </w:r>
      <w:r w:rsidRPr="00023039">
        <w:rPr>
          <w:rFonts w:cs="Arial"/>
          <w:sz w:val="22"/>
          <w:szCs w:val="22"/>
        </w:rPr>
        <w:t> </w:t>
      </w:r>
    </w:p>
    <w:p w14:paraId="571CF430" w14:textId="77777777" w:rsidR="00023039" w:rsidRPr="00023039" w:rsidRDefault="00023039" w:rsidP="00023039">
      <w:pPr>
        <w:rPr>
          <w:rFonts w:cs="Arial"/>
          <w:sz w:val="22"/>
          <w:szCs w:val="22"/>
        </w:rPr>
      </w:pPr>
      <w:r w:rsidRPr="00023039">
        <w:rPr>
          <w:rFonts w:cs="Arial"/>
          <w:b/>
          <w:bCs/>
          <w:i/>
          <w:iCs/>
          <w:sz w:val="22"/>
          <w:szCs w:val="22"/>
        </w:rPr>
        <w:t>Solution long-list options appraisal </w:t>
      </w:r>
      <w:r w:rsidRPr="00023039">
        <w:rPr>
          <w:rFonts w:cs="Arial"/>
          <w:sz w:val="22"/>
          <w:szCs w:val="22"/>
        </w:rPr>
        <w:t> </w:t>
      </w:r>
    </w:p>
    <w:p w14:paraId="0CD0C60F" w14:textId="77777777" w:rsidR="00023039" w:rsidRPr="00023039" w:rsidRDefault="00023039" w:rsidP="00023039">
      <w:pPr>
        <w:rPr>
          <w:rFonts w:cs="Arial"/>
          <w:sz w:val="22"/>
          <w:szCs w:val="22"/>
        </w:rPr>
      </w:pPr>
      <w:r w:rsidRPr="00023039">
        <w:rPr>
          <w:rFonts w:cs="Arial"/>
          <w:sz w:val="22"/>
          <w:szCs w:val="22"/>
          <w:u w:val="single"/>
        </w:rPr>
        <w:t>Options </w:t>
      </w:r>
      <w:r w:rsidRPr="00023039">
        <w:rPr>
          <w:rFonts w:cs="Arial"/>
          <w:sz w:val="22"/>
          <w:szCs w:val="22"/>
        </w:rPr>
        <w:t> </w:t>
      </w:r>
    </w:p>
    <w:p w14:paraId="404AE126" w14:textId="77777777" w:rsidR="00023039" w:rsidRPr="00023039" w:rsidRDefault="00023039" w:rsidP="00023039">
      <w:pPr>
        <w:numPr>
          <w:ilvl w:val="0"/>
          <w:numId w:val="290"/>
        </w:numPr>
        <w:rPr>
          <w:rFonts w:cs="Arial"/>
          <w:sz w:val="22"/>
          <w:szCs w:val="22"/>
        </w:rPr>
      </w:pPr>
      <w:r w:rsidRPr="00023039">
        <w:rPr>
          <w:rFonts w:cs="Arial"/>
          <w:b/>
          <w:bCs/>
          <w:sz w:val="22"/>
          <w:szCs w:val="22"/>
        </w:rPr>
        <w:t>Option 1: BAU</w:t>
      </w:r>
      <w:r w:rsidRPr="00023039">
        <w:rPr>
          <w:rFonts w:cs="Arial"/>
          <w:sz w:val="22"/>
          <w:szCs w:val="22"/>
        </w:rPr>
        <w:t> – no additional funding to AIM4Forests or extension to the term of the programme  </w:t>
      </w:r>
    </w:p>
    <w:p w14:paraId="13AC5562" w14:textId="77777777" w:rsidR="00023039" w:rsidRPr="00023039" w:rsidRDefault="00023039" w:rsidP="00023039">
      <w:pPr>
        <w:numPr>
          <w:ilvl w:val="0"/>
          <w:numId w:val="291"/>
        </w:numPr>
        <w:rPr>
          <w:rFonts w:cs="Arial"/>
          <w:sz w:val="22"/>
          <w:szCs w:val="22"/>
        </w:rPr>
      </w:pPr>
      <w:r w:rsidRPr="00023039">
        <w:rPr>
          <w:rFonts w:cs="Arial"/>
          <w:b/>
          <w:bCs/>
          <w:sz w:val="22"/>
          <w:szCs w:val="22"/>
        </w:rPr>
        <w:t>Option 2</w:t>
      </w:r>
      <w:r w:rsidRPr="00023039">
        <w:rPr>
          <w:rFonts w:cs="Arial"/>
          <w:sz w:val="22"/>
          <w:szCs w:val="22"/>
        </w:rPr>
        <w:t>: Provide additional support </w:t>
      </w:r>
      <w:proofErr w:type="gramStart"/>
      <w:r w:rsidRPr="00023039">
        <w:rPr>
          <w:rFonts w:cs="Arial"/>
          <w:sz w:val="22"/>
          <w:szCs w:val="22"/>
        </w:rPr>
        <w:t>in order to</w:t>
      </w:r>
      <w:proofErr w:type="gramEnd"/>
      <w:r w:rsidRPr="00023039">
        <w:rPr>
          <w:rFonts w:cs="Arial"/>
          <w:sz w:val="22"/>
          <w:szCs w:val="22"/>
        </w:rPr>
        <w:t> enable the programme to provide technical assistance to address the technical gaps within forest countries’ NFMS and MRV systems (</w:t>
      </w:r>
      <w:r w:rsidRPr="00023039">
        <w:rPr>
          <w:rFonts w:cs="Arial"/>
          <w:b/>
          <w:bCs/>
          <w:sz w:val="22"/>
          <w:szCs w:val="22"/>
        </w:rPr>
        <w:t>address the current budget shortfall</w:t>
      </w:r>
      <w:r w:rsidRPr="00023039">
        <w:rPr>
          <w:rFonts w:cs="Arial"/>
          <w:sz w:val="22"/>
          <w:szCs w:val="22"/>
        </w:rPr>
        <w:t>)  </w:t>
      </w:r>
    </w:p>
    <w:p w14:paraId="55545DA0" w14:textId="77777777" w:rsidR="00023039" w:rsidRPr="00023039" w:rsidRDefault="00023039" w:rsidP="00023039">
      <w:pPr>
        <w:numPr>
          <w:ilvl w:val="0"/>
          <w:numId w:val="292"/>
        </w:numPr>
        <w:rPr>
          <w:rFonts w:cs="Arial"/>
          <w:sz w:val="22"/>
          <w:szCs w:val="22"/>
        </w:rPr>
      </w:pPr>
      <w:r w:rsidRPr="00023039">
        <w:rPr>
          <w:rFonts w:cs="Arial"/>
          <w:b/>
          <w:bCs/>
          <w:sz w:val="22"/>
          <w:szCs w:val="22"/>
        </w:rPr>
        <w:t>Option 3</w:t>
      </w:r>
      <w:r w:rsidRPr="00023039">
        <w:rPr>
          <w:rFonts w:cs="Arial"/>
          <w:sz w:val="22"/>
          <w:szCs w:val="22"/>
        </w:rPr>
        <w:t>: Provide additional support </w:t>
      </w:r>
      <w:proofErr w:type="gramStart"/>
      <w:r w:rsidRPr="00023039">
        <w:rPr>
          <w:rFonts w:cs="Arial"/>
          <w:sz w:val="22"/>
          <w:szCs w:val="22"/>
        </w:rPr>
        <w:t>in order to</w:t>
      </w:r>
      <w:proofErr w:type="gramEnd"/>
      <w:r w:rsidRPr="00023039">
        <w:rPr>
          <w:rFonts w:cs="Arial"/>
          <w:sz w:val="22"/>
          <w:szCs w:val="22"/>
        </w:rPr>
        <w:t xml:space="preserve"> enable the programme to (a) provide technical assistance to address the technical gaps within forest countries’ NFMS and MRV systems; and </w:t>
      </w:r>
      <w:r w:rsidRPr="00023039">
        <w:rPr>
          <w:rFonts w:cs="Arial"/>
          <w:sz w:val="22"/>
          <w:szCs w:val="22"/>
        </w:rPr>
        <w:lastRenderedPageBreak/>
        <w:t>(b) support forest </w:t>
      </w:r>
      <w:proofErr w:type="gramStart"/>
      <w:r w:rsidRPr="00023039">
        <w:rPr>
          <w:rFonts w:cs="Arial"/>
          <w:sz w:val="22"/>
          <w:szCs w:val="22"/>
        </w:rPr>
        <w:t>countries’</w:t>
      </w:r>
      <w:proofErr w:type="gramEnd"/>
      <w:r w:rsidRPr="00023039">
        <w:rPr>
          <w:rFonts w:cs="Arial"/>
          <w:sz w:val="22"/>
          <w:szCs w:val="22"/>
        </w:rPr>
        <w:t> with forest monitoring for transparent commodity supply chains (</w:t>
      </w:r>
      <w:r w:rsidRPr="00023039">
        <w:rPr>
          <w:rFonts w:cs="Arial"/>
          <w:b/>
          <w:bCs/>
          <w:sz w:val="22"/>
          <w:szCs w:val="22"/>
        </w:rPr>
        <w:t>address current budget shortfall and include monitoring for sustainable commodities</w:t>
      </w:r>
      <w:r w:rsidRPr="00023039">
        <w:rPr>
          <w:rFonts w:cs="Arial"/>
          <w:sz w:val="22"/>
          <w:szCs w:val="22"/>
        </w:rPr>
        <w:t>)  </w:t>
      </w:r>
    </w:p>
    <w:p w14:paraId="2098B8D7" w14:textId="77777777" w:rsidR="00023039" w:rsidRPr="00023039" w:rsidRDefault="00023039" w:rsidP="00023039">
      <w:pPr>
        <w:numPr>
          <w:ilvl w:val="0"/>
          <w:numId w:val="293"/>
        </w:numPr>
        <w:rPr>
          <w:rFonts w:cs="Arial"/>
          <w:sz w:val="22"/>
          <w:szCs w:val="22"/>
        </w:rPr>
      </w:pPr>
      <w:r w:rsidRPr="00023039">
        <w:rPr>
          <w:rFonts w:cs="Arial"/>
          <w:b/>
          <w:bCs/>
          <w:sz w:val="22"/>
          <w:szCs w:val="22"/>
        </w:rPr>
        <w:t>Option 4</w:t>
      </w:r>
      <w:r w:rsidRPr="00023039">
        <w:rPr>
          <w:rFonts w:cs="Arial"/>
          <w:sz w:val="22"/>
          <w:szCs w:val="22"/>
        </w:rPr>
        <w:t>: Provide additional support </w:t>
      </w:r>
      <w:proofErr w:type="gramStart"/>
      <w:r w:rsidRPr="00023039">
        <w:rPr>
          <w:rFonts w:cs="Arial"/>
          <w:sz w:val="22"/>
          <w:szCs w:val="22"/>
        </w:rPr>
        <w:t>in order to</w:t>
      </w:r>
      <w:proofErr w:type="gramEnd"/>
      <w:r w:rsidRPr="00023039">
        <w:rPr>
          <w:rFonts w:cs="Arial"/>
          <w:sz w:val="22"/>
          <w:szCs w:val="22"/>
        </w:rPr>
        <w:t> enable the programme to (a) provide technical assistance to address the technical gaps within forest countries’ NFMS and MRV systems; and (b) extension to the term of the programme (</w:t>
      </w:r>
      <w:r w:rsidRPr="00023039">
        <w:rPr>
          <w:rFonts w:cs="Arial"/>
          <w:b/>
          <w:bCs/>
          <w:sz w:val="22"/>
          <w:szCs w:val="22"/>
        </w:rPr>
        <w:t>address the budget shortfall and extend the term of the programme</w:t>
      </w:r>
      <w:r w:rsidRPr="00023039">
        <w:rPr>
          <w:rFonts w:cs="Arial"/>
          <w:sz w:val="22"/>
          <w:szCs w:val="22"/>
        </w:rPr>
        <w:t>) </w:t>
      </w:r>
    </w:p>
    <w:p w14:paraId="1DF7D14C" w14:textId="77777777" w:rsidR="00023039" w:rsidRPr="00023039" w:rsidRDefault="00023039" w:rsidP="00023039">
      <w:pPr>
        <w:numPr>
          <w:ilvl w:val="0"/>
          <w:numId w:val="294"/>
        </w:numPr>
        <w:rPr>
          <w:rFonts w:cs="Arial"/>
          <w:sz w:val="22"/>
          <w:szCs w:val="22"/>
        </w:rPr>
      </w:pPr>
      <w:r w:rsidRPr="00023039">
        <w:rPr>
          <w:rFonts w:cs="Arial"/>
          <w:b/>
          <w:bCs/>
          <w:sz w:val="22"/>
          <w:szCs w:val="22"/>
        </w:rPr>
        <w:t>Option 5</w:t>
      </w:r>
      <w:r w:rsidRPr="00023039">
        <w:rPr>
          <w:rFonts w:cs="Arial"/>
          <w:sz w:val="22"/>
          <w:szCs w:val="22"/>
        </w:rPr>
        <w:t>: Provide additional support in order to enable the programme to (a) provide technical assistance to address the technical gaps within forest countries’ NFMS and MRV systems; (b) support forest countries’ with forest monitoring for transparent commodity supply chains; (c) extension to the term of the programme; (</w:t>
      </w:r>
      <w:r w:rsidRPr="00023039">
        <w:rPr>
          <w:rFonts w:cs="Arial"/>
          <w:b/>
          <w:bCs/>
          <w:sz w:val="22"/>
          <w:szCs w:val="22"/>
        </w:rPr>
        <w:t>addresses current budget shortfall, include monitoring for sustainable commodities and an extension to the term of the programme</w:t>
      </w:r>
      <w:r w:rsidRPr="00023039">
        <w:rPr>
          <w:rFonts w:cs="Arial"/>
          <w:sz w:val="22"/>
          <w:szCs w:val="22"/>
        </w:rPr>
        <w:t>) or  </w:t>
      </w:r>
    </w:p>
    <w:p w14:paraId="47250522" w14:textId="77777777" w:rsidR="00023039" w:rsidRPr="00023039" w:rsidRDefault="00023039" w:rsidP="00023039">
      <w:pPr>
        <w:numPr>
          <w:ilvl w:val="0"/>
          <w:numId w:val="295"/>
        </w:numPr>
        <w:rPr>
          <w:rFonts w:cs="Arial"/>
          <w:sz w:val="22"/>
          <w:szCs w:val="22"/>
        </w:rPr>
      </w:pPr>
      <w:r w:rsidRPr="00023039">
        <w:rPr>
          <w:rFonts w:cs="Arial"/>
          <w:b/>
          <w:bCs/>
          <w:sz w:val="22"/>
          <w:szCs w:val="22"/>
        </w:rPr>
        <w:t>Option 6: An extension to the term of the programme</w:t>
      </w:r>
      <w:r w:rsidRPr="00023039">
        <w:rPr>
          <w:rFonts w:cs="Arial"/>
          <w:sz w:val="22"/>
          <w:szCs w:val="22"/>
        </w:rPr>
        <w:t>.  </w:t>
      </w:r>
    </w:p>
    <w:p w14:paraId="7242CFDA" w14:textId="77777777" w:rsidR="00023039" w:rsidRPr="00023039" w:rsidRDefault="00023039" w:rsidP="00023039">
      <w:pPr>
        <w:rPr>
          <w:rFonts w:cs="Arial"/>
          <w:sz w:val="22"/>
          <w:szCs w:val="22"/>
        </w:rPr>
      </w:pPr>
      <w:r w:rsidRPr="00023039">
        <w:rPr>
          <w:rFonts w:cs="Arial"/>
          <w:b/>
          <w:bCs/>
          <w:sz w:val="22"/>
          <w:szCs w:val="22"/>
        </w:rPr>
        <w:t>Table 1: Service solution options assessed against the CSF and strategic fit objectives </w:t>
      </w:r>
      <w:r w:rsidRPr="00023039">
        <w:rPr>
          <w:rFonts w:cs="Arial"/>
          <w:sz w:val="22"/>
          <w:szCs w:val="22"/>
        </w:rPr>
        <w:t> </w:t>
      </w:r>
    </w:p>
    <w:tbl>
      <w:tblPr>
        <w:tblW w:w="10199"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1"/>
        <w:gridCol w:w="2915"/>
        <w:gridCol w:w="2892"/>
        <w:gridCol w:w="1101"/>
      </w:tblGrid>
      <w:tr w:rsidR="00023039" w:rsidRPr="00023039" w14:paraId="179F20C3" w14:textId="77777777" w:rsidTr="004A7D84">
        <w:trPr>
          <w:trHeight w:val="300"/>
        </w:trPr>
        <w:tc>
          <w:tcPr>
            <w:tcW w:w="2919"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082CCA9F" w14:textId="77777777" w:rsidR="00023039" w:rsidRPr="00023039" w:rsidRDefault="00023039" w:rsidP="00023039">
            <w:pPr>
              <w:rPr>
                <w:rFonts w:cs="Arial"/>
                <w:sz w:val="22"/>
                <w:szCs w:val="22"/>
              </w:rPr>
            </w:pPr>
            <w:r w:rsidRPr="00023039">
              <w:rPr>
                <w:rFonts w:cs="Arial"/>
                <w:b/>
                <w:bCs/>
                <w:i/>
                <w:iCs/>
                <w:sz w:val="22"/>
                <w:szCs w:val="22"/>
              </w:rPr>
              <w:t>Service solution </w:t>
            </w:r>
            <w:r w:rsidRPr="00023039">
              <w:rPr>
                <w:rFonts w:cs="Arial"/>
                <w:sz w:val="22"/>
                <w:szCs w:val="22"/>
              </w:rPr>
              <w:t> </w:t>
            </w:r>
          </w:p>
        </w:tc>
        <w:tc>
          <w:tcPr>
            <w:tcW w:w="3040"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3965E2F2" w14:textId="77777777" w:rsidR="00023039" w:rsidRPr="00023039" w:rsidRDefault="00023039" w:rsidP="00023039">
            <w:pPr>
              <w:rPr>
                <w:rFonts w:cs="Arial"/>
                <w:sz w:val="22"/>
                <w:szCs w:val="22"/>
              </w:rPr>
            </w:pPr>
            <w:r w:rsidRPr="00023039">
              <w:rPr>
                <w:rFonts w:cs="Arial"/>
                <w:b/>
                <w:bCs/>
                <w:i/>
                <w:iCs/>
                <w:sz w:val="22"/>
                <w:szCs w:val="22"/>
              </w:rPr>
              <w:t>Advantages (implementation and funding, and against objectives and CSFs)</w:t>
            </w:r>
            <w:r w:rsidRPr="00023039">
              <w:rPr>
                <w:rFonts w:cs="Arial"/>
                <w:sz w:val="22"/>
                <w:szCs w:val="22"/>
              </w:rPr>
              <w:t> </w:t>
            </w:r>
          </w:p>
        </w:tc>
        <w:tc>
          <w:tcPr>
            <w:tcW w:w="3046"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14C025B3" w14:textId="77777777" w:rsidR="00023039" w:rsidRPr="00023039" w:rsidRDefault="00023039" w:rsidP="00023039">
            <w:pPr>
              <w:rPr>
                <w:rFonts w:cs="Arial"/>
                <w:sz w:val="22"/>
                <w:szCs w:val="22"/>
              </w:rPr>
            </w:pPr>
            <w:r w:rsidRPr="00023039">
              <w:rPr>
                <w:rFonts w:cs="Arial"/>
                <w:b/>
                <w:bCs/>
                <w:i/>
                <w:iCs/>
                <w:sz w:val="22"/>
                <w:szCs w:val="22"/>
              </w:rPr>
              <w:t>Disadvantages (implementation and funding, and against objectives and CSFs)</w:t>
            </w:r>
            <w:r w:rsidRPr="00023039">
              <w:rPr>
                <w:rFonts w:cs="Arial"/>
                <w:sz w:val="22"/>
                <w:szCs w:val="22"/>
              </w:rPr>
              <w:t> </w:t>
            </w:r>
          </w:p>
        </w:tc>
        <w:tc>
          <w:tcPr>
            <w:tcW w:w="1194"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2A72F7F4" w14:textId="77777777" w:rsidR="00023039" w:rsidRPr="00023039" w:rsidRDefault="00023039" w:rsidP="00023039">
            <w:pPr>
              <w:rPr>
                <w:rFonts w:cs="Arial"/>
                <w:sz w:val="22"/>
                <w:szCs w:val="22"/>
              </w:rPr>
            </w:pPr>
            <w:r w:rsidRPr="00023039">
              <w:rPr>
                <w:rFonts w:cs="Arial"/>
                <w:b/>
                <w:bCs/>
                <w:i/>
                <w:iCs/>
                <w:sz w:val="22"/>
                <w:szCs w:val="22"/>
              </w:rPr>
              <w:t>Take forward? </w:t>
            </w:r>
            <w:r w:rsidRPr="00023039">
              <w:rPr>
                <w:rFonts w:cs="Arial"/>
                <w:sz w:val="22"/>
                <w:szCs w:val="22"/>
              </w:rPr>
              <w:t> </w:t>
            </w:r>
          </w:p>
        </w:tc>
      </w:tr>
      <w:tr w:rsidR="00023039" w:rsidRPr="00023039" w14:paraId="5A160B6F" w14:textId="77777777" w:rsidTr="004A7D84">
        <w:trPr>
          <w:trHeight w:val="300"/>
        </w:trPr>
        <w:tc>
          <w:tcPr>
            <w:tcW w:w="2919" w:type="dxa"/>
            <w:tcBorders>
              <w:top w:val="single" w:sz="4" w:space="0" w:color="auto"/>
              <w:left w:val="single" w:sz="4" w:space="0" w:color="auto"/>
              <w:bottom w:val="single" w:sz="4" w:space="0" w:color="auto"/>
              <w:right w:val="single" w:sz="4" w:space="0" w:color="auto"/>
            </w:tcBorders>
            <w:hideMark/>
          </w:tcPr>
          <w:p w14:paraId="4EB89981" w14:textId="77777777" w:rsidR="00023039" w:rsidRPr="00023039" w:rsidRDefault="00023039" w:rsidP="00023039">
            <w:pPr>
              <w:numPr>
                <w:ilvl w:val="0"/>
                <w:numId w:val="296"/>
              </w:numPr>
              <w:rPr>
                <w:rFonts w:cs="Arial"/>
                <w:sz w:val="22"/>
                <w:szCs w:val="22"/>
              </w:rPr>
            </w:pPr>
            <w:r w:rsidRPr="00023039">
              <w:rPr>
                <w:rFonts w:cs="Arial"/>
                <w:sz w:val="22"/>
                <w:szCs w:val="22"/>
              </w:rPr>
              <w:t>BAU  </w:t>
            </w:r>
          </w:p>
        </w:tc>
        <w:tc>
          <w:tcPr>
            <w:tcW w:w="3040" w:type="dxa"/>
            <w:tcBorders>
              <w:top w:val="single" w:sz="4" w:space="0" w:color="auto"/>
              <w:left w:val="single" w:sz="4" w:space="0" w:color="auto"/>
              <w:bottom w:val="single" w:sz="4" w:space="0" w:color="auto"/>
              <w:right w:val="single" w:sz="4" w:space="0" w:color="auto"/>
            </w:tcBorders>
            <w:hideMark/>
          </w:tcPr>
          <w:p w14:paraId="1AE5BA57" w14:textId="77777777" w:rsidR="00023039" w:rsidRPr="00023039" w:rsidRDefault="00023039" w:rsidP="00023039">
            <w:pPr>
              <w:rPr>
                <w:rFonts w:cs="Arial"/>
                <w:sz w:val="22"/>
                <w:szCs w:val="22"/>
              </w:rPr>
            </w:pPr>
            <w:r w:rsidRPr="00023039">
              <w:rPr>
                <w:rFonts w:cs="Arial"/>
                <w:sz w:val="22"/>
                <w:szCs w:val="22"/>
              </w:rPr>
              <w:t>CSF 4 – Money could be directed to other DESNZ ICF priority areas  </w:t>
            </w:r>
          </w:p>
        </w:tc>
        <w:tc>
          <w:tcPr>
            <w:tcW w:w="3046" w:type="dxa"/>
            <w:tcBorders>
              <w:top w:val="single" w:sz="4" w:space="0" w:color="auto"/>
              <w:left w:val="single" w:sz="4" w:space="0" w:color="auto"/>
              <w:bottom w:val="single" w:sz="4" w:space="0" w:color="auto"/>
              <w:right w:val="single" w:sz="4" w:space="0" w:color="auto"/>
            </w:tcBorders>
            <w:hideMark/>
          </w:tcPr>
          <w:p w14:paraId="7A2A523A" w14:textId="77777777" w:rsidR="00023039" w:rsidRPr="00023039" w:rsidRDefault="00023039" w:rsidP="00023039">
            <w:pPr>
              <w:rPr>
                <w:rFonts w:cs="Arial"/>
                <w:sz w:val="22"/>
                <w:szCs w:val="22"/>
              </w:rPr>
            </w:pPr>
            <w:r w:rsidRPr="00023039">
              <w:rPr>
                <w:rFonts w:cs="Arial"/>
                <w:sz w:val="22"/>
                <w:szCs w:val="22"/>
              </w:rPr>
              <w:t>Does not deliver against any of the </w:t>
            </w:r>
            <w:proofErr w:type="gramStart"/>
            <w:r w:rsidRPr="00023039">
              <w:rPr>
                <w:rFonts w:cs="Arial"/>
                <w:sz w:val="22"/>
                <w:szCs w:val="22"/>
              </w:rPr>
              <w:t>objectives, and</w:t>
            </w:r>
            <w:proofErr w:type="gramEnd"/>
            <w:r w:rsidRPr="00023039">
              <w:rPr>
                <w:rFonts w:cs="Arial"/>
                <w:sz w:val="22"/>
                <w:szCs w:val="22"/>
              </w:rPr>
              <w:t> would result in either a scaling back or reprioritisation of existing programme work.  </w:t>
            </w:r>
          </w:p>
          <w:p w14:paraId="44A164DE" w14:textId="77777777" w:rsidR="00023039" w:rsidRPr="00023039" w:rsidRDefault="00023039" w:rsidP="00023039">
            <w:pPr>
              <w:rPr>
                <w:rFonts w:cs="Arial"/>
                <w:sz w:val="22"/>
                <w:szCs w:val="22"/>
              </w:rPr>
            </w:pPr>
            <w:r w:rsidRPr="00023039">
              <w:rPr>
                <w:rFonts w:cs="Arial"/>
                <w:sz w:val="22"/>
                <w:szCs w:val="22"/>
              </w:rPr>
              <w:t> </w:t>
            </w:r>
          </w:p>
          <w:p w14:paraId="7EA784C4" w14:textId="77777777" w:rsidR="00023039" w:rsidRPr="00023039" w:rsidRDefault="00023039" w:rsidP="00023039">
            <w:pPr>
              <w:rPr>
                <w:rFonts w:cs="Arial"/>
                <w:sz w:val="22"/>
                <w:szCs w:val="22"/>
              </w:rPr>
            </w:pPr>
            <w:r w:rsidRPr="00023039">
              <w:rPr>
                <w:rFonts w:cs="Arial"/>
                <w:sz w:val="22"/>
                <w:szCs w:val="22"/>
              </w:rPr>
              <w:t>Does not meet CSF 1 – does not meet strategic spending objectives or related business needs </w:t>
            </w:r>
          </w:p>
          <w:p w14:paraId="7B9D5786" w14:textId="77777777" w:rsidR="00023039" w:rsidRPr="00023039" w:rsidRDefault="00023039" w:rsidP="00023039">
            <w:pPr>
              <w:rPr>
                <w:rFonts w:cs="Arial"/>
                <w:sz w:val="22"/>
                <w:szCs w:val="22"/>
              </w:rPr>
            </w:pPr>
            <w:r w:rsidRPr="00023039">
              <w:rPr>
                <w:rFonts w:cs="Arial"/>
                <w:sz w:val="22"/>
                <w:szCs w:val="22"/>
              </w:rPr>
              <w:t> </w:t>
            </w:r>
          </w:p>
          <w:p w14:paraId="5E33A77D" w14:textId="77777777" w:rsidR="00023039" w:rsidRPr="00023039" w:rsidRDefault="00023039" w:rsidP="00023039">
            <w:pPr>
              <w:rPr>
                <w:rFonts w:cs="Arial"/>
                <w:sz w:val="22"/>
                <w:szCs w:val="22"/>
              </w:rPr>
            </w:pPr>
            <w:r w:rsidRPr="00023039">
              <w:rPr>
                <w:rFonts w:cs="Arial"/>
                <w:sz w:val="22"/>
                <w:szCs w:val="22"/>
              </w:rPr>
              <w:t>CSF 2 - this option does not include an extension to the term of the programme. The </w:t>
            </w:r>
            <w:proofErr w:type="spellStart"/>
            <w:r w:rsidRPr="00023039">
              <w:rPr>
                <w:rFonts w:cs="Arial"/>
                <w:sz w:val="22"/>
                <w:szCs w:val="22"/>
              </w:rPr>
              <w:t>VfM</w:t>
            </w:r>
            <w:proofErr w:type="spellEnd"/>
            <w:r w:rsidRPr="00023039">
              <w:rPr>
                <w:rFonts w:cs="Arial"/>
                <w:sz w:val="22"/>
                <w:szCs w:val="22"/>
              </w:rPr>
              <w:t> of the programme is decreased if it ends before it can deliver the most impact. </w:t>
            </w:r>
          </w:p>
        </w:tc>
        <w:tc>
          <w:tcPr>
            <w:tcW w:w="1194" w:type="dxa"/>
            <w:tcBorders>
              <w:top w:val="single" w:sz="4" w:space="0" w:color="auto"/>
              <w:left w:val="single" w:sz="4" w:space="0" w:color="auto"/>
              <w:bottom w:val="single" w:sz="4" w:space="0" w:color="auto"/>
              <w:right w:val="single" w:sz="4" w:space="0" w:color="auto"/>
            </w:tcBorders>
            <w:shd w:val="clear" w:color="auto" w:fill="FFC000"/>
            <w:hideMark/>
          </w:tcPr>
          <w:p w14:paraId="7EAD5154" w14:textId="77777777" w:rsidR="00023039" w:rsidRPr="00023039" w:rsidRDefault="00023039" w:rsidP="00023039">
            <w:pPr>
              <w:rPr>
                <w:rFonts w:cs="Arial"/>
                <w:sz w:val="22"/>
                <w:szCs w:val="22"/>
              </w:rPr>
            </w:pPr>
            <w:r w:rsidRPr="00023039">
              <w:rPr>
                <w:rFonts w:cs="Arial"/>
                <w:sz w:val="22"/>
                <w:szCs w:val="22"/>
              </w:rPr>
              <w:t>Carried forward  </w:t>
            </w:r>
          </w:p>
        </w:tc>
      </w:tr>
      <w:tr w:rsidR="00023039" w:rsidRPr="00023039" w14:paraId="0F00D5E9" w14:textId="77777777" w:rsidTr="004A7D84">
        <w:trPr>
          <w:trHeight w:val="300"/>
        </w:trPr>
        <w:tc>
          <w:tcPr>
            <w:tcW w:w="2919" w:type="dxa"/>
            <w:tcBorders>
              <w:top w:val="single" w:sz="4" w:space="0" w:color="auto"/>
              <w:left w:val="single" w:sz="4" w:space="0" w:color="auto"/>
              <w:bottom w:val="single" w:sz="4" w:space="0" w:color="auto"/>
              <w:right w:val="single" w:sz="4" w:space="0" w:color="auto"/>
            </w:tcBorders>
            <w:hideMark/>
          </w:tcPr>
          <w:p w14:paraId="1AC18E59" w14:textId="77777777" w:rsidR="00023039" w:rsidRPr="00023039" w:rsidRDefault="00023039" w:rsidP="00023039">
            <w:pPr>
              <w:numPr>
                <w:ilvl w:val="0"/>
                <w:numId w:val="297"/>
              </w:numPr>
              <w:rPr>
                <w:rFonts w:cs="Arial"/>
                <w:sz w:val="22"/>
                <w:szCs w:val="22"/>
              </w:rPr>
            </w:pPr>
            <w:r w:rsidRPr="00023039">
              <w:rPr>
                <w:rFonts w:cs="Arial"/>
                <w:sz w:val="22"/>
                <w:szCs w:val="22"/>
              </w:rPr>
              <w:t>Provide additional support to address the current budget shortfall  </w:t>
            </w:r>
          </w:p>
        </w:tc>
        <w:tc>
          <w:tcPr>
            <w:tcW w:w="3040" w:type="dxa"/>
            <w:tcBorders>
              <w:top w:val="single" w:sz="4" w:space="0" w:color="auto"/>
              <w:left w:val="single" w:sz="4" w:space="0" w:color="auto"/>
              <w:bottom w:val="single" w:sz="4" w:space="0" w:color="auto"/>
              <w:right w:val="single" w:sz="4" w:space="0" w:color="auto"/>
            </w:tcBorders>
            <w:hideMark/>
          </w:tcPr>
          <w:p w14:paraId="0E7EAAD3" w14:textId="77777777" w:rsidR="00023039" w:rsidRPr="00023039" w:rsidRDefault="00023039" w:rsidP="00023039">
            <w:pPr>
              <w:rPr>
                <w:rFonts w:cs="Arial"/>
                <w:sz w:val="22"/>
                <w:szCs w:val="22"/>
              </w:rPr>
            </w:pPr>
            <w:r w:rsidRPr="00023039">
              <w:rPr>
                <w:rFonts w:cs="Arial"/>
                <w:sz w:val="22"/>
                <w:szCs w:val="22"/>
              </w:rPr>
              <w:t xml:space="preserve">Partially delivers against Objectives 1, 2, and 3 by ensuring that the programme can continue to provide in-country technical assistance, </w:t>
            </w:r>
            <w:r w:rsidRPr="00023039">
              <w:rPr>
                <w:rFonts w:cs="Arial"/>
                <w:sz w:val="22"/>
                <w:szCs w:val="22"/>
              </w:rPr>
              <w:lastRenderedPageBreak/>
              <w:t>albeit at a level below target objectives. This will help strengthen and institutionalize MRV and </w:t>
            </w:r>
            <w:proofErr w:type="gramStart"/>
            <w:r w:rsidRPr="00023039">
              <w:rPr>
                <w:rFonts w:cs="Arial"/>
                <w:sz w:val="22"/>
                <w:szCs w:val="22"/>
              </w:rPr>
              <w:t>NFMS, and</w:t>
            </w:r>
            <w:proofErr w:type="gramEnd"/>
            <w:r w:rsidRPr="00023039">
              <w:rPr>
                <w:rFonts w:cs="Arial"/>
                <w:sz w:val="22"/>
                <w:szCs w:val="22"/>
              </w:rPr>
              <w:t> enable countries to access greater financial flows through forest programmes and opportunities. It will also continue in-country community and youth activities.  </w:t>
            </w:r>
          </w:p>
          <w:p w14:paraId="2C6C26DD" w14:textId="77777777" w:rsidR="00023039" w:rsidRPr="00023039" w:rsidRDefault="00023039" w:rsidP="00023039">
            <w:pPr>
              <w:rPr>
                <w:rFonts w:cs="Arial"/>
                <w:sz w:val="22"/>
                <w:szCs w:val="22"/>
              </w:rPr>
            </w:pPr>
            <w:r w:rsidRPr="00023039">
              <w:rPr>
                <w:rFonts w:cs="Arial"/>
                <w:sz w:val="22"/>
                <w:szCs w:val="22"/>
              </w:rPr>
              <w:t> </w:t>
            </w:r>
          </w:p>
          <w:p w14:paraId="4C1BA754" w14:textId="77777777" w:rsidR="00023039" w:rsidRPr="00023039" w:rsidRDefault="00023039" w:rsidP="00023039">
            <w:pPr>
              <w:rPr>
                <w:rFonts w:cs="Arial"/>
                <w:sz w:val="22"/>
                <w:szCs w:val="22"/>
              </w:rPr>
            </w:pPr>
            <w:r w:rsidRPr="00023039">
              <w:rPr>
                <w:rFonts w:cs="Arial"/>
                <w:sz w:val="22"/>
                <w:szCs w:val="22"/>
              </w:rPr>
              <w:t>CSF 4 – this option would require less additional funding than Options 3 and 4 so money could be directed to other priority areas.  </w:t>
            </w:r>
          </w:p>
          <w:p w14:paraId="5BEF2073" w14:textId="77777777" w:rsidR="00023039" w:rsidRPr="00023039" w:rsidRDefault="00023039" w:rsidP="00023039">
            <w:pPr>
              <w:rPr>
                <w:rFonts w:cs="Arial"/>
                <w:sz w:val="22"/>
                <w:szCs w:val="22"/>
              </w:rPr>
            </w:pPr>
            <w:r w:rsidRPr="00023039">
              <w:rPr>
                <w:rFonts w:cs="Arial"/>
                <w:sz w:val="22"/>
                <w:szCs w:val="22"/>
              </w:rPr>
              <w:t> </w:t>
            </w:r>
          </w:p>
          <w:p w14:paraId="7FBCBAEF" w14:textId="77777777" w:rsidR="00023039" w:rsidRPr="00023039" w:rsidRDefault="00023039" w:rsidP="00023039">
            <w:pPr>
              <w:rPr>
                <w:rFonts w:cs="Arial"/>
                <w:sz w:val="22"/>
                <w:szCs w:val="22"/>
              </w:rPr>
            </w:pPr>
            <w:r w:rsidRPr="00023039">
              <w:rPr>
                <w:rFonts w:cs="Arial"/>
                <w:sz w:val="22"/>
                <w:szCs w:val="22"/>
              </w:rPr>
              <w:t>CSF 5 – these activities are already occurring under the current programme.  </w:t>
            </w:r>
          </w:p>
        </w:tc>
        <w:tc>
          <w:tcPr>
            <w:tcW w:w="3046" w:type="dxa"/>
            <w:tcBorders>
              <w:top w:val="single" w:sz="4" w:space="0" w:color="auto"/>
              <w:left w:val="single" w:sz="4" w:space="0" w:color="auto"/>
              <w:bottom w:val="single" w:sz="4" w:space="0" w:color="auto"/>
              <w:right w:val="single" w:sz="4" w:space="0" w:color="auto"/>
            </w:tcBorders>
            <w:hideMark/>
          </w:tcPr>
          <w:p w14:paraId="065C56E4" w14:textId="77777777" w:rsidR="00023039" w:rsidRPr="00023039" w:rsidRDefault="00023039" w:rsidP="00023039">
            <w:pPr>
              <w:rPr>
                <w:rFonts w:cs="Arial"/>
                <w:sz w:val="22"/>
                <w:szCs w:val="22"/>
              </w:rPr>
            </w:pPr>
            <w:r w:rsidRPr="00023039">
              <w:rPr>
                <w:rFonts w:cs="Arial"/>
                <w:sz w:val="22"/>
                <w:szCs w:val="22"/>
              </w:rPr>
              <w:lastRenderedPageBreak/>
              <w:t xml:space="preserve">Does not meaningfully deliver against Objectives 4 or 5. Under this option, monitoring for sustainable commodities would not be included in the </w:t>
            </w:r>
            <w:r w:rsidRPr="00023039">
              <w:rPr>
                <w:rFonts w:cs="Arial"/>
                <w:sz w:val="22"/>
                <w:szCs w:val="22"/>
              </w:rPr>
              <w:lastRenderedPageBreak/>
              <w:t>programme meaning the data needs for sustainable commodities could not be met under Objective 5, and datasets for transparent commodity value chains would not be achieved under Objectives 4.  </w:t>
            </w:r>
          </w:p>
          <w:p w14:paraId="1F7E2A3E" w14:textId="77777777" w:rsidR="00023039" w:rsidRPr="00023039" w:rsidRDefault="00023039" w:rsidP="00023039">
            <w:pPr>
              <w:rPr>
                <w:rFonts w:cs="Arial"/>
                <w:sz w:val="22"/>
                <w:szCs w:val="22"/>
              </w:rPr>
            </w:pPr>
            <w:r w:rsidRPr="00023039">
              <w:rPr>
                <w:rFonts w:cs="Arial"/>
                <w:sz w:val="22"/>
                <w:szCs w:val="22"/>
              </w:rPr>
              <w:t> </w:t>
            </w:r>
          </w:p>
          <w:p w14:paraId="462755F4" w14:textId="77777777" w:rsidR="00023039" w:rsidRPr="00023039" w:rsidRDefault="00023039" w:rsidP="00023039">
            <w:pPr>
              <w:rPr>
                <w:rFonts w:cs="Arial"/>
                <w:sz w:val="22"/>
                <w:szCs w:val="22"/>
              </w:rPr>
            </w:pPr>
            <w:r w:rsidRPr="00023039">
              <w:rPr>
                <w:rFonts w:cs="Arial"/>
                <w:sz w:val="22"/>
                <w:szCs w:val="22"/>
              </w:rPr>
              <w:t>This does not include an extension to the term of the programme meaning that relevant data and reporting needs for international processes occurring after 2028 would not be supported – compromising the ability to meet Objectives 4.  </w:t>
            </w:r>
          </w:p>
          <w:p w14:paraId="6E194BC7" w14:textId="77777777" w:rsidR="00023039" w:rsidRPr="00023039" w:rsidRDefault="00023039" w:rsidP="00023039">
            <w:pPr>
              <w:rPr>
                <w:rFonts w:cs="Arial"/>
                <w:sz w:val="22"/>
                <w:szCs w:val="22"/>
              </w:rPr>
            </w:pPr>
            <w:r w:rsidRPr="00023039">
              <w:rPr>
                <w:rFonts w:cs="Arial"/>
                <w:sz w:val="22"/>
                <w:szCs w:val="22"/>
              </w:rPr>
              <w:t> </w:t>
            </w:r>
          </w:p>
          <w:p w14:paraId="5B7CFED6" w14:textId="77777777" w:rsidR="00023039" w:rsidRPr="00023039" w:rsidRDefault="00023039" w:rsidP="00023039">
            <w:pPr>
              <w:rPr>
                <w:rFonts w:cs="Arial"/>
                <w:sz w:val="22"/>
                <w:szCs w:val="22"/>
              </w:rPr>
            </w:pPr>
            <w:r w:rsidRPr="00023039">
              <w:rPr>
                <w:rFonts w:cs="Arial"/>
                <w:sz w:val="22"/>
                <w:szCs w:val="22"/>
              </w:rPr>
              <w:t>CSF 2 - this option does not include an extension to the term of the programme. The </w:t>
            </w:r>
            <w:proofErr w:type="spellStart"/>
            <w:r w:rsidRPr="00023039">
              <w:rPr>
                <w:rFonts w:cs="Arial"/>
                <w:sz w:val="22"/>
                <w:szCs w:val="22"/>
              </w:rPr>
              <w:t>VfM</w:t>
            </w:r>
            <w:proofErr w:type="spellEnd"/>
            <w:r w:rsidRPr="00023039">
              <w:rPr>
                <w:rFonts w:cs="Arial"/>
                <w:sz w:val="22"/>
                <w:szCs w:val="22"/>
              </w:rPr>
              <w:t> of the programme is decreased if it ends before it can deliver the most impact. </w:t>
            </w:r>
          </w:p>
          <w:p w14:paraId="65494729" w14:textId="77777777" w:rsidR="00023039" w:rsidRPr="00023039" w:rsidRDefault="00023039" w:rsidP="00023039">
            <w:pPr>
              <w:rPr>
                <w:rFonts w:cs="Arial"/>
                <w:sz w:val="22"/>
                <w:szCs w:val="22"/>
              </w:rPr>
            </w:pPr>
            <w:r w:rsidRPr="00023039">
              <w:rPr>
                <w:rFonts w:cs="Arial"/>
                <w:sz w:val="22"/>
                <w:szCs w:val="22"/>
              </w:rPr>
              <w:t> </w:t>
            </w:r>
          </w:p>
          <w:p w14:paraId="473BCD8E" w14:textId="77777777" w:rsidR="00023039" w:rsidRPr="00023039" w:rsidRDefault="00023039" w:rsidP="00023039">
            <w:pPr>
              <w:rPr>
                <w:rFonts w:cs="Arial"/>
                <w:sz w:val="22"/>
                <w:szCs w:val="22"/>
              </w:rPr>
            </w:pPr>
            <w:r w:rsidRPr="00023039">
              <w:rPr>
                <w:rFonts w:cs="Arial"/>
                <w:sz w:val="22"/>
                <w:szCs w:val="22"/>
              </w:rPr>
              <w:t>CSF 1 – does not meaningfully meet strategic spending objectives or business needs.  </w:t>
            </w:r>
          </w:p>
        </w:tc>
        <w:tc>
          <w:tcPr>
            <w:tcW w:w="1194" w:type="dxa"/>
            <w:tcBorders>
              <w:top w:val="single" w:sz="4" w:space="0" w:color="auto"/>
              <w:left w:val="single" w:sz="4" w:space="0" w:color="auto"/>
              <w:bottom w:val="single" w:sz="4" w:space="0" w:color="auto"/>
              <w:right w:val="single" w:sz="4" w:space="0" w:color="auto"/>
            </w:tcBorders>
            <w:shd w:val="clear" w:color="auto" w:fill="BF4E14"/>
            <w:hideMark/>
          </w:tcPr>
          <w:p w14:paraId="5C499C5F" w14:textId="77777777" w:rsidR="00023039" w:rsidRPr="00023039" w:rsidRDefault="00023039" w:rsidP="00023039">
            <w:pPr>
              <w:rPr>
                <w:rFonts w:cs="Arial"/>
                <w:sz w:val="22"/>
                <w:szCs w:val="22"/>
              </w:rPr>
            </w:pPr>
            <w:r w:rsidRPr="00023039">
              <w:rPr>
                <w:rFonts w:cs="Arial"/>
                <w:sz w:val="22"/>
                <w:szCs w:val="22"/>
              </w:rPr>
              <w:lastRenderedPageBreak/>
              <w:t>Discounted </w:t>
            </w:r>
          </w:p>
        </w:tc>
      </w:tr>
      <w:tr w:rsidR="00023039" w:rsidRPr="00023039" w14:paraId="71BD0311" w14:textId="77777777" w:rsidTr="004A7D84">
        <w:trPr>
          <w:trHeight w:val="300"/>
        </w:trPr>
        <w:tc>
          <w:tcPr>
            <w:tcW w:w="2919" w:type="dxa"/>
            <w:tcBorders>
              <w:top w:val="single" w:sz="4" w:space="0" w:color="auto"/>
              <w:left w:val="single" w:sz="4" w:space="0" w:color="auto"/>
              <w:bottom w:val="single" w:sz="4" w:space="0" w:color="auto"/>
              <w:right w:val="single" w:sz="4" w:space="0" w:color="auto"/>
            </w:tcBorders>
            <w:hideMark/>
          </w:tcPr>
          <w:p w14:paraId="2E1B069D" w14:textId="77777777" w:rsidR="00023039" w:rsidRPr="00023039" w:rsidRDefault="00023039" w:rsidP="00023039">
            <w:pPr>
              <w:numPr>
                <w:ilvl w:val="0"/>
                <w:numId w:val="298"/>
              </w:numPr>
              <w:rPr>
                <w:rFonts w:cs="Arial"/>
                <w:sz w:val="22"/>
                <w:szCs w:val="22"/>
              </w:rPr>
            </w:pPr>
            <w:r w:rsidRPr="00023039">
              <w:rPr>
                <w:rFonts w:cs="Arial"/>
                <w:sz w:val="22"/>
                <w:szCs w:val="22"/>
              </w:rPr>
              <w:t>Address current budget shortfall </w:t>
            </w:r>
            <w:r w:rsidRPr="00023039">
              <w:rPr>
                <w:rFonts w:cs="Arial"/>
                <w:sz w:val="22"/>
                <w:szCs w:val="22"/>
                <w:u w:val="single"/>
              </w:rPr>
              <w:t>and</w:t>
            </w:r>
            <w:r w:rsidRPr="00023039">
              <w:rPr>
                <w:rFonts w:cs="Arial"/>
                <w:sz w:val="22"/>
                <w:szCs w:val="22"/>
              </w:rPr>
              <w:t> include monitoring for sustainable commodities </w:t>
            </w:r>
          </w:p>
        </w:tc>
        <w:tc>
          <w:tcPr>
            <w:tcW w:w="3040" w:type="dxa"/>
            <w:tcBorders>
              <w:top w:val="single" w:sz="4" w:space="0" w:color="auto"/>
              <w:left w:val="single" w:sz="4" w:space="0" w:color="auto"/>
              <w:bottom w:val="single" w:sz="4" w:space="0" w:color="auto"/>
              <w:right w:val="single" w:sz="4" w:space="0" w:color="auto"/>
            </w:tcBorders>
            <w:hideMark/>
          </w:tcPr>
          <w:p w14:paraId="5DD98D00" w14:textId="77777777" w:rsidR="00023039" w:rsidRPr="00023039" w:rsidRDefault="00023039" w:rsidP="00023039">
            <w:pPr>
              <w:rPr>
                <w:rFonts w:cs="Arial"/>
                <w:sz w:val="22"/>
                <w:szCs w:val="22"/>
              </w:rPr>
            </w:pPr>
            <w:r w:rsidRPr="00023039">
              <w:rPr>
                <w:rFonts w:cs="Arial"/>
                <w:sz w:val="22"/>
                <w:szCs w:val="22"/>
              </w:rPr>
              <w:t>Partially delivers against Objectives 1, 2, 3.  Delivers against Objective 5. This option would ensure that the programme can continue to provide in-country technical assistance to within existing business case </w:t>
            </w:r>
            <w:proofErr w:type="gramStart"/>
            <w:r w:rsidRPr="00023039">
              <w:rPr>
                <w:rFonts w:cs="Arial"/>
                <w:sz w:val="22"/>
                <w:szCs w:val="22"/>
              </w:rPr>
              <w:t>targets, and</w:t>
            </w:r>
            <w:proofErr w:type="gramEnd"/>
            <w:r w:rsidRPr="00023039">
              <w:rPr>
                <w:rFonts w:cs="Arial"/>
                <w:sz w:val="22"/>
                <w:szCs w:val="22"/>
              </w:rPr>
              <w:t xml:space="preserve"> would expand the scope of the programme to include forest monitoring to </w:t>
            </w:r>
            <w:r w:rsidRPr="00023039">
              <w:rPr>
                <w:rFonts w:cs="Arial"/>
                <w:sz w:val="22"/>
                <w:szCs w:val="22"/>
              </w:rPr>
              <w:lastRenderedPageBreak/>
              <w:t>address unsustainable commodity production.   </w:t>
            </w:r>
          </w:p>
          <w:p w14:paraId="7E031C47" w14:textId="77777777" w:rsidR="00023039" w:rsidRPr="00023039" w:rsidRDefault="00023039" w:rsidP="00023039">
            <w:pPr>
              <w:rPr>
                <w:rFonts w:cs="Arial"/>
                <w:sz w:val="22"/>
                <w:szCs w:val="22"/>
              </w:rPr>
            </w:pPr>
            <w:r w:rsidRPr="00023039">
              <w:rPr>
                <w:rFonts w:cs="Arial"/>
                <w:sz w:val="22"/>
                <w:szCs w:val="22"/>
              </w:rPr>
              <w:t> </w:t>
            </w:r>
          </w:p>
          <w:p w14:paraId="5860C37B" w14:textId="77777777" w:rsidR="00023039" w:rsidRPr="00023039" w:rsidRDefault="00023039" w:rsidP="00023039">
            <w:pPr>
              <w:rPr>
                <w:rFonts w:cs="Arial"/>
                <w:sz w:val="22"/>
                <w:szCs w:val="22"/>
              </w:rPr>
            </w:pPr>
            <w:r w:rsidRPr="00023039">
              <w:rPr>
                <w:rFonts w:cs="Arial"/>
                <w:sz w:val="22"/>
                <w:szCs w:val="22"/>
              </w:rPr>
              <w:t>CSF 4 – Could be funded from within this SR  </w:t>
            </w:r>
          </w:p>
          <w:p w14:paraId="133830E9" w14:textId="77777777" w:rsidR="00023039" w:rsidRPr="00023039" w:rsidRDefault="00023039" w:rsidP="00023039">
            <w:pPr>
              <w:rPr>
                <w:rFonts w:cs="Arial"/>
                <w:sz w:val="22"/>
                <w:szCs w:val="22"/>
              </w:rPr>
            </w:pPr>
            <w:r w:rsidRPr="00023039">
              <w:rPr>
                <w:rFonts w:cs="Arial"/>
                <w:sz w:val="22"/>
                <w:szCs w:val="22"/>
              </w:rPr>
              <w:t> </w:t>
            </w:r>
          </w:p>
          <w:p w14:paraId="6DB90B58" w14:textId="77777777" w:rsidR="00023039" w:rsidRPr="00023039" w:rsidRDefault="00023039" w:rsidP="00023039">
            <w:pPr>
              <w:rPr>
                <w:rFonts w:cs="Arial"/>
                <w:sz w:val="22"/>
                <w:szCs w:val="22"/>
              </w:rPr>
            </w:pPr>
            <w:r w:rsidRPr="00023039">
              <w:rPr>
                <w:rFonts w:cs="Arial"/>
                <w:sz w:val="22"/>
                <w:szCs w:val="22"/>
              </w:rPr>
              <w:t>CSF 3 – FAO is already delivering some of these activities through a German-funded programme (AIM4Commodities) </w:t>
            </w:r>
          </w:p>
          <w:p w14:paraId="6EF531B7" w14:textId="77777777" w:rsidR="00023039" w:rsidRPr="00023039" w:rsidRDefault="00023039" w:rsidP="00023039">
            <w:pPr>
              <w:rPr>
                <w:rFonts w:cs="Arial"/>
                <w:sz w:val="22"/>
                <w:szCs w:val="22"/>
              </w:rPr>
            </w:pPr>
            <w:r w:rsidRPr="00023039">
              <w:rPr>
                <w:rFonts w:cs="Arial"/>
                <w:sz w:val="22"/>
                <w:szCs w:val="22"/>
              </w:rPr>
              <w:t> </w:t>
            </w:r>
          </w:p>
          <w:p w14:paraId="4F813855" w14:textId="77777777" w:rsidR="00023039" w:rsidRPr="00023039" w:rsidRDefault="00023039" w:rsidP="00023039">
            <w:pPr>
              <w:rPr>
                <w:rFonts w:cs="Arial"/>
                <w:sz w:val="22"/>
                <w:szCs w:val="22"/>
              </w:rPr>
            </w:pPr>
            <w:r w:rsidRPr="00023039">
              <w:rPr>
                <w:rFonts w:cs="Arial"/>
                <w:sz w:val="22"/>
                <w:szCs w:val="22"/>
              </w:rPr>
              <w:t>CSF 5 – Some activities are already occurring under the current programme. Some activities relating to monitoring for transparency commodity supply chains were delivered through the programme in its early stages.  </w:t>
            </w:r>
          </w:p>
        </w:tc>
        <w:tc>
          <w:tcPr>
            <w:tcW w:w="3046" w:type="dxa"/>
            <w:tcBorders>
              <w:top w:val="single" w:sz="4" w:space="0" w:color="auto"/>
              <w:left w:val="single" w:sz="4" w:space="0" w:color="auto"/>
              <w:bottom w:val="single" w:sz="4" w:space="0" w:color="auto"/>
              <w:right w:val="single" w:sz="4" w:space="0" w:color="auto"/>
            </w:tcBorders>
            <w:hideMark/>
          </w:tcPr>
          <w:p w14:paraId="2B5B02A7" w14:textId="77777777" w:rsidR="00023039" w:rsidRPr="00023039" w:rsidRDefault="00023039" w:rsidP="00023039">
            <w:pPr>
              <w:rPr>
                <w:rFonts w:cs="Arial"/>
                <w:sz w:val="22"/>
                <w:szCs w:val="22"/>
              </w:rPr>
            </w:pPr>
            <w:r w:rsidRPr="00023039">
              <w:rPr>
                <w:rFonts w:cs="Arial"/>
                <w:sz w:val="22"/>
                <w:szCs w:val="22"/>
              </w:rPr>
              <w:lastRenderedPageBreak/>
              <w:t>Does not deliver against Objective 4. This option does not include an extension to the term of the programme meaning that it would be limited in its ability to provide necessary support for the deployment of datasets and reporting needs </w:t>
            </w:r>
            <w:proofErr w:type="gramStart"/>
            <w:r w:rsidRPr="00023039">
              <w:rPr>
                <w:rFonts w:cs="Arial"/>
                <w:sz w:val="22"/>
                <w:szCs w:val="22"/>
              </w:rPr>
              <w:t>in order to</w:t>
            </w:r>
            <w:proofErr w:type="gramEnd"/>
            <w:r w:rsidRPr="00023039">
              <w:rPr>
                <w:rFonts w:cs="Arial"/>
                <w:sz w:val="22"/>
                <w:szCs w:val="22"/>
              </w:rPr>
              <w:t xml:space="preserve"> meet key international reporting processes and limits </w:t>
            </w:r>
            <w:r w:rsidRPr="00023039">
              <w:rPr>
                <w:rFonts w:cs="Arial"/>
                <w:sz w:val="22"/>
                <w:szCs w:val="22"/>
              </w:rPr>
              <w:lastRenderedPageBreak/>
              <w:t>the ambition/future impact of the programme.  </w:t>
            </w:r>
          </w:p>
          <w:p w14:paraId="5D81781D" w14:textId="77777777" w:rsidR="00023039" w:rsidRPr="00023039" w:rsidRDefault="00023039" w:rsidP="00023039">
            <w:pPr>
              <w:rPr>
                <w:rFonts w:cs="Arial"/>
                <w:sz w:val="22"/>
                <w:szCs w:val="22"/>
              </w:rPr>
            </w:pPr>
            <w:r w:rsidRPr="00023039">
              <w:rPr>
                <w:rFonts w:cs="Arial"/>
                <w:sz w:val="22"/>
                <w:szCs w:val="22"/>
              </w:rPr>
              <w:t> </w:t>
            </w:r>
          </w:p>
          <w:p w14:paraId="4AE9DA42" w14:textId="77777777" w:rsidR="00023039" w:rsidRPr="00023039" w:rsidRDefault="00023039" w:rsidP="00023039">
            <w:pPr>
              <w:rPr>
                <w:rFonts w:cs="Arial"/>
                <w:sz w:val="22"/>
                <w:szCs w:val="22"/>
              </w:rPr>
            </w:pPr>
            <w:r w:rsidRPr="00023039">
              <w:rPr>
                <w:rFonts w:cs="Arial"/>
                <w:sz w:val="22"/>
                <w:szCs w:val="22"/>
              </w:rPr>
              <w:t>CSF 2 – this option does not include an extension to the term of the programme. The </w:t>
            </w:r>
            <w:proofErr w:type="spellStart"/>
            <w:r w:rsidRPr="00023039">
              <w:rPr>
                <w:rFonts w:cs="Arial"/>
                <w:sz w:val="22"/>
                <w:szCs w:val="22"/>
              </w:rPr>
              <w:t>VfM</w:t>
            </w:r>
            <w:proofErr w:type="spellEnd"/>
            <w:r w:rsidRPr="00023039">
              <w:rPr>
                <w:rFonts w:cs="Arial"/>
                <w:sz w:val="22"/>
                <w:szCs w:val="22"/>
              </w:rPr>
              <w:t> of the programme is decreased if it ends before it can deliver the most impact.  </w:t>
            </w:r>
          </w:p>
        </w:tc>
        <w:tc>
          <w:tcPr>
            <w:tcW w:w="1194" w:type="dxa"/>
            <w:tcBorders>
              <w:top w:val="single" w:sz="4" w:space="0" w:color="auto"/>
              <w:left w:val="single" w:sz="4" w:space="0" w:color="auto"/>
              <w:bottom w:val="single" w:sz="4" w:space="0" w:color="auto"/>
              <w:right w:val="single" w:sz="4" w:space="0" w:color="auto"/>
            </w:tcBorders>
            <w:shd w:val="clear" w:color="auto" w:fill="BF4E14"/>
            <w:hideMark/>
          </w:tcPr>
          <w:p w14:paraId="0866FB22" w14:textId="77777777" w:rsidR="00023039" w:rsidRPr="00023039" w:rsidRDefault="00023039" w:rsidP="00023039">
            <w:pPr>
              <w:rPr>
                <w:rFonts w:cs="Arial"/>
                <w:sz w:val="22"/>
                <w:szCs w:val="22"/>
              </w:rPr>
            </w:pPr>
            <w:r w:rsidRPr="00023039">
              <w:rPr>
                <w:rFonts w:cs="Arial"/>
                <w:sz w:val="22"/>
                <w:szCs w:val="22"/>
              </w:rPr>
              <w:lastRenderedPageBreak/>
              <w:t>Discounted  </w:t>
            </w:r>
          </w:p>
        </w:tc>
      </w:tr>
      <w:tr w:rsidR="00023039" w:rsidRPr="00023039" w14:paraId="552440C6" w14:textId="77777777" w:rsidTr="004A7D84">
        <w:trPr>
          <w:trHeight w:val="300"/>
        </w:trPr>
        <w:tc>
          <w:tcPr>
            <w:tcW w:w="2919" w:type="dxa"/>
            <w:tcBorders>
              <w:top w:val="single" w:sz="4" w:space="0" w:color="auto"/>
              <w:left w:val="single" w:sz="4" w:space="0" w:color="auto"/>
              <w:bottom w:val="single" w:sz="4" w:space="0" w:color="auto"/>
              <w:right w:val="single" w:sz="4" w:space="0" w:color="auto"/>
            </w:tcBorders>
            <w:hideMark/>
          </w:tcPr>
          <w:p w14:paraId="7B2B9A75" w14:textId="77777777" w:rsidR="00023039" w:rsidRPr="00023039" w:rsidRDefault="00023039" w:rsidP="00023039">
            <w:pPr>
              <w:numPr>
                <w:ilvl w:val="0"/>
                <w:numId w:val="299"/>
              </w:numPr>
              <w:rPr>
                <w:rFonts w:cs="Arial"/>
                <w:sz w:val="22"/>
                <w:szCs w:val="22"/>
              </w:rPr>
            </w:pPr>
            <w:r w:rsidRPr="00023039">
              <w:rPr>
                <w:rFonts w:cs="Arial"/>
                <w:sz w:val="22"/>
                <w:szCs w:val="22"/>
              </w:rPr>
              <w:t>Address current budget shortfall and extend the term of the programme  </w:t>
            </w:r>
          </w:p>
        </w:tc>
        <w:tc>
          <w:tcPr>
            <w:tcW w:w="3040" w:type="dxa"/>
            <w:tcBorders>
              <w:top w:val="single" w:sz="4" w:space="0" w:color="auto"/>
              <w:left w:val="single" w:sz="4" w:space="0" w:color="auto"/>
              <w:bottom w:val="single" w:sz="4" w:space="0" w:color="auto"/>
              <w:right w:val="single" w:sz="4" w:space="0" w:color="auto"/>
            </w:tcBorders>
            <w:hideMark/>
          </w:tcPr>
          <w:p w14:paraId="52D1814D" w14:textId="77777777" w:rsidR="00023039" w:rsidRPr="00023039" w:rsidRDefault="00023039" w:rsidP="00023039">
            <w:pPr>
              <w:rPr>
                <w:rFonts w:cs="Arial"/>
                <w:sz w:val="22"/>
                <w:szCs w:val="22"/>
              </w:rPr>
            </w:pPr>
            <w:r w:rsidRPr="00023039">
              <w:rPr>
                <w:rFonts w:cs="Arial"/>
                <w:sz w:val="22"/>
                <w:szCs w:val="22"/>
              </w:rPr>
              <w:t>Delivers against Objectives 1,2, and 3. This option would ensure the programme continues to provide in-country technical assistance. </w:t>
            </w:r>
          </w:p>
          <w:p w14:paraId="4A5A381F" w14:textId="77777777" w:rsidR="00023039" w:rsidRPr="00023039" w:rsidRDefault="00023039" w:rsidP="00023039">
            <w:pPr>
              <w:rPr>
                <w:rFonts w:cs="Arial"/>
                <w:sz w:val="22"/>
                <w:szCs w:val="22"/>
              </w:rPr>
            </w:pPr>
            <w:r w:rsidRPr="00023039">
              <w:rPr>
                <w:rFonts w:cs="Arial"/>
                <w:sz w:val="22"/>
                <w:szCs w:val="22"/>
              </w:rPr>
              <w:t> </w:t>
            </w:r>
          </w:p>
          <w:p w14:paraId="0227CC3E" w14:textId="77777777" w:rsidR="00023039" w:rsidRPr="00023039" w:rsidRDefault="00023039" w:rsidP="00023039">
            <w:pPr>
              <w:rPr>
                <w:rFonts w:cs="Arial"/>
                <w:sz w:val="22"/>
                <w:szCs w:val="22"/>
              </w:rPr>
            </w:pPr>
            <w:r w:rsidRPr="00023039">
              <w:rPr>
                <w:rFonts w:cs="Arial"/>
                <w:sz w:val="22"/>
                <w:szCs w:val="22"/>
              </w:rPr>
              <w:t>Partially delivers against Objective 4 – there would support for some reporting needs such as UNFCCC reporting or KMGBF reporting (as within scope of current programme) but there would not be support for other reporting requirements such as EUDR (proposed for extension).  </w:t>
            </w:r>
          </w:p>
          <w:p w14:paraId="4BD304DE" w14:textId="77777777" w:rsidR="00023039" w:rsidRPr="00023039" w:rsidRDefault="00023039" w:rsidP="00023039">
            <w:pPr>
              <w:rPr>
                <w:rFonts w:cs="Arial"/>
                <w:sz w:val="22"/>
                <w:szCs w:val="22"/>
              </w:rPr>
            </w:pPr>
            <w:r w:rsidRPr="00023039">
              <w:rPr>
                <w:rFonts w:cs="Arial"/>
                <w:sz w:val="22"/>
                <w:szCs w:val="22"/>
              </w:rPr>
              <w:t> </w:t>
            </w:r>
          </w:p>
          <w:p w14:paraId="796EA824" w14:textId="77777777" w:rsidR="00023039" w:rsidRPr="00023039" w:rsidRDefault="00023039" w:rsidP="00023039">
            <w:pPr>
              <w:rPr>
                <w:rFonts w:cs="Arial"/>
                <w:sz w:val="22"/>
                <w:szCs w:val="22"/>
              </w:rPr>
            </w:pPr>
            <w:r w:rsidRPr="00023039">
              <w:rPr>
                <w:rFonts w:cs="Arial"/>
                <w:sz w:val="22"/>
                <w:szCs w:val="22"/>
              </w:rPr>
              <w:lastRenderedPageBreak/>
              <w:t>CSF 3 and 5 – this would be an extension of existing activities under the programme.  </w:t>
            </w:r>
          </w:p>
        </w:tc>
        <w:tc>
          <w:tcPr>
            <w:tcW w:w="3046" w:type="dxa"/>
            <w:tcBorders>
              <w:top w:val="single" w:sz="4" w:space="0" w:color="auto"/>
              <w:left w:val="single" w:sz="4" w:space="0" w:color="auto"/>
              <w:bottom w:val="single" w:sz="4" w:space="0" w:color="auto"/>
              <w:right w:val="single" w:sz="4" w:space="0" w:color="auto"/>
            </w:tcBorders>
            <w:hideMark/>
          </w:tcPr>
          <w:p w14:paraId="253568B6" w14:textId="77777777" w:rsidR="00023039" w:rsidRPr="00023039" w:rsidRDefault="00023039" w:rsidP="00023039">
            <w:pPr>
              <w:rPr>
                <w:rFonts w:cs="Arial"/>
                <w:sz w:val="22"/>
                <w:szCs w:val="22"/>
              </w:rPr>
            </w:pPr>
            <w:r w:rsidRPr="00023039">
              <w:rPr>
                <w:rFonts w:cs="Arial"/>
                <w:sz w:val="22"/>
                <w:szCs w:val="22"/>
              </w:rPr>
              <w:lastRenderedPageBreak/>
              <w:t>Does not deliver against Objective 5, as this would not expand the scope of the programme to include monitoring for sustainable commodities so it would be unable to address unsustainable commodity production.  </w:t>
            </w:r>
          </w:p>
          <w:p w14:paraId="0CFEDCDF" w14:textId="77777777" w:rsidR="00023039" w:rsidRPr="00023039" w:rsidRDefault="00023039" w:rsidP="00023039">
            <w:pPr>
              <w:rPr>
                <w:rFonts w:cs="Arial"/>
                <w:sz w:val="22"/>
                <w:szCs w:val="22"/>
              </w:rPr>
            </w:pPr>
            <w:r w:rsidRPr="00023039">
              <w:rPr>
                <w:rFonts w:cs="Arial"/>
                <w:sz w:val="22"/>
                <w:szCs w:val="22"/>
              </w:rPr>
              <w:t> </w:t>
            </w:r>
          </w:p>
          <w:p w14:paraId="286C06D1" w14:textId="77777777" w:rsidR="00023039" w:rsidRPr="00023039" w:rsidRDefault="00023039" w:rsidP="00023039">
            <w:pPr>
              <w:rPr>
                <w:rFonts w:cs="Arial"/>
                <w:sz w:val="22"/>
                <w:szCs w:val="22"/>
              </w:rPr>
            </w:pPr>
            <w:r w:rsidRPr="00023039">
              <w:rPr>
                <w:rFonts w:cs="Arial"/>
                <w:sz w:val="22"/>
                <w:szCs w:val="22"/>
              </w:rPr>
              <w:t> </w:t>
            </w:r>
          </w:p>
          <w:p w14:paraId="534E556B" w14:textId="77777777" w:rsidR="00023039" w:rsidRPr="00023039" w:rsidRDefault="00023039" w:rsidP="00023039">
            <w:pPr>
              <w:rPr>
                <w:rFonts w:cs="Arial"/>
                <w:sz w:val="22"/>
                <w:szCs w:val="22"/>
              </w:rPr>
            </w:pPr>
            <w:r w:rsidRPr="00023039">
              <w:rPr>
                <w:rFonts w:cs="Arial"/>
                <w:sz w:val="22"/>
                <w:szCs w:val="22"/>
              </w:rPr>
              <w:t> </w:t>
            </w:r>
          </w:p>
          <w:p w14:paraId="7F2FCD5F" w14:textId="77777777" w:rsidR="00023039" w:rsidRPr="00023039" w:rsidRDefault="00023039" w:rsidP="00023039">
            <w:pPr>
              <w:rPr>
                <w:rFonts w:cs="Arial"/>
                <w:sz w:val="22"/>
                <w:szCs w:val="22"/>
              </w:rPr>
            </w:pPr>
            <w:r w:rsidRPr="00023039">
              <w:rPr>
                <w:rFonts w:cs="Arial"/>
                <w:sz w:val="22"/>
                <w:szCs w:val="22"/>
              </w:rPr>
              <w:t> </w:t>
            </w:r>
          </w:p>
          <w:p w14:paraId="67E6BE1B" w14:textId="77777777" w:rsidR="00023039" w:rsidRPr="00023039" w:rsidRDefault="00023039" w:rsidP="00023039">
            <w:pPr>
              <w:rPr>
                <w:rFonts w:cs="Arial"/>
                <w:sz w:val="22"/>
                <w:szCs w:val="22"/>
              </w:rPr>
            </w:pPr>
            <w:r w:rsidRPr="00023039">
              <w:rPr>
                <w:rFonts w:cs="Arial"/>
                <w:sz w:val="22"/>
                <w:szCs w:val="22"/>
              </w:rPr>
              <w:t> </w:t>
            </w:r>
          </w:p>
          <w:p w14:paraId="1A17F0BF" w14:textId="77777777" w:rsidR="00023039" w:rsidRPr="00023039" w:rsidRDefault="00023039" w:rsidP="00023039">
            <w:pPr>
              <w:rPr>
                <w:rFonts w:cs="Arial"/>
                <w:sz w:val="22"/>
                <w:szCs w:val="22"/>
              </w:rPr>
            </w:pPr>
            <w:r w:rsidRPr="00023039">
              <w:rPr>
                <w:rFonts w:cs="Arial"/>
                <w:sz w:val="22"/>
                <w:szCs w:val="22"/>
              </w:rPr>
              <w:t> </w:t>
            </w:r>
          </w:p>
        </w:tc>
        <w:tc>
          <w:tcPr>
            <w:tcW w:w="1194" w:type="dxa"/>
            <w:tcBorders>
              <w:top w:val="single" w:sz="4" w:space="0" w:color="auto"/>
              <w:left w:val="single" w:sz="4" w:space="0" w:color="auto"/>
              <w:bottom w:val="single" w:sz="4" w:space="0" w:color="auto"/>
              <w:right w:val="single" w:sz="4" w:space="0" w:color="auto"/>
            </w:tcBorders>
            <w:shd w:val="clear" w:color="auto" w:fill="BF4E14"/>
            <w:hideMark/>
          </w:tcPr>
          <w:p w14:paraId="237B882F" w14:textId="77777777" w:rsidR="00023039" w:rsidRPr="00023039" w:rsidRDefault="00023039" w:rsidP="00023039">
            <w:pPr>
              <w:rPr>
                <w:rFonts w:cs="Arial"/>
                <w:sz w:val="22"/>
                <w:szCs w:val="22"/>
              </w:rPr>
            </w:pPr>
            <w:r w:rsidRPr="00023039">
              <w:rPr>
                <w:rFonts w:cs="Arial"/>
                <w:sz w:val="22"/>
                <w:szCs w:val="22"/>
              </w:rPr>
              <w:t>Discounted  </w:t>
            </w:r>
          </w:p>
        </w:tc>
      </w:tr>
      <w:tr w:rsidR="00023039" w:rsidRPr="00023039" w14:paraId="2208735B" w14:textId="77777777" w:rsidTr="004A7D84">
        <w:trPr>
          <w:trHeight w:val="300"/>
        </w:trPr>
        <w:tc>
          <w:tcPr>
            <w:tcW w:w="2919" w:type="dxa"/>
            <w:tcBorders>
              <w:top w:val="single" w:sz="4" w:space="0" w:color="auto"/>
              <w:left w:val="single" w:sz="4" w:space="0" w:color="auto"/>
              <w:bottom w:val="single" w:sz="4" w:space="0" w:color="auto"/>
              <w:right w:val="single" w:sz="4" w:space="0" w:color="auto"/>
            </w:tcBorders>
            <w:hideMark/>
          </w:tcPr>
          <w:p w14:paraId="6AD5D3A1" w14:textId="77777777" w:rsidR="00023039" w:rsidRPr="00023039" w:rsidRDefault="00023039" w:rsidP="00023039">
            <w:pPr>
              <w:numPr>
                <w:ilvl w:val="0"/>
                <w:numId w:val="300"/>
              </w:numPr>
              <w:rPr>
                <w:rFonts w:cs="Arial"/>
                <w:sz w:val="22"/>
                <w:szCs w:val="22"/>
              </w:rPr>
            </w:pPr>
            <w:r w:rsidRPr="00023039">
              <w:rPr>
                <w:rFonts w:cs="Arial"/>
                <w:sz w:val="22"/>
                <w:szCs w:val="22"/>
              </w:rPr>
              <w:t>Address current budget shortfall, include monitoring for sustainable commodities and an extension to the term of the programme </w:t>
            </w:r>
          </w:p>
        </w:tc>
        <w:tc>
          <w:tcPr>
            <w:tcW w:w="3040" w:type="dxa"/>
            <w:tcBorders>
              <w:top w:val="single" w:sz="4" w:space="0" w:color="auto"/>
              <w:left w:val="single" w:sz="4" w:space="0" w:color="auto"/>
              <w:bottom w:val="single" w:sz="4" w:space="0" w:color="auto"/>
              <w:right w:val="single" w:sz="4" w:space="0" w:color="auto"/>
            </w:tcBorders>
            <w:hideMark/>
          </w:tcPr>
          <w:p w14:paraId="2824B051" w14:textId="77777777" w:rsidR="00023039" w:rsidRPr="00023039" w:rsidRDefault="00023039" w:rsidP="00023039">
            <w:pPr>
              <w:rPr>
                <w:rFonts w:cs="Arial"/>
                <w:sz w:val="22"/>
                <w:szCs w:val="22"/>
              </w:rPr>
            </w:pPr>
            <w:r w:rsidRPr="00023039">
              <w:rPr>
                <w:rFonts w:cs="Arial"/>
                <w:sz w:val="22"/>
                <w:szCs w:val="22"/>
              </w:rPr>
              <w:t>Delivers against Objectives 1,2,3,4,5.  </w:t>
            </w:r>
          </w:p>
          <w:p w14:paraId="228CCB66" w14:textId="77777777" w:rsidR="00023039" w:rsidRPr="00023039" w:rsidRDefault="00023039" w:rsidP="00023039">
            <w:pPr>
              <w:rPr>
                <w:rFonts w:cs="Arial"/>
                <w:sz w:val="22"/>
                <w:szCs w:val="22"/>
              </w:rPr>
            </w:pPr>
            <w:r w:rsidRPr="00023039">
              <w:rPr>
                <w:rFonts w:cs="Arial"/>
                <w:sz w:val="22"/>
                <w:szCs w:val="22"/>
              </w:rPr>
              <w:t> </w:t>
            </w:r>
          </w:p>
          <w:p w14:paraId="0E63D5D5" w14:textId="77777777" w:rsidR="00023039" w:rsidRPr="00023039" w:rsidRDefault="00023039" w:rsidP="00023039">
            <w:pPr>
              <w:rPr>
                <w:rFonts w:cs="Arial"/>
                <w:sz w:val="22"/>
                <w:szCs w:val="22"/>
              </w:rPr>
            </w:pPr>
            <w:r w:rsidRPr="00023039">
              <w:rPr>
                <w:rFonts w:cs="Arial"/>
                <w:sz w:val="22"/>
                <w:szCs w:val="22"/>
              </w:rPr>
              <w:t>CSF 1- meets all strategic spending objectives and related business needs. </w:t>
            </w:r>
          </w:p>
          <w:p w14:paraId="270F14B0" w14:textId="77777777" w:rsidR="00023039" w:rsidRPr="00023039" w:rsidRDefault="00023039" w:rsidP="00023039">
            <w:pPr>
              <w:rPr>
                <w:rFonts w:cs="Arial"/>
                <w:sz w:val="22"/>
                <w:szCs w:val="22"/>
              </w:rPr>
            </w:pPr>
            <w:r w:rsidRPr="00023039">
              <w:rPr>
                <w:rFonts w:cs="Arial"/>
                <w:sz w:val="22"/>
                <w:szCs w:val="22"/>
              </w:rPr>
              <w:t> </w:t>
            </w:r>
          </w:p>
          <w:p w14:paraId="08996248" w14:textId="77777777" w:rsidR="00023039" w:rsidRPr="00023039" w:rsidRDefault="00023039" w:rsidP="00023039">
            <w:pPr>
              <w:rPr>
                <w:rFonts w:cs="Arial"/>
                <w:sz w:val="22"/>
                <w:szCs w:val="22"/>
              </w:rPr>
            </w:pPr>
            <w:r w:rsidRPr="00023039">
              <w:rPr>
                <w:rFonts w:cs="Arial"/>
                <w:sz w:val="22"/>
                <w:szCs w:val="22"/>
              </w:rPr>
              <w:t>CSF 2 – Building on the success of the programme and increasing its impact and sustainability increases </w:t>
            </w:r>
            <w:proofErr w:type="spellStart"/>
            <w:r w:rsidRPr="00023039">
              <w:rPr>
                <w:rFonts w:cs="Arial"/>
                <w:sz w:val="22"/>
                <w:szCs w:val="22"/>
              </w:rPr>
              <w:t>VfM</w:t>
            </w:r>
            <w:proofErr w:type="spellEnd"/>
            <w:r w:rsidRPr="00023039">
              <w:rPr>
                <w:rFonts w:cs="Arial"/>
                <w:sz w:val="22"/>
                <w:szCs w:val="22"/>
              </w:rPr>
              <w:t>.  </w:t>
            </w:r>
          </w:p>
          <w:p w14:paraId="7F5C1C6D" w14:textId="77777777" w:rsidR="00023039" w:rsidRPr="00023039" w:rsidRDefault="00023039" w:rsidP="00023039">
            <w:pPr>
              <w:rPr>
                <w:rFonts w:cs="Arial"/>
                <w:sz w:val="22"/>
                <w:szCs w:val="22"/>
              </w:rPr>
            </w:pPr>
            <w:r w:rsidRPr="00023039">
              <w:rPr>
                <w:rFonts w:cs="Arial"/>
                <w:sz w:val="22"/>
                <w:szCs w:val="22"/>
              </w:rPr>
              <w:t> </w:t>
            </w:r>
          </w:p>
          <w:p w14:paraId="0BBB6B40" w14:textId="77777777" w:rsidR="00023039" w:rsidRPr="00023039" w:rsidRDefault="00023039" w:rsidP="00023039">
            <w:pPr>
              <w:rPr>
                <w:rFonts w:cs="Arial"/>
                <w:sz w:val="22"/>
                <w:szCs w:val="22"/>
              </w:rPr>
            </w:pPr>
            <w:r w:rsidRPr="00023039">
              <w:rPr>
                <w:rFonts w:cs="Arial"/>
                <w:sz w:val="22"/>
                <w:szCs w:val="22"/>
              </w:rPr>
              <w:t>CSF 3 and 5 – This is an extension to the work already carried out in the current programme and other related programmes (such as AIM4Commodities) </w:t>
            </w:r>
          </w:p>
        </w:tc>
        <w:tc>
          <w:tcPr>
            <w:tcW w:w="3046" w:type="dxa"/>
            <w:tcBorders>
              <w:top w:val="single" w:sz="4" w:space="0" w:color="auto"/>
              <w:left w:val="single" w:sz="4" w:space="0" w:color="auto"/>
              <w:bottom w:val="single" w:sz="4" w:space="0" w:color="auto"/>
              <w:right w:val="single" w:sz="4" w:space="0" w:color="auto"/>
            </w:tcBorders>
            <w:hideMark/>
          </w:tcPr>
          <w:p w14:paraId="300E2E39" w14:textId="77777777" w:rsidR="00023039" w:rsidRPr="00023039" w:rsidRDefault="00023039" w:rsidP="00023039">
            <w:pPr>
              <w:rPr>
                <w:rFonts w:cs="Arial"/>
                <w:sz w:val="22"/>
                <w:szCs w:val="22"/>
              </w:rPr>
            </w:pPr>
            <w:r w:rsidRPr="00023039">
              <w:rPr>
                <w:rFonts w:cs="Arial"/>
                <w:sz w:val="22"/>
                <w:szCs w:val="22"/>
              </w:rPr>
              <w:t>CSF 4 – while the majority of budget could be funded from this SR (the extension was allocated £20m) it is £0.9 over the allocated budget – some questions around affordability to consider at financial appraisal stage.  </w:t>
            </w:r>
          </w:p>
        </w:tc>
        <w:tc>
          <w:tcPr>
            <w:tcW w:w="1194" w:type="dxa"/>
            <w:tcBorders>
              <w:top w:val="single" w:sz="4" w:space="0" w:color="auto"/>
              <w:left w:val="single" w:sz="4" w:space="0" w:color="auto"/>
              <w:bottom w:val="single" w:sz="4" w:space="0" w:color="auto"/>
              <w:right w:val="single" w:sz="4" w:space="0" w:color="auto"/>
            </w:tcBorders>
            <w:shd w:val="clear" w:color="auto" w:fill="92D050"/>
            <w:hideMark/>
          </w:tcPr>
          <w:p w14:paraId="2B100E7C" w14:textId="77777777" w:rsidR="00023039" w:rsidRPr="00023039" w:rsidRDefault="00023039" w:rsidP="00023039">
            <w:pPr>
              <w:rPr>
                <w:rFonts w:cs="Arial"/>
                <w:sz w:val="22"/>
                <w:szCs w:val="22"/>
              </w:rPr>
            </w:pPr>
            <w:r w:rsidRPr="00023039">
              <w:rPr>
                <w:rFonts w:cs="Arial"/>
                <w:sz w:val="22"/>
                <w:szCs w:val="22"/>
              </w:rPr>
              <w:t>Preferred way forward </w:t>
            </w:r>
          </w:p>
        </w:tc>
      </w:tr>
      <w:tr w:rsidR="00023039" w:rsidRPr="00023039" w14:paraId="0614E579" w14:textId="77777777" w:rsidTr="004A7D84">
        <w:trPr>
          <w:trHeight w:val="300"/>
        </w:trPr>
        <w:tc>
          <w:tcPr>
            <w:tcW w:w="2919" w:type="dxa"/>
            <w:tcBorders>
              <w:top w:val="single" w:sz="4" w:space="0" w:color="auto"/>
              <w:left w:val="single" w:sz="4" w:space="0" w:color="auto"/>
              <w:bottom w:val="single" w:sz="4" w:space="0" w:color="auto"/>
              <w:right w:val="single" w:sz="4" w:space="0" w:color="auto"/>
            </w:tcBorders>
            <w:hideMark/>
          </w:tcPr>
          <w:p w14:paraId="393E2866" w14:textId="77777777" w:rsidR="00023039" w:rsidRPr="00023039" w:rsidRDefault="00023039" w:rsidP="00023039">
            <w:pPr>
              <w:numPr>
                <w:ilvl w:val="0"/>
                <w:numId w:val="301"/>
              </w:numPr>
              <w:rPr>
                <w:rFonts w:cs="Arial"/>
                <w:sz w:val="22"/>
                <w:szCs w:val="22"/>
              </w:rPr>
            </w:pPr>
            <w:r w:rsidRPr="00023039">
              <w:rPr>
                <w:rFonts w:cs="Arial"/>
                <w:sz w:val="22"/>
                <w:szCs w:val="22"/>
              </w:rPr>
              <w:t>Extension to the term of the programme  </w:t>
            </w:r>
          </w:p>
        </w:tc>
        <w:tc>
          <w:tcPr>
            <w:tcW w:w="3040" w:type="dxa"/>
            <w:tcBorders>
              <w:top w:val="single" w:sz="4" w:space="0" w:color="auto"/>
              <w:left w:val="single" w:sz="4" w:space="0" w:color="auto"/>
              <w:bottom w:val="single" w:sz="4" w:space="0" w:color="auto"/>
              <w:right w:val="single" w:sz="4" w:space="0" w:color="auto"/>
            </w:tcBorders>
            <w:hideMark/>
          </w:tcPr>
          <w:p w14:paraId="20A0AFB1" w14:textId="77777777" w:rsidR="00023039" w:rsidRPr="00023039" w:rsidRDefault="00023039" w:rsidP="00023039">
            <w:pPr>
              <w:rPr>
                <w:rFonts w:cs="Arial"/>
                <w:sz w:val="22"/>
                <w:szCs w:val="22"/>
              </w:rPr>
            </w:pPr>
            <w:r w:rsidRPr="00023039">
              <w:rPr>
                <w:rFonts w:cs="Arial"/>
                <w:sz w:val="22"/>
                <w:szCs w:val="22"/>
              </w:rPr>
              <w:t>Partially delivers against Objective 4 as it would ensure countries would be supported to meet key international reporting requirements until 2030.  </w:t>
            </w:r>
            <w:proofErr w:type="gramStart"/>
            <w:r w:rsidRPr="00023039">
              <w:rPr>
                <w:rFonts w:cs="Arial"/>
                <w:sz w:val="22"/>
                <w:szCs w:val="22"/>
              </w:rPr>
              <w:t>However</w:t>
            </w:r>
            <w:proofErr w:type="gramEnd"/>
            <w:r w:rsidRPr="00023039">
              <w:rPr>
                <w:rFonts w:cs="Arial"/>
                <w:sz w:val="22"/>
                <w:szCs w:val="22"/>
              </w:rPr>
              <w:t> the ability to deliver against this objective is reduced due to potential scaling back or reprioritisation of in-country technical assistance.  </w:t>
            </w:r>
          </w:p>
          <w:p w14:paraId="4F80DC96" w14:textId="77777777" w:rsidR="00023039" w:rsidRPr="00023039" w:rsidRDefault="00023039" w:rsidP="00023039">
            <w:pPr>
              <w:rPr>
                <w:rFonts w:cs="Arial"/>
                <w:sz w:val="22"/>
                <w:szCs w:val="22"/>
              </w:rPr>
            </w:pPr>
            <w:r w:rsidRPr="00023039">
              <w:rPr>
                <w:rFonts w:cs="Arial"/>
                <w:sz w:val="22"/>
                <w:szCs w:val="22"/>
              </w:rPr>
              <w:t> </w:t>
            </w:r>
          </w:p>
          <w:p w14:paraId="1D9B44AE" w14:textId="77777777" w:rsidR="00023039" w:rsidRPr="00023039" w:rsidRDefault="00023039" w:rsidP="00023039">
            <w:pPr>
              <w:rPr>
                <w:rFonts w:cs="Arial"/>
                <w:sz w:val="22"/>
                <w:szCs w:val="22"/>
              </w:rPr>
            </w:pPr>
            <w:r w:rsidRPr="00023039">
              <w:rPr>
                <w:rFonts w:cs="Arial"/>
                <w:sz w:val="22"/>
                <w:szCs w:val="22"/>
              </w:rPr>
              <w:t>CSF 3 and 5 – would simply be an extension to existing activities </w:t>
            </w:r>
          </w:p>
          <w:p w14:paraId="68A6870C" w14:textId="77777777" w:rsidR="00023039" w:rsidRPr="00023039" w:rsidRDefault="00023039" w:rsidP="00023039">
            <w:pPr>
              <w:rPr>
                <w:rFonts w:cs="Arial"/>
                <w:sz w:val="22"/>
                <w:szCs w:val="22"/>
              </w:rPr>
            </w:pPr>
            <w:r w:rsidRPr="00023039">
              <w:rPr>
                <w:rFonts w:cs="Arial"/>
                <w:sz w:val="22"/>
                <w:szCs w:val="22"/>
              </w:rPr>
              <w:t> </w:t>
            </w:r>
          </w:p>
          <w:p w14:paraId="5797CE45" w14:textId="77777777" w:rsidR="00023039" w:rsidRPr="00023039" w:rsidRDefault="00023039" w:rsidP="00023039">
            <w:pPr>
              <w:rPr>
                <w:rFonts w:cs="Arial"/>
                <w:sz w:val="22"/>
                <w:szCs w:val="22"/>
              </w:rPr>
            </w:pPr>
            <w:r w:rsidRPr="00023039">
              <w:rPr>
                <w:rFonts w:cs="Arial"/>
                <w:sz w:val="22"/>
                <w:szCs w:val="22"/>
              </w:rPr>
              <w:lastRenderedPageBreak/>
              <w:t>CSF 4 – requires less funding that other options  </w:t>
            </w:r>
          </w:p>
        </w:tc>
        <w:tc>
          <w:tcPr>
            <w:tcW w:w="3046" w:type="dxa"/>
            <w:tcBorders>
              <w:top w:val="single" w:sz="4" w:space="0" w:color="auto"/>
              <w:left w:val="single" w:sz="4" w:space="0" w:color="auto"/>
              <w:bottom w:val="single" w:sz="4" w:space="0" w:color="auto"/>
              <w:right w:val="single" w:sz="4" w:space="0" w:color="auto"/>
            </w:tcBorders>
            <w:hideMark/>
          </w:tcPr>
          <w:p w14:paraId="75D11105" w14:textId="77777777" w:rsidR="00023039" w:rsidRPr="00023039" w:rsidRDefault="00023039" w:rsidP="00023039">
            <w:pPr>
              <w:rPr>
                <w:rFonts w:cs="Arial"/>
                <w:sz w:val="22"/>
                <w:szCs w:val="22"/>
              </w:rPr>
            </w:pPr>
            <w:r w:rsidRPr="00023039">
              <w:rPr>
                <w:rFonts w:cs="Arial"/>
                <w:sz w:val="22"/>
                <w:szCs w:val="22"/>
              </w:rPr>
              <w:lastRenderedPageBreak/>
              <w:t>Does not deliver against Objectives 1 and 2 as this option would not address the current budget shortfall on in-country technical assistance.  </w:t>
            </w:r>
          </w:p>
          <w:p w14:paraId="7086D27E" w14:textId="77777777" w:rsidR="00023039" w:rsidRPr="00023039" w:rsidRDefault="00023039" w:rsidP="00023039">
            <w:pPr>
              <w:rPr>
                <w:rFonts w:cs="Arial"/>
                <w:sz w:val="22"/>
                <w:szCs w:val="22"/>
              </w:rPr>
            </w:pPr>
            <w:r w:rsidRPr="00023039">
              <w:rPr>
                <w:rFonts w:cs="Arial"/>
                <w:sz w:val="22"/>
                <w:szCs w:val="22"/>
              </w:rPr>
              <w:t> </w:t>
            </w:r>
          </w:p>
          <w:p w14:paraId="7F461857" w14:textId="77777777" w:rsidR="00023039" w:rsidRPr="00023039" w:rsidRDefault="00023039" w:rsidP="00023039">
            <w:pPr>
              <w:rPr>
                <w:rFonts w:cs="Arial"/>
                <w:sz w:val="22"/>
                <w:szCs w:val="22"/>
              </w:rPr>
            </w:pPr>
            <w:r w:rsidRPr="00023039">
              <w:rPr>
                <w:rFonts w:cs="Arial"/>
                <w:sz w:val="22"/>
                <w:szCs w:val="22"/>
              </w:rPr>
              <w:t>Does not deliver against Objective 5. As it would not include an expansion to the scope of the programme, countries would not be supported with reporting relating to transparent commodity value chains </w:t>
            </w:r>
          </w:p>
          <w:p w14:paraId="3F20C973" w14:textId="77777777" w:rsidR="00023039" w:rsidRPr="00023039" w:rsidRDefault="00023039" w:rsidP="00023039">
            <w:pPr>
              <w:rPr>
                <w:rFonts w:cs="Arial"/>
                <w:sz w:val="22"/>
                <w:szCs w:val="22"/>
              </w:rPr>
            </w:pPr>
            <w:r w:rsidRPr="00023039">
              <w:rPr>
                <w:rFonts w:cs="Arial"/>
                <w:sz w:val="22"/>
                <w:szCs w:val="22"/>
              </w:rPr>
              <w:t> </w:t>
            </w:r>
          </w:p>
          <w:p w14:paraId="67DD26C1" w14:textId="77777777" w:rsidR="00023039" w:rsidRPr="00023039" w:rsidRDefault="00023039" w:rsidP="00023039">
            <w:pPr>
              <w:rPr>
                <w:rFonts w:cs="Arial"/>
                <w:sz w:val="22"/>
                <w:szCs w:val="22"/>
              </w:rPr>
            </w:pPr>
            <w:r w:rsidRPr="00023039">
              <w:rPr>
                <w:rFonts w:cs="Arial"/>
                <w:sz w:val="22"/>
                <w:szCs w:val="22"/>
              </w:rPr>
              <w:lastRenderedPageBreak/>
              <w:t>CSF 1 - Does not deliver against </w:t>
            </w:r>
            <w:proofErr w:type="gramStart"/>
            <w:r w:rsidRPr="00023039">
              <w:rPr>
                <w:rFonts w:cs="Arial"/>
                <w:sz w:val="22"/>
                <w:szCs w:val="22"/>
              </w:rPr>
              <w:t>the majority of</w:t>
            </w:r>
            <w:proofErr w:type="gramEnd"/>
            <w:r w:rsidRPr="00023039">
              <w:rPr>
                <w:rFonts w:cs="Arial"/>
                <w:sz w:val="22"/>
                <w:szCs w:val="22"/>
              </w:rPr>
              <w:t> the objectives, and </w:t>
            </w:r>
            <w:proofErr w:type="gramStart"/>
            <w:r w:rsidRPr="00023039">
              <w:rPr>
                <w:rFonts w:cs="Arial"/>
                <w:sz w:val="22"/>
                <w:szCs w:val="22"/>
              </w:rPr>
              <w:t>due to the fact that</w:t>
            </w:r>
            <w:proofErr w:type="gramEnd"/>
            <w:r w:rsidRPr="00023039">
              <w:rPr>
                <w:rFonts w:cs="Arial"/>
                <w:sz w:val="22"/>
                <w:szCs w:val="22"/>
              </w:rPr>
              <w:t> it would not address the current budget shortfall on in-country technical assistance, it would result in scaling back or reprioritisation of work within the programme.  </w:t>
            </w:r>
          </w:p>
          <w:p w14:paraId="2A249C1F" w14:textId="77777777" w:rsidR="00023039" w:rsidRPr="00023039" w:rsidRDefault="00023039" w:rsidP="00023039">
            <w:pPr>
              <w:rPr>
                <w:rFonts w:cs="Arial"/>
                <w:sz w:val="22"/>
                <w:szCs w:val="22"/>
              </w:rPr>
            </w:pPr>
            <w:r w:rsidRPr="00023039">
              <w:rPr>
                <w:rFonts w:cs="Arial"/>
                <w:sz w:val="22"/>
                <w:szCs w:val="22"/>
              </w:rPr>
              <w:t> </w:t>
            </w:r>
          </w:p>
          <w:p w14:paraId="59861B37" w14:textId="77777777" w:rsidR="00023039" w:rsidRPr="00023039" w:rsidRDefault="00023039" w:rsidP="00023039">
            <w:pPr>
              <w:rPr>
                <w:rFonts w:cs="Arial"/>
                <w:sz w:val="22"/>
                <w:szCs w:val="22"/>
              </w:rPr>
            </w:pPr>
            <w:r w:rsidRPr="00023039">
              <w:rPr>
                <w:rFonts w:cs="Arial"/>
                <w:sz w:val="22"/>
                <w:szCs w:val="22"/>
              </w:rPr>
              <w:t>CSF 2 – extending the term of the programme without addressing the budget shortfall on the in-country technical assistance, a fundamental aspect of the programme, risks the programme delivering poor </w:t>
            </w:r>
            <w:proofErr w:type="spellStart"/>
            <w:r w:rsidRPr="00023039">
              <w:rPr>
                <w:rFonts w:cs="Arial"/>
                <w:sz w:val="22"/>
                <w:szCs w:val="22"/>
              </w:rPr>
              <w:t>VfM</w:t>
            </w:r>
            <w:proofErr w:type="spellEnd"/>
            <w:r w:rsidRPr="00023039">
              <w:rPr>
                <w:rFonts w:cs="Arial"/>
                <w:sz w:val="22"/>
                <w:szCs w:val="22"/>
              </w:rPr>
              <w:t>.  </w:t>
            </w:r>
          </w:p>
        </w:tc>
        <w:tc>
          <w:tcPr>
            <w:tcW w:w="1194" w:type="dxa"/>
            <w:tcBorders>
              <w:top w:val="single" w:sz="4" w:space="0" w:color="auto"/>
              <w:left w:val="single" w:sz="4" w:space="0" w:color="auto"/>
              <w:bottom w:val="single" w:sz="4" w:space="0" w:color="auto"/>
              <w:right w:val="single" w:sz="4" w:space="0" w:color="auto"/>
            </w:tcBorders>
            <w:shd w:val="clear" w:color="auto" w:fill="BF4E14"/>
            <w:hideMark/>
          </w:tcPr>
          <w:p w14:paraId="08CEF18A" w14:textId="77777777" w:rsidR="00023039" w:rsidRPr="00023039" w:rsidRDefault="00023039" w:rsidP="00023039">
            <w:pPr>
              <w:rPr>
                <w:rFonts w:cs="Arial"/>
                <w:sz w:val="22"/>
                <w:szCs w:val="22"/>
              </w:rPr>
            </w:pPr>
            <w:r w:rsidRPr="00023039">
              <w:rPr>
                <w:rFonts w:cs="Arial"/>
                <w:sz w:val="22"/>
                <w:szCs w:val="22"/>
              </w:rPr>
              <w:lastRenderedPageBreak/>
              <w:t>Discounted </w:t>
            </w:r>
          </w:p>
        </w:tc>
      </w:tr>
    </w:tbl>
    <w:p w14:paraId="6AB3F81F" w14:textId="77777777" w:rsidR="00023039" w:rsidRPr="00023039" w:rsidRDefault="00023039" w:rsidP="00023039">
      <w:pPr>
        <w:rPr>
          <w:rFonts w:cs="Arial"/>
          <w:sz w:val="22"/>
          <w:szCs w:val="22"/>
        </w:rPr>
      </w:pPr>
      <w:r w:rsidRPr="00023039">
        <w:rPr>
          <w:rFonts w:cs="Arial"/>
          <w:sz w:val="22"/>
          <w:szCs w:val="22"/>
        </w:rPr>
        <w:t> </w:t>
      </w:r>
    </w:p>
    <w:p w14:paraId="15429AB3" w14:textId="77777777" w:rsidR="00023039" w:rsidRPr="00023039" w:rsidRDefault="00023039" w:rsidP="00023039">
      <w:pPr>
        <w:rPr>
          <w:rFonts w:cs="Arial"/>
          <w:sz w:val="22"/>
          <w:szCs w:val="22"/>
        </w:rPr>
      </w:pPr>
      <w:r w:rsidRPr="00023039">
        <w:rPr>
          <w:rFonts w:cs="Arial"/>
          <w:sz w:val="22"/>
          <w:szCs w:val="22"/>
          <w:u w:val="single"/>
        </w:rPr>
        <w:t>Summary of findings </w:t>
      </w:r>
      <w:r w:rsidRPr="00023039">
        <w:rPr>
          <w:rFonts w:cs="Arial"/>
          <w:sz w:val="22"/>
          <w:szCs w:val="22"/>
        </w:rPr>
        <w:t> </w:t>
      </w:r>
    </w:p>
    <w:p w14:paraId="37358BE9" w14:textId="77777777" w:rsidR="00023039" w:rsidRPr="00023039" w:rsidRDefault="00023039" w:rsidP="00023039">
      <w:pPr>
        <w:rPr>
          <w:rFonts w:cs="Arial"/>
          <w:sz w:val="22"/>
          <w:szCs w:val="22"/>
        </w:rPr>
      </w:pPr>
      <w:r w:rsidRPr="00023039">
        <w:rPr>
          <w:rFonts w:cs="Arial"/>
          <w:sz w:val="22"/>
          <w:szCs w:val="22"/>
        </w:rPr>
        <w:t>Option 5 - addressing current budget shortfall, including monitoring for sustainable commodities and an extension to the term of the programme, was the preferred way forward to ensure that each of the strategic objectives could be met. This option ensures that the programme can continue its fundamental in-country technical assistance, expands the scope of the programme to address monitoring for unsustainable commodity production, and extends the term of the programme to ensure that support can be provided up to 2030 (aligned with reporting dates of key international processes). The only disadvantage identified is that the full funding requested under this option could have opportunity costs for other potential ICF programming.  </w:t>
      </w:r>
    </w:p>
    <w:p w14:paraId="1C453D0B" w14:textId="77777777" w:rsidR="00023039" w:rsidRPr="00023039" w:rsidRDefault="00023039" w:rsidP="00023039">
      <w:pPr>
        <w:rPr>
          <w:rFonts w:cs="Arial"/>
          <w:sz w:val="22"/>
          <w:szCs w:val="22"/>
        </w:rPr>
      </w:pPr>
      <w:r w:rsidRPr="00023039">
        <w:rPr>
          <w:rFonts w:cs="Arial"/>
          <w:sz w:val="22"/>
          <w:szCs w:val="22"/>
        </w:rPr>
        <w:t>The budget provisionally allocated to the AIM4Forests extension business case was £20 million, however following more detailed analysis of the required funding, this option would cost approximately £20.9 million. However, if budget implications required, we could scale down certain activities.  </w:t>
      </w:r>
    </w:p>
    <w:p w14:paraId="274388D8" w14:textId="77777777" w:rsidR="00023039" w:rsidRPr="00023039" w:rsidRDefault="00023039" w:rsidP="00023039">
      <w:pPr>
        <w:rPr>
          <w:rFonts w:cs="Arial"/>
          <w:sz w:val="22"/>
          <w:szCs w:val="22"/>
        </w:rPr>
      </w:pPr>
      <w:r w:rsidRPr="00023039">
        <w:rPr>
          <w:rFonts w:cs="Arial"/>
          <w:sz w:val="22"/>
          <w:szCs w:val="22"/>
        </w:rPr>
        <w:t>Options 2,3,4 and 6 were discounted </w:t>
      </w:r>
      <w:proofErr w:type="gramStart"/>
      <w:r w:rsidRPr="00023039">
        <w:rPr>
          <w:rFonts w:cs="Arial"/>
          <w:sz w:val="22"/>
          <w:szCs w:val="22"/>
        </w:rPr>
        <w:t>due to the fact that</w:t>
      </w:r>
      <w:proofErr w:type="gramEnd"/>
      <w:r w:rsidRPr="00023039">
        <w:rPr>
          <w:rFonts w:cs="Arial"/>
          <w:sz w:val="22"/>
          <w:szCs w:val="22"/>
        </w:rPr>
        <w:t> they did not meaningfully deliver against all the strategic fit objectives. Option 1 was carried over as the counterfactual. </w:t>
      </w:r>
    </w:p>
    <w:p w14:paraId="64E582A2" w14:textId="77777777" w:rsidR="00023039" w:rsidRPr="00023039" w:rsidRDefault="00023039" w:rsidP="00023039">
      <w:pPr>
        <w:rPr>
          <w:rFonts w:cs="Arial"/>
          <w:sz w:val="22"/>
          <w:szCs w:val="22"/>
        </w:rPr>
      </w:pPr>
      <w:r w:rsidRPr="00023039">
        <w:rPr>
          <w:rFonts w:cs="Arial"/>
          <w:b/>
          <w:bCs/>
          <w:i/>
          <w:iCs/>
          <w:sz w:val="22"/>
          <w:szCs w:val="22"/>
        </w:rPr>
        <w:t>Delivery long-list appraisal </w:t>
      </w:r>
      <w:r w:rsidRPr="00023039">
        <w:rPr>
          <w:rFonts w:cs="Arial"/>
          <w:sz w:val="22"/>
          <w:szCs w:val="22"/>
        </w:rPr>
        <w:t> </w:t>
      </w:r>
    </w:p>
    <w:p w14:paraId="53D17B95" w14:textId="77777777" w:rsidR="00023039" w:rsidRPr="00023039" w:rsidRDefault="00023039" w:rsidP="00023039">
      <w:pPr>
        <w:rPr>
          <w:rFonts w:cs="Arial"/>
          <w:sz w:val="22"/>
          <w:szCs w:val="22"/>
        </w:rPr>
      </w:pPr>
      <w:r w:rsidRPr="00023039">
        <w:rPr>
          <w:rFonts w:cs="Arial"/>
          <w:sz w:val="22"/>
          <w:szCs w:val="22"/>
          <w:u w:val="single"/>
        </w:rPr>
        <w:t>Options </w:t>
      </w:r>
      <w:r w:rsidRPr="00023039">
        <w:rPr>
          <w:rFonts w:cs="Arial"/>
          <w:sz w:val="22"/>
          <w:szCs w:val="22"/>
        </w:rPr>
        <w:t> </w:t>
      </w:r>
    </w:p>
    <w:p w14:paraId="267EF133" w14:textId="77777777" w:rsidR="00023039" w:rsidRPr="00023039" w:rsidRDefault="00023039" w:rsidP="00023039">
      <w:pPr>
        <w:numPr>
          <w:ilvl w:val="0"/>
          <w:numId w:val="302"/>
        </w:numPr>
        <w:rPr>
          <w:rFonts w:cs="Arial"/>
          <w:sz w:val="22"/>
          <w:szCs w:val="22"/>
        </w:rPr>
      </w:pPr>
      <w:r w:rsidRPr="00023039">
        <w:rPr>
          <w:rFonts w:cs="Arial"/>
          <w:b/>
          <w:bCs/>
          <w:sz w:val="22"/>
          <w:szCs w:val="22"/>
        </w:rPr>
        <w:t>Option 1 (BAU)</w:t>
      </w:r>
      <w:r w:rsidRPr="00023039">
        <w:rPr>
          <w:rFonts w:cs="Arial"/>
          <w:sz w:val="22"/>
          <w:szCs w:val="22"/>
        </w:rPr>
        <w:t>: Retain the current delivery partner (delivered through the FAO’s Forest Monitoring and Data Platforms team, in collaboration with the UN-REDD Programme and the Global Forest Observations Initiative (GFOI)). </w:t>
      </w:r>
    </w:p>
    <w:p w14:paraId="6EF804D8" w14:textId="77777777" w:rsidR="00023039" w:rsidRPr="00023039" w:rsidRDefault="00023039" w:rsidP="00023039">
      <w:pPr>
        <w:numPr>
          <w:ilvl w:val="0"/>
          <w:numId w:val="303"/>
        </w:numPr>
        <w:rPr>
          <w:rFonts w:cs="Arial"/>
          <w:sz w:val="22"/>
          <w:szCs w:val="22"/>
        </w:rPr>
      </w:pPr>
      <w:r w:rsidRPr="00023039">
        <w:rPr>
          <w:rFonts w:cs="Arial"/>
          <w:b/>
          <w:bCs/>
          <w:sz w:val="22"/>
          <w:szCs w:val="22"/>
        </w:rPr>
        <w:lastRenderedPageBreak/>
        <w:t>Option 2</w:t>
      </w:r>
      <w:r w:rsidRPr="00023039">
        <w:rPr>
          <w:rFonts w:cs="Arial"/>
          <w:sz w:val="22"/>
          <w:szCs w:val="22"/>
        </w:rPr>
        <w:t>: Provide funding to alternative existing HMG programmes  </w:t>
      </w:r>
    </w:p>
    <w:p w14:paraId="3BDED212" w14:textId="77777777" w:rsidR="00023039" w:rsidRPr="00023039" w:rsidRDefault="00023039" w:rsidP="00023039">
      <w:pPr>
        <w:numPr>
          <w:ilvl w:val="0"/>
          <w:numId w:val="304"/>
        </w:numPr>
        <w:rPr>
          <w:rFonts w:cs="Arial"/>
          <w:sz w:val="22"/>
          <w:szCs w:val="22"/>
        </w:rPr>
      </w:pPr>
      <w:r w:rsidRPr="00023039">
        <w:rPr>
          <w:rFonts w:cs="Arial"/>
          <w:b/>
          <w:bCs/>
          <w:sz w:val="22"/>
          <w:szCs w:val="22"/>
        </w:rPr>
        <w:t>Option 3: </w:t>
      </w:r>
      <w:r w:rsidRPr="00023039">
        <w:rPr>
          <w:rFonts w:cs="Arial"/>
          <w:sz w:val="22"/>
          <w:szCs w:val="22"/>
        </w:rPr>
        <w:t>HMG to design, manage and implement its own new programme, with an alternative delivery partner  </w:t>
      </w:r>
    </w:p>
    <w:p w14:paraId="6E2DE343" w14:textId="77777777" w:rsidR="00023039" w:rsidRPr="00023039" w:rsidRDefault="00023039" w:rsidP="00023039">
      <w:pPr>
        <w:numPr>
          <w:ilvl w:val="0"/>
          <w:numId w:val="305"/>
        </w:numPr>
        <w:rPr>
          <w:rFonts w:cs="Arial"/>
          <w:sz w:val="22"/>
          <w:szCs w:val="22"/>
        </w:rPr>
      </w:pPr>
      <w:r w:rsidRPr="00023039">
        <w:rPr>
          <w:rFonts w:cs="Arial"/>
          <w:b/>
          <w:bCs/>
          <w:sz w:val="22"/>
          <w:szCs w:val="22"/>
        </w:rPr>
        <w:t>Option 4: </w:t>
      </w:r>
      <w:r w:rsidRPr="00023039">
        <w:rPr>
          <w:rFonts w:cs="Arial"/>
          <w:sz w:val="22"/>
          <w:szCs w:val="22"/>
        </w:rPr>
        <w:t>Fund a new programme through direct award, with an alternative delivery partner </w:t>
      </w:r>
    </w:p>
    <w:p w14:paraId="717482AA" w14:textId="77777777" w:rsidR="00023039" w:rsidRPr="00023039" w:rsidRDefault="00023039" w:rsidP="00023039">
      <w:pPr>
        <w:numPr>
          <w:ilvl w:val="0"/>
          <w:numId w:val="306"/>
        </w:numPr>
        <w:rPr>
          <w:rFonts w:cs="Arial"/>
          <w:sz w:val="22"/>
          <w:szCs w:val="22"/>
        </w:rPr>
      </w:pPr>
      <w:r w:rsidRPr="00023039">
        <w:rPr>
          <w:rFonts w:cs="Arial"/>
          <w:b/>
          <w:bCs/>
          <w:sz w:val="22"/>
          <w:szCs w:val="22"/>
        </w:rPr>
        <w:t>Option 5</w:t>
      </w:r>
      <w:r w:rsidRPr="00023039">
        <w:rPr>
          <w:rFonts w:cs="Arial"/>
          <w:sz w:val="22"/>
          <w:szCs w:val="22"/>
        </w:rPr>
        <w:t>: Fund a new programme through competitive tender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0"/>
        <w:gridCol w:w="3615"/>
        <w:gridCol w:w="3100"/>
        <w:gridCol w:w="1459"/>
      </w:tblGrid>
      <w:tr w:rsidR="00023039" w:rsidRPr="00023039" w14:paraId="1B5FE13A" w14:textId="7777777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1DC5A161" w14:textId="77777777" w:rsidR="00023039" w:rsidRPr="00023039" w:rsidRDefault="00023039" w:rsidP="00023039">
            <w:pPr>
              <w:rPr>
                <w:rFonts w:cs="Arial"/>
                <w:sz w:val="22"/>
                <w:szCs w:val="22"/>
              </w:rPr>
            </w:pPr>
            <w:r w:rsidRPr="00023039">
              <w:rPr>
                <w:rFonts w:cs="Arial"/>
                <w:b/>
                <w:bCs/>
                <w:i/>
                <w:iCs/>
                <w:sz w:val="22"/>
                <w:szCs w:val="22"/>
              </w:rPr>
              <w:t>Delivery solution </w:t>
            </w:r>
            <w:r w:rsidRPr="00023039">
              <w:rPr>
                <w:rFonts w:cs="Arial"/>
                <w:sz w:val="22"/>
                <w:szCs w:val="22"/>
              </w:rPr>
              <w:t> </w:t>
            </w:r>
          </w:p>
        </w:tc>
        <w:tc>
          <w:tcPr>
            <w:tcW w:w="3240"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41CCD630" w14:textId="77777777" w:rsidR="00023039" w:rsidRPr="00023039" w:rsidRDefault="00023039" w:rsidP="00023039">
            <w:pPr>
              <w:rPr>
                <w:rFonts w:cs="Arial"/>
                <w:sz w:val="22"/>
                <w:szCs w:val="22"/>
              </w:rPr>
            </w:pPr>
            <w:r w:rsidRPr="00023039">
              <w:rPr>
                <w:rFonts w:cs="Arial"/>
                <w:b/>
                <w:bCs/>
                <w:i/>
                <w:iCs/>
                <w:sz w:val="22"/>
                <w:szCs w:val="22"/>
              </w:rPr>
              <w:t>Advantages (implementation and funding, and against objectives and CSFs)</w:t>
            </w:r>
            <w:r w:rsidRPr="00023039">
              <w:rPr>
                <w:rFonts w:cs="Arial"/>
                <w:sz w:val="22"/>
                <w:szCs w:val="22"/>
              </w:rPr>
              <w:t> </w:t>
            </w:r>
          </w:p>
        </w:tc>
        <w:tc>
          <w:tcPr>
            <w:tcW w:w="3000"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6A41C202" w14:textId="77777777" w:rsidR="00023039" w:rsidRPr="00023039" w:rsidRDefault="00023039" w:rsidP="00023039">
            <w:pPr>
              <w:rPr>
                <w:rFonts w:cs="Arial"/>
                <w:sz w:val="22"/>
                <w:szCs w:val="22"/>
              </w:rPr>
            </w:pPr>
            <w:r w:rsidRPr="00023039">
              <w:rPr>
                <w:rFonts w:cs="Arial"/>
                <w:b/>
                <w:bCs/>
                <w:i/>
                <w:iCs/>
                <w:sz w:val="22"/>
                <w:szCs w:val="22"/>
              </w:rPr>
              <w:t>Disadvantages (implementation and funding, and against objectives and CSFs)</w:t>
            </w:r>
            <w:r w:rsidRPr="00023039">
              <w:rPr>
                <w:rFonts w:cs="Arial"/>
                <w:sz w:val="22"/>
                <w:szCs w:val="22"/>
              </w:rPr>
              <w:t> </w:t>
            </w:r>
          </w:p>
        </w:tc>
        <w:tc>
          <w:tcPr>
            <w:tcW w:w="1530"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77BCA702" w14:textId="77777777" w:rsidR="00023039" w:rsidRPr="00023039" w:rsidRDefault="00023039" w:rsidP="00023039">
            <w:pPr>
              <w:rPr>
                <w:rFonts w:cs="Arial"/>
                <w:sz w:val="22"/>
                <w:szCs w:val="22"/>
              </w:rPr>
            </w:pPr>
            <w:r w:rsidRPr="00023039">
              <w:rPr>
                <w:rFonts w:cs="Arial"/>
                <w:b/>
                <w:bCs/>
                <w:i/>
                <w:iCs/>
                <w:sz w:val="22"/>
                <w:szCs w:val="22"/>
              </w:rPr>
              <w:t>Take forward? </w:t>
            </w:r>
            <w:r w:rsidRPr="00023039">
              <w:rPr>
                <w:rFonts w:cs="Arial"/>
                <w:sz w:val="22"/>
                <w:szCs w:val="22"/>
              </w:rPr>
              <w:t> </w:t>
            </w:r>
          </w:p>
        </w:tc>
      </w:tr>
      <w:tr w:rsidR="00023039" w:rsidRPr="00023039" w14:paraId="5A7A1629" w14:textId="77777777">
        <w:trPr>
          <w:trHeight w:val="300"/>
        </w:trPr>
        <w:tc>
          <w:tcPr>
            <w:tcW w:w="1980" w:type="dxa"/>
            <w:tcBorders>
              <w:top w:val="single" w:sz="4" w:space="0" w:color="auto"/>
              <w:left w:val="single" w:sz="4" w:space="0" w:color="auto"/>
              <w:bottom w:val="single" w:sz="4" w:space="0" w:color="auto"/>
              <w:right w:val="single" w:sz="4" w:space="0" w:color="auto"/>
            </w:tcBorders>
            <w:hideMark/>
          </w:tcPr>
          <w:p w14:paraId="48503E51" w14:textId="77777777" w:rsidR="00023039" w:rsidRPr="00023039" w:rsidRDefault="00023039" w:rsidP="00023039">
            <w:pPr>
              <w:rPr>
                <w:rFonts w:cs="Arial"/>
                <w:sz w:val="22"/>
                <w:szCs w:val="22"/>
              </w:rPr>
            </w:pPr>
            <w:r w:rsidRPr="00023039">
              <w:rPr>
                <w:rFonts w:cs="Arial"/>
                <w:sz w:val="22"/>
                <w:szCs w:val="22"/>
              </w:rPr>
              <w:t>Option 1: Retain current delivery partner  </w:t>
            </w:r>
          </w:p>
        </w:tc>
        <w:tc>
          <w:tcPr>
            <w:tcW w:w="3240" w:type="dxa"/>
            <w:tcBorders>
              <w:top w:val="single" w:sz="4" w:space="0" w:color="auto"/>
              <w:left w:val="single" w:sz="4" w:space="0" w:color="auto"/>
              <w:bottom w:val="single" w:sz="4" w:space="0" w:color="auto"/>
              <w:right w:val="single" w:sz="4" w:space="0" w:color="auto"/>
            </w:tcBorders>
            <w:hideMark/>
          </w:tcPr>
          <w:p w14:paraId="497397DF" w14:textId="77777777" w:rsidR="00023039" w:rsidRPr="00023039" w:rsidRDefault="00023039" w:rsidP="00023039">
            <w:pPr>
              <w:numPr>
                <w:ilvl w:val="0"/>
                <w:numId w:val="307"/>
              </w:numPr>
              <w:rPr>
                <w:rFonts w:cs="Arial"/>
                <w:sz w:val="22"/>
                <w:szCs w:val="22"/>
              </w:rPr>
            </w:pPr>
            <w:r w:rsidRPr="00023039">
              <w:rPr>
                <w:rFonts w:cs="Arial"/>
                <w:sz w:val="22"/>
                <w:szCs w:val="22"/>
              </w:rPr>
              <w:t>CSF 2: Retaining the current delivery partner builds on the success and momentum of the programme and reduces any delays associated with establishing a new partner/ programme providing further value for money. The 2024 Annual Review found that the programme is delivering strong value for money due to the programmes design and delivery.  </w:t>
            </w:r>
          </w:p>
          <w:p w14:paraId="729615CF" w14:textId="77777777" w:rsidR="00023039" w:rsidRPr="00023039" w:rsidRDefault="00023039" w:rsidP="00023039">
            <w:pPr>
              <w:numPr>
                <w:ilvl w:val="0"/>
                <w:numId w:val="308"/>
              </w:numPr>
              <w:rPr>
                <w:rFonts w:cs="Arial"/>
                <w:sz w:val="22"/>
                <w:szCs w:val="22"/>
              </w:rPr>
            </w:pPr>
            <w:r w:rsidRPr="00023039">
              <w:rPr>
                <w:rFonts w:cs="Arial"/>
                <w:sz w:val="22"/>
                <w:szCs w:val="22"/>
              </w:rPr>
              <w:t>CSF 3: FAO is already successfully delivering the AIM4Forests programme and has experience delivering programmes relating to monitoring for unsustainable commodities. The mid-term review highlighted the technical comparative advantage that FAO has in NFMS and MRV, as well as the country and regional presence FAO has through its offices and established networks, including those related to REDD+ and strong working relationships with governments and convening power.  </w:t>
            </w:r>
          </w:p>
          <w:p w14:paraId="02CF9133" w14:textId="77777777" w:rsidR="00023039" w:rsidRPr="00023039" w:rsidRDefault="00023039" w:rsidP="00023039">
            <w:pPr>
              <w:numPr>
                <w:ilvl w:val="0"/>
                <w:numId w:val="309"/>
              </w:numPr>
              <w:rPr>
                <w:rFonts w:cs="Arial"/>
                <w:sz w:val="22"/>
                <w:szCs w:val="22"/>
              </w:rPr>
            </w:pPr>
            <w:r w:rsidRPr="00023039">
              <w:rPr>
                <w:rFonts w:cs="Arial"/>
                <w:sz w:val="22"/>
                <w:szCs w:val="22"/>
              </w:rPr>
              <w:t xml:space="preserve">CSF 5: As detailed above, FAO already has the level of </w:t>
            </w:r>
            <w:r w:rsidRPr="00023039">
              <w:rPr>
                <w:rFonts w:cs="Arial"/>
                <w:sz w:val="22"/>
                <w:szCs w:val="22"/>
              </w:rPr>
              <w:lastRenderedPageBreak/>
              <w:t>skills/ expertise required to deliver the proposed activities   </w:t>
            </w:r>
          </w:p>
          <w:p w14:paraId="700213B0" w14:textId="77777777" w:rsidR="00023039" w:rsidRPr="00023039" w:rsidRDefault="00023039" w:rsidP="00023039">
            <w:pPr>
              <w:numPr>
                <w:ilvl w:val="0"/>
                <w:numId w:val="310"/>
              </w:numPr>
              <w:rPr>
                <w:rFonts w:cs="Arial"/>
                <w:sz w:val="22"/>
                <w:szCs w:val="22"/>
              </w:rPr>
            </w:pPr>
            <w:r w:rsidRPr="00023039">
              <w:rPr>
                <w:rFonts w:cs="Arial"/>
                <w:sz w:val="22"/>
                <w:szCs w:val="22"/>
              </w:rPr>
              <w:t> AIM4Forests has been able to leverage FAO’s existing UN-REDD framework. The mid-term review found that it is not possible to identify a more efficient way of channelling UK funds to AIM4Forests implementation than the current one through the UN-REDD Programme Fund. </w:t>
            </w:r>
          </w:p>
          <w:p w14:paraId="1ABA2FB1" w14:textId="77777777" w:rsidR="00023039" w:rsidRPr="00023039" w:rsidRDefault="00023039" w:rsidP="00023039">
            <w:pPr>
              <w:numPr>
                <w:ilvl w:val="0"/>
                <w:numId w:val="311"/>
              </w:numPr>
              <w:rPr>
                <w:rFonts w:cs="Arial"/>
                <w:sz w:val="22"/>
                <w:szCs w:val="22"/>
              </w:rPr>
            </w:pPr>
            <w:r w:rsidRPr="00023039">
              <w:rPr>
                <w:rFonts w:cs="Arial"/>
                <w:sz w:val="22"/>
                <w:szCs w:val="22"/>
              </w:rPr>
              <w:t>It also allows the programme to utilise the convening function of the GFOI – the only international platform that provides the specific convening function of an international partnership of donors that collaboratively assist developing countries report, advance, and progress REDD+, meet NDCs, and build capacity for GHG inventories.   </w:t>
            </w:r>
          </w:p>
        </w:tc>
        <w:tc>
          <w:tcPr>
            <w:tcW w:w="3000" w:type="dxa"/>
            <w:tcBorders>
              <w:top w:val="single" w:sz="4" w:space="0" w:color="auto"/>
              <w:left w:val="single" w:sz="4" w:space="0" w:color="auto"/>
              <w:bottom w:val="single" w:sz="4" w:space="0" w:color="auto"/>
              <w:right w:val="single" w:sz="4" w:space="0" w:color="auto"/>
            </w:tcBorders>
            <w:hideMark/>
          </w:tcPr>
          <w:p w14:paraId="73C4614E" w14:textId="77777777" w:rsidR="00023039" w:rsidRPr="00023039" w:rsidRDefault="00023039" w:rsidP="00023039">
            <w:pPr>
              <w:numPr>
                <w:ilvl w:val="0"/>
                <w:numId w:val="312"/>
              </w:numPr>
              <w:rPr>
                <w:rFonts w:cs="Arial"/>
                <w:sz w:val="22"/>
                <w:szCs w:val="22"/>
              </w:rPr>
            </w:pPr>
            <w:r w:rsidRPr="00023039">
              <w:rPr>
                <w:rFonts w:cs="Arial"/>
                <w:sz w:val="22"/>
                <w:szCs w:val="22"/>
              </w:rPr>
              <w:lastRenderedPageBreak/>
              <w:t>May limit opportunities for innovation, however, current Delivery Partner has shown ability to work alongside other partners. </w:t>
            </w:r>
          </w:p>
        </w:tc>
        <w:tc>
          <w:tcPr>
            <w:tcW w:w="1530" w:type="dxa"/>
            <w:tcBorders>
              <w:top w:val="single" w:sz="4" w:space="0" w:color="auto"/>
              <w:left w:val="single" w:sz="4" w:space="0" w:color="auto"/>
              <w:bottom w:val="single" w:sz="4" w:space="0" w:color="auto"/>
              <w:right w:val="single" w:sz="4" w:space="0" w:color="auto"/>
            </w:tcBorders>
            <w:shd w:val="clear" w:color="auto" w:fill="92D050"/>
            <w:hideMark/>
          </w:tcPr>
          <w:p w14:paraId="4FD5DC87" w14:textId="77777777" w:rsidR="00023039" w:rsidRPr="00023039" w:rsidRDefault="00023039" w:rsidP="00023039">
            <w:pPr>
              <w:rPr>
                <w:rFonts w:cs="Arial"/>
                <w:sz w:val="22"/>
                <w:szCs w:val="22"/>
              </w:rPr>
            </w:pPr>
            <w:r w:rsidRPr="00023039">
              <w:rPr>
                <w:rFonts w:cs="Arial"/>
                <w:sz w:val="22"/>
                <w:szCs w:val="22"/>
              </w:rPr>
              <w:t>Preferred way forward  </w:t>
            </w:r>
          </w:p>
        </w:tc>
      </w:tr>
      <w:tr w:rsidR="00023039" w:rsidRPr="00023039" w14:paraId="549BD41B" w14:textId="77777777">
        <w:trPr>
          <w:trHeight w:val="300"/>
        </w:trPr>
        <w:tc>
          <w:tcPr>
            <w:tcW w:w="1980" w:type="dxa"/>
            <w:tcBorders>
              <w:top w:val="single" w:sz="4" w:space="0" w:color="auto"/>
              <w:left w:val="single" w:sz="4" w:space="0" w:color="auto"/>
              <w:bottom w:val="single" w:sz="4" w:space="0" w:color="auto"/>
              <w:right w:val="single" w:sz="4" w:space="0" w:color="auto"/>
            </w:tcBorders>
            <w:hideMark/>
          </w:tcPr>
          <w:p w14:paraId="18B10B0C" w14:textId="77777777" w:rsidR="00023039" w:rsidRPr="00023039" w:rsidRDefault="00023039" w:rsidP="00023039">
            <w:pPr>
              <w:rPr>
                <w:rFonts w:cs="Arial"/>
                <w:sz w:val="22"/>
                <w:szCs w:val="22"/>
              </w:rPr>
            </w:pPr>
            <w:r w:rsidRPr="00023039">
              <w:rPr>
                <w:rFonts w:cs="Arial"/>
                <w:sz w:val="22"/>
                <w:szCs w:val="22"/>
              </w:rPr>
              <w:t>Option 2: Provide funding to existing HMG programmes</w:t>
            </w:r>
            <w:r w:rsidRPr="00023039">
              <w:rPr>
                <w:rFonts w:cs="Arial"/>
                <w:sz w:val="22"/>
                <w:szCs w:val="22"/>
                <w:vertAlign w:val="superscript"/>
              </w:rPr>
              <w:t> 1</w:t>
            </w:r>
            <w:r w:rsidRPr="00023039">
              <w:rPr>
                <w:rFonts w:cs="Arial"/>
                <w:sz w:val="22"/>
                <w:szCs w:val="22"/>
              </w:rPr>
              <w:t>(analysis of the different HMG programme are contained in the table below) </w:t>
            </w:r>
          </w:p>
        </w:tc>
        <w:tc>
          <w:tcPr>
            <w:tcW w:w="3240" w:type="dxa"/>
            <w:tcBorders>
              <w:top w:val="single" w:sz="4" w:space="0" w:color="auto"/>
              <w:left w:val="single" w:sz="4" w:space="0" w:color="auto"/>
              <w:bottom w:val="single" w:sz="4" w:space="0" w:color="auto"/>
              <w:right w:val="single" w:sz="4" w:space="0" w:color="auto"/>
            </w:tcBorders>
            <w:hideMark/>
          </w:tcPr>
          <w:p w14:paraId="5B019144" w14:textId="77777777" w:rsidR="00023039" w:rsidRPr="00023039" w:rsidRDefault="00023039" w:rsidP="00023039">
            <w:pPr>
              <w:numPr>
                <w:ilvl w:val="0"/>
                <w:numId w:val="313"/>
              </w:numPr>
              <w:rPr>
                <w:rFonts w:cs="Arial"/>
                <w:sz w:val="22"/>
                <w:szCs w:val="22"/>
              </w:rPr>
            </w:pPr>
            <w:r w:rsidRPr="00023039">
              <w:rPr>
                <w:rFonts w:cs="Arial"/>
                <w:sz w:val="22"/>
                <w:szCs w:val="22"/>
              </w:rPr>
              <w:t>CSF 3: Many existing HMG programmes have experienced and respected delivery partners who are already providing technical assistance at scale </w:t>
            </w:r>
          </w:p>
          <w:p w14:paraId="662EC999" w14:textId="77777777" w:rsidR="00023039" w:rsidRPr="00023039" w:rsidRDefault="00023039" w:rsidP="00023039">
            <w:pPr>
              <w:numPr>
                <w:ilvl w:val="0"/>
                <w:numId w:val="314"/>
              </w:numPr>
              <w:rPr>
                <w:rFonts w:cs="Arial"/>
                <w:sz w:val="22"/>
                <w:szCs w:val="22"/>
              </w:rPr>
            </w:pPr>
            <w:r w:rsidRPr="00023039">
              <w:rPr>
                <w:rFonts w:cs="Arial"/>
                <w:sz w:val="22"/>
                <w:szCs w:val="22"/>
              </w:rPr>
              <w:t>Would allow us to leverage the success of other programmes  </w:t>
            </w:r>
          </w:p>
        </w:tc>
        <w:tc>
          <w:tcPr>
            <w:tcW w:w="3000" w:type="dxa"/>
            <w:tcBorders>
              <w:top w:val="single" w:sz="4" w:space="0" w:color="auto"/>
              <w:left w:val="single" w:sz="4" w:space="0" w:color="auto"/>
              <w:bottom w:val="single" w:sz="4" w:space="0" w:color="auto"/>
              <w:right w:val="single" w:sz="4" w:space="0" w:color="auto"/>
            </w:tcBorders>
            <w:hideMark/>
          </w:tcPr>
          <w:p w14:paraId="2BF8E200" w14:textId="77777777" w:rsidR="00023039" w:rsidRPr="00023039" w:rsidRDefault="00023039" w:rsidP="00023039">
            <w:pPr>
              <w:numPr>
                <w:ilvl w:val="0"/>
                <w:numId w:val="315"/>
              </w:numPr>
              <w:rPr>
                <w:rFonts w:cs="Arial"/>
                <w:sz w:val="22"/>
                <w:szCs w:val="22"/>
              </w:rPr>
            </w:pPr>
            <w:r w:rsidRPr="00023039">
              <w:rPr>
                <w:rFonts w:cs="Arial"/>
                <w:sz w:val="22"/>
                <w:szCs w:val="22"/>
              </w:rPr>
              <w:t>CSF 2 and 3: There is no single programme that could deliver against each of the objectives. Funding multiple delivery programmes reduces value for money (e.g., through costly fees). </w:t>
            </w:r>
          </w:p>
          <w:p w14:paraId="0602F7AA" w14:textId="77777777" w:rsidR="00023039" w:rsidRPr="00023039" w:rsidRDefault="00023039" w:rsidP="00023039">
            <w:pPr>
              <w:numPr>
                <w:ilvl w:val="0"/>
                <w:numId w:val="316"/>
              </w:numPr>
              <w:rPr>
                <w:rFonts w:cs="Arial"/>
                <w:sz w:val="22"/>
                <w:szCs w:val="22"/>
              </w:rPr>
            </w:pPr>
            <w:r w:rsidRPr="00023039">
              <w:rPr>
                <w:rFonts w:cs="Arial"/>
                <w:sz w:val="22"/>
                <w:szCs w:val="22"/>
              </w:rPr>
              <w:t>CSF 4: Funding multiple programmes to deliver the objectives would likely increase implementation costs.  </w:t>
            </w:r>
          </w:p>
        </w:tc>
        <w:tc>
          <w:tcPr>
            <w:tcW w:w="1530" w:type="dxa"/>
            <w:tcBorders>
              <w:top w:val="single" w:sz="4" w:space="0" w:color="auto"/>
              <w:left w:val="single" w:sz="4" w:space="0" w:color="auto"/>
              <w:bottom w:val="single" w:sz="4" w:space="0" w:color="auto"/>
              <w:right w:val="single" w:sz="4" w:space="0" w:color="auto"/>
            </w:tcBorders>
            <w:shd w:val="clear" w:color="auto" w:fill="BF4E14"/>
            <w:hideMark/>
          </w:tcPr>
          <w:p w14:paraId="3AE3EA2F" w14:textId="77777777" w:rsidR="00023039" w:rsidRPr="00023039" w:rsidRDefault="00023039" w:rsidP="00023039">
            <w:pPr>
              <w:rPr>
                <w:rFonts w:cs="Arial"/>
                <w:sz w:val="22"/>
                <w:szCs w:val="22"/>
              </w:rPr>
            </w:pPr>
            <w:r w:rsidRPr="00023039">
              <w:rPr>
                <w:rFonts w:cs="Arial"/>
                <w:sz w:val="22"/>
                <w:szCs w:val="22"/>
              </w:rPr>
              <w:t>Discounted  </w:t>
            </w:r>
          </w:p>
        </w:tc>
      </w:tr>
      <w:tr w:rsidR="00023039" w:rsidRPr="00023039" w14:paraId="4ADF77A4" w14:textId="77777777">
        <w:trPr>
          <w:trHeight w:val="300"/>
        </w:trPr>
        <w:tc>
          <w:tcPr>
            <w:tcW w:w="1980" w:type="dxa"/>
            <w:tcBorders>
              <w:top w:val="single" w:sz="4" w:space="0" w:color="auto"/>
              <w:left w:val="single" w:sz="4" w:space="0" w:color="auto"/>
              <w:bottom w:val="single" w:sz="4" w:space="0" w:color="auto"/>
              <w:right w:val="single" w:sz="4" w:space="0" w:color="auto"/>
            </w:tcBorders>
            <w:hideMark/>
          </w:tcPr>
          <w:p w14:paraId="7924F123" w14:textId="77777777" w:rsidR="00023039" w:rsidRPr="00023039" w:rsidRDefault="00023039" w:rsidP="00023039">
            <w:pPr>
              <w:rPr>
                <w:rFonts w:cs="Arial"/>
                <w:sz w:val="22"/>
                <w:szCs w:val="22"/>
              </w:rPr>
            </w:pPr>
            <w:r w:rsidRPr="00023039">
              <w:rPr>
                <w:rFonts w:cs="Arial"/>
                <w:sz w:val="22"/>
                <w:szCs w:val="22"/>
              </w:rPr>
              <w:t>Option 3: HMG to implement a new programme  </w:t>
            </w:r>
          </w:p>
        </w:tc>
        <w:tc>
          <w:tcPr>
            <w:tcW w:w="3240" w:type="dxa"/>
            <w:tcBorders>
              <w:top w:val="single" w:sz="4" w:space="0" w:color="auto"/>
              <w:left w:val="single" w:sz="4" w:space="0" w:color="auto"/>
              <w:bottom w:val="single" w:sz="4" w:space="0" w:color="auto"/>
              <w:right w:val="single" w:sz="4" w:space="0" w:color="auto"/>
            </w:tcBorders>
            <w:hideMark/>
          </w:tcPr>
          <w:p w14:paraId="1943CA0C" w14:textId="77777777" w:rsidR="00023039" w:rsidRPr="00023039" w:rsidRDefault="00023039" w:rsidP="00023039">
            <w:pPr>
              <w:numPr>
                <w:ilvl w:val="0"/>
                <w:numId w:val="317"/>
              </w:numPr>
              <w:rPr>
                <w:rFonts w:cs="Arial"/>
                <w:sz w:val="22"/>
                <w:szCs w:val="22"/>
              </w:rPr>
            </w:pPr>
            <w:r w:rsidRPr="00023039">
              <w:rPr>
                <w:rFonts w:cs="Arial"/>
                <w:sz w:val="22"/>
                <w:szCs w:val="22"/>
              </w:rPr>
              <w:t>CSF 1: A new programme would allow that programme to be designed in a way to meet the relevant objectives  </w:t>
            </w:r>
          </w:p>
          <w:p w14:paraId="58AAEB6D" w14:textId="77777777" w:rsidR="00023039" w:rsidRPr="00023039" w:rsidRDefault="00023039" w:rsidP="00023039">
            <w:pPr>
              <w:rPr>
                <w:rFonts w:cs="Arial"/>
                <w:sz w:val="22"/>
                <w:szCs w:val="22"/>
              </w:rPr>
            </w:pPr>
            <w:r w:rsidRPr="00023039">
              <w:rPr>
                <w:rFonts w:cs="Arial"/>
                <w:sz w:val="22"/>
                <w:szCs w:val="22"/>
              </w:rPr>
              <w:lastRenderedPageBreak/>
              <w:t> </w:t>
            </w:r>
          </w:p>
        </w:tc>
        <w:tc>
          <w:tcPr>
            <w:tcW w:w="3000" w:type="dxa"/>
            <w:tcBorders>
              <w:top w:val="single" w:sz="4" w:space="0" w:color="auto"/>
              <w:left w:val="single" w:sz="4" w:space="0" w:color="auto"/>
              <w:bottom w:val="single" w:sz="4" w:space="0" w:color="auto"/>
              <w:right w:val="single" w:sz="4" w:space="0" w:color="auto"/>
            </w:tcBorders>
            <w:hideMark/>
          </w:tcPr>
          <w:p w14:paraId="30168FDD" w14:textId="77777777" w:rsidR="00023039" w:rsidRPr="00023039" w:rsidRDefault="00023039" w:rsidP="00023039">
            <w:pPr>
              <w:numPr>
                <w:ilvl w:val="0"/>
                <w:numId w:val="318"/>
              </w:numPr>
              <w:rPr>
                <w:rFonts w:cs="Arial"/>
                <w:sz w:val="22"/>
                <w:szCs w:val="22"/>
              </w:rPr>
            </w:pPr>
            <w:r w:rsidRPr="00023039">
              <w:rPr>
                <w:rFonts w:cs="Arial"/>
                <w:sz w:val="22"/>
                <w:szCs w:val="22"/>
              </w:rPr>
              <w:lastRenderedPageBreak/>
              <w:t xml:space="preserve">CSF 2 and 4: AIM4Forests is already a well-performing programme. Building on the success of the programme </w:t>
            </w:r>
            <w:r w:rsidRPr="00023039">
              <w:rPr>
                <w:rFonts w:cs="Arial"/>
                <w:sz w:val="22"/>
                <w:szCs w:val="22"/>
              </w:rPr>
              <w:lastRenderedPageBreak/>
              <w:t>ensures greater </w:t>
            </w:r>
            <w:proofErr w:type="spellStart"/>
            <w:r w:rsidRPr="00023039">
              <w:rPr>
                <w:rFonts w:cs="Arial"/>
                <w:sz w:val="22"/>
                <w:szCs w:val="22"/>
              </w:rPr>
              <w:t>VfM</w:t>
            </w:r>
            <w:proofErr w:type="spellEnd"/>
            <w:r w:rsidRPr="00023039">
              <w:rPr>
                <w:rFonts w:cs="Arial"/>
                <w:sz w:val="22"/>
                <w:szCs w:val="22"/>
              </w:rPr>
              <w:t>, while creating a new programme could increase costs and delay implementation.  </w:t>
            </w:r>
          </w:p>
          <w:p w14:paraId="6C99CDE6" w14:textId="77777777" w:rsidR="00023039" w:rsidRPr="00023039" w:rsidRDefault="00023039" w:rsidP="00023039">
            <w:pPr>
              <w:numPr>
                <w:ilvl w:val="0"/>
                <w:numId w:val="319"/>
              </w:numPr>
              <w:rPr>
                <w:rFonts w:cs="Arial"/>
                <w:sz w:val="22"/>
                <w:szCs w:val="22"/>
              </w:rPr>
            </w:pPr>
            <w:r w:rsidRPr="00023039">
              <w:rPr>
                <w:rFonts w:cs="Arial"/>
                <w:sz w:val="22"/>
                <w:szCs w:val="22"/>
              </w:rPr>
              <w:t>CSF 3: HMG does not possess the required technical expertise to provide the level of support required through this programme.  </w:t>
            </w:r>
          </w:p>
        </w:tc>
        <w:tc>
          <w:tcPr>
            <w:tcW w:w="1530" w:type="dxa"/>
            <w:tcBorders>
              <w:top w:val="single" w:sz="4" w:space="0" w:color="auto"/>
              <w:left w:val="single" w:sz="4" w:space="0" w:color="auto"/>
              <w:bottom w:val="single" w:sz="4" w:space="0" w:color="auto"/>
              <w:right w:val="single" w:sz="4" w:space="0" w:color="auto"/>
            </w:tcBorders>
            <w:shd w:val="clear" w:color="auto" w:fill="BF4E14"/>
            <w:hideMark/>
          </w:tcPr>
          <w:p w14:paraId="637CEEBB" w14:textId="77777777" w:rsidR="00023039" w:rsidRPr="00023039" w:rsidRDefault="00023039" w:rsidP="00023039">
            <w:pPr>
              <w:rPr>
                <w:rFonts w:cs="Arial"/>
                <w:sz w:val="22"/>
                <w:szCs w:val="22"/>
              </w:rPr>
            </w:pPr>
            <w:r w:rsidRPr="00023039">
              <w:rPr>
                <w:rFonts w:cs="Arial"/>
                <w:sz w:val="22"/>
                <w:szCs w:val="22"/>
              </w:rPr>
              <w:lastRenderedPageBreak/>
              <w:t>Discounted </w:t>
            </w:r>
          </w:p>
        </w:tc>
      </w:tr>
      <w:tr w:rsidR="00023039" w:rsidRPr="00023039" w14:paraId="1D20DEAD" w14:textId="77777777">
        <w:trPr>
          <w:trHeight w:val="300"/>
        </w:trPr>
        <w:tc>
          <w:tcPr>
            <w:tcW w:w="1980" w:type="dxa"/>
            <w:tcBorders>
              <w:top w:val="single" w:sz="4" w:space="0" w:color="auto"/>
              <w:left w:val="single" w:sz="4" w:space="0" w:color="auto"/>
              <w:bottom w:val="single" w:sz="4" w:space="0" w:color="auto"/>
              <w:right w:val="single" w:sz="4" w:space="0" w:color="auto"/>
            </w:tcBorders>
            <w:hideMark/>
          </w:tcPr>
          <w:p w14:paraId="79FDA425" w14:textId="77777777" w:rsidR="00023039" w:rsidRPr="00023039" w:rsidRDefault="00023039" w:rsidP="00023039">
            <w:pPr>
              <w:rPr>
                <w:rFonts w:cs="Arial"/>
                <w:sz w:val="22"/>
                <w:szCs w:val="22"/>
              </w:rPr>
            </w:pPr>
            <w:r w:rsidRPr="00023039">
              <w:rPr>
                <w:rFonts w:cs="Arial"/>
                <w:sz w:val="22"/>
                <w:szCs w:val="22"/>
              </w:rPr>
              <w:t>Option 4: Funding of a new programme through direct award  </w:t>
            </w:r>
          </w:p>
        </w:tc>
        <w:tc>
          <w:tcPr>
            <w:tcW w:w="3240" w:type="dxa"/>
            <w:tcBorders>
              <w:top w:val="single" w:sz="4" w:space="0" w:color="auto"/>
              <w:left w:val="single" w:sz="4" w:space="0" w:color="auto"/>
              <w:bottom w:val="single" w:sz="4" w:space="0" w:color="auto"/>
              <w:right w:val="single" w:sz="4" w:space="0" w:color="auto"/>
            </w:tcBorders>
            <w:hideMark/>
          </w:tcPr>
          <w:p w14:paraId="128F09EB" w14:textId="77777777" w:rsidR="00023039" w:rsidRPr="00023039" w:rsidRDefault="00023039" w:rsidP="00023039">
            <w:pPr>
              <w:numPr>
                <w:ilvl w:val="0"/>
                <w:numId w:val="320"/>
              </w:numPr>
              <w:rPr>
                <w:rFonts w:cs="Arial"/>
                <w:sz w:val="22"/>
                <w:szCs w:val="22"/>
              </w:rPr>
            </w:pPr>
            <w:r w:rsidRPr="00023039">
              <w:rPr>
                <w:rFonts w:cs="Arial"/>
                <w:sz w:val="22"/>
                <w:szCs w:val="22"/>
              </w:rPr>
              <w:t>A new programme could increase innovation and explore new ways to support forest monitoring  </w:t>
            </w:r>
          </w:p>
        </w:tc>
        <w:tc>
          <w:tcPr>
            <w:tcW w:w="3000" w:type="dxa"/>
            <w:tcBorders>
              <w:top w:val="single" w:sz="4" w:space="0" w:color="auto"/>
              <w:left w:val="single" w:sz="4" w:space="0" w:color="auto"/>
              <w:bottom w:val="single" w:sz="4" w:space="0" w:color="auto"/>
              <w:right w:val="single" w:sz="4" w:space="0" w:color="auto"/>
            </w:tcBorders>
            <w:hideMark/>
          </w:tcPr>
          <w:p w14:paraId="147C3432" w14:textId="77777777" w:rsidR="00023039" w:rsidRPr="00023039" w:rsidRDefault="00023039" w:rsidP="00023039">
            <w:pPr>
              <w:numPr>
                <w:ilvl w:val="0"/>
                <w:numId w:val="321"/>
              </w:numPr>
              <w:rPr>
                <w:rFonts w:cs="Arial"/>
                <w:sz w:val="22"/>
                <w:szCs w:val="22"/>
              </w:rPr>
            </w:pPr>
            <w:r w:rsidRPr="00023039">
              <w:rPr>
                <w:rFonts w:cs="Arial"/>
                <w:sz w:val="22"/>
                <w:szCs w:val="22"/>
              </w:rPr>
              <w:t>CSF 2 and 4: AIM4Forests is already a well-performing programme. Building on the success of the programme ensure greater </w:t>
            </w:r>
            <w:proofErr w:type="spellStart"/>
            <w:r w:rsidRPr="00023039">
              <w:rPr>
                <w:rFonts w:cs="Arial"/>
                <w:sz w:val="22"/>
                <w:szCs w:val="22"/>
              </w:rPr>
              <w:t>VfM</w:t>
            </w:r>
            <w:proofErr w:type="spellEnd"/>
            <w:r w:rsidRPr="00023039">
              <w:rPr>
                <w:rFonts w:cs="Arial"/>
                <w:sz w:val="22"/>
                <w:szCs w:val="22"/>
              </w:rPr>
              <w:t>, while implementing a new programme could increase costs and delay implementation.   </w:t>
            </w:r>
          </w:p>
          <w:p w14:paraId="7BEB2200" w14:textId="77777777" w:rsidR="00023039" w:rsidRPr="00023039" w:rsidRDefault="00023039" w:rsidP="00023039">
            <w:pPr>
              <w:numPr>
                <w:ilvl w:val="0"/>
                <w:numId w:val="322"/>
              </w:numPr>
              <w:rPr>
                <w:rFonts w:cs="Arial"/>
                <w:sz w:val="22"/>
                <w:szCs w:val="22"/>
              </w:rPr>
            </w:pPr>
            <w:r w:rsidRPr="00023039">
              <w:rPr>
                <w:rFonts w:cs="Arial"/>
                <w:sz w:val="22"/>
                <w:szCs w:val="22"/>
              </w:rPr>
              <w:t xml:space="preserve">Relatively long lead-time before funds </w:t>
            </w:r>
            <w:proofErr w:type="gramStart"/>
            <w:r w:rsidRPr="00023039">
              <w:rPr>
                <w:rFonts w:cs="Arial"/>
                <w:sz w:val="22"/>
                <w:szCs w:val="22"/>
              </w:rPr>
              <w:t>are</w:t>
            </w:r>
            <w:proofErr w:type="gramEnd"/>
            <w:r w:rsidRPr="00023039">
              <w:rPr>
                <w:rFonts w:cs="Arial"/>
                <w:sz w:val="22"/>
                <w:szCs w:val="22"/>
              </w:rPr>
              <w:t xml:space="preserve"> disbursed. </w:t>
            </w:r>
          </w:p>
        </w:tc>
        <w:tc>
          <w:tcPr>
            <w:tcW w:w="1530" w:type="dxa"/>
            <w:tcBorders>
              <w:top w:val="single" w:sz="4" w:space="0" w:color="auto"/>
              <w:left w:val="single" w:sz="4" w:space="0" w:color="auto"/>
              <w:bottom w:val="single" w:sz="4" w:space="0" w:color="auto"/>
              <w:right w:val="single" w:sz="4" w:space="0" w:color="auto"/>
            </w:tcBorders>
            <w:shd w:val="clear" w:color="auto" w:fill="BF4E14"/>
            <w:hideMark/>
          </w:tcPr>
          <w:p w14:paraId="068450EA" w14:textId="77777777" w:rsidR="00023039" w:rsidRPr="00023039" w:rsidRDefault="00023039" w:rsidP="00023039">
            <w:pPr>
              <w:rPr>
                <w:rFonts w:cs="Arial"/>
                <w:sz w:val="22"/>
                <w:szCs w:val="22"/>
              </w:rPr>
            </w:pPr>
            <w:r w:rsidRPr="00023039">
              <w:rPr>
                <w:rFonts w:cs="Arial"/>
                <w:sz w:val="22"/>
                <w:szCs w:val="22"/>
              </w:rPr>
              <w:t>Discounted  </w:t>
            </w:r>
          </w:p>
        </w:tc>
      </w:tr>
      <w:tr w:rsidR="00023039" w:rsidRPr="00023039" w14:paraId="19B36E89" w14:textId="77777777">
        <w:trPr>
          <w:trHeight w:val="300"/>
        </w:trPr>
        <w:tc>
          <w:tcPr>
            <w:tcW w:w="1980" w:type="dxa"/>
            <w:tcBorders>
              <w:top w:val="single" w:sz="4" w:space="0" w:color="auto"/>
              <w:left w:val="single" w:sz="4" w:space="0" w:color="auto"/>
              <w:bottom w:val="single" w:sz="4" w:space="0" w:color="auto"/>
              <w:right w:val="single" w:sz="4" w:space="0" w:color="auto"/>
            </w:tcBorders>
            <w:hideMark/>
          </w:tcPr>
          <w:p w14:paraId="110B5922" w14:textId="77777777" w:rsidR="00023039" w:rsidRPr="00023039" w:rsidRDefault="00023039" w:rsidP="00023039">
            <w:pPr>
              <w:rPr>
                <w:rFonts w:cs="Arial"/>
                <w:sz w:val="22"/>
                <w:szCs w:val="22"/>
              </w:rPr>
            </w:pPr>
            <w:r w:rsidRPr="00023039">
              <w:rPr>
                <w:rFonts w:cs="Arial"/>
                <w:sz w:val="22"/>
                <w:szCs w:val="22"/>
              </w:rPr>
              <w:t>Option 5: Funding of a new programme through competitive tender  </w:t>
            </w:r>
          </w:p>
        </w:tc>
        <w:tc>
          <w:tcPr>
            <w:tcW w:w="3240" w:type="dxa"/>
            <w:tcBorders>
              <w:top w:val="single" w:sz="4" w:space="0" w:color="auto"/>
              <w:left w:val="single" w:sz="4" w:space="0" w:color="auto"/>
              <w:bottom w:val="single" w:sz="4" w:space="0" w:color="auto"/>
              <w:right w:val="single" w:sz="4" w:space="0" w:color="auto"/>
            </w:tcBorders>
            <w:hideMark/>
          </w:tcPr>
          <w:p w14:paraId="7B672F5C" w14:textId="77777777" w:rsidR="00023039" w:rsidRPr="00023039" w:rsidRDefault="00023039" w:rsidP="00023039">
            <w:pPr>
              <w:numPr>
                <w:ilvl w:val="0"/>
                <w:numId w:val="323"/>
              </w:numPr>
              <w:rPr>
                <w:rFonts w:cs="Arial"/>
                <w:sz w:val="22"/>
                <w:szCs w:val="22"/>
              </w:rPr>
            </w:pPr>
            <w:r w:rsidRPr="00023039">
              <w:rPr>
                <w:rFonts w:cs="Arial"/>
                <w:sz w:val="22"/>
                <w:szCs w:val="22"/>
              </w:rPr>
              <w:t>CSF 1: A new programme would allow that programme to be designed in a way to meet the relevant objectives </w:t>
            </w:r>
          </w:p>
          <w:p w14:paraId="4090DD99" w14:textId="77777777" w:rsidR="00023039" w:rsidRPr="00023039" w:rsidRDefault="00023039" w:rsidP="00023039">
            <w:pPr>
              <w:numPr>
                <w:ilvl w:val="0"/>
                <w:numId w:val="324"/>
              </w:numPr>
              <w:rPr>
                <w:rFonts w:cs="Arial"/>
                <w:sz w:val="22"/>
                <w:szCs w:val="22"/>
              </w:rPr>
            </w:pPr>
            <w:r w:rsidRPr="00023039">
              <w:rPr>
                <w:rFonts w:cs="Arial"/>
                <w:sz w:val="22"/>
                <w:szCs w:val="22"/>
              </w:rPr>
              <w:t>There are several experienced delivery partners who are already delivered technical assistance at scale for example, the World Bank.  </w:t>
            </w:r>
          </w:p>
          <w:p w14:paraId="1092161E" w14:textId="77777777" w:rsidR="00023039" w:rsidRPr="00023039" w:rsidRDefault="00023039" w:rsidP="00023039">
            <w:pPr>
              <w:rPr>
                <w:rFonts w:cs="Arial"/>
                <w:sz w:val="22"/>
                <w:szCs w:val="22"/>
              </w:rPr>
            </w:pPr>
            <w:r w:rsidRPr="00023039">
              <w:rPr>
                <w:rFonts w:cs="Arial"/>
                <w:sz w:val="22"/>
                <w:szCs w:val="22"/>
              </w:rPr>
              <w:t> </w:t>
            </w:r>
          </w:p>
        </w:tc>
        <w:tc>
          <w:tcPr>
            <w:tcW w:w="3000" w:type="dxa"/>
            <w:tcBorders>
              <w:top w:val="single" w:sz="4" w:space="0" w:color="auto"/>
              <w:left w:val="single" w:sz="4" w:space="0" w:color="auto"/>
              <w:bottom w:val="single" w:sz="4" w:space="0" w:color="auto"/>
              <w:right w:val="single" w:sz="4" w:space="0" w:color="auto"/>
            </w:tcBorders>
            <w:hideMark/>
          </w:tcPr>
          <w:p w14:paraId="4F674714" w14:textId="77777777" w:rsidR="00023039" w:rsidRPr="00023039" w:rsidRDefault="00023039" w:rsidP="00023039">
            <w:pPr>
              <w:numPr>
                <w:ilvl w:val="0"/>
                <w:numId w:val="325"/>
              </w:numPr>
              <w:rPr>
                <w:rFonts w:cs="Arial"/>
                <w:sz w:val="22"/>
                <w:szCs w:val="22"/>
              </w:rPr>
            </w:pPr>
            <w:r w:rsidRPr="00023039">
              <w:rPr>
                <w:rFonts w:cs="Arial"/>
                <w:sz w:val="22"/>
                <w:szCs w:val="22"/>
              </w:rPr>
              <w:t>Resource intensive in terms of procurement and management (including co-management and delivery of multiple arms of the programme). </w:t>
            </w:r>
          </w:p>
          <w:p w14:paraId="481E9D5C" w14:textId="77777777" w:rsidR="00023039" w:rsidRPr="00023039" w:rsidRDefault="00023039" w:rsidP="00023039">
            <w:pPr>
              <w:numPr>
                <w:ilvl w:val="0"/>
                <w:numId w:val="326"/>
              </w:numPr>
              <w:rPr>
                <w:rFonts w:cs="Arial"/>
                <w:sz w:val="22"/>
                <w:szCs w:val="22"/>
              </w:rPr>
            </w:pPr>
            <w:r w:rsidRPr="00023039">
              <w:rPr>
                <w:rFonts w:cs="Arial"/>
                <w:sz w:val="22"/>
                <w:szCs w:val="22"/>
              </w:rPr>
              <w:t xml:space="preserve">Relatively long lead-time before funds </w:t>
            </w:r>
            <w:proofErr w:type="gramStart"/>
            <w:r w:rsidRPr="00023039">
              <w:rPr>
                <w:rFonts w:cs="Arial"/>
                <w:sz w:val="22"/>
                <w:szCs w:val="22"/>
              </w:rPr>
              <w:t>are</w:t>
            </w:r>
            <w:proofErr w:type="gramEnd"/>
            <w:r w:rsidRPr="00023039">
              <w:rPr>
                <w:rFonts w:cs="Arial"/>
                <w:sz w:val="22"/>
                <w:szCs w:val="22"/>
              </w:rPr>
              <w:t xml:space="preserve"> disbursed. Could cause unnecessary delays in implementation.   </w:t>
            </w:r>
          </w:p>
          <w:p w14:paraId="5987BD1E" w14:textId="77777777" w:rsidR="00023039" w:rsidRPr="00023039" w:rsidRDefault="00023039" w:rsidP="00023039">
            <w:pPr>
              <w:numPr>
                <w:ilvl w:val="0"/>
                <w:numId w:val="327"/>
              </w:numPr>
              <w:rPr>
                <w:rFonts w:cs="Arial"/>
                <w:sz w:val="22"/>
                <w:szCs w:val="22"/>
              </w:rPr>
            </w:pPr>
            <w:r w:rsidRPr="00023039">
              <w:rPr>
                <w:rFonts w:cs="Arial"/>
                <w:sz w:val="22"/>
                <w:szCs w:val="22"/>
              </w:rPr>
              <w:t>CSF 2 and 4: AIM4Forests is already a well-performing programme. Building on the success of the programme ensure greater </w:t>
            </w:r>
            <w:proofErr w:type="spellStart"/>
            <w:r w:rsidRPr="00023039">
              <w:rPr>
                <w:rFonts w:cs="Arial"/>
                <w:sz w:val="22"/>
                <w:szCs w:val="22"/>
              </w:rPr>
              <w:t>VfM</w:t>
            </w:r>
            <w:proofErr w:type="spellEnd"/>
            <w:r w:rsidRPr="00023039">
              <w:rPr>
                <w:rFonts w:cs="Arial"/>
                <w:sz w:val="22"/>
                <w:szCs w:val="22"/>
              </w:rPr>
              <w:t xml:space="preserve">, while </w:t>
            </w:r>
            <w:r w:rsidRPr="00023039">
              <w:rPr>
                <w:rFonts w:cs="Arial"/>
                <w:sz w:val="22"/>
                <w:szCs w:val="22"/>
              </w:rPr>
              <w:lastRenderedPageBreak/>
              <w:t>creating a new programme could increase costs and delay implementation. </w:t>
            </w:r>
          </w:p>
          <w:p w14:paraId="476F1AEA" w14:textId="77777777" w:rsidR="00023039" w:rsidRPr="00023039" w:rsidRDefault="00023039" w:rsidP="00023039">
            <w:pPr>
              <w:numPr>
                <w:ilvl w:val="0"/>
                <w:numId w:val="328"/>
              </w:numPr>
              <w:rPr>
                <w:rFonts w:cs="Arial"/>
                <w:sz w:val="22"/>
                <w:szCs w:val="22"/>
              </w:rPr>
            </w:pPr>
            <w:r w:rsidRPr="00023039">
              <w:rPr>
                <w:rFonts w:cs="Arial"/>
                <w:sz w:val="22"/>
                <w:szCs w:val="22"/>
              </w:rPr>
              <w:t>A competitive tender was undertaken during the initial AIM4Forests Business Case, and FAO-UNREDD were the most successful bid then. It is unlikely that another competitive tender would give a different result for very similar objectives.  </w:t>
            </w:r>
          </w:p>
        </w:tc>
        <w:tc>
          <w:tcPr>
            <w:tcW w:w="1530" w:type="dxa"/>
            <w:tcBorders>
              <w:top w:val="single" w:sz="4" w:space="0" w:color="auto"/>
              <w:left w:val="single" w:sz="4" w:space="0" w:color="auto"/>
              <w:bottom w:val="single" w:sz="4" w:space="0" w:color="auto"/>
              <w:right w:val="single" w:sz="4" w:space="0" w:color="auto"/>
            </w:tcBorders>
            <w:shd w:val="clear" w:color="auto" w:fill="FFC000"/>
            <w:hideMark/>
          </w:tcPr>
          <w:p w14:paraId="0C6855E2" w14:textId="77777777" w:rsidR="00023039" w:rsidRPr="00023039" w:rsidRDefault="00023039" w:rsidP="00023039">
            <w:pPr>
              <w:rPr>
                <w:rFonts w:cs="Arial"/>
                <w:sz w:val="22"/>
                <w:szCs w:val="22"/>
              </w:rPr>
            </w:pPr>
            <w:r w:rsidRPr="00023039">
              <w:rPr>
                <w:rFonts w:cs="Arial"/>
                <w:sz w:val="22"/>
                <w:szCs w:val="22"/>
              </w:rPr>
              <w:lastRenderedPageBreak/>
              <w:t>Carried over </w:t>
            </w:r>
          </w:p>
        </w:tc>
      </w:tr>
    </w:tbl>
    <w:p w14:paraId="13A4306D" w14:textId="77777777" w:rsidR="00023039" w:rsidRPr="00023039" w:rsidRDefault="00023039" w:rsidP="00023039">
      <w:pPr>
        <w:rPr>
          <w:rFonts w:cs="Arial"/>
          <w:sz w:val="22"/>
          <w:szCs w:val="22"/>
        </w:rPr>
      </w:pPr>
      <w:r w:rsidRPr="00023039">
        <w:rPr>
          <w:rFonts w:cs="Arial"/>
          <w:sz w:val="22"/>
          <w:szCs w:val="22"/>
        </w:rPr>
        <w:t> </w:t>
      </w:r>
    </w:p>
    <w:p w14:paraId="1CE270FC" w14:textId="77777777" w:rsidR="00023039" w:rsidRPr="00023039" w:rsidRDefault="00023039" w:rsidP="00023039">
      <w:pPr>
        <w:rPr>
          <w:rFonts w:cs="Arial"/>
          <w:sz w:val="22"/>
          <w:szCs w:val="22"/>
        </w:rPr>
      </w:pPr>
      <w:r w:rsidRPr="00023039">
        <w:rPr>
          <w:rFonts w:cs="Arial"/>
          <w:sz w:val="22"/>
          <w:szCs w:val="22"/>
          <w:u w:val="single"/>
        </w:rPr>
        <w:t>Option 2: Existing HMG programmes that further funding could be provided to  </w:t>
      </w:r>
      <w:r w:rsidRPr="00023039">
        <w:rPr>
          <w:rFonts w:cs="Arial"/>
          <w:sz w:val="22"/>
          <w:szCs w:val="22"/>
        </w:rPr>
        <w:t> </w:t>
      </w:r>
    </w:p>
    <w:p w14:paraId="36152D8B" w14:textId="77777777" w:rsidR="00023039" w:rsidRPr="00023039" w:rsidRDefault="00023039" w:rsidP="00023039">
      <w:pPr>
        <w:rPr>
          <w:rFonts w:cs="Arial"/>
          <w:sz w:val="22"/>
          <w:szCs w:val="22"/>
        </w:rPr>
      </w:pPr>
      <w:r w:rsidRPr="00023039">
        <w:rPr>
          <w:rFonts w:cs="Arial"/>
          <w:sz w:val="22"/>
          <w:szCs w:val="22"/>
        </w:rPr>
        <w:t>Option 2 includes further funding to existing HMG programmes. There are </w:t>
      </w:r>
      <w:proofErr w:type="gramStart"/>
      <w:r w:rsidRPr="00023039">
        <w:rPr>
          <w:rFonts w:cs="Arial"/>
          <w:sz w:val="22"/>
          <w:szCs w:val="22"/>
        </w:rPr>
        <w:t>a number of</w:t>
      </w:r>
      <w:proofErr w:type="gramEnd"/>
      <w:r w:rsidRPr="00023039">
        <w:rPr>
          <w:rFonts w:cs="Arial"/>
          <w:sz w:val="22"/>
          <w:szCs w:val="22"/>
        </w:rPr>
        <w:t> programmes which include elements of, or linkages to, the proposed extension business case. An analysis of the each of the potential programmes is included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1"/>
        <w:gridCol w:w="3304"/>
        <w:gridCol w:w="2423"/>
        <w:gridCol w:w="3346"/>
      </w:tblGrid>
      <w:tr w:rsidR="00023039" w:rsidRPr="00023039" w14:paraId="1E6E3A92" w14:textId="77777777">
        <w:trPr>
          <w:trHeight w:val="300"/>
        </w:trPr>
        <w:tc>
          <w:tcPr>
            <w:tcW w:w="1830" w:type="dxa"/>
            <w:tcBorders>
              <w:top w:val="single" w:sz="4" w:space="0" w:color="auto"/>
              <w:left w:val="single" w:sz="4" w:space="0" w:color="auto"/>
              <w:bottom w:val="single" w:sz="4" w:space="0" w:color="auto"/>
              <w:right w:val="single" w:sz="4" w:space="0" w:color="auto"/>
            </w:tcBorders>
            <w:shd w:val="clear" w:color="auto" w:fill="D9E2F3"/>
            <w:hideMark/>
          </w:tcPr>
          <w:p w14:paraId="6580F799" w14:textId="77777777" w:rsidR="00023039" w:rsidRPr="00023039" w:rsidRDefault="00023039" w:rsidP="00023039">
            <w:pPr>
              <w:rPr>
                <w:rFonts w:cs="Arial"/>
                <w:sz w:val="22"/>
                <w:szCs w:val="22"/>
              </w:rPr>
            </w:pPr>
            <w:r w:rsidRPr="00023039">
              <w:rPr>
                <w:rFonts w:cs="Arial"/>
                <w:b/>
                <w:bCs/>
                <w:sz w:val="22"/>
                <w:szCs w:val="22"/>
              </w:rPr>
              <w:t>Existing HMG programme</w:t>
            </w:r>
            <w:r w:rsidRPr="00023039">
              <w:rPr>
                <w:rFonts w:cs="Arial"/>
                <w:sz w:val="22"/>
                <w:szCs w:val="22"/>
              </w:rPr>
              <w:t> </w:t>
            </w:r>
          </w:p>
        </w:tc>
        <w:tc>
          <w:tcPr>
            <w:tcW w:w="2130" w:type="dxa"/>
            <w:tcBorders>
              <w:top w:val="single" w:sz="4" w:space="0" w:color="auto"/>
              <w:left w:val="single" w:sz="4" w:space="0" w:color="auto"/>
              <w:bottom w:val="single" w:sz="4" w:space="0" w:color="auto"/>
              <w:right w:val="single" w:sz="4" w:space="0" w:color="auto"/>
            </w:tcBorders>
            <w:shd w:val="clear" w:color="auto" w:fill="D9E2F3"/>
            <w:hideMark/>
          </w:tcPr>
          <w:p w14:paraId="1FA79B13" w14:textId="77777777" w:rsidR="00023039" w:rsidRPr="00023039" w:rsidRDefault="00023039" w:rsidP="00023039">
            <w:pPr>
              <w:rPr>
                <w:rFonts w:cs="Arial"/>
                <w:sz w:val="22"/>
                <w:szCs w:val="22"/>
              </w:rPr>
            </w:pPr>
            <w:r w:rsidRPr="00023039">
              <w:rPr>
                <w:rFonts w:cs="Arial"/>
                <w:b/>
                <w:bCs/>
                <w:sz w:val="22"/>
                <w:szCs w:val="22"/>
              </w:rPr>
              <w:t>Details </w:t>
            </w:r>
            <w:r w:rsidRPr="00023039">
              <w:rPr>
                <w:rFonts w:cs="Arial"/>
                <w:sz w:val="22"/>
                <w:szCs w:val="22"/>
              </w:rPr>
              <w:t> </w:t>
            </w:r>
          </w:p>
        </w:tc>
        <w:tc>
          <w:tcPr>
            <w:tcW w:w="2685" w:type="dxa"/>
            <w:tcBorders>
              <w:top w:val="single" w:sz="4" w:space="0" w:color="auto"/>
              <w:left w:val="single" w:sz="4" w:space="0" w:color="auto"/>
              <w:bottom w:val="single" w:sz="4" w:space="0" w:color="auto"/>
              <w:right w:val="single" w:sz="4" w:space="0" w:color="auto"/>
            </w:tcBorders>
            <w:shd w:val="clear" w:color="auto" w:fill="D9E2F3"/>
            <w:hideMark/>
          </w:tcPr>
          <w:p w14:paraId="7BF4F05B" w14:textId="77777777" w:rsidR="00023039" w:rsidRPr="00023039" w:rsidRDefault="00023039" w:rsidP="00023039">
            <w:pPr>
              <w:rPr>
                <w:rFonts w:cs="Arial"/>
                <w:sz w:val="22"/>
                <w:szCs w:val="22"/>
              </w:rPr>
            </w:pPr>
            <w:r w:rsidRPr="00023039">
              <w:rPr>
                <w:rFonts w:cs="Arial"/>
                <w:b/>
                <w:bCs/>
                <w:sz w:val="22"/>
                <w:szCs w:val="22"/>
              </w:rPr>
              <w:t>Advantages </w:t>
            </w:r>
            <w:r w:rsidRPr="00023039">
              <w:rPr>
                <w:rFonts w:cs="Arial"/>
                <w:sz w:val="22"/>
                <w:szCs w:val="22"/>
              </w:rPr>
              <w:t> </w:t>
            </w:r>
          </w:p>
        </w:tc>
        <w:tc>
          <w:tcPr>
            <w:tcW w:w="3255" w:type="dxa"/>
            <w:tcBorders>
              <w:top w:val="single" w:sz="4" w:space="0" w:color="auto"/>
              <w:left w:val="single" w:sz="4" w:space="0" w:color="auto"/>
              <w:bottom w:val="single" w:sz="4" w:space="0" w:color="auto"/>
              <w:right w:val="single" w:sz="4" w:space="0" w:color="auto"/>
            </w:tcBorders>
            <w:shd w:val="clear" w:color="auto" w:fill="D9E2F3"/>
            <w:hideMark/>
          </w:tcPr>
          <w:p w14:paraId="7EB5C5B2" w14:textId="77777777" w:rsidR="00023039" w:rsidRPr="00023039" w:rsidRDefault="00023039" w:rsidP="00023039">
            <w:pPr>
              <w:rPr>
                <w:rFonts w:cs="Arial"/>
                <w:sz w:val="22"/>
                <w:szCs w:val="22"/>
              </w:rPr>
            </w:pPr>
            <w:r w:rsidRPr="00023039">
              <w:rPr>
                <w:rFonts w:cs="Arial"/>
                <w:b/>
                <w:bCs/>
                <w:sz w:val="22"/>
                <w:szCs w:val="22"/>
              </w:rPr>
              <w:t>Disadvantages </w:t>
            </w:r>
            <w:r w:rsidRPr="00023039">
              <w:rPr>
                <w:rFonts w:cs="Arial"/>
                <w:sz w:val="22"/>
                <w:szCs w:val="22"/>
              </w:rPr>
              <w:t> </w:t>
            </w:r>
          </w:p>
        </w:tc>
      </w:tr>
      <w:tr w:rsidR="00023039" w:rsidRPr="00023039" w14:paraId="7ECB9B03" w14:textId="77777777">
        <w:trPr>
          <w:trHeight w:val="4095"/>
        </w:trPr>
        <w:tc>
          <w:tcPr>
            <w:tcW w:w="1830" w:type="dxa"/>
            <w:tcBorders>
              <w:top w:val="single" w:sz="4" w:space="0" w:color="auto"/>
              <w:left w:val="single" w:sz="4" w:space="0" w:color="auto"/>
              <w:bottom w:val="single" w:sz="4" w:space="0" w:color="auto"/>
              <w:right w:val="single" w:sz="4" w:space="0" w:color="auto"/>
            </w:tcBorders>
            <w:hideMark/>
          </w:tcPr>
          <w:p w14:paraId="05C9C517" w14:textId="77777777" w:rsidR="00023039" w:rsidRPr="00023039" w:rsidRDefault="00023039" w:rsidP="00023039">
            <w:pPr>
              <w:rPr>
                <w:rFonts w:cs="Arial"/>
                <w:sz w:val="22"/>
                <w:szCs w:val="22"/>
              </w:rPr>
            </w:pPr>
            <w:r w:rsidRPr="00023039">
              <w:rPr>
                <w:rFonts w:cs="Arial"/>
                <w:sz w:val="22"/>
                <w:szCs w:val="22"/>
              </w:rPr>
              <w:t>SCALE  </w:t>
            </w:r>
          </w:p>
        </w:tc>
        <w:tc>
          <w:tcPr>
            <w:tcW w:w="2130" w:type="dxa"/>
            <w:tcBorders>
              <w:top w:val="single" w:sz="4" w:space="0" w:color="auto"/>
              <w:left w:val="single" w:sz="4" w:space="0" w:color="auto"/>
              <w:bottom w:val="single" w:sz="4" w:space="0" w:color="auto"/>
              <w:right w:val="single" w:sz="4" w:space="0" w:color="auto"/>
            </w:tcBorders>
            <w:hideMark/>
          </w:tcPr>
          <w:p w14:paraId="289AB2DD" w14:textId="77777777" w:rsidR="00023039" w:rsidRPr="00023039" w:rsidRDefault="00023039" w:rsidP="00023039">
            <w:pPr>
              <w:rPr>
                <w:rFonts w:cs="Arial"/>
                <w:sz w:val="22"/>
                <w:szCs w:val="22"/>
              </w:rPr>
            </w:pPr>
            <w:r w:rsidRPr="00023039">
              <w:rPr>
                <w:rFonts w:cs="Arial"/>
                <w:sz w:val="22"/>
                <w:szCs w:val="22"/>
              </w:rPr>
              <w:t>Provide additional funding to SCALE. SCALE provides technical assistance and grant support to generate high-quality verified greenhouse gas emission reductions credits (ERs) with both high social and environmental integrity.  SCALE (World Bank) already work with current delivery partner (FAO) </w:t>
            </w:r>
          </w:p>
        </w:tc>
        <w:tc>
          <w:tcPr>
            <w:tcW w:w="2685" w:type="dxa"/>
            <w:tcBorders>
              <w:top w:val="single" w:sz="4" w:space="0" w:color="auto"/>
              <w:left w:val="single" w:sz="4" w:space="0" w:color="auto"/>
              <w:bottom w:val="single" w:sz="4" w:space="0" w:color="auto"/>
              <w:right w:val="single" w:sz="4" w:space="0" w:color="auto"/>
            </w:tcBorders>
            <w:hideMark/>
          </w:tcPr>
          <w:p w14:paraId="51CC81E7" w14:textId="77777777" w:rsidR="00023039" w:rsidRPr="00023039" w:rsidRDefault="00023039" w:rsidP="00023039">
            <w:pPr>
              <w:numPr>
                <w:ilvl w:val="0"/>
                <w:numId w:val="329"/>
              </w:numPr>
              <w:rPr>
                <w:rFonts w:cs="Arial"/>
                <w:sz w:val="22"/>
                <w:szCs w:val="22"/>
              </w:rPr>
            </w:pPr>
            <w:r w:rsidRPr="00023039">
              <w:rPr>
                <w:rFonts w:cs="Arial"/>
                <w:sz w:val="22"/>
                <w:szCs w:val="22"/>
              </w:rPr>
              <w:t>CSF 3: Experienced and respected delivery partner who is already providing technical assistance at scale and works on a broad range of components, including REDD+ MRV. </w:t>
            </w:r>
          </w:p>
        </w:tc>
        <w:tc>
          <w:tcPr>
            <w:tcW w:w="3255" w:type="dxa"/>
            <w:tcBorders>
              <w:top w:val="single" w:sz="4" w:space="0" w:color="auto"/>
              <w:left w:val="single" w:sz="4" w:space="0" w:color="auto"/>
              <w:bottom w:val="single" w:sz="4" w:space="0" w:color="auto"/>
              <w:right w:val="single" w:sz="4" w:space="0" w:color="auto"/>
            </w:tcBorders>
            <w:hideMark/>
          </w:tcPr>
          <w:p w14:paraId="2DA06EE9" w14:textId="77777777" w:rsidR="00023039" w:rsidRPr="00023039" w:rsidRDefault="00023039" w:rsidP="00023039">
            <w:pPr>
              <w:numPr>
                <w:ilvl w:val="0"/>
                <w:numId w:val="330"/>
              </w:numPr>
              <w:rPr>
                <w:rFonts w:cs="Arial"/>
                <w:sz w:val="22"/>
                <w:szCs w:val="22"/>
              </w:rPr>
            </w:pPr>
            <w:r w:rsidRPr="00023039">
              <w:rPr>
                <w:rFonts w:cs="Arial"/>
                <w:sz w:val="22"/>
                <w:szCs w:val="22"/>
              </w:rPr>
              <w:t>CSF 1 and 5: The technical assistance provided by SCALE is tied to the existing SCALE ERPA countries, meaning that it is smaller in geographical scope than the global nature of AIM4Forests. AIM4Forests supports forest monitoring for a broader range of such as the KMGBF, which is out-of-scope for the SCALE programme.  </w:t>
            </w:r>
          </w:p>
        </w:tc>
      </w:tr>
      <w:tr w:rsidR="00023039" w:rsidRPr="00023039" w14:paraId="2AE03018" w14:textId="77777777">
        <w:trPr>
          <w:trHeight w:val="300"/>
        </w:trPr>
        <w:tc>
          <w:tcPr>
            <w:tcW w:w="1830" w:type="dxa"/>
            <w:tcBorders>
              <w:top w:val="single" w:sz="4" w:space="0" w:color="auto"/>
              <w:left w:val="single" w:sz="4" w:space="0" w:color="auto"/>
              <w:bottom w:val="single" w:sz="4" w:space="0" w:color="auto"/>
              <w:right w:val="single" w:sz="4" w:space="0" w:color="auto"/>
            </w:tcBorders>
            <w:hideMark/>
          </w:tcPr>
          <w:p w14:paraId="6406AF09" w14:textId="77777777" w:rsidR="00023039" w:rsidRPr="00023039" w:rsidRDefault="00023039" w:rsidP="00023039">
            <w:pPr>
              <w:rPr>
                <w:rFonts w:cs="Arial"/>
                <w:sz w:val="22"/>
                <w:szCs w:val="22"/>
              </w:rPr>
            </w:pPr>
            <w:r w:rsidRPr="00023039">
              <w:rPr>
                <w:rFonts w:cs="Arial"/>
                <w:sz w:val="22"/>
                <w:szCs w:val="22"/>
              </w:rPr>
              <w:t xml:space="preserve">LEAF Technical Assistance </w:t>
            </w:r>
            <w:r w:rsidRPr="00023039">
              <w:rPr>
                <w:rFonts w:cs="Arial"/>
                <w:sz w:val="22"/>
                <w:szCs w:val="22"/>
              </w:rPr>
              <w:lastRenderedPageBreak/>
              <w:t>Programme (TAP) </w:t>
            </w:r>
          </w:p>
        </w:tc>
        <w:tc>
          <w:tcPr>
            <w:tcW w:w="2130" w:type="dxa"/>
            <w:tcBorders>
              <w:top w:val="single" w:sz="4" w:space="0" w:color="auto"/>
              <w:left w:val="single" w:sz="4" w:space="0" w:color="auto"/>
              <w:bottom w:val="single" w:sz="4" w:space="0" w:color="auto"/>
              <w:right w:val="single" w:sz="4" w:space="0" w:color="auto"/>
            </w:tcBorders>
            <w:hideMark/>
          </w:tcPr>
          <w:p w14:paraId="6F75CA4D" w14:textId="77777777" w:rsidR="00023039" w:rsidRPr="00023039" w:rsidRDefault="00023039" w:rsidP="00023039">
            <w:pPr>
              <w:rPr>
                <w:rFonts w:cs="Arial"/>
                <w:sz w:val="22"/>
                <w:szCs w:val="22"/>
              </w:rPr>
            </w:pPr>
            <w:r w:rsidRPr="00023039">
              <w:rPr>
                <w:rFonts w:cs="Arial"/>
                <w:sz w:val="22"/>
                <w:szCs w:val="22"/>
              </w:rPr>
              <w:lastRenderedPageBreak/>
              <w:t xml:space="preserve">Provide additional funding to LEAF TAP. The Ricardo-led consortium provides </w:t>
            </w:r>
            <w:r w:rsidRPr="00023039">
              <w:rPr>
                <w:rFonts w:cs="Arial"/>
                <w:sz w:val="22"/>
                <w:szCs w:val="22"/>
              </w:rPr>
              <w:lastRenderedPageBreak/>
              <w:t>technical assistance to jurisdictions working towards ERPAs with the LEAF Coalition  </w:t>
            </w:r>
          </w:p>
        </w:tc>
        <w:tc>
          <w:tcPr>
            <w:tcW w:w="2685" w:type="dxa"/>
            <w:tcBorders>
              <w:top w:val="single" w:sz="4" w:space="0" w:color="auto"/>
              <w:left w:val="single" w:sz="4" w:space="0" w:color="auto"/>
              <w:bottom w:val="single" w:sz="4" w:space="0" w:color="auto"/>
              <w:right w:val="single" w:sz="4" w:space="0" w:color="auto"/>
            </w:tcBorders>
            <w:hideMark/>
          </w:tcPr>
          <w:p w14:paraId="14DEEA9B" w14:textId="77777777" w:rsidR="00023039" w:rsidRPr="00023039" w:rsidRDefault="00023039" w:rsidP="00023039">
            <w:pPr>
              <w:numPr>
                <w:ilvl w:val="0"/>
                <w:numId w:val="331"/>
              </w:numPr>
              <w:rPr>
                <w:rFonts w:cs="Arial"/>
                <w:sz w:val="22"/>
                <w:szCs w:val="22"/>
              </w:rPr>
            </w:pPr>
            <w:r w:rsidRPr="00023039">
              <w:rPr>
                <w:rFonts w:cs="Arial"/>
                <w:sz w:val="22"/>
                <w:szCs w:val="22"/>
              </w:rPr>
              <w:lastRenderedPageBreak/>
              <w:t xml:space="preserve">CSF 3: Experienced and respected delivery partner </w:t>
            </w:r>
            <w:r w:rsidRPr="00023039">
              <w:rPr>
                <w:rFonts w:cs="Arial"/>
                <w:sz w:val="22"/>
                <w:szCs w:val="22"/>
              </w:rPr>
              <w:lastRenderedPageBreak/>
              <w:t>who is already providing technical assistance at scale  </w:t>
            </w:r>
          </w:p>
          <w:p w14:paraId="46DAEEE3" w14:textId="77777777" w:rsidR="00023039" w:rsidRPr="00023039" w:rsidRDefault="00023039" w:rsidP="00023039">
            <w:pPr>
              <w:rPr>
                <w:rFonts w:cs="Arial"/>
                <w:sz w:val="22"/>
                <w:szCs w:val="22"/>
              </w:rPr>
            </w:pPr>
            <w:r w:rsidRPr="00023039">
              <w:rPr>
                <w:rFonts w:cs="Arial"/>
                <w:sz w:val="22"/>
                <w:szCs w:val="22"/>
              </w:rPr>
              <w:t> </w:t>
            </w:r>
          </w:p>
        </w:tc>
        <w:tc>
          <w:tcPr>
            <w:tcW w:w="3255" w:type="dxa"/>
            <w:tcBorders>
              <w:top w:val="single" w:sz="4" w:space="0" w:color="auto"/>
              <w:left w:val="single" w:sz="4" w:space="0" w:color="auto"/>
              <w:bottom w:val="single" w:sz="4" w:space="0" w:color="auto"/>
              <w:right w:val="single" w:sz="4" w:space="0" w:color="auto"/>
            </w:tcBorders>
            <w:hideMark/>
          </w:tcPr>
          <w:p w14:paraId="580B453E" w14:textId="77777777" w:rsidR="00023039" w:rsidRPr="00023039" w:rsidRDefault="00023039" w:rsidP="00023039">
            <w:pPr>
              <w:numPr>
                <w:ilvl w:val="0"/>
                <w:numId w:val="332"/>
              </w:numPr>
              <w:rPr>
                <w:rFonts w:cs="Arial"/>
                <w:sz w:val="22"/>
                <w:szCs w:val="22"/>
              </w:rPr>
            </w:pPr>
            <w:r w:rsidRPr="00023039">
              <w:rPr>
                <w:rFonts w:cs="Arial"/>
                <w:sz w:val="22"/>
                <w:szCs w:val="22"/>
              </w:rPr>
              <w:lastRenderedPageBreak/>
              <w:t xml:space="preserve">CSF 5: Technical assistance provided by LEAF aligns with LEAF countries which is </w:t>
            </w:r>
            <w:r w:rsidRPr="00023039">
              <w:rPr>
                <w:rFonts w:cs="Arial"/>
                <w:sz w:val="22"/>
                <w:szCs w:val="22"/>
              </w:rPr>
              <w:lastRenderedPageBreak/>
              <w:t>smaller in geographical scope than the global nature of AIM.  </w:t>
            </w:r>
          </w:p>
          <w:p w14:paraId="436C4001" w14:textId="77777777" w:rsidR="00023039" w:rsidRPr="00023039" w:rsidRDefault="00023039" w:rsidP="00023039">
            <w:pPr>
              <w:numPr>
                <w:ilvl w:val="0"/>
                <w:numId w:val="333"/>
              </w:numPr>
              <w:rPr>
                <w:rFonts w:cs="Arial"/>
                <w:sz w:val="22"/>
                <w:szCs w:val="22"/>
              </w:rPr>
            </w:pPr>
            <w:r w:rsidRPr="00023039">
              <w:rPr>
                <w:rFonts w:cs="Arial"/>
                <w:sz w:val="22"/>
                <w:szCs w:val="22"/>
              </w:rPr>
              <w:t>CSF 1: The assistance provided by LEAF is targeted at helping forest countries meet the requirements for ART/TREES. This is a much narrower scope/ objective than AIM4Forests, and will limit the reach of the programme </w:t>
            </w:r>
          </w:p>
        </w:tc>
      </w:tr>
      <w:tr w:rsidR="00023039" w:rsidRPr="00023039" w14:paraId="5AB32CD0" w14:textId="77777777">
        <w:trPr>
          <w:trHeight w:val="300"/>
        </w:trPr>
        <w:tc>
          <w:tcPr>
            <w:tcW w:w="1830" w:type="dxa"/>
            <w:tcBorders>
              <w:top w:val="single" w:sz="4" w:space="0" w:color="auto"/>
              <w:left w:val="single" w:sz="4" w:space="0" w:color="auto"/>
              <w:bottom w:val="single" w:sz="4" w:space="0" w:color="auto"/>
              <w:right w:val="single" w:sz="4" w:space="0" w:color="auto"/>
            </w:tcBorders>
            <w:hideMark/>
          </w:tcPr>
          <w:p w14:paraId="75A1D85D" w14:textId="77777777" w:rsidR="00023039" w:rsidRPr="00023039" w:rsidRDefault="00023039" w:rsidP="00023039">
            <w:pPr>
              <w:rPr>
                <w:rFonts w:cs="Arial"/>
                <w:sz w:val="22"/>
                <w:szCs w:val="22"/>
              </w:rPr>
            </w:pPr>
            <w:r w:rsidRPr="00023039">
              <w:rPr>
                <w:rFonts w:cs="Arial"/>
                <w:sz w:val="22"/>
                <w:szCs w:val="22"/>
              </w:rPr>
              <w:lastRenderedPageBreak/>
              <w:t>UN-REDD  </w:t>
            </w:r>
          </w:p>
        </w:tc>
        <w:tc>
          <w:tcPr>
            <w:tcW w:w="2130" w:type="dxa"/>
            <w:tcBorders>
              <w:top w:val="single" w:sz="4" w:space="0" w:color="auto"/>
              <w:left w:val="single" w:sz="4" w:space="0" w:color="auto"/>
              <w:bottom w:val="single" w:sz="4" w:space="0" w:color="auto"/>
              <w:right w:val="single" w:sz="4" w:space="0" w:color="auto"/>
            </w:tcBorders>
            <w:hideMark/>
          </w:tcPr>
          <w:p w14:paraId="5CF66B35" w14:textId="77777777" w:rsidR="00023039" w:rsidRPr="00023039" w:rsidRDefault="00023039" w:rsidP="00023039">
            <w:pPr>
              <w:rPr>
                <w:rFonts w:cs="Arial"/>
                <w:sz w:val="22"/>
                <w:szCs w:val="22"/>
              </w:rPr>
            </w:pPr>
            <w:r w:rsidRPr="00023039">
              <w:rPr>
                <w:rFonts w:cs="Arial"/>
                <w:sz w:val="22"/>
                <w:szCs w:val="22"/>
              </w:rPr>
              <w:t>Provide funding to UNREDD which focuses on forest tenure, governance and carbon rights, forest landscape restoration, forest positive agriculture and food systems, national forest monitoring </w:t>
            </w:r>
          </w:p>
        </w:tc>
        <w:tc>
          <w:tcPr>
            <w:tcW w:w="2685" w:type="dxa"/>
            <w:tcBorders>
              <w:top w:val="single" w:sz="4" w:space="0" w:color="auto"/>
              <w:left w:val="single" w:sz="4" w:space="0" w:color="auto"/>
              <w:bottom w:val="single" w:sz="4" w:space="0" w:color="auto"/>
              <w:right w:val="single" w:sz="4" w:space="0" w:color="auto"/>
            </w:tcBorders>
            <w:hideMark/>
          </w:tcPr>
          <w:p w14:paraId="747BC12B" w14:textId="77777777" w:rsidR="00023039" w:rsidRPr="00023039" w:rsidRDefault="00023039" w:rsidP="00023039">
            <w:pPr>
              <w:numPr>
                <w:ilvl w:val="0"/>
                <w:numId w:val="334"/>
              </w:numPr>
              <w:rPr>
                <w:rFonts w:cs="Arial"/>
                <w:sz w:val="22"/>
                <w:szCs w:val="22"/>
              </w:rPr>
            </w:pPr>
            <w:r w:rsidRPr="00023039">
              <w:rPr>
                <w:rFonts w:cs="Arial"/>
                <w:sz w:val="22"/>
                <w:szCs w:val="22"/>
              </w:rPr>
              <w:t>CSF 3: Experienced and respected delivery partner with large global reach to mobilise impact at scale  </w:t>
            </w:r>
          </w:p>
          <w:p w14:paraId="4AAE848F" w14:textId="77777777" w:rsidR="00023039" w:rsidRPr="00023039" w:rsidRDefault="00023039" w:rsidP="00023039">
            <w:pPr>
              <w:numPr>
                <w:ilvl w:val="0"/>
                <w:numId w:val="335"/>
              </w:numPr>
              <w:rPr>
                <w:rFonts w:cs="Arial"/>
                <w:sz w:val="22"/>
                <w:szCs w:val="22"/>
              </w:rPr>
            </w:pPr>
            <w:r w:rsidRPr="00023039">
              <w:rPr>
                <w:rFonts w:cs="Arial"/>
                <w:sz w:val="22"/>
                <w:szCs w:val="22"/>
              </w:rPr>
              <w:t>UNREDD is the largest international provider of REDD+ assistance. </w:t>
            </w:r>
          </w:p>
          <w:p w14:paraId="24203832" w14:textId="77777777" w:rsidR="00023039" w:rsidRPr="00023039" w:rsidRDefault="00023039" w:rsidP="00023039">
            <w:pPr>
              <w:numPr>
                <w:ilvl w:val="0"/>
                <w:numId w:val="336"/>
              </w:numPr>
              <w:rPr>
                <w:rFonts w:cs="Arial"/>
                <w:sz w:val="22"/>
                <w:szCs w:val="22"/>
              </w:rPr>
            </w:pPr>
            <w:r w:rsidRPr="00023039">
              <w:rPr>
                <w:rFonts w:cs="Arial"/>
                <w:sz w:val="22"/>
                <w:szCs w:val="22"/>
              </w:rPr>
              <w:t>Already operational, with existing governance frameworks and transparent monitoring and reporting. </w:t>
            </w:r>
          </w:p>
          <w:p w14:paraId="03188C44" w14:textId="77777777" w:rsidR="00023039" w:rsidRPr="00023039" w:rsidRDefault="00023039" w:rsidP="00023039">
            <w:pPr>
              <w:numPr>
                <w:ilvl w:val="0"/>
                <w:numId w:val="337"/>
              </w:numPr>
              <w:rPr>
                <w:rFonts w:cs="Arial"/>
                <w:sz w:val="22"/>
                <w:szCs w:val="22"/>
              </w:rPr>
            </w:pPr>
            <w:r w:rsidRPr="00023039">
              <w:rPr>
                <w:rFonts w:cs="Arial"/>
                <w:sz w:val="22"/>
                <w:szCs w:val="22"/>
              </w:rPr>
              <w:t>UN-REDD is already part of the delivery arrangement for AIM4Forests which is delivered in collaboration with UN-REDD.  </w:t>
            </w:r>
          </w:p>
        </w:tc>
        <w:tc>
          <w:tcPr>
            <w:tcW w:w="3255" w:type="dxa"/>
            <w:tcBorders>
              <w:top w:val="single" w:sz="4" w:space="0" w:color="auto"/>
              <w:left w:val="single" w:sz="4" w:space="0" w:color="auto"/>
              <w:bottom w:val="single" w:sz="4" w:space="0" w:color="auto"/>
              <w:right w:val="single" w:sz="4" w:space="0" w:color="auto"/>
            </w:tcBorders>
            <w:hideMark/>
          </w:tcPr>
          <w:p w14:paraId="5FC9C5B9" w14:textId="77777777" w:rsidR="00023039" w:rsidRPr="00023039" w:rsidRDefault="00023039" w:rsidP="00023039">
            <w:pPr>
              <w:numPr>
                <w:ilvl w:val="0"/>
                <w:numId w:val="338"/>
              </w:numPr>
              <w:rPr>
                <w:rFonts w:cs="Arial"/>
                <w:sz w:val="22"/>
                <w:szCs w:val="22"/>
              </w:rPr>
            </w:pPr>
            <w:r w:rsidRPr="00023039">
              <w:rPr>
                <w:rFonts w:cs="Arial"/>
                <w:sz w:val="22"/>
                <w:szCs w:val="22"/>
              </w:rPr>
              <w:t>CSF 1: The objectives and scope of both programmes differ. UN-REDD is focused on technical assistance for REDD+ only but AIM4Forests focuses on forest monitoring for climate finance opportunities beyond REDD+, as well as for other key issues such as nature restoration and unsustainable commodity production.  </w:t>
            </w:r>
          </w:p>
        </w:tc>
      </w:tr>
      <w:tr w:rsidR="00023039" w:rsidRPr="00023039" w14:paraId="71F55BC3" w14:textId="77777777">
        <w:trPr>
          <w:trHeight w:val="300"/>
        </w:trPr>
        <w:tc>
          <w:tcPr>
            <w:tcW w:w="1830" w:type="dxa"/>
            <w:tcBorders>
              <w:top w:val="single" w:sz="4" w:space="0" w:color="auto"/>
              <w:left w:val="single" w:sz="4" w:space="0" w:color="auto"/>
              <w:bottom w:val="single" w:sz="4" w:space="0" w:color="auto"/>
              <w:right w:val="single" w:sz="4" w:space="0" w:color="auto"/>
            </w:tcBorders>
            <w:hideMark/>
          </w:tcPr>
          <w:p w14:paraId="26CB19E8" w14:textId="77777777" w:rsidR="00023039" w:rsidRPr="00023039" w:rsidRDefault="00023039" w:rsidP="00023039">
            <w:pPr>
              <w:rPr>
                <w:rFonts w:cs="Arial"/>
                <w:sz w:val="22"/>
                <w:szCs w:val="22"/>
              </w:rPr>
            </w:pPr>
            <w:r w:rsidRPr="00023039">
              <w:rPr>
                <w:rFonts w:cs="Arial"/>
                <w:sz w:val="22"/>
                <w:szCs w:val="22"/>
              </w:rPr>
              <w:t>FGMC </w:t>
            </w:r>
          </w:p>
        </w:tc>
        <w:tc>
          <w:tcPr>
            <w:tcW w:w="2130" w:type="dxa"/>
            <w:tcBorders>
              <w:top w:val="single" w:sz="4" w:space="0" w:color="auto"/>
              <w:left w:val="single" w:sz="4" w:space="0" w:color="auto"/>
              <w:bottom w:val="single" w:sz="4" w:space="0" w:color="auto"/>
              <w:right w:val="single" w:sz="4" w:space="0" w:color="auto"/>
            </w:tcBorders>
            <w:hideMark/>
          </w:tcPr>
          <w:p w14:paraId="58AD93CD" w14:textId="77777777" w:rsidR="00023039" w:rsidRPr="00023039" w:rsidRDefault="00023039" w:rsidP="00023039">
            <w:pPr>
              <w:rPr>
                <w:rFonts w:cs="Arial"/>
                <w:sz w:val="22"/>
                <w:szCs w:val="22"/>
              </w:rPr>
            </w:pPr>
            <w:r w:rsidRPr="00023039">
              <w:rPr>
                <w:rFonts w:cs="Arial"/>
                <w:sz w:val="22"/>
                <w:szCs w:val="22"/>
              </w:rPr>
              <w:t xml:space="preserve">Provide funding to FGMC which supports the UK’s efforts to restore </w:t>
            </w:r>
            <w:r w:rsidRPr="00023039">
              <w:rPr>
                <w:rFonts w:cs="Arial"/>
                <w:sz w:val="22"/>
                <w:szCs w:val="22"/>
              </w:rPr>
              <w:lastRenderedPageBreak/>
              <w:t>leadership and engagement on climate and nature.  </w:t>
            </w:r>
          </w:p>
        </w:tc>
        <w:tc>
          <w:tcPr>
            <w:tcW w:w="2685" w:type="dxa"/>
            <w:tcBorders>
              <w:top w:val="single" w:sz="4" w:space="0" w:color="auto"/>
              <w:left w:val="single" w:sz="4" w:space="0" w:color="auto"/>
              <w:bottom w:val="single" w:sz="4" w:space="0" w:color="auto"/>
              <w:right w:val="single" w:sz="4" w:space="0" w:color="auto"/>
            </w:tcBorders>
            <w:hideMark/>
          </w:tcPr>
          <w:p w14:paraId="160BF3FF" w14:textId="77777777" w:rsidR="00023039" w:rsidRPr="00023039" w:rsidRDefault="00023039" w:rsidP="00023039">
            <w:pPr>
              <w:numPr>
                <w:ilvl w:val="0"/>
                <w:numId w:val="339"/>
              </w:numPr>
              <w:rPr>
                <w:rFonts w:cs="Arial"/>
                <w:sz w:val="22"/>
                <w:szCs w:val="22"/>
              </w:rPr>
            </w:pPr>
            <w:r w:rsidRPr="00023039">
              <w:rPr>
                <w:rFonts w:cs="Arial"/>
                <w:sz w:val="22"/>
                <w:szCs w:val="22"/>
              </w:rPr>
              <w:lastRenderedPageBreak/>
              <w:t xml:space="preserve">CSF 3: Experienced and respected </w:t>
            </w:r>
            <w:r w:rsidRPr="00023039">
              <w:rPr>
                <w:rFonts w:cs="Arial"/>
                <w:sz w:val="22"/>
                <w:szCs w:val="22"/>
              </w:rPr>
              <w:lastRenderedPageBreak/>
              <w:t>delivery partner with large global reach to mobilise impact at scale </w:t>
            </w:r>
          </w:p>
          <w:p w14:paraId="639C2CEA" w14:textId="77777777" w:rsidR="00023039" w:rsidRPr="00023039" w:rsidRDefault="00023039" w:rsidP="00023039">
            <w:pPr>
              <w:numPr>
                <w:ilvl w:val="0"/>
                <w:numId w:val="340"/>
              </w:numPr>
              <w:rPr>
                <w:rFonts w:cs="Arial"/>
                <w:sz w:val="22"/>
                <w:szCs w:val="22"/>
              </w:rPr>
            </w:pPr>
            <w:r w:rsidRPr="00023039">
              <w:rPr>
                <w:rFonts w:cs="Arial"/>
                <w:sz w:val="22"/>
                <w:szCs w:val="22"/>
              </w:rPr>
              <w:t>Undertakes some work on unsustainable commodity production which may allow it to partially deliver against Objective 5.  </w:t>
            </w:r>
          </w:p>
        </w:tc>
        <w:tc>
          <w:tcPr>
            <w:tcW w:w="3255" w:type="dxa"/>
            <w:tcBorders>
              <w:top w:val="single" w:sz="4" w:space="0" w:color="auto"/>
              <w:left w:val="single" w:sz="4" w:space="0" w:color="auto"/>
              <w:bottom w:val="single" w:sz="4" w:space="0" w:color="auto"/>
              <w:right w:val="single" w:sz="4" w:space="0" w:color="auto"/>
            </w:tcBorders>
            <w:hideMark/>
          </w:tcPr>
          <w:p w14:paraId="7973FE72" w14:textId="77777777" w:rsidR="00023039" w:rsidRPr="00023039" w:rsidRDefault="00023039" w:rsidP="00023039">
            <w:pPr>
              <w:numPr>
                <w:ilvl w:val="0"/>
                <w:numId w:val="341"/>
              </w:numPr>
              <w:rPr>
                <w:rFonts w:cs="Arial"/>
                <w:sz w:val="22"/>
                <w:szCs w:val="22"/>
              </w:rPr>
            </w:pPr>
            <w:r w:rsidRPr="00023039">
              <w:rPr>
                <w:rFonts w:cs="Arial"/>
                <w:sz w:val="22"/>
                <w:szCs w:val="22"/>
              </w:rPr>
              <w:lastRenderedPageBreak/>
              <w:t xml:space="preserve">CSF 1, 3 and 5: While FGMC does support </w:t>
            </w:r>
            <w:r w:rsidRPr="00023039">
              <w:rPr>
                <w:rFonts w:cs="Arial"/>
                <w:sz w:val="22"/>
                <w:szCs w:val="22"/>
              </w:rPr>
              <w:lastRenderedPageBreak/>
              <w:t>traceability tools and mechanisms, the programme is focused primarily on governance and forest monitoring is not core business. It would not be possible for FGMC to cover the objectives of AIM4Forests extension. </w:t>
            </w:r>
          </w:p>
        </w:tc>
      </w:tr>
      <w:tr w:rsidR="00023039" w:rsidRPr="00023039" w14:paraId="70CC4589" w14:textId="77777777">
        <w:trPr>
          <w:trHeight w:val="300"/>
        </w:trPr>
        <w:tc>
          <w:tcPr>
            <w:tcW w:w="1830" w:type="dxa"/>
            <w:tcBorders>
              <w:top w:val="single" w:sz="4" w:space="0" w:color="auto"/>
              <w:left w:val="single" w:sz="4" w:space="0" w:color="auto"/>
              <w:bottom w:val="single" w:sz="4" w:space="0" w:color="auto"/>
              <w:right w:val="single" w:sz="4" w:space="0" w:color="auto"/>
            </w:tcBorders>
            <w:hideMark/>
          </w:tcPr>
          <w:p w14:paraId="6CCE4DE2" w14:textId="77777777" w:rsidR="00023039" w:rsidRPr="00023039" w:rsidRDefault="00023039" w:rsidP="00023039">
            <w:pPr>
              <w:rPr>
                <w:rFonts w:cs="Arial"/>
                <w:sz w:val="22"/>
                <w:szCs w:val="22"/>
              </w:rPr>
            </w:pPr>
            <w:r w:rsidRPr="00023039">
              <w:rPr>
                <w:rFonts w:cs="Arial"/>
                <w:sz w:val="22"/>
                <w:szCs w:val="22"/>
              </w:rPr>
              <w:lastRenderedPageBreak/>
              <w:t>IFSLU/P4F  </w:t>
            </w:r>
          </w:p>
        </w:tc>
        <w:tc>
          <w:tcPr>
            <w:tcW w:w="2130" w:type="dxa"/>
            <w:tcBorders>
              <w:top w:val="single" w:sz="4" w:space="0" w:color="auto"/>
              <w:left w:val="single" w:sz="4" w:space="0" w:color="auto"/>
              <w:bottom w:val="single" w:sz="4" w:space="0" w:color="auto"/>
              <w:right w:val="single" w:sz="4" w:space="0" w:color="auto"/>
            </w:tcBorders>
            <w:hideMark/>
          </w:tcPr>
          <w:p w14:paraId="418ED5A8" w14:textId="77777777" w:rsidR="00023039" w:rsidRPr="00023039" w:rsidRDefault="00023039" w:rsidP="00023039">
            <w:pPr>
              <w:rPr>
                <w:rFonts w:cs="Arial"/>
                <w:sz w:val="22"/>
                <w:szCs w:val="22"/>
              </w:rPr>
            </w:pPr>
            <w:r w:rsidRPr="00023039">
              <w:rPr>
                <w:rFonts w:cs="Arial"/>
                <w:sz w:val="22"/>
                <w:szCs w:val="22"/>
              </w:rPr>
              <w:t>Provide funding to IFSLU which focuses on tackling deforestation and promoting sustainable land use, particularly for smallholder farmers.  </w:t>
            </w:r>
          </w:p>
        </w:tc>
        <w:tc>
          <w:tcPr>
            <w:tcW w:w="2685" w:type="dxa"/>
            <w:tcBorders>
              <w:top w:val="single" w:sz="4" w:space="0" w:color="auto"/>
              <w:left w:val="single" w:sz="4" w:space="0" w:color="auto"/>
              <w:bottom w:val="single" w:sz="4" w:space="0" w:color="auto"/>
              <w:right w:val="single" w:sz="4" w:space="0" w:color="auto"/>
            </w:tcBorders>
            <w:hideMark/>
          </w:tcPr>
          <w:p w14:paraId="1FA75FEE" w14:textId="77777777" w:rsidR="00023039" w:rsidRPr="00023039" w:rsidRDefault="00023039" w:rsidP="00023039">
            <w:pPr>
              <w:numPr>
                <w:ilvl w:val="0"/>
                <w:numId w:val="342"/>
              </w:numPr>
              <w:rPr>
                <w:rFonts w:cs="Arial"/>
                <w:sz w:val="22"/>
                <w:szCs w:val="22"/>
              </w:rPr>
            </w:pPr>
            <w:r w:rsidRPr="00023039">
              <w:rPr>
                <w:rFonts w:cs="Arial"/>
                <w:sz w:val="22"/>
                <w:szCs w:val="22"/>
              </w:rPr>
              <w:t>CSF 3: Experienced and respected delivery partner with large global reach to mobilise impact at scale </w:t>
            </w:r>
          </w:p>
          <w:p w14:paraId="7317F564" w14:textId="77777777" w:rsidR="00023039" w:rsidRPr="00023039" w:rsidRDefault="00023039" w:rsidP="00023039">
            <w:pPr>
              <w:numPr>
                <w:ilvl w:val="0"/>
                <w:numId w:val="343"/>
              </w:numPr>
              <w:rPr>
                <w:rFonts w:cs="Arial"/>
                <w:sz w:val="22"/>
                <w:szCs w:val="22"/>
              </w:rPr>
            </w:pPr>
            <w:r w:rsidRPr="00023039">
              <w:rPr>
                <w:rFonts w:cs="Arial"/>
                <w:sz w:val="22"/>
                <w:szCs w:val="22"/>
              </w:rPr>
              <w:t>Undertakes some work on unsustainable commodity production which may allow it to partially deliver against Objective 6. </w:t>
            </w:r>
          </w:p>
        </w:tc>
        <w:tc>
          <w:tcPr>
            <w:tcW w:w="3255" w:type="dxa"/>
            <w:tcBorders>
              <w:top w:val="single" w:sz="4" w:space="0" w:color="auto"/>
              <w:left w:val="single" w:sz="4" w:space="0" w:color="auto"/>
              <w:bottom w:val="single" w:sz="4" w:space="0" w:color="auto"/>
              <w:right w:val="single" w:sz="4" w:space="0" w:color="auto"/>
            </w:tcBorders>
            <w:hideMark/>
          </w:tcPr>
          <w:p w14:paraId="792DE58D" w14:textId="77777777" w:rsidR="00023039" w:rsidRPr="00023039" w:rsidRDefault="00023039" w:rsidP="00023039">
            <w:pPr>
              <w:numPr>
                <w:ilvl w:val="0"/>
                <w:numId w:val="344"/>
              </w:numPr>
              <w:rPr>
                <w:rFonts w:cs="Arial"/>
                <w:sz w:val="22"/>
                <w:szCs w:val="22"/>
              </w:rPr>
            </w:pPr>
            <w:r w:rsidRPr="00023039">
              <w:rPr>
                <w:rFonts w:cs="Arial"/>
                <w:sz w:val="22"/>
                <w:szCs w:val="22"/>
              </w:rPr>
              <w:t>CSF 1, 3 and 5: Focuses on private sector engagement and currently lacks the tools to deliver government-level technical assistance at scale. It also could not deliver against </w:t>
            </w:r>
            <w:proofErr w:type="gramStart"/>
            <w:r w:rsidRPr="00023039">
              <w:rPr>
                <w:rFonts w:cs="Arial"/>
                <w:sz w:val="22"/>
                <w:szCs w:val="22"/>
              </w:rPr>
              <w:t>the majority of</w:t>
            </w:r>
            <w:proofErr w:type="gramEnd"/>
            <w:r w:rsidRPr="00023039">
              <w:rPr>
                <w:rFonts w:cs="Arial"/>
                <w:sz w:val="22"/>
                <w:szCs w:val="22"/>
              </w:rPr>
              <w:t> the objectives.  </w:t>
            </w:r>
          </w:p>
        </w:tc>
      </w:tr>
      <w:tr w:rsidR="00023039" w:rsidRPr="00023039" w14:paraId="16DBD187" w14:textId="77777777">
        <w:trPr>
          <w:trHeight w:val="300"/>
        </w:trPr>
        <w:tc>
          <w:tcPr>
            <w:tcW w:w="1830" w:type="dxa"/>
            <w:tcBorders>
              <w:top w:val="single" w:sz="4" w:space="0" w:color="auto"/>
              <w:left w:val="single" w:sz="4" w:space="0" w:color="auto"/>
              <w:bottom w:val="single" w:sz="4" w:space="0" w:color="auto"/>
              <w:right w:val="single" w:sz="4" w:space="0" w:color="auto"/>
            </w:tcBorders>
            <w:hideMark/>
          </w:tcPr>
          <w:p w14:paraId="67948796" w14:textId="77777777" w:rsidR="00023039" w:rsidRPr="00023039" w:rsidRDefault="00023039" w:rsidP="00023039">
            <w:pPr>
              <w:rPr>
                <w:rFonts w:cs="Arial"/>
                <w:sz w:val="22"/>
                <w:szCs w:val="22"/>
              </w:rPr>
            </w:pPr>
            <w:r w:rsidRPr="00023039">
              <w:rPr>
                <w:rFonts w:cs="Arial"/>
                <w:sz w:val="22"/>
                <w:szCs w:val="22"/>
              </w:rPr>
              <w:t>AMCAT  </w:t>
            </w:r>
          </w:p>
        </w:tc>
        <w:tc>
          <w:tcPr>
            <w:tcW w:w="2130" w:type="dxa"/>
            <w:tcBorders>
              <w:top w:val="single" w:sz="4" w:space="0" w:color="auto"/>
              <w:left w:val="single" w:sz="4" w:space="0" w:color="auto"/>
              <w:bottom w:val="single" w:sz="4" w:space="0" w:color="auto"/>
              <w:right w:val="single" w:sz="4" w:space="0" w:color="auto"/>
            </w:tcBorders>
            <w:hideMark/>
          </w:tcPr>
          <w:p w14:paraId="48227835" w14:textId="77777777" w:rsidR="00023039" w:rsidRPr="00023039" w:rsidRDefault="00023039" w:rsidP="00023039">
            <w:pPr>
              <w:rPr>
                <w:rFonts w:cs="Arial"/>
                <w:sz w:val="22"/>
                <w:szCs w:val="22"/>
              </w:rPr>
            </w:pPr>
            <w:r w:rsidRPr="00023039">
              <w:rPr>
                <w:rFonts w:cs="Arial"/>
                <w:sz w:val="22"/>
                <w:szCs w:val="22"/>
              </w:rPr>
              <w:t>Provide further funding to AMCAT which aims to strengthen forest tenure security and governance of Indigenous Peoples and local communities across the Amazon Basin, addressing UK priorities of tackling climate change, biodiversity loss and poverty. </w:t>
            </w:r>
          </w:p>
        </w:tc>
        <w:tc>
          <w:tcPr>
            <w:tcW w:w="2685" w:type="dxa"/>
            <w:tcBorders>
              <w:top w:val="single" w:sz="4" w:space="0" w:color="auto"/>
              <w:left w:val="single" w:sz="4" w:space="0" w:color="auto"/>
              <w:bottom w:val="single" w:sz="4" w:space="0" w:color="auto"/>
              <w:right w:val="single" w:sz="4" w:space="0" w:color="auto"/>
            </w:tcBorders>
            <w:hideMark/>
          </w:tcPr>
          <w:p w14:paraId="6D6A669D" w14:textId="77777777" w:rsidR="00023039" w:rsidRPr="00023039" w:rsidRDefault="00023039" w:rsidP="00023039">
            <w:pPr>
              <w:numPr>
                <w:ilvl w:val="0"/>
                <w:numId w:val="345"/>
              </w:numPr>
              <w:rPr>
                <w:rFonts w:cs="Arial"/>
                <w:sz w:val="22"/>
                <w:szCs w:val="22"/>
              </w:rPr>
            </w:pPr>
            <w:r w:rsidRPr="00023039">
              <w:rPr>
                <w:rFonts w:cs="Arial"/>
                <w:sz w:val="22"/>
                <w:szCs w:val="22"/>
              </w:rPr>
              <w:t>CSF 3: Experienced and respected delivery partner (Tenure Facility) with 14 existing projects) </w:t>
            </w:r>
          </w:p>
          <w:p w14:paraId="25EF7B50" w14:textId="77777777" w:rsidR="00023039" w:rsidRPr="00023039" w:rsidRDefault="00023039" w:rsidP="00023039">
            <w:pPr>
              <w:numPr>
                <w:ilvl w:val="0"/>
                <w:numId w:val="346"/>
              </w:numPr>
              <w:rPr>
                <w:rFonts w:cs="Arial"/>
                <w:sz w:val="22"/>
                <w:szCs w:val="22"/>
              </w:rPr>
            </w:pPr>
            <w:r w:rsidRPr="00023039">
              <w:rPr>
                <w:rFonts w:cs="Arial"/>
                <w:sz w:val="22"/>
                <w:szCs w:val="22"/>
              </w:rPr>
              <w:t>Is already delivering technical assistance (for example, GIS, information systems, monitori</w:t>
            </w:r>
            <w:r w:rsidRPr="00023039">
              <w:rPr>
                <w:rFonts w:cs="Arial"/>
                <w:sz w:val="22"/>
                <w:szCs w:val="22"/>
              </w:rPr>
              <w:lastRenderedPageBreak/>
              <w:t>ng for territorial management).  </w:t>
            </w:r>
          </w:p>
        </w:tc>
        <w:tc>
          <w:tcPr>
            <w:tcW w:w="3255" w:type="dxa"/>
            <w:tcBorders>
              <w:top w:val="single" w:sz="4" w:space="0" w:color="auto"/>
              <w:left w:val="single" w:sz="4" w:space="0" w:color="auto"/>
              <w:bottom w:val="single" w:sz="4" w:space="0" w:color="auto"/>
              <w:right w:val="single" w:sz="4" w:space="0" w:color="auto"/>
            </w:tcBorders>
            <w:hideMark/>
          </w:tcPr>
          <w:p w14:paraId="6F5A83A7" w14:textId="77777777" w:rsidR="00023039" w:rsidRPr="00023039" w:rsidRDefault="00023039" w:rsidP="00023039">
            <w:pPr>
              <w:numPr>
                <w:ilvl w:val="0"/>
                <w:numId w:val="347"/>
              </w:numPr>
              <w:rPr>
                <w:rFonts w:cs="Arial"/>
                <w:sz w:val="22"/>
                <w:szCs w:val="22"/>
              </w:rPr>
            </w:pPr>
            <w:r w:rsidRPr="00023039">
              <w:rPr>
                <w:rFonts w:cs="Arial"/>
                <w:sz w:val="22"/>
                <w:szCs w:val="22"/>
              </w:rPr>
              <w:lastRenderedPageBreak/>
              <w:t>CSF 1: AMCAT is focused on delivery within the Amazon Basin whereas AIM4Forests is a global programme. While AMCAT does undertake some forest monitoring work, this is much narrower in scope than AIM4Forests and would be unlikely to be able to deliver against </w:t>
            </w:r>
            <w:proofErr w:type="gramStart"/>
            <w:r w:rsidRPr="00023039">
              <w:rPr>
                <w:rFonts w:cs="Arial"/>
                <w:sz w:val="22"/>
                <w:szCs w:val="22"/>
              </w:rPr>
              <w:t>the majority of</w:t>
            </w:r>
            <w:proofErr w:type="gramEnd"/>
            <w:r w:rsidRPr="00023039">
              <w:rPr>
                <w:rFonts w:cs="Arial"/>
                <w:sz w:val="22"/>
                <w:szCs w:val="22"/>
              </w:rPr>
              <w:t> the objectives. </w:t>
            </w:r>
          </w:p>
          <w:p w14:paraId="7E798477" w14:textId="77777777" w:rsidR="00023039" w:rsidRPr="00023039" w:rsidRDefault="00023039" w:rsidP="00023039">
            <w:pPr>
              <w:numPr>
                <w:ilvl w:val="0"/>
                <w:numId w:val="348"/>
              </w:numPr>
              <w:rPr>
                <w:rFonts w:cs="Arial"/>
                <w:sz w:val="22"/>
                <w:szCs w:val="22"/>
              </w:rPr>
            </w:pPr>
            <w:r w:rsidRPr="00023039">
              <w:rPr>
                <w:rFonts w:cs="Arial"/>
                <w:sz w:val="22"/>
                <w:szCs w:val="22"/>
              </w:rPr>
              <w:t xml:space="preserve">CSF 5: The scope of the programme narrower in scope than AIM4Forests and </w:t>
            </w:r>
            <w:r w:rsidRPr="00023039">
              <w:rPr>
                <w:rFonts w:cs="Arial"/>
                <w:sz w:val="22"/>
                <w:szCs w:val="22"/>
              </w:rPr>
              <w:lastRenderedPageBreak/>
              <w:t>it is unlikely to be able to deliver the full range of activities required.  </w:t>
            </w:r>
          </w:p>
        </w:tc>
      </w:tr>
    </w:tbl>
    <w:p w14:paraId="0A01EB1B" w14:textId="77777777" w:rsidR="00023039" w:rsidRPr="00023039" w:rsidRDefault="00023039" w:rsidP="00023039">
      <w:pPr>
        <w:rPr>
          <w:rFonts w:cs="Arial"/>
          <w:sz w:val="22"/>
          <w:szCs w:val="22"/>
        </w:rPr>
      </w:pPr>
      <w:r w:rsidRPr="00023039">
        <w:rPr>
          <w:rFonts w:cs="Arial"/>
          <w:sz w:val="22"/>
          <w:szCs w:val="22"/>
        </w:rPr>
        <w:lastRenderedPageBreak/>
        <w:t>  </w:t>
      </w:r>
    </w:p>
    <w:p w14:paraId="06A53418" w14:textId="77777777" w:rsidR="00023039" w:rsidRPr="00023039" w:rsidRDefault="00023039" w:rsidP="00023039">
      <w:pPr>
        <w:rPr>
          <w:rFonts w:cs="Arial"/>
          <w:sz w:val="22"/>
          <w:szCs w:val="22"/>
        </w:rPr>
      </w:pPr>
      <w:r w:rsidRPr="00023039">
        <w:rPr>
          <w:rFonts w:cs="Arial"/>
          <w:sz w:val="22"/>
          <w:szCs w:val="22"/>
          <w:u w:val="single"/>
        </w:rPr>
        <w:t>Summary </w:t>
      </w:r>
      <w:r w:rsidRPr="00023039">
        <w:rPr>
          <w:rFonts w:cs="Arial"/>
          <w:sz w:val="22"/>
          <w:szCs w:val="22"/>
        </w:rPr>
        <w:t> </w:t>
      </w:r>
    </w:p>
    <w:p w14:paraId="0ACC2290" w14:textId="77777777" w:rsidR="00023039" w:rsidRPr="00023039" w:rsidRDefault="00023039" w:rsidP="00023039">
      <w:pPr>
        <w:rPr>
          <w:rFonts w:cs="Arial"/>
          <w:sz w:val="22"/>
          <w:szCs w:val="22"/>
        </w:rPr>
      </w:pPr>
      <w:r w:rsidRPr="00023039">
        <w:rPr>
          <w:rFonts w:cs="Arial"/>
          <w:sz w:val="22"/>
          <w:szCs w:val="22"/>
        </w:rPr>
        <w:t>Option 1 – retain current delivery partner, was the preferred way forward. This is because the service method strongly delivers against CSF 2, 3, and 5, and leverages the existing momentum of the programme. AIM4Forests is a well-performing programme, that has made rapid progress made across its core outputs, notably avoiding the delays that typically accompany early-stage programming.</w:t>
      </w:r>
      <w:r w:rsidRPr="00023039">
        <w:rPr>
          <w:rFonts w:cs="Arial"/>
          <w:sz w:val="22"/>
          <w:szCs w:val="22"/>
          <w:vertAlign w:val="superscript"/>
        </w:rPr>
        <w:t>2</w:t>
      </w:r>
      <w:r w:rsidRPr="00023039">
        <w:rPr>
          <w:rFonts w:cs="Arial"/>
          <w:sz w:val="22"/>
          <w:szCs w:val="22"/>
        </w:rPr>
        <w:t> Changing delivery partner, at this stage in the programme, risks impacting the momentum of the programme and creating delays in its implementation.  </w:t>
      </w:r>
    </w:p>
    <w:p w14:paraId="5456975F" w14:textId="77777777" w:rsidR="00023039" w:rsidRPr="00023039" w:rsidRDefault="00023039" w:rsidP="00023039">
      <w:pPr>
        <w:rPr>
          <w:rFonts w:cs="Arial"/>
          <w:sz w:val="22"/>
          <w:szCs w:val="22"/>
        </w:rPr>
      </w:pPr>
      <w:r w:rsidRPr="00023039">
        <w:rPr>
          <w:rFonts w:cs="Arial"/>
          <w:sz w:val="22"/>
          <w:szCs w:val="22"/>
        </w:rPr>
        <w:t>FAO has well-established knowledge, expertise and international experience, as well as the convening and collaboration power of a UN agency. They are a global leader in providing technical assistance for multipurpose National Forest Monitoring Systems and REDD+ MRV. The mid-term review highlighted the technical comparative advantage that FAO has in NFMS and MRV, as well as the country and regional presence FAO has through its offices and established networks, including those related to REDD+ and strong working relationships with governments and convening power. </w:t>
      </w:r>
    </w:p>
    <w:p w14:paraId="18FA0609" w14:textId="77777777" w:rsidR="00023039" w:rsidRPr="00023039" w:rsidRDefault="00023039" w:rsidP="00023039">
      <w:pPr>
        <w:rPr>
          <w:rFonts w:cs="Arial"/>
          <w:sz w:val="22"/>
          <w:szCs w:val="22"/>
        </w:rPr>
      </w:pPr>
      <w:r w:rsidRPr="00023039">
        <w:rPr>
          <w:rFonts w:cs="Arial"/>
          <w:sz w:val="22"/>
          <w:szCs w:val="22"/>
        </w:rPr>
        <w:t>The programme is also delivered in collaboration with UN-REDD which allows the programme to leverage support from UN-REDD as a respected delivery partner (the benefits of which are highlighted in table 2).  </w:t>
      </w:r>
    </w:p>
    <w:p w14:paraId="4AC637AC" w14:textId="77777777" w:rsidR="00023039" w:rsidRPr="00023039" w:rsidRDefault="00023039" w:rsidP="00023039">
      <w:pPr>
        <w:rPr>
          <w:rFonts w:cs="Arial"/>
          <w:sz w:val="22"/>
          <w:szCs w:val="22"/>
        </w:rPr>
      </w:pPr>
      <w:r w:rsidRPr="00023039">
        <w:rPr>
          <w:rFonts w:cs="Arial"/>
          <w:sz w:val="22"/>
          <w:szCs w:val="22"/>
        </w:rPr>
        <w:t>Options 2,3, and 4 were discounted. Under Option 2, there is no existing HMG-funded programme that could deliver against the objectives of this business case. Funding multiple different programmes to achieve the objectives would increase associated costs and decrease value for money. However, there is still value in AIM4Forests working with different HMG programmes, even if they are not directly funded, to ensure greater coordination and increased value for money. For example, AIM4Forests can support countries with monitoring and verification for other forest programmes such as LEAF. Option 3 was discounted as HMG does not possess the technical expertise required to deliver the proposed programme.  Under both options 3 and 4, there would also be significant implementation delays and costs associated with establishing a new programme.  </w:t>
      </w:r>
    </w:p>
    <w:p w14:paraId="3152A85D" w14:textId="77777777" w:rsidR="00023039" w:rsidRPr="00023039" w:rsidRDefault="00023039" w:rsidP="00023039">
      <w:pPr>
        <w:rPr>
          <w:rFonts w:cs="Arial"/>
          <w:sz w:val="22"/>
          <w:szCs w:val="22"/>
        </w:rPr>
      </w:pPr>
      <w:r w:rsidRPr="00023039">
        <w:rPr>
          <w:rFonts w:cs="Arial"/>
          <w:b/>
          <w:bCs/>
          <w:i/>
          <w:iCs/>
          <w:sz w:val="22"/>
          <w:szCs w:val="22"/>
        </w:rPr>
        <w:t>Funding quantum </w:t>
      </w:r>
      <w:r w:rsidRPr="00023039">
        <w:rPr>
          <w:rFonts w:cs="Arial"/>
          <w:sz w:val="22"/>
          <w:szCs w:val="22"/>
        </w:rPr>
        <w:t> </w:t>
      </w:r>
    </w:p>
    <w:p w14:paraId="4B11BA52" w14:textId="77777777" w:rsidR="00023039" w:rsidRPr="00023039" w:rsidRDefault="00023039" w:rsidP="00023039">
      <w:pPr>
        <w:rPr>
          <w:rFonts w:cs="Arial"/>
          <w:sz w:val="22"/>
          <w:szCs w:val="22"/>
        </w:rPr>
      </w:pPr>
      <w:r w:rsidRPr="00023039">
        <w:rPr>
          <w:rFonts w:cs="Arial"/>
          <w:sz w:val="22"/>
          <w:szCs w:val="22"/>
        </w:rPr>
        <w:t>Options for funding include:  </w:t>
      </w:r>
    </w:p>
    <w:p w14:paraId="0225C105" w14:textId="77777777" w:rsidR="00023039" w:rsidRPr="00023039" w:rsidRDefault="00023039" w:rsidP="00023039">
      <w:pPr>
        <w:numPr>
          <w:ilvl w:val="0"/>
          <w:numId w:val="349"/>
        </w:numPr>
        <w:rPr>
          <w:rFonts w:cs="Arial"/>
          <w:sz w:val="22"/>
          <w:szCs w:val="22"/>
        </w:rPr>
      </w:pPr>
      <w:r w:rsidRPr="00023039">
        <w:rPr>
          <w:rFonts w:cs="Arial"/>
          <w:b/>
          <w:bCs/>
          <w:sz w:val="22"/>
          <w:szCs w:val="22"/>
        </w:rPr>
        <w:t>Option 1</w:t>
      </w:r>
      <w:r w:rsidRPr="00023039">
        <w:rPr>
          <w:rFonts w:cs="Arial"/>
          <w:sz w:val="22"/>
          <w:szCs w:val="22"/>
        </w:rPr>
        <w:t>: BAU - no budgetary increase or extension to the term of the programme  </w:t>
      </w:r>
    </w:p>
    <w:p w14:paraId="7D6A9F80" w14:textId="77777777" w:rsidR="00023039" w:rsidRPr="00023039" w:rsidRDefault="00023039" w:rsidP="00023039">
      <w:pPr>
        <w:numPr>
          <w:ilvl w:val="0"/>
          <w:numId w:val="350"/>
        </w:numPr>
        <w:rPr>
          <w:rFonts w:cs="Arial"/>
          <w:sz w:val="22"/>
          <w:szCs w:val="22"/>
        </w:rPr>
      </w:pPr>
      <w:r w:rsidRPr="00023039">
        <w:rPr>
          <w:rFonts w:cs="Arial"/>
          <w:b/>
          <w:bCs/>
          <w:sz w:val="22"/>
          <w:szCs w:val="22"/>
        </w:rPr>
        <w:t>Option 2</w:t>
      </w:r>
      <w:r w:rsidRPr="00023039">
        <w:rPr>
          <w:rFonts w:cs="Arial"/>
          <w:sz w:val="22"/>
          <w:szCs w:val="22"/>
        </w:rPr>
        <w:t>: A smaller uplift, focused on addressing the current budget shortfall on the in-country technical assistance - approximately £10 million (RDEL)  </w:t>
      </w:r>
    </w:p>
    <w:p w14:paraId="7E75E4AA" w14:textId="77777777" w:rsidR="00023039" w:rsidRPr="00023039" w:rsidRDefault="00023039" w:rsidP="00023039">
      <w:pPr>
        <w:numPr>
          <w:ilvl w:val="0"/>
          <w:numId w:val="351"/>
        </w:numPr>
        <w:rPr>
          <w:rFonts w:cs="Arial"/>
          <w:sz w:val="22"/>
          <w:szCs w:val="22"/>
        </w:rPr>
      </w:pPr>
      <w:r w:rsidRPr="00023039">
        <w:rPr>
          <w:rFonts w:cs="Arial"/>
          <w:b/>
          <w:bCs/>
          <w:sz w:val="22"/>
          <w:szCs w:val="22"/>
        </w:rPr>
        <w:t>Option 3: </w:t>
      </w:r>
      <w:r w:rsidRPr="00023039">
        <w:rPr>
          <w:rFonts w:cs="Arial"/>
          <w:sz w:val="22"/>
          <w:szCs w:val="22"/>
        </w:rPr>
        <w:t>An uplift of £13.5m which would include: addressing the budget shortfall on in-country technical assistance, forest monitoring for unsustainable commodity production and a </w:t>
      </w:r>
      <w:proofErr w:type="gramStart"/>
      <w:r w:rsidRPr="00023039">
        <w:rPr>
          <w:rFonts w:cs="Arial"/>
          <w:sz w:val="22"/>
          <w:szCs w:val="22"/>
        </w:rPr>
        <w:t>one year</w:t>
      </w:r>
      <w:proofErr w:type="gramEnd"/>
      <w:r w:rsidRPr="00023039">
        <w:rPr>
          <w:rFonts w:cs="Arial"/>
          <w:sz w:val="22"/>
          <w:szCs w:val="22"/>
        </w:rPr>
        <w:t> extension</w:t>
      </w:r>
      <w:r w:rsidRPr="00023039">
        <w:rPr>
          <w:rFonts w:cs="Arial"/>
          <w:b/>
          <w:bCs/>
          <w:sz w:val="22"/>
          <w:szCs w:val="22"/>
        </w:rPr>
        <w:t> </w:t>
      </w:r>
      <w:r w:rsidRPr="00023039">
        <w:rPr>
          <w:rFonts w:cs="Arial"/>
          <w:sz w:val="22"/>
          <w:szCs w:val="22"/>
        </w:rPr>
        <w:t> </w:t>
      </w:r>
    </w:p>
    <w:p w14:paraId="0BD24592" w14:textId="77777777" w:rsidR="00023039" w:rsidRPr="00023039" w:rsidRDefault="00023039" w:rsidP="00023039">
      <w:pPr>
        <w:numPr>
          <w:ilvl w:val="0"/>
          <w:numId w:val="352"/>
        </w:numPr>
        <w:rPr>
          <w:rFonts w:cs="Arial"/>
          <w:sz w:val="22"/>
          <w:szCs w:val="22"/>
        </w:rPr>
      </w:pPr>
      <w:r w:rsidRPr="00023039">
        <w:rPr>
          <w:rFonts w:cs="Arial"/>
          <w:b/>
          <w:bCs/>
          <w:sz w:val="22"/>
          <w:szCs w:val="22"/>
        </w:rPr>
        <w:t>Option 4</w:t>
      </w:r>
      <w:r w:rsidRPr="00023039">
        <w:rPr>
          <w:rFonts w:cs="Arial"/>
          <w:sz w:val="22"/>
          <w:szCs w:val="22"/>
        </w:rPr>
        <w:t>: An uplift of £20.9 million (as set out in the business case) which would include: addressing the budget shortfall on in-country technical assistance, forest monitoring for unsustainable commodity production and a </w:t>
      </w:r>
      <w:proofErr w:type="gramStart"/>
      <w:r w:rsidRPr="00023039">
        <w:rPr>
          <w:rFonts w:cs="Arial"/>
          <w:sz w:val="22"/>
          <w:szCs w:val="22"/>
        </w:rPr>
        <w:t>2 year</w:t>
      </w:r>
      <w:proofErr w:type="gramEnd"/>
      <w:r w:rsidRPr="00023039">
        <w:rPr>
          <w:rFonts w:cs="Arial"/>
          <w:sz w:val="22"/>
          <w:szCs w:val="22"/>
        </w:rPr>
        <w:t> extension </w:t>
      </w:r>
    </w:p>
    <w:p w14:paraId="1CC3B69A" w14:textId="77777777" w:rsidR="00023039" w:rsidRPr="00023039" w:rsidRDefault="00023039" w:rsidP="00023039">
      <w:pPr>
        <w:numPr>
          <w:ilvl w:val="0"/>
          <w:numId w:val="353"/>
        </w:numPr>
        <w:rPr>
          <w:rFonts w:cs="Arial"/>
          <w:sz w:val="22"/>
          <w:szCs w:val="22"/>
        </w:rPr>
      </w:pPr>
      <w:r w:rsidRPr="00023039">
        <w:rPr>
          <w:rFonts w:cs="Arial"/>
          <w:b/>
          <w:bCs/>
          <w:sz w:val="22"/>
          <w:szCs w:val="22"/>
        </w:rPr>
        <w:lastRenderedPageBreak/>
        <w:t>Option 5</w:t>
      </w:r>
      <w:r w:rsidRPr="00023039">
        <w:rPr>
          <w:rFonts w:cs="Arial"/>
          <w:sz w:val="22"/>
          <w:szCs w:val="22"/>
        </w:rPr>
        <w:t>: A larger uplift to deepen country engagement or extend to additional geographies of approximately £40m (£24.5 RDEL + £15.5million CDEL)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1"/>
        <w:gridCol w:w="3240"/>
        <w:gridCol w:w="2944"/>
        <w:gridCol w:w="1815"/>
      </w:tblGrid>
      <w:tr w:rsidR="00023039" w:rsidRPr="00023039" w14:paraId="2AD4B6E1" w14:textId="77777777">
        <w:trPr>
          <w:trHeight w:val="300"/>
        </w:trPr>
        <w:tc>
          <w:tcPr>
            <w:tcW w:w="1890" w:type="dxa"/>
            <w:tcBorders>
              <w:top w:val="single" w:sz="4" w:space="0" w:color="auto"/>
              <w:left w:val="single" w:sz="4" w:space="0" w:color="auto"/>
              <w:bottom w:val="single" w:sz="4" w:space="0" w:color="auto"/>
              <w:right w:val="single" w:sz="4" w:space="0" w:color="auto"/>
            </w:tcBorders>
            <w:hideMark/>
          </w:tcPr>
          <w:p w14:paraId="1B40ED24" w14:textId="77777777" w:rsidR="00023039" w:rsidRPr="00023039" w:rsidRDefault="00023039" w:rsidP="00023039">
            <w:pPr>
              <w:rPr>
                <w:rFonts w:cs="Arial"/>
                <w:sz w:val="22"/>
                <w:szCs w:val="22"/>
              </w:rPr>
            </w:pPr>
            <w:r w:rsidRPr="00023039">
              <w:rPr>
                <w:rFonts w:cs="Arial"/>
                <w:b/>
                <w:bCs/>
                <w:i/>
                <w:iCs/>
                <w:sz w:val="22"/>
                <w:szCs w:val="22"/>
              </w:rPr>
              <w:t>Funding </w:t>
            </w:r>
            <w:r w:rsidRPr="00023039">
              <w:rPr>
                <w:rFonts w:cs="Arial"/>
                <w:sz w:val="22"/>
                <w:szCs w:val="22"/>
              </w:rPr>
              <w:t> </w:t>
            </w:r>
          </w:p>
        </w:tc>
        <w:tc>
          <w:tcPr>
            <w:tcW w:w="3240" w:type="dxa"/>
            <w:tcBorders>
              <w:top w:val="single" w:sz="4" w:space="0" w:color="auto"/>
              <w:left w:val="single" w:sz="4" w:space="0" w:color="auto"/>
              <w:bottom w:val="single" w:sz="4" w:space="0" w:color="auto"/>
              <w:right w:val="single" w:sz="4" w:space="0" w:color="auto"/>
            </w:tcBorders>
            <w:hideMark/>
          </w:tcPr>
          <w:p w14:paraId="24D64496" w14:textId="77777777" w:rsidR="00023039" w:rsidRPr="00023039" w:rsidRDefault="00023039" w:rsidP="00023039">
            <w:pPr>
              <w:rPr>
                <w:rFonts w:cs="Arial"/>
                <w:sz w:val="22"/>
                <w:szCs w:val="22"/>
              </w:rPr>
            </w:pPr>
            <w:r w:rsidRPr="00023039">
              <w:rPr>
                <w:rFonts w:cs="Arial"/>
                <w:b/>
                <w:bCs/>
                <w:i/>
                <w:iCs/>
                <w:sz w:val="22"/>
                <w:szCs w:val="22"/>
              </w:rPr>
              <w:t>Advantages (implementation and funding, and against objectives and CSFs)</w:t>
            </w:r>
            <w:r w:rsidRPr="00023039">
              <w:rPr>
                <w:rFonts w:cs="Arial"/>
                <w:sz w:val="22"/>
                <w:szCs w:val="22"/>
              </w:rPr>
              <w:t> </w:t>
            </w:r>
          </w:p>
        </w:tc>
        <w:tc>
          <w:tcPr>
            <w:tcW w:w="2910" w:type="dxa"/>
            <w:tcBorders>
              <w:top w:val="single" w:sz="4" w:space="0" w:color="auto"/>
              <w:left w:val="single" w:sz="4" w:space="0" w:color="auto"/>
              <w:bottom w:val="single" w:sz="4" w:space="0" w:color="auto"/>
              <w:right w:val="single" w:sz="4" w:space="0" w:color="auto"/>
            </w:tcBorders>
            <w:hideMark/>
          </w:tcPr>
          <w:p w14:paraId="4B120569" w14:textId="77777777" w:rsidR="00023039" w:rsidRPr="00023039" w:rsidRDefault="00023039" w:rsidP="00023039">
            <w:pPr>
              <w:rPr>
                <w:rFonts w:cs="Arial"/>
                <w:sz w:val="22"/>
                <w:szCs w:val="22"/>
              </w:rPr>
            </w:pPr>
            <w:r w:rsidRPr="00023039">
              <w:rPr>
                <w:rFonts w:cs="Arial"/>
                <w:b/>
                <w:bCs/>
                <w:i/>
                <w:iCs/>
                <w:sz w:val="22"/>
                <w:szCs w:val="22"/>
              </w:rPr>
              <w:t>Disadvantages (implementation and funding, and against objectives and CSFs)</w:t>
            </w:r>
            <w:r w:rsidRPr="00023039">
              <w:rPr>
                <w:rFonts w:cs="Arial"/>
                <w:sz w:val="22"/>
                <w:szCs w:val="22"/>
              </w:rPr>
              <w:t> </w:t>
            </w:r>
          </w:p>
        </w:tc>
        <w:tc>
          <w:tcPr>
            <w:tcW w:w="1815" w:type="dxa"/>
            <w:tcBorders>
              <w:top w:val="single" w:sz="4" w:space="0" w:color="auto"/>
              <w:left w:val="single" w:sz="4" w:space="0" w:color="auto"/>
              <w:bottom w:val="single" w:sz="4" w:space="0" w:color="auto"/>
              <w:right w:val="single" w:sz="4" w:space="0" w:color="auto"/>
            </w:tcBorders>
            <w:hideMark/>
          </w:tcPr>
          <w:p w14:paraId="0D665B99" w14:textId="77777777" w:rsidR="00023039" w:rsidRPr="00023039" w:rsidRDefault="00023039" w:rsidP="00023039">
            <w:pPr>
              <w:rPr>
                <w:rFonts w:cs="Arial"/>
                <w:sz w:val="22"/>
                <w:szCs w:val="22"/>
              </w:rPr>
            </w:pPr>
            <w:r w:rsidRPr="00023039">
              <w:rPr>
                <w:rFonts w:cs="Arial"/>
                <w:b/>
                <w:bCs/>
                <w:i/>
                <w:iCs/>
                <w:sz w:val="22"/>
                <w:szCs w:val="22"/>
              </w:rPr>
              <w:t>Take forward? </w:t>
            </w:r>
            <w:r w:rsidRPr="00023039">
              <w:rPr>
                <w:rFonts w:cs="Arial"/>
                <w:sz w:val="22"/>
                <w:szCs w:val="22"/>
              </w:rPr>
              <w:t> </w:t>
            </w:r>
          </w:p>
        </w:tc>
      </w:tr>
      <w:tr w:rsidR="00023039" w:rsidRPr="00023039" w14:paraId="1CCC9796" w14:textId="77777777">
        <w:trPr>
          <w:trHeight w:val="300"/>
        </w:trPr>
        <w:tc>
          <w:tcPr>
            <w:tcW w:w="1890" w:type="dxa"/>
            <w:tcBorders>
              <w:top w:val="single" w:sz="4" w:space="0" w:color="auto"/>
              <w:left w:val="single" w:sz="4" w:space="0" w:color="auto"/>
              <w:bottom w:val="single" w:sz="4" w:space="0" w:color="auto"/>
              <w:right w:val="single" w:sz="4" w:space="0" w:color="auto"/>
            </w:tcBorders>
            <w:hideMark/>
          </w:tcPr>
          <w:p w14:paraId="3D78955A" w14:textId="77777777" w:rsidR="00023039" w:rsidRPr="00023039" w:rsidRDefault="00023039" w:rsidP="00023039">
            <w:pPr>
              <w:rPr>
                <w:rFonts w:cs="Arial"/>
                <w:sz w:val="22"/>
                <w:szCs w:val="22"/>
              </w:rPr>
            </w:pPr>
            <w:r w:rsidRPr="00023039">
              <w:rPr>
                <w:rFonts w:cs="Arial"/>
                <w:sz w:val="22"/>
                <w:szCs w:val="22"/>
              </w:rPr>
              <w:t>Option 1: BAU </w:t>
            </w:r>
          </w:p>
        </w:tc>
        <w:tc>
          <w:tcPr>
            <w:tcW w:w="3240" w:type="dxa"/>
            <w:tcBorders>
              <w:top w:val="single" w:sz="4" w:space="0" w:color="auto"/>
              <w:left w:val="single" w:sz="4" w:space="0" w:color="auto"/>
              <w:bottom w:val="single" w:sz="4" w:space="0" w:color="auto"/>
              <w:right w:val="single" w:sz="4" w:space="0" w:color="auto"/>
            </w:tcBorders>
            <w:hideMark/>
          </w:tcPr>
          <w:p w14:paraId="56067FB3" w14:textId="77777777" w:rsidR="00023039" w:rsidRPr="00023039" w:rsidRDefault="00023039" w:rsidP="00023039">
            <w:pPr>
              <w:numPr>
                <w:ilvl w:val="0"/>
                <w:numId w:val="354"/>
              </w:numPr>
              <w:rPr>
                <w:rFonts w:cs="Arial"/>
                <w:sz w:val="22"/>
                <w:szCs w:val="22"/>
              </w:rPr>
            </w:pPr>
            <w:r w:rsidRPr="00023039">
              <w:rPr>
                <w:rFonts w:cs="Arial"/>
                <w:sz w:val="22"/>
                <w:szCs w:val="22"/>
              </w:rPr>
              <w:t>CSF 4: Money could be directed to other DESNZ ICF priority areas </w:t>
            </w:r>
          </w:p>
        </w:tc>
        <w:tc>
          <w:tcPr>
            <w:tcW w:w="2910" w:type="dxa"/>
            <w:tcBorders>
              <w:top w:val="single" w:sz="4" w:space="0" w:color="auto"/>
              <w:left w:val="single" w:sz="4" w:space="0" w:color="auto"/>
              <w:bottom w:val="single" w:sz="4" w:space="0" w:color="auto"/>
              <w:right w:val="single" w:sz="4" w:space="0" w:color="auto"/>
            </w:tcBorders>
            <w:hideMark/>
          </w:tcPr>
          <w:p w14:paraId="525DE658" w14:textId="77777777" w:rsidR="00023039" w:rsidRPr="00023039" w:rsidRDefault="00023039" w:rsidP="00023039">
            <w:pPr>
              <w:numPr>
                <w:ilvl w:val="0"/>
                <w:numId w:val="355"/>
              </w:numPr>
              <w:rPr>
                <w:rFonts w:cs="Arial"/>
                <w:sz w:val="22"/>
                <w:szCs w:val="22"/>
              </w:rPr>
            </w:pPr>
            <w:r w:rsidRPr="00023039">
              <w:rPr>
                <w:rFonts w:cs="Arial"/>
                <w:sz w:val="22"/>
                <w:szCs w:val="22"/>
              </w:rPr>
              <w:t>CSF 1: Does not deliver against any of the objectives. Existing programme funding would need to be reprioritised and work likely scaled back  </w:t>
            </w:r>
          </w:p>
          <w:p w14:paraId="775AA285" w14:textId="77777777" w:rsidR="00023039" w:rsidRPr="00023039" w:rsidRDefault="00023039" w:rsidP="00023039">
            <w:pPr>
              <w:numPr>
                <w:ilvl w:val="0"/>
                <w:numId w:val="356"/>
              </w:numPr>
              <w:rPr>
                <w:rFonts w:cs="Arial"/>
                <w:sz w:val="22"/>
                <w:szCs w:val="22"/>
              </w:rPr>
            </w:pPr>
            <w:r w:rsidRPr="00023039">
              <w:rPr>
                <w:rFonts w:cs="Arial"/>
                <w:sz w:val="22"/>
                <w:szCs w:val="22"/>
              </w:rPr>
              <w:t>Would undermine the ability of the programme to achieve its intended impacts  </w:t>
            </w:r>
          </w:p>
          <w:p w14:paraId="6B19BF60" w14:textId="77777777" w:rsidR="00023039" w:rsidRPr="00023039" w:rsidRDefault="00023039" w:rsidP="00023039">
            <w:pPr>
              <w:numPr>
                <w:ilvl w:val="0"/>
                <w:numId w:val="357"/>
              </w:numPr>
              <w:rPr>
                <w:rFonts w:cs="Arial"/>
                <w:sz w:val="22"/>
                <w:szCs w:val="22"/>
              </w:rPr>
            </w:pPr>
            <w:r w:rsidRPr="00023039">
              <w:rPr>
                <w:rFonts w:cs="Arial"/>
                <w:sz w:val="22"/>
                <w:szCs w:val="22"/>
              </w:rPr>
              <w:t>AIM4Forests provides technical assistance that is foundational to the success of other REDD+ programmes. A scaling back of this work may impact on the ability of forest countries to adequately participate. </w:t>
            </w:r>
          </w:p>
        </w:tc>
        <w:tc>
          <w:tcPr>
            <w:tcW w:w="1815" w:type="dxa"/>
            <w:tcBorders>
              <w:top w:val="single" w:sz="4" w:space="0" w:color="auto"/>
              <w:left w:val="single" w:sz="4" w:space="0" w:color="auto"/>
              <w:bottom w:val="single" w:sz="4" w:space="0" w:color="auto"/>
              <w:right w:val="single" w:sz="4" w:space="0" w:color="auto"/>
            </w:tcBorders>
            <w:shd w:val="clear" w:color="auto" w:fill="FFC000"/>
            <w:hideMark/>
          </w:tcPr>
          <w:p w14:paraId="55CFB7D7" w14:textId="77777777" w:rsidR="00023039" w:rsidRPr="00023039" w:rsidRDefault="00023039" w:rsidP="00023039">
            <w:pPr>
              <w:rPr>
                <w:rFonts w:cs="Arial"/>
                <w:sz w:val="22"/>
                <w:szCs w:val="22"/>
              </w:rPr>
            </w:pPr>
            <w:r w:rsidRPr="00023039">
              <w:rPr>
                <w:rFonts w:cs="Arial"/>
                <w:sz w:val="22"/>
                <w:szCs w:val="22"/>
              </w:rPr>
              <w:t>Carried forward </w:t>
            </w:r>
          </w:p>
        </w:tc>
      </w:tr>
      <w:tr w:rsidR="00023039" w:rsidRPr="00023039" w14:paraId="3BAB52D1" w14:textId="77777777">
        <w:trPr>
          <w:trHeight w:val="300"/>
        </w:trPr>
        <w:tc>
          <w:tcPr>
            <w:tcW w:w="1890" w:type="dxa"/>
            <w:tcBorders>
              <w:top w:val="single" w:sz="4" w:space="0" w:color="auto"/>
              <w:left w:val="single" w:sz="4" w:space="0" w:color="auto"/>
              <w:bottom w:val="single" w:sz="4" w:space="0" w:color="auto"/>
              <w:right w:val="single" w:sz="4" w:space="0" w:color="auto"/>
            </w:tcBorders>
            <w:hideMark/>
          </w:tcPr>
          <w:p w14:paraId="6FE01F38" w14:textId="77777777" w:rsidR="00023039" w:rsidRPr="00023039" w:rsidRDefault="00023039" w:rsidP="00023039">
            <w:pPr>
              <w:rPr>
                <w:rFonts w:cs="Arial"/>
                <w:sz w:val="22"/>
                <w:szCs w:val="22"/>
              </w:rPr>
            </w:pPr>
            <w:r w:rsidRPr="00023039">
              <w:rPr>
                <w:rFonts w:cs="Arial"/>
                <w:sz w:val="22"/>
                <w:szCs w:val="22"/>
              </w:rPr>
              <w:t>Option 2: A smaller uplift (£10m RDEL) and there would no extension to the term of the programme  </w:t>
            </w:r>
          </w:p>
        </w:tc>
        <w:tc>
          <w:tcPr>
            <w:tcW w:w="3240" w:type="dxa"/>
            <w:tcBorders>
              <w:top w:val="single" w:sz="4" w:space="0" w:color="auto"/>
              <w:left w:val="single" w:sz="4" w:space="0" w:color="auto"/>
              <w:bottom w:val="single" w:sz="4" w:space="0" w:color="auto"/>
              <w:right w:val="single" w:sz="4" w:space="0" w:color="auto"/>
            </w:tcBorders>
            <w:hideMark/>
          </w:tcPr>
          <w:p w14:paraId="041A9D5C" w14:textId="77777777" w:rsidR="00023039" w:rsidRPr="00023039" w:rsidRDefault="00023039" w:rsidP="00023039">
            <w:pPr>
              <w:numPr>
                <w:ilvl w:val="0"/>
                <w:numId w:val="358"/>
              </w:numPr>
              <w:rPr>
                <w:rFonts w:cs="Arial"/>
                <w:sz w:val="22"/>
                <w:szCs w:val="22"/>
              </w:rPr>
            </w:pPr>
            <w:r w:rsidRPr="00023039">
              <w:rPr>
                <w:rFonts w:cs="Arial"/>
                <w:sz w:val="22"/>
                <w:szCs w:val="22"/>
              </w:rPr>
              <w:t>Would address the current budget shortfall on the programme output for in-country technical assistance - delivery against Objective 1.  </w:t>
            </w:r>
          </w:p>
          <w:p w14:paraId="0C138933" w14:textId="77777777" w:rsidR="00023039" w:rsidRPr="00023039" w:rsidRDefault="00023039" w:rsidP="00023039">
            <w:pPr>
              <w:numPr>
                <w:ilvl w:val="0"/>
                <w:numId w:val="359"/>
              </w:numPr>
              <w:rPr>
                <w:rFonts w:cs="Arial"/>
                <w:sz w:val="22"/>
                <w:szCs w:val="22"/>
              </w:rPr>
            </w:pPr>
            <w:r w:rsidRPr="00023039">
              <w:rPr>
                <w:rFonts w:cs="Arial"/>
                <w:sz w:val="22"/>
                <w:szCs w:val="22"/>
              </w:rPr>
              <w:t>CSF 4: Money could be directed to other DESNZ ICF priority areas   </w:t>
            </w:r>
          </w:p>
          <w:p w14:paraId="64831489" w14:textId="77777777" w:rsidR="00023039" w:rsidRPr="00023039" w:rsidRDefault="00023039" w:rsidP="00023039">
            <w:pPr>
              <w:numPr>
                <w:ilvl w:val="0"/>
                <w:numId w:val="360"/>
              </w:numPr>
              <w:rPr>
                <w:rFonts w:cs="Arial"/>
                <w:sz w:val="22"/>
                <w:szCs w:val="22"/>
              </w:rPr>
            </w:pPr>
            <w:r w:rsidRPr="00023039">
              <w:rPr>
                <w:rFonts w:cs="Arial"/>
                <w:sz w:val="22"/>
                <w:szCs w:val="22"/>
              </w:rPr>
              <w:t>CSF 5: This would just be a continuation of existing activities  </w:t>
            </w:r>
          </w:p>
        </w:tc>
        <w:tc>
          <w:tcPr>
            <w:tcW w:w="2910" w:type="dxa"/>
            <w:tcBorders>
              <w:top w:val="single" w:sz="4" w:space="0" w:color="auto"/>
              <w:left w:val="single" w:sz="4" w:space="0" w:color="auto"/>
              <w:bottom w:val="single" w:sz="4" w:space="0" w:color="auto"/>
              <w:right w:val="single" w:sz="4" w:space="0" w:color="auto"/>
            </w:tcBorders>
            <w:hideMark/>
          </w:tcPr>
          <w:p w14:paraId="13B7AFA7" w14:textId="77777777" w:rsidR="00023039" w:rsidRPr="00023039" w:rsidRDefault="00023039" w:rsidP="00023039">
            <w:pPr>
              <w:numPr>
                <w:ilvl w:val="0"/>
                <w:numId w:val="361"/>
              </w:numPr>
              <w:rPr>
                <w:rFonts w:cs="Arial"/>
                <w:sz w:val="22"/>
                <w:szCs w:val="22"/>
              </w:rPr>
            </w:pPr>
            <w:r w:rsidRPr="00023039">
              <w:rPr>
                <w:rFonts w:cs="Arial"/>
                <w:sz w:val="22"/>
                <w:szCs w:val="22"/>
              </w:rPr>
              <w:t>CSF 1: Would not meet the majority of objectives  </w:t>
            </w:r>
          </w:p>
          <w:p w14:paraId="08DA5205" w14:textId="77777777" w:rsidR="00023039" w:rsidRPr="00023039" w:rsidRDefault="00023039" w:rsidP="00023039">
            <w:pPr>
              <w:numPr>
                <w:ilvl w:val="0"/>
                <w:numId w:val="362"/>
              </w:numPr>
              <w:rPr>
                <w:rFonts w:cs="Arial"/>
                <w:sz w:val="22"/>
                <w:szCs w:val="22"/>
              </w:rPr>
            </w:pPr>
            <w:r w:rsidRPr="00023039">
              <w:rPr>
                <w:rFonts w:cs="Arial"/>
                <w:sz w:val="22"/>
                <w:szCs w:val="22"/>
              </w:rPr>
              <w:t>Would not deliver against Objectives 2,3,4,5.  </w:t>
            </w:r>
          </w:p>
        </w:tc>
        <w:tc>
          <w:tcPr>
            <w:tcW w:w="1815" w:type="dxa"/>
            <w:tcBorders>
              <w:top w:val="single" w:sz="4" w:space="0" w:color="auto"/>
              <w:left w:val="single" w:sz="4" w:space="0" w:color="auto"/>
              <w:bottom w:val="single" w:sz="4" w:space="0" w:color="auto"/>
              <w:right w:val="single" w:sz="4" w:space="0" w:color="auto"/>
            </w:tcBorders>
            <w:shd w:val="clear" w:color="auto" w:fill="BF4E14"/>
            <w:hideMark/>
          </w:tcPr>
          <w:p w14:paraId="3A892DB5" w14:textId="77777777" w:rsidR="00023039" w:rsidRPr="00023039" w:rsidRDefault="00023039" w:rsidP="00023039">
            <w:pPr>
              <w:rPr>
                <w:rFonts w:cs="Arial"/>
                <w:sz w:val="22"/>
                <w:szCs w:val="22"/>
              </w:rPr>
            </w:pPr>
            <w:r w:rsidRPr="00023039">
              <w:rPr>
                <w:rFonts w:cs="Arial"/>
                <w:sz w:val="22"/>
                <w:szCs w:val="22"/>
              </w:rPr>
              <w:t>Discounted </w:t>
            </w:r>
          </w:p>
        </w:tc>
      </w:tr>
      <w:tr w:rsidR="00023039" w:rsidRPr="00023039" w14:paraId="22A9E2A6" w14:textId="77777777">
        <w:trPr>
          <w:trHeight w:val="300"/>
        </w:trPr>
        <w:tc>
          <w:tcPr>
            <w:tcW w:w="1890" w:type="dxa"/>
            <w:tcBorders>
              <w:top w:val="single" w:sz="4" w:space="0" w:color="auto"/>
              <w:left w:val="single" w:sz="4" w:space="0" w:color="auto"/>
              <w:bottom w:val="single" w:sz="4" w:space="0" w:color="auto"/>
              <w:right w:val="single" w:sz="4" w:space="0" w:color="auto"/>
            </w:tcBorders>
            <w:hideMark/>
          </w:tcPr>
          <w:p w14:paraId="36950281" w14:textId="77777777" w:rsidR="00023039" w:rsidRPr="00023039" w:rsidRDefault="00023039" w:rsidP="00023039">
            <w:pPr>
              <w:rPr>
                <w:rFonts w:cs="Arial"/>
                <w:sz w:val="22"/>
                <w:szCs w:val="22"/>
              </w:rPr>
            </w:pPr>
            <w:r w:rsidRPr="00023039">
              <w:rPr>
                <w:rFonts w:cs="Arial"/>
                <w:sz w:val="22"/>
                <w:szCs w:val="22"/>
              </w:rPr>
              <w:lastRenderedPageBreak/>
              <w:t>Option 3: An uplift of £13.5m (including a </w:t>
            </w:r>
            <w:proofErr w:type="gramStart"/>
            <w:r w:rsidRPr="00023039">
              <w:rPr>
                <w:rFonts w:cs="Arial"/>
                <w:sz w:val="22"/>
                <w:szCs w:val="22"/>
              </w:rPr>
              <w:t>one year</w:t>
            </w:r>
            <w:proofErr w:type="gramEnd"/>
            <w:r w:rsidRPr="00023039">
              <w:rPr>
                <w:rFonts w:cs="Arial"/>
                <w:sz w:val="22"/>
                <w:szCs w:val="22"/>
              </w:rPr>
              <w:t> extension) </w:t>
            </w:r>
          </w:p>
        </w:tc>
        <w:tc>
          <w:tcPr>
            <w:tcW w:w="3240" w:type="dxa"/>
            <w:tcBorders>
              <w:top w:val="single" w:sz="4" w:space="0" w:color="auto"/>
              <w:left w:val="single" w:sz="4" w:space="0" w:color="auto"/>
              <w:bottom w:val="single" w:sz="4" w:space="0" w:color="auto"/>
              <w:right w:val="single" w:sz="4" w:space="0" w:color="auto"/>
            </w:tcBorders>
            <w:hideMark/>
          </w:tcPr>
          <w:p w14:paraId="0D8DDBE5" w14:textId="77777777" w:rsidR="00023039" w:rsidRPr="00023039" w:rsidRDefault="00023039" w:rsidP="00023039">
            <w:pPr>
              <w:numPr>
                <w:ilvl w:val="0"/>
                <w:numId w:val="363"/>
              </w:numPr>
              <w:rPr>
                <w:rFonts w:cs="Arial"/>
                <w:sz w:val="22"/>
                <w:szCs w:val="22"/>
              </w:rPr>
            </w:pPr>
            <w:r w:rsidRPr="00023039">
              <w:rPr>
                <w:rFonts w:cs="Arial"/>
                <w:sz w:val="22"/>
                <w:szCs w:val="22"/>
              </w:rPr>
              <w:t>CSF 4: Money could be directed to other DESNZ ICF priority areas    </w:t>
            </w:r>
          </w:p>
          <w:p w14:paraId="1639892E" w14:textId="77777777" w:rsidR="00023039" w:rsidRPr="00023039" w:rsidRDefault="00023039" w:rsidP="00023039">
            <w:pPr>
              <w:numPr>
                <w:ilvl w:val="0"/>
                <w:numId w:val="364"/>
              </w:numPr>
              <w:rPr>
                <w:rFonts w:cs="Arial"/>
                <w:sz w:val="22"/>
                <w:szCs w:val="22"/>
              </w:rPr>
            </w:pPr>
            <w:r w:rsidRPr="00023039">
              <w:rPr>
                <w:rFonts w:cs="Arial"/>
                <w:sz w:val="22"/>
                <w:szCs w:val="22"/>
              </w:rPr>
              <w:t>CSF 3 and 5 achievable by FAO </w:t>
            </w:r>
          </w:p>
          <w:p w14:paraId="38506AE6" w14:textId="77777777" w:rsidR="00023039" w:rsidRPr="00023039" w:rsidRDefault="00023039" w:rsidP="00023039">
            <w:pPr>
              <w:numPr>
                <w:ilvl w:val="0"/>
                <w:numId w:val="365"/>
              </w:numPr>
              <w:rPr>
                <w:rFonts w:cs="Arial"/>
                <w:sz w:val="22"/>
                <w:szCs w:val="22"/>
              </w:rPr>
            </w:pPr>
            <w:r w:rsidRPr="00023039">
              <w:rPr>
                <w:rFonts w:cs="Arial"/>
                <w:sz w:val="22"/>
                <w:szCs w:val="22"/>
              </w:rPr>
              <w:t>Objectives 1,2, 3 and 6 would be met. The programme would continue its in-country technical assistance and provide support on forest monitoring to address unsustainable commodity production.  </w:t>
            </w:r>
          </w:p>
        </w:tc>
        <w:tc>
          <w:tcPr>
            <w:tcW w:w="2910" w:type="dxa"/>
            <w:tcBorders>
              <w:top w:val="single" w:sz="4" w:space="0" w:color="auto"/>
              <w:left w:val="single" w:sz="4" w:space="0" w:color="auto"/>
              <w:bottom w:val="single" w:sz="4" w:space="0" w:color="auto"/>
              <w:right w:val="single" w:sz="4" w:space="0" w:color="auto"/>
            </w:tcBorders>
            <w:hideMark/>
          </w:tcPr>
          <w:p w14:paraId="0021D472" w14:textId="77777777" w:rsidR="00023039" w:rsidRPr="00023039" w:rsidRDefault="00023039" w:rsidP="00023039">
            <w:pPr>
              <w:numPr>
                <w:ilvl w:val="0"/>
                <w:numId w:val="366"/>
              </w:numPr>
              <w:rPr>
                <w:rFonts w:cs="Arial"/>
                <w:sz w:val="22"/>
                <w:szCs w:val="22"/>
              </w:rPr>
            </w:pPr>
            <w:r w:rsidRPr="00023039">
              <w:rPr>
                <w:rFonts w:cs="Arial"/>
                <w:sz w:val="22"/>
                <w:szCs w:val="22"/>
              </w:rPr>
              <w:t>Would not deliver against Objective 4 as support would only be provided until 2029 meaning that countries would not be supported up until key reporting milestones.  </w:t>
            </w:r>
          </w:p>
        </w:tc>
        <w:tc>
          <w:tcPr>
            <w:tcW w:w="1815" w:type="dxa"/>
            <w:tcBorders>
              <w:top w:val="single" w:sz="4" w:space="0" w:color="auto"/>
              <w:left w:val="single" w:sz="4" w:space="0" w:color="auto"/>
              <w:bottom w:val="single" w:sz="4" w:space="0" w:color="auto"/>
              <w:right w:val="single" w:sz="4" w:space="0" w:color="auto"/>
            </w:tcBorders>
            <w:shd w:val="clear" w:color="auto" w:fill="BF4E14"/>
            <w:hideMark/>
          </w:tcPr>
          <w:p w14:paraId="2CDFD98E" w14:textId="77777777" w:rsidR="00023039" w:rsidRPr="00023039" w:rsidRDefault="00023039" w:rsidP="00023039">
            <w:pPr>
              <w:rPr>
                <w:rFonts w:cs="Arial"/>
                <w:sz w:val="22"/>
                <w:szCs w:val="22"/>
              </w:rPr>
            </w:pPr>
            <w:r w:rsidRPr="00023039">
              <w:rPr>
                <w:rFonts w:cs="Arial"/>
                <w:sz w:val="22"/>
                <w:szCs w:val="22"/>
              </w:rPr>
              <w:t>Discounted </w:t>
            </w:r>
          </w:p>
        </w:tc>
      </w:tr>
      <w:tr w:rsidR="00023039" w:rsidRPr="00023039" w14:paraId="37D2D14E" w14:textId="77777777">
        <w:trPr>
          <w:trHeight w:val="300"/>
        </w:trPr>
        <w:tc>
          <w:tcPr>
            <w:tcW w:w="1890" w:type="dxa"/>
            <w:tcBorders>
              <w:top w:val="single" w:sz="4" w:space="0" w:color="auto"/>
              <w:left w:val="single" w:sz="4" w:space="0" w:color="auto"/>
              <w:bottom w:val="single" w:sz="4" w:space="0" w:color="auto"/>
              <w:right w:val="single" w:sz="4" w:space="0" w:color="auto"/>
            </w:tcBorders>
            <w:hideMark/>
          </w:tcPr>
          <w:p w14:paraId="6A68B5CC" w14:textId="77777777" w:rsidR="00023039" w:rsidRPr="00023039" w:rsidRDefault="00023039" w:rsidP="00023039">
            <w:pPr>
              <w:rPr>
                <w:rFonts w:cs="Arial"/>
                <w:sz w:val="22"/>
                <w:szCs w:val="22"/>
              </w:rPr>
            </w:pPr>
            <w:r w:rsidRPr="00023039">
              <w:rPr>
                <w:rFonts w:cs="Arial"/>
                <w:sz w:val="22"/>
                <w:szCs w:val="22"/>
              </w:rPr>
              <w:t>Option 4: An uplift of £20.9 m (including a </w:t>
            </w:r>
            <w:proofErr w:type="gramStart"/>
            <w:r w:rsidRPr="00023039">
              <w:rPr>
                <w:rFonts w:cs="Arial"/>
                <w:sz w:val="22"/>
                <w:szCs w:val="22"/>
              </w:rPr>
              <w:t>2 year</w:t>
            </w:r>
            <w:proofErr w:type="gramEnd"/>
            <w:r w:rsidRPr="00023039">
              <w:rPr>
                <w:rFonts w:cs="Arial"/>
                <w:sz w:val="22"/>
                <w:szCs w:val="22"/>
              </w:rPr>
              <w:t> extension) </w:t>
            </w:r>
          </w:p>
        </w:tc>
        <w:tc>
          <w:tcPr>
            <w:tcW w:w="3240" w:type="dxa"/>
            <w:tcBorders>
              <w:top w:val="single" w:sz="4" w:space="0" w:color="auto"/>
              <w:left w:val="single" w:sz="4" w:space="0" w:color="auto"/>
              <w:bottom w:val="single" w:sz="4" w:space="0" w:color="auto"/>
              <w:right w:val="single" w:sz="4" w:space="0" w:color="auto"/>
            </w:tcBorders>
            <w:hideMark/>
          </w:tcPr>
          <w:p w14:paraId="4E13357D" w14:textId="77777777" w:rsidR="00023039" w:rsidRPr="00023039" w:rsidRDefault="00023039" w:rsidP="00023039">
            <w:pPr>
              <w:numPr>
                <w:ilvl w:val="0"/>
                <w:numId w:val="367"/>
              </w:numPr>
              <w:rPr>
                <w:rFonts w:cs="Arial"/>
                <w:sz w:val="22"/>
                <w:szCs w:val="22"/>
              </w:rPr>
            </w:pPr>
            <w:r w:rsidRPr="00023039">
              <w:rPr>
                <w:rFonts w:cs="Arial"/>
                <w:sz w:val="22"/>
                <w:szCs w:val="22"/>
              </w:rPr>
              <w:t>CSF 1: Would allow the programme to meet all the objectives.  </w:t>
            </w:r>
          </w:p>
          <w:p w14:paraId="51F7E935" w14:textId="77777777" w:rsidR="00023039" w:rsidRPr="00023039" w:rsidRDefault="00023039" w:rsidP="00023039">
            <w:pPr>
              <w:numPr>
                <w:ilvl w:val="0"/>
                <w:numId w:val="368"/>
              </w:numPr>
              <w:rPr>
                <w:rFonts w:cs="Arial"/>
                <w:sz w:val="22"/>
                <w:szCs w:val="22"/>
              </w:rPr>
            </w:pPr>
            <w:r w:rsidRPr="00023039">
              <w:rPr>
                <w:rFonts w:cs="Arial"/>
                <w:sz w:val="22"/>
                <w:szCs w:val="22"/>
              </w:rPr>
              <w:t>Objectives 1,2,3,4,5 could be met </w:t>
            </w:r>
          </w:p>
          <w:p w14:paraId="2EBA6634" w14:textId="77777777" w:rsidR="00023039" w:rsidRPr="00023039" w:rsidRDefault="00023039" w:rsidP="00023039">
            <w:pPr>
              <w:numPr>
                <w:ilvl w:val="0"/>
                <w:numId w:val="369"/>
              </w:numPr>
              <w:rPr>
                <w:rFonts w:cs="Arial"/>
                <w:sz w:val="22"/>
                <w:szCs w:val="22"/>
              </w:rPr>
            </w:pPr>
            <w:r w:rsidRPr="00023039">
              <w:rPr>
                <w:rFonts w:cs="Arial"/>
                <w:sz w:val="22"/>
                <w:szCs w:val="22"/>
              </w:rPr>
              <w:t>CSF 3 and 5 achievable by FAO </w:t>
            </w:r>
          </w:p>
        </w:tc>
        <w:tc>
          <w:tcPr>
            <w:tcW w:w="2910" w:type="dxa"/>
            <w:tcBorders>
              <w:top w:val="single" w:sz="4" w:space="0" w:color="auto"/>
              <w:left w:val="single" w:sz="4" w:space="0" w:color="auto"/>
              <w:bottom w:val="single" w:sz="4" w:space="0" w:color="auto"/>
              <w:right w:val="single" w:sz="4" w:space="0" w:color="auto"/>
            </w:tcBorders>
            <w:hideMark/>
          </w:tcPr>
          <w:p w14:paraId="3FEFAB76" w14:textId="77777777" w:rsidR="00023039" w:rsidRPr="00023039" w:rsidRDefault="00023039" w:rsidP="00023039">
            <w:pPr>
              <w:numPr>
                <w:ilvl w:val="0"/>
                <w:numId w:val="370"/>
              </w:numPr>
              <w:rPr>
                <w:rFonts w:cs="Arial"/>
                <w:sz w:val="22"/>
                <w:szCs w:val="22"/>
              </w:rPr>
            </w:pPr>
            <w:r w:rsidRPr="00023039">
              <w:rPr>
                <w:rFonts w:cs="Arial"/>
                <w:sz w:val="22"/>
                <w:szCs w:val="22"/>
              </w:rPr>
              <w:t>CSF 4: The requested amount is above the indicative budget provided to the programme at SR   </w:t>
            </w:r>
          </w:p>
        </w:tc>
        <w:tc>
          <w:tcPr>
            <w:tcW w:w="1815" w:type="dxa"/>
            <w:tcBorders>
              <w:top w:val="single" w:sz="4" w:space="0" w:color="auto"/>
              <w:left w:val="single" w:sz="4" w:space="0" w:color="auto"/>
              <w:bottom w:val="single" w:sz="4" w:space="0" w:color="auto"/>
              <w:right w:val="single" w:sz="4" w:space="0" w:color="auto"/>
            </w:tcBorders>
            <w:shd w:val="clear" w:color="auto" w:fill="92D050"/>
            <w:hideMark/>
          </w:tcPr>
          <w:p w14:paraId="6891AE26" w14:textId="77777777" w:rsidR="00023039" w:rsidRPr="00023039" w:rsidRDefault="00023039" w:rsidP="00023039">
            <w:pPr>
              <w:rPr>
                <w:rFonts w:cs="Arial"/>
                <w:sz w:val="22"/>
                <w:szCs w:val="22"/>
              </w:rPr>
            </w:pPr>
            <w:r w:rsidRPr="00023039">
              <w:rPr>
                <w:rFonts w:cs="Arial"/>
                <w:sz w:val="22"/>
                <w:szCs w:val="22"/>
              </w:rPr>
              <w:t>Preferred way forward  </w:t>
            </w:r>
          </w:p>
        </w:tc>
      </w:tr>
      <w:tr w:rsidR="00023039" w:rsidRPr="00023039" w14:paraId="02947827" w14:textId="77777777">
        <w:trPr>
          <w:trHeight w:val="300"/>
        </w:trPr>
        <w:tc>
          <w:tcPr>
            <w:tcW w:w="1890" w:type="dxa"/>
            <w:tcBorders>
              <w:top w:val="single" w:sz="4" w:space="0" w:color="auto"/>
              <w:left w:val="single" w:sz="4" w:space="0" w:color="auto"/>
              <w:bottom w:val="single" w:sz="4" w:space="0" w:color="auto"/>
              <w:right w:val="single" w:sz="4" w:space="0" w:color="auto"/>
            </w:tcBorders>
            <w:hideMark/>
          </w:tcPr>
          <w:p w14:paraId="2DB46D96" w14:textId="77777777" w:rsidR="00023039" w:rsidRPr="00023039" w:rsidRDefault="00023039" w:rsidP="00023039">
            <w:pPr>
              <w:rPr>
                <w:rFonts w:cs="Arial"/>
                <w:sz w:val="22"/>
                <w:szCs w:val="22"/>
              </w:rPr>
            </w:pPr>
            <w:r w:rsidRPr="00023039">
              <w:rPr>
                <w:rFonts w:cs="Arial"/>
                <w:sz w:val="22"/>
                <w:szCs w:val="22"/>
              </w:rPr>
              <w:t>Option 5: An uplift of approximately £40 m (including a </w:t>
            </w:r>
            <w:proofErr w:type="gramStart"/>
            <w:r w:rsidRPr="00023039">
              <w:rPr>
                <w:rFonts w:cs="Arial"/>
                <w:sz w:val="22"/>
                <w:szCs w:val="22"/>
              </w:rPr>
              <w:t>two year</w:t>
            </w:r>
            <w:proofErr w:type="gramEnd"/>
            <w:r w:rsidRPr="00023039">
              <w:rPr>
                <w:rFonts w:cs="Arial"/>
                <w:sz w:val="22"/>
                <w:szCs w:val="22"/>
              </w:rPr>
              <w:t> extension) </w:t>
            </w:r>
          </w:p>
        </w:tc>
        <w:tc>
          <w:tcPr>
            <w:tcW w:w="3240" w:type="dxa"/>
            <w:tcBorders>
              <w:top w:val="single" w:sz="4" w:space="0" w:color="auto"/>
              <w:left w:val="single" w:sz="4" w:space="0" w:color="auto"/>
              <w:bottom w:val="single" w:sz="4" w:space="0" w:color="auto"/>
              <w:right w:val="single" w:sz="4" w:space="0" w:color="auto"/>
            </w:tcBorders>
            <w:hideMark/>
          </w:tcPr>
          <w:p w14:paraId="7DDCDB92" w14:textId="77777777" w:rsidR="00023039" w:rsidRPr="00023039" w:rsidRDefault="00023039" w:rsidP="00023039">
            <w:pPr>
              <w:numPr>
                <w:ilvl w:val="0"/>
                <w:numId w:val="371"/>
              </w:numPr>
              <w:rPr>
                <w:rFonts w:cs="Arial"/>
                <w:sz w:val="22"/>
                <w:szCs w:val="22"/>
              </w:rPr>
            </w:pPr>
            <w:r w:rsidRPr="00023039">
              <w:rPr>
                <w:rFonts w:cs="Arial"/>
                <w:sz w:val="22"/>
                <w:szCs w:val="22"/>
              </w:rPr>
              <w:t>This option would increase the number of countries in which AIM4Forests provides in-country technical </w:t>
            </w:r>
            <w:proofErr w:type="gramStart"/>
            <w:r w:rsidRPr="00023039">
              <w:rPr>
                <w:rFonts w:cs="Arial"/>
                <w:sz w:val="22"/>
                <w:szCs w:val="22"/>
              </w:rPr>
              <w:t>assistance, and</w:t>
            </w:r>
            <w:proofErr w:type="gramEnd"/>
            <w:r w:rsidRPr="00023039">
              <w:rPr>
                <w:rFonts w:cs="Arial"/>
                <w:sz w:val="22"/>
                <w:szCs w:val="22"/>
              </w:rPr>
              <w:t> would scale up the assistance provided in certain countries.  </w:t>
            </w:r>
          </w:p>
          <w:p w14:paraId="1CE06634" w14:textId="77777777" w:rsidR="00023039" w:rsidRPr="00023039" w:rsidRDefault="00023039" w:rsidP="00023039">
            <w:pPr>
              <w:numPr>
                <w:ilvl w:val="0"/>
                <w:numId w:val="372"/>
              </w:numPr>
              <w:rPr>
                <w:rFonts w:cs="Arial"/>
                <w:sz w:val="22"/>
                <w:szCs w:val="22"/>
              </w:rPr>
            </w:pPr>
            <w:r w:rsidRPr="00023039">
              <w:rPr>
                <w:rFonts w:cs="Arial"/>
                <w:sz w:val="22"/>
                <w:szCs w:val="22"/>
              </w:rPr>
              <w:t>It would also significantly scale up on the work done on unsustainable commodity production, doubling the number of countries the programme could undertake this work in, and increasing the support offered at a global level.  </w:t>
            </w:r>
          </w:p>
          <w:p w14:paraId="67BD9D99" w14:textId="77777777" w:rsidR="00023039" w:rsidRPr="00023039" w:rsidRDefault="00023039" w:rsidP="00023039">
            <w:pPr>
              <w:numPr>
                <w:ilvl w:val="0"/>
                <w:numId w:val="373"/>
              </w:numPr>
              <w:rPr>
                <w:rFonts w:cs="Arial"/>
                <w:sz w:val="22"/>
                <w:szCs w:val="22"/>
              </w:rPr>
            </w:pPr>
            <w:r w:rsidRPr="00023039">
              <w:rPr>
                <w:rFonts w:cs="Arial"/>
                <w:sz w:val="22"/>
                <w:szCs w:val="22"/>
              </w:rPr>
              <w:lastRenderedPageBreak/>
              <w:t>CSF 1: this option would allow the programme to meet </w:t>
            </w:r>
            <w:proofErr w:type="gramStart"/>
            <w:r w:rsidRPr="00023039">
              <w:rPr>
                <w:rFonts w:cs="Arial"/>
                <w:sz w:val="22"/>
                <w:szCs w:val="22"/>
              </w:rPr>
              <w:t>all of</w:t>
            </w:r>
            <w:proofErr w:type="gramEnd"/>
            <w:r w:rsidRPr="00023039">
              <w:rPr>
                <w:rFonts w:cs="Arial"/>
                <w:sz w:val="22"/>
                <w:szCs w:val="22"/>
              </w:rPr>
              <w:t> the objectives </w:t>
            </w:r>
          </w:p>
        </w:tc>
        <w:tc>
          <w:tcPr>
            <w:tcW w:w="2910" w:type="dxa"/>
            <w:tcBorders>
              <w:top w:val="single" w:sz="4" w:space="0" w:color="auto"/>
              <w:left w:val="single" w:sz="4" w:space="0" w:color="auto"/>
              <w:bottom w:val="single" w:sz="4" w:space="0" w:color="auto"/>
              <w:right w:val="single" w:sz="4" w:space="0" w:color="auto"/>
            </w:tcBorders>
            <w:hideMark/>
          </w:tcPr>
          <w:p w14:paraId="7053E613" w14:textId="77777777" w:rsidR="00023039" w:rsidRPr="00023039" w:rsidRDefault="00023039" w:rsidP="00023039">
            <w:pPr>
              <w:numPr>
                <w:ilvl w:val="0"/>
                <w:numId w:val="374"/>
              </w:numPr>
              <w:rPr>
                <w:rFonts w:cs="Arial"/>
                <w:sz w:val="22"/>
                <w:szCs w:val="22"/>
              </w:rPr>
            </w:pPr>
            <w:r w:rsidRPr="00023039">
              <w:rPr>
                <w:rFonts w:cs="Arial"/>
                <w:sz w:val="22"/>
                <w:szCs w:val="22"/>
              </w:rPr>
              <w:lastRenderedPageBreak/>
              <w:t>CSF 4: this option is significantly above the indicative budget for the proposal and would have implications for other ICF programming.  </w:t>
            </w:r>
          </w:p>
        </w:tc>
        <w:tc>
          <w:tcPr>
            <w:tcW w:w="1815" w:type="dxa"/>
            <w:tcBorders>
              <w:top w:val="single" w:sz="4" w:space="0" w:color="auto"/>
              <w:left w:val="single" w:sz="4" w:space="0" w:color="auto"/>
              <w:bottom w:val="single" w:sz="4" w:space="0" w:color="auto"/>
              <w:right w:val="single" w:sz="4" w:space="0" w:color="auto"/>
            </w:tcBorders>
            <w:shd w:val="clear" w:color="auto" w:fill="FFC000"/>
            <w:hideMark/>
          </w:tcPr>
          <w:p w14:paraId="5DAE4B88" w14:textId="77777777" w:rsidR="00023039" w:rsidRPr="00023039" w:rsidRDefault="00023039" w:rsidP="00023039">
            <w:pPr>
              <w:rPr>
                <w:rFonts w:cs="Arial"/>
                <w:sz w:val="22"/>
                <w:szCs w:val="22"/>
              </w:rPr>
            </w:pPr>
            <w:r w:rsidRPr="00023039">
              <w:rPr>
                <w:rFonts w:cs="Arial"/>
                <w:sz w:val="22"/>
                <w:szCs w:val="22"/>
              </w:rPr>
              <w:t>Carried forward </w:t>
            </w:r>
          </w:p>
        </w:tc>
      </w:tr>
    </w:tbl>
    <w:p w14:paraId="14D2182F" w14:textId="77777777" w:rsidR="00023039" w:rsidRPr="00023039" w:rsidRDefault="00023039" w:rsidP="00023039">
      <w:pPr>
        <w:rPr>
          <w:rFonts w:cs="Arial"/>
          <w:sz w:val="22"/>
          <w:szCs w:val="22"/>
        </w:rPr>
      </w:pPr>
      <w:r w:rsidRPr="00023039">
        <w:rPr>
          <w:rFonts w:cs="Arial"/>
          <w:sz w:val="22"/>
          <w:szCs w:val="22"/>
        </w:rPr>
        <w:t> </w:t>
      </w:r>
    </w:p>
    <w:p w14:paraId="5AF67667" w14:textId="77777777" w:rsidR="00023039" w:rsidRPr="00023039" w:rsidRDefault="00023039" w:rsidP="00023039">
      <w:pPr>
        <w:rPr>
          <w:rFonts w:cs="Arial"/>
          <w:sz w:val="22"/>
          <w:szCs w:val="22"/>
        </w:rPr>
      </w:pPr>
      <w:r w:rsidRPr="00023039">
        <w:rPr>
          <w:rFonts w:cs="Arial"/>
          <w:sz w:val="22"/>
          <w:szCs w:val="22"/>
          <w:u w:val="single"/>
        </w:rPr>
        <w:t>Summary </w:t>
      </w:r>
      <w:r w:rsidRPr="00023039">
        <w:rPr>
          <w:rFonts w:cs="Arial"/>
          <w:sz w:val="22"/>
          <w:szCs w:val="22"/>
        </w:rPr>
        <w:t> </w:t>
      </w:r>
    </w:p>
    <w:p w14:paraId="3C292828" w14:textId="77777777" w:rsidR="00023039" w:rsidRPr="00023039" w:rsidRDefault="00023039" w:rsidP="00023039">
      <w:pPr>
        <w:rPr>
          <w:rFonts w:cs="Arial"/>
          <w:sz w:val="22"/>
          <w:szCs w:val="22"/>
        </w:rPr>
      </w:pPr>
      <w:r w:rsidRPr="00023039">
        <w:rPr>
          <w:rFonts w:cs="Arial"/>
          <w:sz w:val="22"/>
          <w:szCs w:val="22"/>
        </w:rPr>
        <w:t>Option 4: an uplift of £20.9 m (including a </w:t>
      </w:r>
      <w:proofErr w:type="gramStart"/>
      <w:r w:rsidRPr="00023039">
        <w:rPr>
          <w:rFonts w:cs="Arial"/>
          <w:sz w:val="22"/>
          <w:szCs w:val="22"/>
        </w:rPr>
        <w:t>2 year</w:t>
      </w:r>
      <w:proofErr w:type="gramEnd"/>
      <w:r w:rsidRPr="00023039">
        <w:rPr>
          <w:rFonts w:cs="Arial"/>
          <w:sz w:val="22"/>
          <w:szCs w:val="22"/>
        </w:rPr>
        <w:t> extension) is the preferred option as it delivers against each of the objectives. This option ensures that the programme can continue its fundamental in-country technical assistance, expands the scope of the programme to address monitoring for unsustainable commodity production, and extends the term of the programme to ensure that support can be provided up to 2030 (aligned with reporting dates of key international processes). However this option is above the budget allocated to the AIM4Forests extension business case, which was £20 million, therefore it could have opportunity costs for other ICF programming.  </w:t>
      </w:r>
    </w:p>
    <w:p w14:paraId="11F65F1A" w14:textId="77777777" w:rsidR="00023039" w:rsidRPr="00023039" w:rsidRDefault="00023039" w:rsidP="00023039">
      <w:pPr>
        <w:rPr>
          <w:rFonts w:cs="Arial"/>
          <w:sz w:val="22"/>
          <w:szCs w:val="22"/>
        </w:rPr>
      </w:pPr>
      <w:r w:rsidRPr="00023039">
        <w:rPr>
          <w:rFonts w:cs="Arial"/>
          <w:sz w:val="22"/>
          <w:szCs w:val="22"/>
        </w:rPr>
        <w:t>Options 2 and 3 were discounted as they do not deliver against each of the strategic fit objectives.  Option 1 was carried forward as the counterfactual.  Option 5 was also carried over as it delivers against </w:t>
      </w:r>
      <w:proofErr w:type="gramStart"/>
      <w:r w:rsidRPr="00023039">
        <w:rPr>
          <w:rFonts w:cs="Arial"/>
          <w:sz w:val="22"/>
          <w:szCs w:val="22"/>
        </w:rPr>
        <w:t>all of</w:t>
      </w:r>
      <w:proofErr w:type="gramEnd"/>
      <w:r w:rsidRPr="00023039">
        <w:rPr>
          <w:rFonts w:cs="Arial"/>
          <w:sz w:val="22"/>
          <w:szCs w:val="22"/>
        </w:rPr>
        <w:t> the strategic fit objectives.  </w:t>
      </w:r>
    </w:p>
    <w:p w14:paraId="33AB1062" w14:textId="77777777" w:rsidR="00023039" w:rsidRPr="00023039" w:rsidRDefault="00023039" w:rsidP="00023039">
      <w:pPr>
        <w:rPr>
          <w:rFonts w:cs="Arial"/>
          <w:sz w:val="22"/>
          <w:szCs w:val="22"/>
        </w:rPr>
      </w:pPr>
      <w:r w:rsidRPr="00023039">
        <w:rPr>
          <w:rFonts w:cs="Arial"/>
          <w:b/>
          <w:bCs/>
          <w:sz w:val="22"/>
          <w:szCs w:val="22"/>
          <w:u w:val="single"/>
        </w:rPr>
        <w:t>Summary table </w:t>
      </w:r>
      <w:r w:rsidRPr="00023039">
        <w:rPr>
          <w:rFonts w:cs="Arial"/>
          <w:sz w:val="22"/>
          <w:szCs w:val="22"/>
        </w:rPr>
        <w:t> </w:t>
      </w:r>
    </w:p>
    <w:tbl>
      <w:tblPr>
        <w:tblW w:w="0"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2550"/>
        <w:gridCol w:w="2505"/>
        <w:gridCol w:w="3285"/>
      </w:tblGrid>
      <w:tr w:rsidR="00023039" w:rsidRPr="00023039" w14:paraId="3429DEE6" w14:textId="77777777">
        <w:trPr>
          <w:trHeight w:val="270"/>
        </w:trPr>
        <w:tc>
          <w:tcPr>
            <w:tcW w:w="1395" w:type="dxa"/>
            <w:tcBorders>
              <w:top w:val="single" w:sz="6" w:space="0" w:color="auto"/>
              <w:left w:val="single" w:sz="6" w:space="0" w:color="auto"/>
              <w:bottom w:val="single" w:sz="6" w:space="0" w:color="auto"/>
              <w:right w:val="single" w:sz="6" w:space="0" w:color="auto"/>
            </w:tcBorders>
            <w:shd w:val="clear" w:color="auto" w:fill="E8E8E8"/>
            <w:hideMark/>
          </w:tcPr>
          <w:p w14:paraId="44A05253" w14:textId="77777777" w:rsidR="00023039" w:rsidRPr="00023039" w:rsidRDefault="00023039" w:rsidP="00023039">
            <w:pPr>
              <w:rPr>
                <w:rFonts w:cs="Arial"/>
                <w:sz w:val="22"/>
                <w:szCs w:val="22"/>
              </w:rPr>
            </w:pPr>
            <w:r w:rsidRPr="00023039">
              <w:rPr>
                <w:rFonts w:cs="Arial"/>
                <w:sz w:val="22"/>
                <w:szCs w:val="22"/>
              </w:rPr>
              <w:t>  </w:t>
            </w:r>
          </w:p>
        </w:tc>
        <w:tc>
          <w:tcPr>
            <w:tcW w:w="2550" w:type="dxa"/>
            <w:tcBorders>
              <w:top w:val="single" w:sz="6" w:space="0" w:color="auto"/>
              <w:left w:val="single" w:sz="6" w:space="0" w:color="auto"/>
              <w:bottom w:val="single" w:sz="6" w:space="0" w:color="auto"/>
              <w:right w:val="single" w:sz="6" w:space="0" w:color="auto"/>
            </w:tcBorders>
            <w:shd w:val="clear" w:color="auto" w:fill="E8E8E8"/>
            <w:vAlign w:val="center"/>
            <w:hideMark/>
          </w:tcPr>
          <w:p w14:paraId="55830202" w14:textId="77777777" w:rsidR="00023039" w:rsidRPr="00023039" w:rsidRDefault="00023039" w:rsidP="00023039">
            <w:pPr>
              <w:rPr>
                <w:rFonts w:cs="Arial"/>
                <w:sz w:val="22"/>
                <w:szCs w:val="22"/>
              </w:rPr>
            </w:pPr>
            <w:r w:rsidRPr="00023039">
              <w:rPr>
                <w:rFonts w:cs="Arial"/>
                <w:b/>
                <w:bCs/>
                <w:i/>
                <w:iCs/>
                <w:sz w:val="22"/>
                <w:szCs w:val="22"/>
              </w:rPr>
              <w:t>Solution </w:t>
            </w:r>
            <w:r w:rsidRPr="00023039">
              <w:rPr>
                <w:rFonts w:cs="Arial"/>
                <w:sz w:val="22"/>
                <w:szCs w:val="22"/>
              </w:rPr>
              <w:t>  </w:t>
            </w:r>
          </w:p>
        </w:tc>
        <w:tc>
          <w:tcPr>
            <w:tcW w:w="2505" w:type="dxa"/>
            <w:tcBorders>
              <w:top w:val="single" w:sz="6" w:space="0" w:color="auto"/>
              <w:left w:val="single" w:sz="6" w:space="0" w:color="auto"/>
              <w:bottom w:val="single" w:sz="6" w:space="0" w:color="auto"/>
              <w:right w:val="single" w:sz="6" w:space="0" w:color="auto"/>
            </w:tcBorders>
            <w:shd w:val="clear" w:color="auto" w:fill="E8E8E8"/>
            <w:vAlign w:val="center"/>
            <w:hideMark/>
          </w:tcPr>
          <w:p w14:paraId="1DF0E7FC" w14:textId="77777777" w:rsidR="00023039" w:rsidRPr="00023039" w:rsidRDefault="00023039" w:rsidP="00023039">
            <w:pPr>
              <w:rPr>
                <w:rFonts w:cs="Arial"/>
                <w:sz w:val="22"/>
                <w:szCs w:val="22"/>
              </w:rPr>
            </w:pPr>
            <w:r w:rsidRPr="00023039">
              <w:rPr>
                <w:rFonts w:cs="Arial"/>
                <w:b/>
                <w:bCs/>
                <w:i/>
                <w:iCs/>
                <w:sz w:val="22"/>
                <w:szCs w:val="22"/>
              </w:rPr>
              <w:t>Delivery </w:t>
            </w:r>
            <w:r w:rsidRPr="00023039">
              <w:rPr>
                <w:rFonts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E8E8E8"/>
            <w:vAlign w:val="center"/>
            <w:hideMark/>
          </w:tcPr>
          <w:p w14:paraId="3E007F8B" w14:textId="77777777" w:rsidR="00023039" w:rsidRPr="00023039" w:rsidRDefault="00023039" w:rsidP="00023039">
            <w:pPr>
              <w:rPr>
                <w:rFonts w:cs="Arial"/>
                <w:sz w:val="22"/>
                <w:szCs w:val="22"/>
              </w:rPr>
            </w:pPr>
            <w:r w:rsidRPr="00023039">
              <w:rPr>
                <w:rFonts w:cs="Arial"/>
                <w:b/>
                <w:bCs/>
                <w:i/>
                <w:iCs/>
                <w:sz w:val="22"/>
                <w:szCs w:val="22"/>
              </w:rPr>
              <w:t>Funding </w:t>
            </w:r>
            <w:r w:rsidRPr="00023039">
              <w:rPr>
                <w:rFonts w:cs="Arial"/>
                <w:sz w:val="22"/>
                <w:szCs w:val="22"/>
              </w:rPr>
              <w:t>  </w:t>
            </w:r>
          </w:p>
        </w:tc>
      </w:tr>
      <w:tr w:rsidR="00023039" w:rsidRPr="00023039" w14:paraId="2C9217A2" w14:textId="77777777">
        <w:trPr>
          <w:trHeight w:val="270"/>
        </w:trPr>
        <w:tc>
          <w:tcPr>
            <w:tcW w:w="1395" w:type="dxa"/>
            <w:tcBorders>
              <w:top w:val="single" w:sz="6" w:space="0" w:color="auto"/>
              <w:left w:val="single" w:sz="6" w:space="0" w:color="auto"/>
              <w:bottom w:val="single" w:sz="6" w:space="0" w:color="auto"/>
              <w:right w:val="single" w:sz="6" w:space="0" w:color="auto"/>
            </w:tcBorders>
            <w:shd w:val="clear" w:color="auto" w:fill="D9F2D0"/>
            <w:vAlign w:val="center"/>
            <w:hideMark/>
          </w:tcPr>
          <w:p w14:paraId="4558EA82" w14:textId="77777777" w:rsidR="00023039" w:rsidRPr="00023039" w:rsidRDefault="00023039" w:rsidP="00023039">
            <w:pPr>
              <w:rPr>
                <w:rFonts w:cs="Arial"/>
                <w:sz w:val="22"/>
                <w:szCs w:val="22"/>
              </w:rPr>
            </w:pPr>
            <w:r w:rsidRPr="00023039">
              <w:rPr>
                <w:rFonts w:cs="Arial"/>
                <w:b/>
                <w:bCs/>
                <w:sz w:val="22"/>
                <w:szCs w:val="22"/>
              </w:rPr>
              <w:t>Preferred way forward </w:t>
            </w:r>
            <w:r w:rsidRPr="00023039">
              <w:rPr>
                <w:rFonts w:cs="Arial"/>
                <w:sz w:val="22"/>
                <w:szCs w:val="22"/>
              </w:rPr>
              <w:t>  </w:t>
            </w:r>
          </w:p>
        </w:tc>
        <w:tc>
          <w:tcPr>
            <w:tcW w:w="2550" w:type="dxa"/>
            <w:tcBorders>
              <w:top w:val="single" w:sz="6" w:space="0" w:color="auto"/>
              <w:left w:val="single" w:sz="6" w:space="0" w:color="auto"/>
              <w:bottom w:val="single" w:sz="6" w:space="0" w:color="auto"/>
              <w:right w:val="single" w:sz="6" w:space="0" w:color="auto"/>
            </w:tcBorders>
            <w:shd w:val="clear" w:color="auto" w:fill="D9F2D0"/>
            <w:hideMark/>
          </w:tcPr>
          <w:p w14:paraId="7F29459B" w14:textId="77777777" w:rsidR="00023039" w:rsidRPr="00023039" w:rsidRDefault="00023039" w:rsidP="00023039">
            <w:pPr>
              <w:rPr>
                <w:rFonts w:cs="Arial"/>
                <w:sz w:val="22"/>
                <w:szCs w:val="22"/>
              </w:rPr>
            </w:pPr>
            <w:r w:rsidRPr="00023039">
              <w:rPr>
                <w:rFonts w:cs="Arial"/>
                <w:sz w:val="22"/>
                <w:szCs w:val="22"/>
              </w:rPr>
              <w:t>Address current budget shortfall, include monitoring for sustainable commodities and an extension to the term of the programme   </w:t>
            </w:r>
          </w:p>
        </w:tc>
        <w:tc>
          <w:tcPr>
            <w:tcW w:w="2505" w:type="dxa"/>
            <w:tcBorders>
              <w:top w:val="single" w:sz="6" w:space="0" w:color="auto"/>
              <w:left w:val="single" w:sz="6" w:space="0" w:color="auto"/>
              <w:bottom w:val="single" w:sz="6" w:space="0" w:color="auto"/>
              <w:right w:val="single" w:sz="6" w:space="0" w:color="auto"/>
            </w:tcBorders>
            <w:shd w:val="clear" w:color="auto" w:fill="D9F2D0"/>
            <w:hideMark/>
          </w:tcPr>
          <w:p w14:paraId="6D6036FA" w14:textId="77777777" w:rsidR="00023039" w:rsidRPr="00023039" w:rsidRDefault="00023039" w:rsidP="00023039">
            <w:pPr>
              <w:rPr>
                <w:rFonts w:cs="Arial"/>
                <w:sz w:val="22"/>
                <w:szCs w:val="22"/>
              </w:rPr>
            </w:pPr>
            <w:r w:rsidRPr="00023039">
              <w:rPr>
                <w:rFonts w:cs="Arial"/>
                <w:sz w:val="22"/>
                <w:szCs w:val="22"/>
              </w:rPr>
              <w:t>Retain current delivery partner   </w:t>
            </w:r>
          </w:p>
        </w:tc>
        <w:tc>
          <w:tcPr>
            <w:tcW w:w="3285" w:type="dxa"/>
            <w:tcBorders>
              <w:top w:val="single" w:sz="6" w:space="0" w:color="auto"/>
              <w:left w:val="single" w:sz="6" w:space="0" w:color="auto"/>
              <w:bottom w:val="single" w:sz="6" w:space="0" w:color="auto"/>
              <w:right w:val="single" w:sz="6" w:space="0" w:color="auto"/>
            </w:tcBorders>
            <w:shd w:val="clear" w:color="auto" w:fill="D9F2D0"/>
            <w:hideMark/>
          </w:tcPr>
          <w:p w14:paraId="1F2A15C6" w14:textId="77777777" w:rsidR="00023039" w:rsidRPr="00023039" w:rsidRDefault="00023039" w:rsidP="00023039">
            <w:pPr>
              <w:rPr>
                <w:rFonts w:cs="Arial"/>
                <w:sz w:val="22"/>
                <w:szCs w:val="22"/>
              </w:rPr>
            </w:pPr>
            <w:r w:rsidRPr="00023039">
              <w:rPr>
                <w:rFonts w:cs="Arial"/>
                <w:sz w:val="22"/>
                <w:szCs w:val="22"/>
              </w:rPr>
              <w:t>An uplift of £20.9 m (including a </w:t>
            </w:r>
            <w:proofErr w:type="gramStart"/>
            <w:r w:rsidRPr="00023039">
              <w:rPr>
                <w:rFonts w:cs="Arial"/>
                <w:sz w:val="22"/>
                <w:szCs w:val="22"/>
              </w:rPr>
              <w:t>two year</w:t>
            </w:r>
            <w:proofErr w:type="gramEnd"/>
            <w:r w:rsidRPr="00023039">
              <w:rPr>
                <w:rFonts w:cs="Arial"/>
                <w:sz w:val="22"/>
                <w:szCs w:val="22"/>
              </w:rPr>
              <w:t> extension)  </w:t>
            </w:r>
          </w:p>
        </w:tc>
      </w:tr>
      <w:tr w:rsidR="00023039" w:rsidRPr="00023039" w14:paraId="3927DC40" w14:textId="77777777">
        <w:trPr>
          <w:trHeight w:val="270"/>
        </w:trPr>
        <w:tc>
          <w:tcPr>
            <w:tcW w:w="1395" w:type="dxa"/>
            <w:vMerge w:val="restart"/>
            <w:tcBorders>
              <w:top w:val="single" w:sz="6" w:space="0" w:color="auto"/>
              <w:left w:val="single" w:sz="6" w:space="0" w:color="auto"/>
              <w:bottom w:val="single" w:sz="6" w:space="0" w:color="auto"/>
              <w:right w:val="single" w:sz="6" w:space="0" w:color="auto"/>
            </w:tcBorders>
            <w:shd w:val="clear" w:color="auto" w:fill="FFE181"/>
            <w:vAlign w:val="center"/>
            <w:hideMark/>
          </w:tcPr>
          <w:p w14:paraId="7BA17F5C" w14:textId="77777777" w:rsidR="00023039" w:rsidRPr="00023039" w:rsidRDefault="00023039" w:rsidP="00023039">
            <w:pPr>
              <w:rPr>
                <w:rFonts w:cs="Arial"/>
                <w:sz w:val="22"/>
                <w:szCs w:val="22"/>
              </w:rPr>
            </w:pPr>
            <w:r w:rsidRPr="00023039">
              <w:rPr>
                <w:rFonts w:cs="Arial"/>
                <w:b/>
                <w:bCs/>
                <w:sz w:val="22"/>
                <w:szCs w:val="22"/>
              </w:rPr>
              <w:t>Carried over </w:t>
            </w:r>
            <w:r w:rsidRPr="00023039">
              <w:rPr>
                <w:rFonts w:cs="Arial"/>
                <w:sz w:val="22"/>
                <w:szCs w:val="22"/>
              </w:rPr>
              <w:t>  </w:t>
            </w:r>
          </w:p>
        </w:tc>
        <w:tc>
          <w:tcPr>
            <w:tcW w:w="2550" w:type="dxa"/>
            <w:vMerge w:val="restart"/>
            <w:tcBorders>
              <w:top w:val="single" w:sz="6" w:space="0" w:color="auto"/>
              <w:left w:val="single" w:sz="6" w:space="0" w:color="auto"/>
              <w:bottom w:val="single" w:sz="6" w:space="0" w:color="auto"/>
              <w:right w:val="single" w:sz="6" w:space="0" w:color="auto"/>
            </w:tcBorders>
            <w:shd w:val="clear" w:color="auto" w:fill="FFE181"/>
            <w:hideMark/>
          </w:tcPr>
          <w:p w14:paraId="7D9FE0A2" w14:textId="77777777" w:rsidR="00023039" w:rsidRPr="00023039" w:rsidRDefault="00023039" w:rsidP="00023039">
            <w:pPr>
              <w:rPr>
                <w:rFonts w:cs="Arial"/>
                <w:sz w:val="22"/>
                <w:szCs w:val="22"/>
              </w:rPr>
            </w:pPr>
            <w:r w:rsidRPr="00023039">
              <w:rPr>
                <w:rFonts w:cs="Arial"/>
                <w:sz w:val="22"/>
                <w:szCs w:val="22"/>
              </w:rPr>
              <w:t>BAU - no additional funding to AIM4Forests or extension to the term of the programme     </w:t>
            </w:r>
          </w:p>
        </w:tc>
        <w:tc>
          <w:tcPr>
            <w:tcW w:w="2505" w:type="dxa"/>
            <w:vMerge w:val="restart"/>
            <w:tcBorders>
              <w:top w:val="single" w:sz="6" w:space="0" w:color="auto"/>
              <w:left w:val="single" w:sz="6" w:space="0" w:color="auto"/>
              <w:bottom w:val="single" w:sz="6" w:space="0" w:color="auto"/>
              <w:right w:val="single" w:sz="6" w:space="0" w:color="auto"/>
            </w:tcBorders>
            <w:shd w:val="clear" w:color="auto" w:fill="FFE181"/>
            <w:hideMark/>
          </w:tcPr>
          <w:p w14:paraId="79799C90" w14:textId="77777777" w:rsidR="00023039" w:rsidRPr="00023039" w:rsidRDefault="00023039" w:rsidP="00023039">
            <w:pPr>
              <w:rPr>
                <w:rFonts w:cs="Arial"/>
                <w:sz w:val="22"/>
                <w:szCs w:val="22"/>
              </w:rPr>
            </w:pPr>
            <w:r w:rsidRPr="00023039">
              <w:rPr>
                <w:rFonts w:cs="Arial"/>
                <w:sz w:val="22"/>
                <w:szCs w:val="22"/>
              </w:rPr>
              <w:t>Funding of a new programme through competitive tender   </w:t>
            </w:r>
          </w:p>
        </w:tc>
        <w:tc>
          <w:tcPr>
            <w:tcW w:w="3285" w:type="dxa"/>
            <w:tcBorders>
              <w:top w:val="single" w:sz="6" w:space="0" w:color="auto"/>
              <w:left w:val="single" w:sz="6" w:space="0" w:color="auto"/>
              <w:bottom w:val="single" w:sz="6" w:space="0" w:color="auto"/>
              <w:right w:val="single" w:sz="6" w:space="0" w:color="auto"/>
            </w:tcBorders>
            <w:shd w:val="clear" w:color="auto" w:fill="FFE181"/>
            <w:vAlign w:val="center"/>
            <w:hideMark/>
          </w:tcPr>
          <w:p w14:paraId="497827F0" w14:textId="77777777" w:rsidR="00023039" w:rsidRPr="00023039" w:rsidRDefault="00023039" w:rsidP="00023039">
            <w:pPr>
              <w:rPr>
                <w:rFonts w:cs="Arial"/>
                <w:sz w:val="22"/>
                <w:szCs w:val="22"/>
              </w:rPr>
            </w:pPr>
            <w:r w:rsidRPr="00023039">
              <w:rPr>
                <w:rFonts w:cs="Arial"/>
                <w:sz w:val="22"/>
                <w:szCs w:val="22"/>
              </w:rPr>
              <w:t>BAU - no budgetary increase or extension to the term of the programme    </w:t>
            </w:r>
          </w:p>
          <w:p w14:paraId="21A1041F" w14:textId="77777777" w:rsidR="00023039" w:rsidRPr="00023039" w:rsidRDefault="00023039" w:rsidP="00023039">
            <w:pPr>
              <w:rPr>
                <w:rFonts w:cs="Arial"/>
                <w:sz w:val="22"/>
                <w:szCs w:val="22"/>
              </w:rPr>
            </w:pPr>
            <w:r w:rsidRPr="00023039">
              <w:rPr>
                <w:rFonts w:cs="Arial"/>
                <w:sz w:val="22"/>
                <w:szCs w:val="22"/>
              </w:rPr>
              <w:t>  </w:t>
            </w:r>
          </w:p>
        </w:tc>
      </w:tr>
      <w:tr w:rsidR="00023039" w:rsidRPr="00023039" w14:paraId="31B5659D" w14:textId="77777777">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9394590" w14:textId="77777777" w:rsidR="00023039" w:rsidRPr="00023039" w:rsidRDefault="00023039" w:rsidP="00023039">
            <w:pPr>
              <w:rPr>
                <w:rFonts w:cs="Arial"/>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2E75A3" w14:textId="77777777" w:rsidR="00023039" w:rsidRPr="00023039" w:rsidRDefault="00023039" w:rsidP="00023039">
            <w:pPr>
              <w:rPr>
                <w:rFonts w:cs="Arial"/>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63BD43" w14:textId="77777777" w:rsidR="00023039" w:rsidRPr="00023039" w:rsidRDefault="00023039" w:rsidP="00023039">
            <w:pPr>
              <w:rPr>
                <w:rFonts w:cs="Arial"/>
                <w:sz w:val="22"/>
                <w:szCs w:val="22"/>
              </w:rPr>
            </w:pPr>
          </w:p>
        </w:tc>
        <w:tc>
          <w:tcPr>
            <w:tcW w:w="3285" w:type="dxa"/>
            <w:tcBorders>
              <w:top w:val="single" w:sz="6" w:space="0" w:color="auto"/>
              <w:left w:val="single" w:sz="6" w:space="0" w:color="auto"/>
              <w:bottom w:val="single" w:sz="6" w:space="0" w:color="auto"/>
              <w:right w:val="single" w:sz="6" w:space="0" w:color="auto"/>
            </w:tcBorders>
            <w:shd w:val="clear" w:color="auto" w:fill="FFE181"/>
            <w:hideMark/>
          </w:tcPr>
          <w:p w14:paraId="5760A561" w14:textId="77777777" w:rsidR="00023039" w:rsidRPr="00023039" w:rsidRDefault="00023039" w:rsidP="00023039">
            <w:pPr>
              <w:rPr>
                <w:rFonts w:cs="Arial"/>
                <w:sz w:val="22"/>
                <w:szCs w:val="22"/>
              </w:rPr>
            </w:pPr>
            <w:r w:rsidRPr="00023039">
              <w:rPr>
                <w:rFonts w:cs="Arial"/>
                <w:sz w:val="22"/>
                <w:szCs w:val="22"/>
              </w:rPr>
              <w:t>An uplift of £40m (including a </w:t>
            </w:r>
            <w:proofErr w:type="gramStart"/>
            <w:r w:rsidRPr="00023039">
              <w:rPr>
                <w:rFonts w:cs="Arial"/>
                <w:sz w:val="22"/>
                <w:szCs w:val="22"/>
              </w:rPr>
              <w:t>two year</w:t>
            </w:r>
            <w:proofErr w:type="gramEnd"/>
            <w:r w:rsidRPr="00023039">
              <w:rPr>
                <w:rFonts w:cs="Arial"/>
                <w:sz w:val="22"/>
                <w:szCs w:val="22"/>
              </w:rPr>
              <w:t> </w:t>
            </w:r>
            <w:proofErr w:type="gramStart"/>
            <w:r w:rsidRPr="00023039">
              <w:rPr>
                <w:rFonts w:cs="Arial"/>
                <w:sz w:val="22"/>
                <w:szCs w:val="22"/>
              </w:rPr>
              <w:t>extension)   </w:t>
            </w:r>
            <w:proofErr w:type="gramEnd"/>
          </w:p>
        </w:tc>
      </w:tr>
      <w:tr w:rsidR="00023039" w:rsidRPr="00023039" w14:paraId="730AA3A0" w14:textId="77777777">
        <w:trPr>
          <w:trHeight w:val="270"/>
        </w:trPr>
        <w:tc>
          <w:tcPr>
            <w:tcW w:w="1395" w:type="dxa"/>
            <w:vMerge w:val="restart"/>
            <w:tcBorders>
              <w:top w:val="single" w:sz="6" w:space="0" w:color="auto"/>
              <w:left w:val="single" w:sz="6" w:space="0" w:color="auto"/>
              <w:bottom w:val="single" w:sz="6" w:space="0" w:color="auto"/>
              <w:right w:val="single" w:sz="6" w:space="0" w:color="auto"/>
            </w:tcBorders>
            <w:shd w:val="clear" w:color="auto" w:fill="F6C5AC"/>
            <w:vAlign w:val="center"/>
            <w:hideMark/>
          </w:tcPr>
          <w:p w14:paraId="1707F6AE" w14:textId="77777777" w:rsidR="00023039" w:rsidRPr="00023039" w:rsidRDefault="00023039" w:rsidP="00023039">
            <w:pPr>
              <w:rPr>
                <w:rFonts w:cs="Arial"/>
                <w:sz w:val="22"/>
                <w:szCs w:val="22"/>
              </w:rPr>
            </w:pPr>
            <w:r w:rsidRPr="00023039">
              <w:rPr>
                <w:rFonts w:cs="Arial"/>
                <w:b/>
                <w:bCs/>
                <w:sz w:val="22"/>
                <w:szCs w:val="22"/>
              </w:rPr>
              <w:t>Discounted </w:t>
            </w:r>
            <w:r w:rsidRPr="00023039">
              <w:rPr>
                <w:rFonts w:cs="Arial"/>
                <w:sz w:val="22"/>
                <w:szCs w:val="22"/>
              </w:rPr>
              <w:t>  </w:t>
            </w:r>
          </w:p>
        </w:tc>
        <w:tc>
          <w:tcPr>
            <w:tcW w:w="2550" w:type="dxa"/>
            <w:tcBorders>
              <w:top w:val="single" w:sz="6" w:space="0" w:color="auto"/>
              <w:left w:val="single" w:sz="6" w:space="0" w:color="auto"/>
              <w:bottom w:val="single" w:sz="6" w:space="0" w:color="auto"/>
              <w:right w:val="single" w:sz="6" w:space="0" w:color="auto"/>
            </w:tcBorders>
            <w:shd w:val="clear" w:color="auto" w:fill="F6C5AC"/>
            <w:hideMark/>
          </w:tcPr>
          <w:p w14:paraId="278F1EFE" w14:textId="77777777" w:rsidR="00023039" w:rsidRPr="00023039" w:rsidRDefault="00023039" w:rsidP="00023039">
            <w:pPr>
              <w:rPr>
                <w:rFonts w:cs="Arial"/>
                <w:sz w:val="22"/>
                <w:szCs w:val="22"/>
              </w:rPr>
            </w:pPr>
            <w:r w:rsidRPr="00023039">
              <w:rPr>
                <w:rFonts w:cs="Arial"/>
                <w:sz w:val="22"/>
                <w:szCs w:val="22"/>
              </w:rPr>
              <w:t>Provide additional support to address the current budget shortfall  </w:t>
            </w:r>
          </w:p>
        </w:tc>
        <w:tc>
          <w:tcPr>
            <w:tcW w:w="2505" w:type="dxa"/>
            <w:vMerge w:val="restart"/>
            <w:tcBorders>
              <w:top w:val="single" w:sz="6" w:space="0" w:color="auto"/>
              <w:left w:val="single" w:sz="6" w:space="0" w:color="auto"/>
              <w:bottom w:val="single" w:sz="6" w:space="0" w:color="auto"/>
              <w:right w:val="single" w:sz="6" w:space="0" w:color="auto"/>
            </w:tcBorders>
            <w:shd w:val="clear" w:color="auto" w:fill="F6C5AC"/>
            <w:hideMark/>
          </w:tcPr>
          <w:p w14:paraId="38A4CF70" w14:textId="77777777" w:rsidR="00023039" w:rsidRPr="00023039" w:rsidRDefault="00023039" w:rsidP="00023039">
            <w:pPr>
              <w:rPr>
                <w:rFonts w:cs="Arial"/>
                <w:sz w:val="22"/>
                <w:szCs w:val="22"/>
              </w:rPr>
            </w:pPr>
            <w:r w:rsidRPr="00023039">
              <w:rPr>
                <w:rFonts w:cs="Arial"/>
                <w:sz w:val="22"/>
                <w:szCs w:val="22"/>
              </w:rPr>
              <w:t>Provide funding to existing HMG programmes  </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F6C5AC"/>
            <w:hideMark/>
          </w:tcPr>
          <w:p w14:paraId="25B6DB5F" w14:textId="77777777" w:rsidR="00023039" w:rsidRPr="00023039" w:rsidRDefault="00023039" w:rsidP="00023039">
            <w:pPr>
              <w:rPr>
                <w:rFonts w:cs="Arial"/>
                <w:sz w:val="22"/>
                <w:szCs w:val="22"/>
              </w:rPr>
            </w:pPr>
            <w:r w:rsidRPr="00023039">
              <w:rPr>
                <w:rFonts w:cs="Arial"/>
                <w:sz w:val="22"/>
                <w:szCs w:val="22"/>
              </w:rPr>
              <w:t>A smaller uplift (£10m RDEL) and there would no extension to the term of the programme   </w:t>
            </w:r>
          </w:p>
        </w:tc>
      </w:tr>
      <w:tr w:rsidR="00023039" w:rsidRPr="00023039" w14:paraId="5D33D892" w14:textId="77777777">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A342257" w14:textId="77777777" w:rsidR="00023039" w:rsidRPr="00023039" w:rsidRDefault="00023039" w:rsidP="00023039">
            <w:pPr>
              <w:rPr>
                <w:rFonts w:cs="Arial"/>
                <w:sz w:val="22"/>
                <w:szCs w:val="22"/>
              </w:rPr>
            </w:pPr>
          </w:p>
        </w:tc>
        <w:tc>
          <w:tcPr>
            <w:tcW w:w="2550" w:type="dxa"/>
            <w:tcBorders>
              <w:top w:val="single" w:sz="6" w:space="0" w:color="auto"/>
              <w:left w:val="single" w:sz="6" w:space="0" w:color="auto"/>
              <w:bottom w:val="single" w:sz="6" w:space="0" w:color="auto"/>
              <w:right w:val="single" w:sz="6" w:space="0" w:color="auto"/>
            </w:tcBorders>
            <w:shd w:val="clear" w:color="auto" w:fill="F6C5AC"/>
            <w:hideMark/>
          </w:tcPr>
          <w:p w14:paraId="3D164F21" w14:textId="77777777" w:rsidR="00023039" w:rsidRPr="00023039" w:rsidRDefault="00023039" w:rsidP="00023039">
            <w:pPr>
              <w:rPr>
                <w:rFonts w:cs="Arial"/>
                <w:sz w:val="22"/>
                <w:szCs w:val="22"/>
              </w:rPr>
            </w:pPr>
            <w:r w:rsidRPr="00023039">
              <w:rPr>
                <w:rFonts w:cs="Arial"/>
                <w:sz w:val="22"/>
                <w:szCs w:val="22"/>
              </w:rPr>
              <w:t xml:space="preserve">Address current budget shortfall and include </w:t>
            </w:r>
            <w:r w:rsidRPr="00023039">
              <w:rPr>
                <w:rFonts w:cs="Arial"/>
                <w:sz w:val="22"/>
                <w:szCs w:val="22"/>
              </w:rPr>
              <w:lastRenderedPageBreak/>
              <w:t>monitoring for sustainable commodities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E671A4" w14:textId="77777777" w:rsidR="00023039" w:rsidRPr="00023039" w:rsidRDefault="00023039" w:rsidP="00023039">
            <w:pPr>
              <w:rPr>
                <w:rFonts w:cs="Arial"/>
                <w:sz w:val="22"/>
                <w:szCs w:val="2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A27372" w14:textId="77777777" w:rsidR="00023039" w:rsidRPr="00023039" w:rsidRDefault="00023039" w:rsidP="00023039">
            <w:pPr>
              <w:rPr>
                <w:rFonts w:cs="Arial"/>
                <w:sz w:val="22"/>
                <w:szCs w:val="22"/>
              </w:rPr>
            </w:pPr>
          </w:p>
        </w:tc>
      </w:tr>
      <w:tr w:rsidR="00023039" w:rsidRPr="00023039" w14:paraId="0ED5F5B4" w14:textId="77777777">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9083221" w14:textId="77777777" w:rsidR="00023039" w:rsidRPr="00023039" w:rsidRDefault="00023039" w:rsidP="00023039">
            <w:pPr>
              <w:rPr>
                <w:rFonts w:cs="Arial"/>
                <w:sz w:val="22"/>
                <w:szCs w:val="22"/>
              </w:rPr>
            </w:pPr>
          </w:p>
        </w:tc>
        <w:tc>
          <w:tcPr>
            <w:tcW w:w="2550" w:type="dxa"/>
            <w:tcBorders>
              <w:top w:val="single" w:sz="6" w:space="0" w:color="auto"/>
              <w:left w:val="single" w:sz="6" w:space="0" w:color="auto"/>
              <w:bottom w:val="single" w:sz="6" w:space="0" w:color="auto"/>
              <w:right w:val="single" w:sz="6" w:space="0" w:color="auto"/>
            </w:tcBorders>
            <w:shd w:val="clear" w:color="auto" w:fill="F6C5AC"/>
            <w:hideMark/>
          </w:tcPr>
          <w:p w14:paraId="3A77F4B4" w14:textId="77777777" w:rsidR="00023039" w:rsidRPr="00023039" w:rsidRDefault="00023039" w:rsidP="00023039">
            <w:pPr>
              <w:rPr>
                <w:rFonts w:cs="Arial"/>
                <w:sz w:val="22"/>
                <w:szCs w:val="22"/>
              </w:rPr>
            </w:pPr>
            <w:r w:rsidRPr="00023039">
              <w:rPr>
                <w:rFonts w:cs="Arial"/>
                <w:sz w:val="22"/>
                <w:szCs w:val="22"/>
              </w:rPr>
              <w:t>Address the budget shortfall and extend the term of the programme  </w:t>
            </w:r>
          </w:p>
        </w:tc>
        <w:tc>
          <w:tcPr>
            <w:tcW w:w="2505" w:type="dxa"/>
            <w:tcBorders>
              <w:top w:val="single" w:sz="6" w:space="0" w:color="auto"/>
              <w:left w:val="single" w:sz="6" w:space="0" w:color="auto"/>
              <w:bottom w:val="single" w:sz="6" w:space="0" w:color="auto"/>
              <w:right w:val="single" w:sz="6" w:space="0" w:color="auto"/>
            </w:tcBorders>
            <w:shd w:val="clear" w:color="auto" w:fill="F6C5AC"/>
            <w:hideMark/>
          </w:tcPr>
          <w:p w14:paraId="26F379A1" w14:textId="77777777" w:rsidR="00023039" w:rsidRPr="00023039" w:rsidRDefault="00023039" w:rsidP="00023039">
            <w:pPr>
              <w:rPr>
                <w:rFonts w:cs="Arial"/>
                <w:sz w:val="22"/>
                <w:szCs w:val="22"/>
              </w:rPr>
            </w:pPr>
            <w:r w:rsidRPr="00023039">
              <w:rPr>
                <w:rFonts w:cs="Arial"/>
                <w:sz w:val="22"/>
                <w:szCs w:val="22"/>
              </w:rPr>
              <w:t>HMG to implement a new programme   </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F6C5AC"/>
            <w:hideMark/>
          </w:tcPr>
          <w:p w14:paraId="658DDFF7" w14:textId="77777777" w:rsidR="00023039" w:rsidRPr="00023039" w:rsidRDefault="00023039" w:rsidP="00023039">
            <w:pPr>
              <w:rPr>
                <w:rFonts w:cs="Arial"/>
                <w:sz w:val="22"/>
                <w:szCs w:val="22"/>
              </w:rPr>
            </w:pPr>
            <w:r w:rsidRPr="00023039">
              <w:rPr>
                <w:rFonts w:cs="Arial"/>
                <w:sz w:val="22"/>
                <w:szCs w:val="22"/>
              </w:rPr>
              <w:t>An uplift of £13.5m (including a </w:t>
            </w:r>
            <w:proofErr w:type="gramStart"/>
            <w:r w:rsidRPr="00023039">
              <w:rPr>
                <w:rFonts w:cs="Arial"/>
                <w:sz w:val="22"/>
                <w:szCs w:val="22"/>
              </w:rPr>
              <w:t>one year</w:t>
            </w:r>
            <w:proofErr w:type="gramEnd"/>
            <w:r w:rsidRPr="00023039">
              <w:rPr>
                <w:rFonts w:cs="Arial"/>
                <w:sz w:val="22"/>
                <w:szCs w:val="22"/>
              </w:rPr>
              <w:t> extension)  </w:t>
            </w:r>
          </w:p>
        </w:tc>
      </w:tr>
      <w:tr w:rsidR="00023039" w:rsidRPr="00023039" w14:paraId="2029C7CA" w14:textId="77777777">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3FAE3E" w14:textId="77777777" w:rsidR="00023039" w:rsidRPr="00023039" w:rsidRDefault="00023039" w:rsidP="00023039">
            <w:pPr>
              <w:rPr>
                <w:rFonts w:cs="Arial"/>
                <w:sz w:val="22"/>
                <w:szCs w:val="22"/>
              </w:rPr>
            </w:pPr>
          </w:p>
        </w:tc>
        <w:tc>
          <w:tcPr>
            <w:tcW w:w="2550" w:type="dxa"/>
            <w:tcBorders>
              <w:top w:val="single" w:sz="6" w:space="0" w:color="auto"/>
              <w:left w:val="single" w:sz="6" w:space="0" w:color="auto"/>
              <w:bottom w:val="single" w:sz="6" w:space="0" w:color="auto"/>
              <w:right w:val="single" w:sz="6" w:space="0" w:color="auto"/>
            </w:tcBorders>
            <w:shd w:val="clear" w:color="auto" w:fill="F6C5AC"/>
            <w:hideMark/>
          </w:tcPr>
          <w:p w14:paraId="430C4EAC" w14:textId="77777777" w:rsidR="00023039" w:rsidRPr="00023039" w:rsidRDefault="00023039" w:rsidP="00023039">
            <w:pPr>
              <w:rPr>
                <w:rFonts w:cs="Arial"/>
                <w:sz w:val="22"/>
                <w:szCs w:val="22"/>
              </w:rPr>
            </w:pPr>
            <w:r w:rsidRPr="00023039">
              <w:rPr>
                <w:rFonts w:cs="Arial"/>
                <w:sz w:val="22"/>
                <w:szCs w:val="22"/>
              </w:rPr>
              <w:t>Extension to the term of the programme only   </w:t>
            </w:r>
          </w:p>
        </w:tc>
        <w:tc>
          <w:tcPr>
            <w:tcW w:w="2505" w:type="dxa"/>
            <w:tcBorders>
              <w:top w:val="single" w:sz="6" w:space="0" w:color="auto"/>
              <w:left w:val="single" w:sz="6" w:space="0" w:color="auto"/>
              <w:bottom w:val="single" w:sz="6" w:space="0" w:color="auto"/>
              <w:right w:val="single" w:sz="6" w:space="0" w:color="auto"/>
            </w:tcBorders>
            <w:shd w:val="clear" w:color="auto" w:fill="F6C5AC"/>
            <w:hideMark/>
          </w:tcPr>
          <w:p w14:paraId="4A3307A2" w14:textId="77777777" w:rsidR="00023039" w:rsidRPr="00023039" w:rsidRDefault="00023039" w:rsidP="00023039">
            <w:pPr>
              <w:rPr>
                <w:rFonts w:cs="Arial"/>
                <w:sz w:val="22"/>
                <w:szCs w:val="22"/>
              </w:rPr>
            </w:pPr>
            <w:r w:rsidRPr="00023039">
              <w:rPr>
                <w:rFonts w:cs="Arial"/>
                <w:sz w:val="22"/>
                <w:szCs w:val="22"/>
              </w:rPr>
              <w:t>Funding of a new programme through direct award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B8A1F4" w14:textId="77777777" w:rsidR="00023039" w:rsidRPr="00023039" w:rsidRDefault="00023039" w:rsidP="00023039">
            <w:pPr>
              <w:rPr>
                <w:rFonts w:cs="Arial"/>
                <w:sz w:val="22"/>
                <w:szCs w:val="22"/>
              </w:rPr>
            </w:pPr>
          </w:p>
        </w:tc>
      </w:tr>
    </w:tbl>
    <w:p w14:paraId="5A5485C8" w14:textId="77777777" w:rsidR="00DE4223" w:rsidRPr="003D1A53" w:rsidRDefault="00DE4223" w:rsidP="00DE4223">
      <w:pPr>
        <w:rPr>
          <w:rFonts w:cs="Arial"/>
          <w:sz w:val="22"/>
          <w:szCs w:val="22"/>
        </w:rPr>
      </w:pPr>
    </w:p>
    <w:p w14:paraId="363B563D" w14:textId="77777777" w:rsidR="003D1A53" w:rsidRPr="003D1A53" w:rsidRDefault="003D1A53" w:rsidP="003D1A53">
      <w:pPr>
        <w:rPr>
          <w:rFonts w:cs="Arial"/>
          <w:sz w:val="22"/>
          <w:szCs w:val="22"/>
        </w:rPr>
      </w:pPr>
      <w:r w:rsidRPr="003D1A53">
        <w:rPr>
          <w:rFonts w:cs="Arial"/>
          <w:sz w:val="22"/>
          <w:szCs w:val="22"/>
        </w:rPr>
        <w:t> </w:t>
      </w:r>
    </w:p>
    <w:p w14:paraId="5B5540B9" w14:textId="77777777" w:rsidR="005A595A" w:rsidRPr="005A595A" w:rsidRDefault="005A595A" w:rsidP="005A595A">
      <w:pPr>
        <w:rPr>
          <w:rFonts w:cs="Arial"/>
          <w:sz w:val="22"/>
          <w:szCs w:val="22"/>
        </w:rPr>
      </w:pPr>
    </w:p>
    <w:p w14:paraId="1E15DD96" w14:textId="77777777" w:rsidR="00B7313E" w:rsidRPr="00E76A09" w:rsidRDefault="00B7313E" w:rsidP="00B7313E">
      <w:pPr>
        <w:rPr>
          <w:rFonts w:cs="Arial"/>
          <w:b/>
          <w:bCs/>
          <w:i/>
          <w:iCs/>
          <w:sz w:val="22"/>
          <w:szCs w:val="22"/>
        </w:rPr>
      </w:pPr>
    </w:p>
    <w:p w14:paraId="1AC324D6" w14:textId="77777777" w:rsidR="00B7313E" w:rsidRPr="00E76A09" w:rsidRDefault="00B7313E" w:rsidP="00B7313E">
      <w:pPr>
        <w:rPr>
          <w:rFonts w:cs="Arial"/>
          <w:b/>
          <w:bCs/>
          <w:i/>
          <w:iCs/>
          <w:sz w:val="22"/>
          <w:szCs w:val="22"/>
        </w:rPr>
      </w:pPr>
    </w:p>
    <w:p w14:paraId="763B0E5B" w14:textId="40DA2B4C" w:rsidR="003827B7" w:rsidRDefault="003827B7">
      <w:pPr>
        <w:rPr>
          <w:rFonts w:cs="Arial"/>
          <w:b/>
          <w:bCs/>
          <w:i/>
          <w:iCs/>
          <w:sz w:val="22"/>
          <w:szCs w:val="22"/>
        </w:rPr>
      </w:pPr>
      <w:r>
        <w:rPr>
          <w:rFonts w:cs="Arial"/>
          <w:b/>
          <w:bCs/>
          <w:i/>
          <w:iCs/>
          <w:sz w:val="22"/>
          <w:szCs w:val="22"/>
        </w:rPr>
        <w:br w:type="page"/>
      </w:r>
    </w:p>
    <w:p w14:paraId="7382A77C" w14:textId="4F55D4E0" w:rsidR="003827B7" w:rsidRPr="003827B7" w:rsidRDefault="003827B7" w:rsidP="003827B7">
      <w:pPr>
        <w:rPr>
          <w:rFonts w:cs="Arial"/>
          <w:b/>
          <w:bCs/>
          <w:sz w:val="22"/>
          <w:szCs w:val="22"/>
        </w:rPr>
      </w:pPr>
      <w:r w:rsidRPr="003827B7">
        <w:rPr>
          <w:rFonts w:cs="Arial"/>
          <w:b/>
          <w:bCs/>
          <w:sz w:val="22"/>
          <w:szCs w:val="22"/>
          <w:u w:val="single"/>
        </w:rPr>
        <w:lastRenderedPageBreak/>
        <w:t>Annex K: Shortlist Options </w:t>
      </w:r>
      <w:r w:rsidRPr="003827B7">
        <w:rPr>
          <w:rFonts w:cs="Arial"/>
          <w:b/>
          <w:bCs/>
          <w:sz w:val="22"/>
          <w:szCs w:val="22"/>
        </w:rPr>
        <w:t> </w:t>
      </w:r>
    </w:p>
    <w:p w14:paraId="7660293E" w14:textId="77777777" w:rsidR="003827B7" w:rsidRPr="003827B7" w:rsidRDefault="003827B7" w:rsidP="003827B7">
      <w:pPr>
        <w:rPr>
          <w:rFonts w:cs="Arial"/>
          <w:sz w:val="22"/>
          <w:szCs w:val="22"/>
        </w:rPr>
      </w:pPr>
      <w:r w:rsidRPr="003827B7">
        <w:rPr>
          <w:rFonts w:cs="Arial"/>
          <w:sz w:val="22"/>
          <w:szCs w:val="22"/>
        </w:rPr>
        <w:t>Solution  </w:t>
      </w:r>
    </w:p>
    <w:p w14:paraId="621B30A0" w14:textId="77777777" w:rsidR="003827B7" w:rsidRPr="003827B7" w:rsidRDefault="003827B7" w:rsidP="003827B7">
      <w:pPr>
        <w:numPr>
          <w:ilvl w:val="0"/>
          <w:numId w:val="375"/>
        </w:numPr>
        <w:rPr>
          <w:rFonts w:cs="Arial"/>
          <w:sz w:val="22"/>
          <w:szCs w:val="22"/>
        </w:rPr>
      </w:pPr>
      <w:r w:rsidRPr="003827B7">
        <w:rPr>
          <w:rFonts w:cs="Arial"/>
          <w:sz w:val="22"/>
          <w:szCs w:val="22"/>
        </w:rPr>
        <w:t>BAU - no additional funding to AIM4Forests or extension to the term of the programme     </w:t>
      </w:r>
    </w:p>
    <w:p w14:paraId="482542C4" w14:textId="77777777" w:rsidR="003827B7" w:rsidRPr="003827B7" w:rsidRDefault="003827B7" w:rsidP="003827B7">
      <w:pPr>
        <w:numPr>
          <w:ilvl w:val="0"/>
          <w:numId w:val="376"/>
        </w:numPr>
        <w:rPr>
          <w:rFonts w:cs="Arial"/>
          <w:sz w:val="22"/>
          <w:szCs w:val="22"/>
        </w:rPr>
      </w:pPr>
      <w:r w:rsidRPr="003827B7">
        <w:rPr>
          <w:rFonts w:cs="Arial"/>
          <w:sz w:val="22"/>
          <w:szCs w:val="22"/>
        </w:rPr>
        <w:t>Address current budget shortfall, include monitoring for sustainable commodities and an extension to the term of the programme  </w:t>
      </w:r>
    </w:p>
    <w:p w14:paraId="587F2E78" w14:textId="77777777" w:rsidR="003827B7" w:rsidRPr="003827B7" w:rsidRDefault="003827B7" w:rsidP="003827B7">
      <w:pPr>
        <w:rPr>
          <w:rFonts w:cs="Arial"/>
          <w:sz w:val="22"/>
          <w:szCs w:val="22"/>
        </w:rPr>
      </w:pPr>
      <w:r w:rsidRPr="003827B7">
        <w:rPr>
          <w:rFonts w:cs="Arial"/>
          <w:sz w:val="22"/>
          <w:szCs w:val="22"/>
        </w:rPr>
        <w:t>Delivery  </w:t>
      </w:r>
    </w:p>
    <w:p w14:paraId="2226A68F" w14:textId="77777777" w:rsidR="003827B7" w:rsidRPr="003827B7" w:rsidRDefault="003827B7" w:rsidP="003827B7">
      <w:pPr>
        <w:numPr>
          <w:ilvl w:val="0"/>
          <w:numId w:val="377"/>
        </w:numPr>
        <w:rPr>
          <w:rFonts w:cs="Arial"/>
          <w:sz w:val="22"/>
          <w:szCs w:val="22"/>
        </w:rPr>
      </w:pPr>
      <w:r w:rsidRPr="003827B7">
        <w:rPr>
          <w:rFonts w:cs="Arial"/>
          <w:sz w:val="22"/>
          <w:szCs w:val="22"/>
        </w:rPr>
        <w:t>Retain current delivery partner   </w:t>
      </w:r>
    </w:p>
    <w:p w14:paraId="3FD0842E" w14:textId="77777777" w:rsidR="003827B7" w:rsidRPr="003827B7" w:rsidRDefault="003827B7" w:rsidP="003827B7">
      <w:pPr>
        <w:numPr>
          <w:ilvl w:val="0"/>
          <w:numId w:val="378"/>
        </w:numPr>
        <w:rPr>
          <w:rFonts w:cs="Arial"/>
          <w:sz w:val="22"/>
          <w:szCs w:val="22"/>
        </w:rPr>
      </w:pPr>
      <w:r w:rsidRPr="003827B7">
        <w:rPr>
          <w:rFonts w:cs="Arial"/>
          <w:sz w:val="22"/>
          <w:szCs w:val="22"/>
        </w:rPr>
        <w:t>Funding of a new programme through competitive tender  </w:t>
      </w:r>
    </w:p>
    <w:p w14:paraId="3D6BB672" w14:textId="77777777" w:rsidR="003827B7" w:rsidRPr="003827B7" w:rsidRDefault="003827B7" w:rsidP="003827B7">
      <w:pPr>
        <w:rPr>
          <w:rFonts w:cs="Arial"/>
          <w:sz w:val="22"/>
          <w:szCs w:val="22"/>
        </w:rPr>
      </w:pPr>
      <w:r w:rsidRPr="003827B7">
        <w:rPr>
          <w:rFonts w:cs="Arial"/>
          <w:sz w:val="22"/>
          <w:szCs w:val="22"/>
        </w:rPr>
        <w:t>Funding  </w:t>
      </w:r>
    </w:p>
    <w:p w14:paraId="6843162B" w14:textId="77777777" w:rsidR="003827B7" w:rsidRPr="003827B7" w:rsidRDefault="003827B7" w:rsidP="003827B7">
      <w:pPr>
        <w:numPr>
          <w:ilvl w:val="0"/>
          <w:numId w:val="379"/>
        </w:numPr>
        <w:rPr>
          <w:rFonts w:cs="Arial"/>
          <w:sz w:val="22"/>
          <w:szCs w:val="22"/>
        </w:rPr>
      </w:pPr>
      <w:r w:rsidRPr="003827B7">
        <w:rPr>
          <w:rFonts w:cs="Arial"/>
          <w:sz w:val="22"/>
          <w:szCs w:val="22"/>
        </w:rPr>
        <w:t>BAU - no budgetary increase or extension to the term of the programme     </w:t>
      </w:r>
    </w:p>
    <w:p w14:paraId="70B658E5" w14:textId="77777777" w:rsidR="003827B7" w:rsidRPr="003827B7" w:rsidRDefault="003827B7" w:rsidP="003827B7">
      <w:pPr>
        <w:numPr>
          <w:ilvl w:val="0"/>
          <w:numId w:val="380"/>
        </w:numPr>
        <w:rPr>
          <w:rFonts w:cs="Arial"/>
          <w:sz w:val="22"/>
          <w:szCs w:val="22"/>
        </w:rPr>
      </w:pPr>
      <w:r w:rsidRPr="003827B7">
        <w:rPr>
          <w:rFonts w:cs="Arial"/>
          <w:sz w:val="22"/>
          <w:szCs w:val="22"/>
        </w:rPr>
        <w:t>An uplift of £20.9 m (including a two-year extension)    </w:t>
      </w:r>
    </w:p>
    <w:p w14:paraId="0E1D3359" w14:textId="77777777" w:rsidR="0034735F" w:rsidRDefault="003827B7" w:rsidP="003827B7">
      <w:pPr>
        <w:numPr>
          <w:ilvl w:val="0"/>
          <w:numId w:val="381"/>
        </w:numPr>
        <w:rPr>
          <w:rFonts w:cs="Arial"/>
          <w:sz w:val="22"/>
          <w:szCs w:val="22"/>
        </w:rPr>
      </w:pPr>
      <w:r w:rsidRPr="003827B7">
        <w:rPr>
          <w:rFonts w:cs="Arial"/>
          <w:sz w:val="22"/>
          <w:szCs w:val="22"/>
        </w:rPr>
        <w:t>An uplift of approximately £40 m (including a two-year extension)</w:t>
      </w:r>
    </w:p>
    <w:p w14:paraId="50C2C07C" w14:textId="77777777" w:rsidR="0034735F" w:rsidRDefault="0034735F" w:rsidP="0034735F">
      <w:pPr>
        <w:rPr>
          <w:rFonts w:cs="Arial"/>
          <w:sz w:val="22"/>
          <w:szCs w:val="22"/>
        </w:rPr>
        <w:sectPr w:rsidR="0034735F" w:rsidSect="005E6B30">
          <w:headerReference w:type="even" r:id="rId19"/>
          <w:headerReference w:type="default" r:id="rId20"/>
          <w:footerReference w:type="even" r:id="rId21"/>
          <w:footerReference w:type="default" r:id="rId22"/>
          <w:headerReference w:type="first" r:id="rId23"/>
          <w:footerReference w:type="first" r:id="rId24"/>
          <w:pgSz w:w="11906" w:h="16838" w:code="9"/>
          <w:pgMar w:top="719"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5263" w:type="dxa"/>
        <w:tblInd w:w="-2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85"/>
        <w:gridCol w:w="3261"/>
        <w:gridCol w:w="3118"/>
        <w:gridCol w:w="2977"/>
        <w:gridCol w:w="2835"/>
        <w:gridCol w:w="1087"/>
      </w:tblGrid>
      <w:tr w:rsidR="0034074F" w:rsidRPr="0034074F" w14:paraId="623677B8" w14:textId="77777777" w:rsidTr="004A7D8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E8E8E8"/>
            <w:hideMark/>
          </w:tcPr>
          <w:p w14:paraId="517AC5E1" w14:textId="77777777" w:rsidR="0034074F" w:rsidRPr="0034074F" w:rsidRDefault="0034074F" w:rsidP="0034074F">
            <w:pPr>
              <w:rPr>
                <w:rFonts w:cs="Arial"/>
              </w:rPr>
            </w:pPr>
            <w:r w:rsidRPr="0034074F">
              <w:rPr>
                <w:rFonts w:cs="Arial"/>
              </w:rPr>
              <w:lastRenderedPageBreak/>
              <w:t> </w:t>
            </w:r>
          </w:p>
        </w:tc>
        <w:tc>
          <w:tcPr>
            <w:tcW w:w="3261" w:type="dxa"/>
            <w:tcBorders>
              <w:top w:val="single" w:sz="4" w:space="0" w:color="auto"/>
              <w:left w:val="single" w:sz="4" w:space="0" w:color="auto"/>
              <w:bottom w:val="single" w:sz="4" w:space="0" w:color="auto"/>
              <w:right w:val="single" w:sz="4" w:space="0" w:color="auto"/>
            </w:tcBorders>
            <w:shd w:val="clear" w:color="auto" w:fill="E8E8E8"/>
            <w:hideMark/>
          </w:tcPr>
          <w:p w14:paraId="6E062E43" w14:textId="77777777" w:rsidR="0034074F" w:rsidRPr="0034074F" w:rsidRDefault="0034074F" w:rsidP="0034074F">
            <w:pPr>
              <w:rPr>
                <w:rFonts w:cs="Arial"/>
              </w:rPr>
            </w:pPr>
            <w:r w:rsidRPr="0034074F">
              <w:rPr>
                <w:rFonts w:cs="Arial"/>
                <w:b/>
                <w:bCs/>
                <w:i/>
                <w:iCs/>
              </w:rPr>
              <w:t>Strengths </w:t>
            </w:r>
            <w:r w:rsidRPr="0034074F">
              <w:rPr>
                <w:rFonts w:cs="Arial"/>
              </w:rPr>
              <w:t> </w:t>
            </w:r>
          </w:p>
        </w:tc>
        <w:tc>
          <w:tcPr>
            <w:tcW w:w="3118" w:type="dxa"/>
            <w:tcBorders>
              <w:top w:val="single" w:sz="4" w:space="0" w:color="auto"/>
              <w:left w:val="single" w:sz="4" w:space="0" w:color="auto"/>
              <w:bottom w:val="single" w:sz="4" w:space="0" w:color="auto"/>
              <w:right w:val="single" w:sz="4" w:space="0" w:color="auto"/>
            </w:tcBorders>
            <w:shd w:val="clear" w:color="auto" w:fill="E8E8E8"/>
            <w:hideMark/>
          </w:tcPr>
          <w:p w14:paraId="7E29C542" w14:textId="77777777" w:rsidR="0034074F" w:rsidRPr="0034074F" w:rsidRDefault="0034074F" w:rsidP="0034074F">
            <w:pPr>
              <w:rPr>
                <w:rFonts w:cs="Arial"/>
              </w:rPr>
            </w:pPr>
            <w:r w:rsidRPr="0034074F">
              <w:rPr>
                <w:rFonts w:cs="Arial"/>
                <w:b/>
                <w:bCs/>
                <w:i/>
                <w:iCs/>
              </w:rPr>
              <w:t>Weaknesses</w:t>
            </w:r>
            <w:r w:rsidRPr="0034074F">
              <w:rPr>
                <w:rFonts w:cs="Arial"/>
              </w:rPr>
              <w:t> </w:t>
            </w:r>
          </w:p>
        </w:tc>
        <w:tc>
          <w:tcPr>
            <w:tcW w:w="2977" w:type="dxa"/>
            <w:tcBorders>
              <w:top w:val="single" w:sz="4" w:space="0" w:color="auto"/>
              <w:left w:val="single" w:sz="4" w:space="0" w:color="auto"/>
              <w:bottom w:val="single" w:sz="4" w:space="0" w:color="auto"/>
              <w:right w:val="single" w:sz="4" w:space="0" w:color="auto"/>
            </w:tcBorders>
            <w:shd w:val="clear" w:color="auto" w:fill="E8E8E8"/>
            <w:hideMark/>
          </w:tcPr>
          <w:p w14:paraId="23817E2C" w14:textId="77777777" w:rsidR="0034074F" w:rsidRPr="0034074F" w:rsidRDefault="0034074F" w:rsidP="0034074F">
            <w:pPr>
              <w:rPr>
                <w:rFonts w:cs="Arial"/>
              </w:rPr>
            </w:pPr>
            <w:r w:rsidRPr="0034074F">
              <w:rPr>
                <w:rFonts w:cs="Arial"/>
                <w:b/>
                <w:bCs/>
                <w:i/>
                <w:iCs/>
              </w:rPr>
              <w:t>Opportunities </w:t>
            </w:r>
            <w:r w:rsidRPr="0034074F">
              <w:rPr>
                <w:rFonts w:cs="Arial"/>
              </w:rPr>
              <w:t> </w:t>
            </w:r>
          </w:p>
        </w:tc>
        <w:tc>
          <w:tcPr>
            <w:tcW w:w="2835" w:type="dxa"/>
            <w:tcBorders>
              <w:top w:val="single" w:sz="4" w:space="0" w:color="auto"/>
              <w:left w:val="single" w:sz="4" w:space="0" w:color="auto"/>
              <w:bottom w:val="single" w:sz="4" w:space="0" w:color="auto"/>
              <w:right w:val="single" w:sz="4" w:space="0" w:color="auto"/>
            </w:tcBorders>
            <w:shd w:val="clear" w:color="auto" w:fill="E8E8E8"/>
            <w:hideMark/>
          </w:tcPr>
          <w:p w14:paraId="39D227F0" w14:textId="77777777" w:rsidR="0034074F" w:rsidRPr="0034074F" w:rsidRDefault="0034074F" w:rsidP="0034074F">
            <w:pPr>
              <w:rPr>
                <w:rFonts w:cs="Arial"/>
              </w:rPr>
            </w:pPr>
            <w:r w:rsidRPr="0034074F">
              <w:rPr>
                <w:rFonts w:cs="Arial"/>
                <w:b/>
                <w:bCs/>
                <w:i/>
                <w:iCs/>
              </w:rPr>
              <w:t>Threats </w:t>
            </w:r>
            <w:r w:rsidRPr="0034074F">
              <w:rPr>
                <w:rFonts w:cs="Arial"/>
              </w:rPr>
              <w:t> </w:t>
            </w:r>
          </w:p>
        </w:tc>
        <w:tc>
          <w:tcPr>
            <w:tcW w:w="1087" w:type="dxa"/>
            <w:tcBorders>
              <w:top w:val="single" w:sz="4" w:space="0" w:color="auto"/>
              <w:left w:val="single" w:sz="4" w:space="0" w:color="auto"/>
              <w:bottom w:val="single" w:sz="4" w:space="0" w:color="auto"/>
              <w:right w:val="single" w:sz="4" w:space="0" w:color="auto"/>
            </w:tcBorders>
            <w:shd w:val="clear" w:color="auto" w:fill="E8E8E8"/>
            <w:hideMark/>
          </w:tcPr>
          <w:p w14:paraId="4E5306BE" w14:textId="77777777" w:rsidR="0034074F" w:rsidRPr="0034074F" w:rsidRDefault="0034074F" w:rsidP="0034074F">
            <w:pPr>
              <w:rPr>
                <w:rFonts w:cs="Arial"/>
              </w:rPr>
            </w:pPr>
            <w:r w:rsidRPr="0034074F">
              <w:rPr>
                <w:rFonts w:cs="Arial"/>
                <w:b/>
                <w:bCs/>
                <w:i/>
                <w:iCs/>
              </w:rPr>
              <w:t>RAG rating </w:t>
            </w:r>
            <w:r w:rsidRPr="0034074F">
              <w:rPr>
                <w:rFonts w:cs="Arial"/>
              </w:rPr>
              <w:t> </w:t>
            </w:r>
          </w:p>
        </w:tc>
      </w:tr>
      <w:tr w:rsidR="0034074F" w:rsidRPr="0034074F" w14:paraId="32C1480A" w14:textId="77777777" w:rsidTr="004A7D84">
        <w:trPr>
          <w:trHeight w:val="300"/>
        </w:trPr>
        <w:tc>
          <w:tcPr>
            <w:tcW w:w="1985" w:type="dxa"/>
            <w:tcBorders>
              <w:top w:val="single" w:sz="4" w:space="0" w:color="auto"/>
              <w:left w:val="single" w:sz="4" w:space="0" w:color="auto"/>
              <w:bottom w:val="single" w:sz="4" w:space="0" w:color="auto"/>
              <w:right w:val="single" w:sz="4" w:space="0" w:color="auto"/>
            </w:tcBorders>
            <w:hideMark/>
          </w:tcPr>
          <w:p w14:paraId="5E9BBFBC" w14:textId="77777777" w:rsidR="0034074F" w:rsidRPr="0034074F" w:rsidRDefault="0034074F" w:rsidP="0034074F">
            <w:pPr>
              <w:rPr>
                <w:rFonts w:cs="Arial"/>
              </w:rPr>
            </w:pPr>
            <w:r w:rsidRPr="0034074F">
              <w:rPr>
                <w:rFonts w:cs="Arial"/>
                <w:b/>
                <w:bCs/>
              </w:rPr>
              <w:t>Option 1: </w:t>
            </w:r>
            <w:r w:rsidRPr="0034074F">
              <w:rPr>
                <w:rFonts w:cs="Arial"/>
              </w:rPr>
              <w:t>BAU</w:t>
            </w:r>
            <w:r w:rsidRPr="0034074F">
              <w:rPr>
                <w:rFonts w:cs="Arial"/>
                <w:b/>
                <w:bCs/>
              </w:rPr>
              <w:t> </w:t>
            </w:r>
            <w:r w:rsidRPr="0034074F">
              <w:rPr>
                <w:rFonts w:cs="Arial"/>
              </w:rPr>
              <w:t>– No additional funding or extension to the term of the programme  </w:t>
            </w:r>
          </w:p>
        </w:tc>
        <w:tc>
          <w:tcPr>
            <w:tcW w:w="3261" w:type="dxa"/>
            <w:tcBorders>
              <w:top w:val="single" w:sz="4" w:space="0" w:color="auto"/>
              <w:left w:val="single" w:sz="4" w:space="0" w:color="auto"/>
              <w:bottom w:val="single" w:sz="4" w:space="0" w:color="auto"/>
              <w:right w:val="single" w:sz="4" w:space="0" w:color="auto"/>
            </w:tcBorders>
            <w:hideMark/>
          </w:tcPr>
          <w:p w14:paraId="18176CBC" w14:textId="77777777" w:rsidR="0034074F" w:rsidRPr="0034074F" w:rsidRDefault="0034074F" w:rsidP="0034074F">
            <w:pPr>
              <w:numPr>
                <w:ilvl w:val="0"/>
                <w:numId w:val="427"/>
              </w:numPr>
              <w:rPr>
                <w:rFonts w:cs="Arial"/>
              </w:rPr>
            </w:pPr>
            <w:r w:rsidRPr="0034074F">
              <w:rPr>
                <w:rFonts w:cs="Arial"/>
              </w:rPr>
              <w:t>CSF 4 – Money could be directed to other DESNZ ICF priority areas   </w:t>
            </w:r>
          </w:p>
          <w:p w14:paraId="55B32F2E" w14:textId="77777777" w:rsidR="0034074F" w:rsidRPr="0034074F" w:rsidRDefault="0034074F" w:rsidP="0034074F">
            <w:pPr>
              <w:numPr>
                <w:ilvl w:val="0"/>
                <w:numId w:val="428"/>
              </w:numPr>
              <w:rPr>
                <w:rFonts w:cs="Arial"/>
              </w:rPr>
            </w:pPr>
            <w:r w:rsidRPr="0034074F">
              <w:rPr>
                <w:rFonts w:cs="Arial"/>
              </w:rPr>
              <w:t>CSF 5 – requires no further action  </w:t>
            </w:r>
          </w:p>
        </w:tc>
        <w:tc>
          <w:tcPr>
            <w:tcW w:w="3118" w:type="dxa"/>
            <w:tcBorders>
              <w:top w:val="single" w:sz="4" w:space="0" w:color="auto"/>
              <w:left w:val="single" w:sz="4" w:space="0" w:color="auto"/>
              <w:bottom w:val="single" w:sz="4" w:space="0" w:color="auto"/>
              <w:right w:val="single" w:sz="4" w:space="0" w:color="auto"/>
            </w:tcBorders>
            <w:hideMark/>
          </w:tcPr>
          <w:p w14:paraId="5625CB1B" w14:textId="77777777" w:rsidR="0034074F" w:rsidRPr="0034074F" w:rsidRDefault="0034074F" w:rsidP="0034074F">
            <w:pPr>
              <w:numPr>
                <w:ilvl w:val="0"/>
                <w:numId w:val="429"/>
              </w:numPr>
              <w:rPr>
                <w:rFonts w:cs="Arial"/>
              </w:rPr>
            </w:pPr>
            <w:r w:rsidRPr="0034074F">
              <w:rPr>
                <w:rFonts w:cs="Arial"/>
              </w:rPr>
              <w:t>CSF 1 – Does not meet strategic spending objectives or related business needs </w:t>
            </w:r>
          </w:p>
          <w:p w14:paraId="02EDAB05" w14:textId="77777777" w:rsidR="0034074F" w:rsidRPr="0034074F" w:rsidRDefault="0034074F" w:rsidP="0034074F">
            <w:pPr>
              <w:numPr>
                <w:ilvl w:val="0"/>
                <w:numId w:val="430"/>
              </w:numPr>
              <w:rPr>
                <w:rFonts w:cs="Arial"/>
              </w:rPr>
            </w:pPr>
            <w:r w:rsidRPr="0034074F">
              <w:rPr>
                <w:rFonts w:cs="Arial"/>
              </w:rPr>
              <w:t>Does not meet any of the strategic fit objectives  </w:t>
            </w:r>
          </w:p>
          <w:p w14:paraId="72C69AFB" w14:textId="77777777" w:rsidR="0034074F" w:rsidRPr="0034074F" w:rsidRDefault="0034074F" w:rsidP="0034074F">
            <w:pPr>
              <w:numPr>
                <w:ilvl w:val="0"/>
                <w:numId w:val="431"/>
              </w:numPr>
              <w:rPr>
                <w:rFonts w:cs="Arial"/>
              </w:rPr>
            </w:pPr>
            <w:r w:rsidRPr="0034074F">
              <w:rPr>
                <w:rFonts w:cs="Arial"/>
              </w:rPr>
              <w:t>Would result in the programme scaling back in-country technical assistance, and reprioritising countries </w:t>
            </w:r>
          </w:p>
          <w:p w14:paraId="483489EB" w14:textId="77777777" w:rsidR="0034074F" w:rsidRPr="0034074F" w:rsidRDefault="0034074F" w:rsidP="0034074F">
            <w:pPr>
              <w:numPr>
                <w:ilvl w:val="0"/>
                <w:numId w:val="432"/>
              </w:numPr>
              <w:rPr>
                <w:rFonts w:cs="Arial"/>
              </w:rPr>
            </w:pPr>
            <w:r w:rsidRPr="0034074F">
              <w:rPr>
                <w:rFonts w:cs="Arial"/>
              </w:rPr>
              <w:t>CSF 2: Less likely to deliver transformational change with less resources which would mean the programme has less long-term total impact. This option also does not include an extension to the term of the programme – decreased </w:t>
            </w:r>
            <w:proofErr w:type="spellStart"/>
            <w:r w:rsidRPr="0034074F">
              <w:rPr>
                <w:rFonts w:cs="Arial"/>
              </w:rPr>
              <w:t>VfM</w:t>
            </w:r>
            <w:proofErr w:type="spellEnd"/>
            <w:r w:rsidRPr="0034074F">
              <w:rPr>
                <w:rFonts w:cs="Arial"/>
              </w:rPr>
              <w:t> if it ends before it can deliver the most impact.   </w:t>
            </w:r>
          </w:p>
        </w:tc>
        <w:tc>
          <w:tcPr>
            <w:tcW w:w="2977" w:type="dxa"/>
            <w:tcBorders>
              <w:top w:val="single" w:sz="4" w:space="0" w:color="auto"/>
              <w:left w:val="single" w:sz="4" w:space="0" w:color="auto"/>
              <w:bottom w:val="single" w:sz="4" w:space="0" w:color="auto"/>
              <w:right w:val="single" w:sz="4" w:space="0" w:color="auto"/>
            </w:tcBorders>
            <w:hideMark/>
          </w:tcPr>
          <w:p w14:paraId="229BDB28" w14:textId="77777777" w:rsidR="0034074F" w:rsidRPr="0034074F" w:rsidRDefault="0034074F" w:rsidP="0034074F">
            <w:pPr>
              <w:numPr>
                <w:ilvl w:val="0"/>
                <w:numId w:val="433"/>
              </w:numPr>
              <w:rPr>
                <w:rFonts w:cs="Arial"/>
              </w:rPr>
            </w:pPr>
            <w:r w:rsidRPr="0034074F">
              <w:rPr>
                <w:rFonts w:cs="Arial"/>
              </w:rPr>
              <w:t>CSF2: Funding available for other priority areas/ new initiatives  </w:t>
            </w:r>
          </w:p>
        </w:tc>
        <w:tc>
          <w:tcPr>
            <w:tcW w:w="2835" w:type="dxa"/>
            <w:tcBorders>
              <w:top w:val="single" w:sz="4" w:space="0" w:color="auto"/>
              <w:left w:val="single" w:sz="4" w:space="0" w:color="auto"/>
              <w:bottom w:val="single" w:sz="4" w:space="0" w:color="auto"/>
              <w:right w:val="single" w:sz="4" w:space="0" w:color="auto"/>
            </w:tcBorders>
            <w:hideMark/>
          </w:tcPr>
          <w:p w14:paraId="50335EC1" w14:textId="77777777" w:rsidR="0034074F" w:rsidRPr="0034074F" w:rsidRDefault="0034074F" w:rsidP="0034074F">
            <w:pPr>
              <w:numPr>
                <w:ilvl w:val="0"/>
                <w:numId w:val="434"/>
              </w:numPr>
              <w:rPr>
                <w:rFonts w:cs="Arial"/>
              </w:rPr>
            </w:pPr>
            <w:r w:rsidRPr="0034074F">
              <w:rPr>
                <w:rFonts w:cs="Arial"/>
              </w:rPr>
              <w:t>The technical assistance provided by AIM4Forests supports countries to access climate finance from other HMG-funded programmes such as LEAF – if we proceed with BAU then in-country technical assistance may need to be scaled back, creating implications for those countries to be able to successfully participate in those programmes.  </w:t>
            </w:r>
          </w:p>
        </w:tc>
        <w:tc>
          <w:tcPr>
            <w:tcW w:w="1087" w:type="dxa"/>
            <w:tcBorders>
              <w:top w:val="single" w:sz="4" w:space="0" w:color="auto"/>
              <w:left w:val="single" w:sz="4" w:space="0" w:color="auto"/>
              <w:bottom w:val="single" w:sz="4" w:space="0" w:color="auto"/>
              <w:right w:val="single" w:sz="4" w:space="0" w:color="auto"/>
            </w:tcBorders>
            <w:shd w:val="clear" w:color="auto" w:fill="FF0000"/>
            <w:hideMark/>
          </w:tcPr>
          <w:p w14:paraId="5DC6E80E" w14:textId="77777777" w:rsidR="0034074F" w:rsidRPr="0034074F" w:rsidRDefault="0034074F" w:rsidP="0034074F">
            <w:pPr>
              <w:rPr>
                <w:rFonts w:cs="Arial"/>
              </w:rPr>
            </w:pPr>
            <w:r w:rsidRPr="0034074F">
              <w:rPr>
                <w:rFonts w:cs="Arial"/>
              </w:rPr>
              <w:t> </w:t>
            </w:r>
          </w:p>
        </w:tc>
      </w:tr>
      <w:tr w:rsidR="0034074F" w:rsidRPr="0034074F" w14:paraId="40EAFACD" w14:textId="77777777" w:rsidTr="004A7D84">
        <w:trPr>
          <w:trHeight w:val="300"/>
        </w:trPr>
        <w:tc>
          <w:tcPr>
            <w:tcW w:w="1985" w:type="dxa"/>
            <w:tcBorders>
              <w:top w:val="single" w:sz="4" w:space="0" w:color="auto"/>
              <w:left w:val="single" w:sz="4" w:space="0" w:color="auto"/>
              <w:bottom w:val="single" w:sz="4" w:space="0" w:color="auto"/>
              <w:right w:val="single" w:sz="4" w:space="0" w:color="auto"/>
            </w:tcBorders>
            <w:hideMark/>
          </w:tcPr>
          <w:p w14:paraId="3BF57123" w14:textId="77777777" w:rsidR="0034074F" w:rsidRPr="0034074F" w:rsidRDefault="0034074F" w:rsidP="0034074F">
            <w:pPr>
              <w:rPr>
                <w:rFonts w:cs="Arial"/>
              </w:rPr>
            </w:pPr>
            <w:r w:rsidRPr="0034074F">
              <w:rPr>
                <w:rFonts w:cs="Arial"/>
                <w:b/>
                <w:bCs/>
              </w:rPr>
              <w:t>Option 2:</w:t>
            </w:r>
            <w:r w:rsidRPr="0034074F">
              <w:rPr>
                <w:rFonts w:cs="Arial"/>
              </w:rPr>
              <w:t xml:space="preserve"> Address current budget shortfall, include monitoring for sustainable </w:t>
            </w:r>
            <w:r w:rsidRPr="0034074F">
              <w:rPr>
                <w:rFonts w:cs="Arial"/>
              </w:rPr>
              <w:lastRenderedPageBreak/>
              <w:t>commodities and an extension to the term of the programme </w:t>
            </w:r>
            <w:proofErr w:type="gramStart"/>
            <w:r w:rsidRPr="0034074F">
              <w:rPr>
                <w:rFonts w:cs="Arial"/>
              </w:rPr>
              <w:t>-  £</w:t>
            </w:r>
            <w:proofErr w:type="gramEnd"/>
            <w:r w:rsidRPr="0034074F">
              <w:rPr>
                <w:rFonts w:cs="Arial"/>
              </w:rPr>
              <w:t>20.9m (including a </w:t>
            </w:r>
            <w:proofErr w:type="gramStart"/>
            <w:r w:rsidRPr="0034074F">
              <w:rPr>
                <w:rFonts w:cs="Arial"/>
              </w:rPr>
              <w:t>2 year</w:t>
            </w:r>
            <w:proofErr w:type="gramEnd"/>
            <w:r w:rsidRPr="0034074F">
              <w:rPr>
                <w:rFonts w:cs="Arial"/>
              </w:rPr>
              <w:t> extension)  </w:t>
            </w:r>
          </w:p>
        </w:tc>
        <w:tc>
          <w:tcPr>
            <w:tcW w:w="3261" w:type="dxa"/>
            <w:tcBorders>
              <w:top w:val="single" w:sz="4" w:space="0" w:color="auto"/>
              <w:left w:val="single" w:sz="4" w:space="0" w:color="auto"/>
              <w:bottom w:val="single" w:sz="4" w:space="0" w:color="auto"/>
              <w:right w:val="single" w:sz="4" w:space="0" w:color="auto"/>
            </w:tcBorders>
            <w:hideMark/>
          </w:tcPr>
          <w:p w14:paraId="52022CD2" w14:textId="77777777" w:rsidR="0034074F" w:rsidRPr="0034074F" w:rsidRDefault="0034074F" w:rsidP="0034074F">
            <w:pPr>
              <w:numPr>
                <w:ilvl w:val="0"/>
                <w:numId w:val="435"/>
              </w:numPr>
              <w:rPr>
                <w:rFonts w:cs="Arial"/>
              </w:rPr>
            </w:pPr>
            <w:r w:rsidRPr="0034074F">
              <w:rPr>
                <w:rFonts w:cs="Arial"/>
              </w:rPr>
              <w:lastRenderedPageBreak/>
              <w:t>Delivers against Objectives 1,2,3,4,5.   </w:t>
            </w:r>
          </w:p>
          <w:p w14:paraId="387E5DB7" w14:textId="77777777" w:rsidR="0034074F" w:rsidRPr="0034074F" w:rsidRDefault="0034074F" w:rsidP="0034074F">
            <w:pPr>
              <w:numPr>
                <w:ilvl w:val="0"/>
                <w:numId w:val="436"/>
              </w:numPr>
              <w:rPr>
                <w:rFonts w:cs="Arial"/>
              </w:rPr>
            </w:pPr>
            <w:r w:rsidRPr="0034074F">
              <w:rPr>
                <w:rFonts w:cs="Arial"/>
              </w:rPr>
              <w:lastRenderedPageBreak/>
              <w:t>CSF 1- meets all strategic spending objectives and related business needs.  </w:t>
            </w:r>
          </w:p>
          <w:p w14:paraId="62DDFEC2" w14:textId="77777777" w:rsidR="0034074F" w:rsidRPr="0034074F" w:rsidRDefault="0034074F" w:rsidP="0034074F">
            <w:pPr>
              <w:numPr>
                <w:ilvl w:val="0"/>
                <w:numId w:val="437"/>
              </w:numPr>
              <w:rPr>
                <w:rFonts w:cs="Arial"/>
              </w:rPr>
            </w:pPr>
            <w:r w:rsidRPr="0034074F">
              <w:rPr>
                <w:rFonts w:cs="Arial"/>
              </w:rPr>
              <w:t>CSF 2 – Building on the success of the programme and increasing its impact and sustainability increases </w:t>
            </w:r>
            <w:proofErr w:type="spellStart"/>
            <w:r w:rsidRPr="0034074F">
              <w:rPr>
                <w:rFonts w:cs="Arial"/>
              </w:rPr>
              <w:t>VfM</w:t>
            </w:r>
            <w:proofErr w:type="spellEnd"/>
            <w:r w:rsidRPr="0034074F">
              <w:rPr>
                <w:rFonts w:cs="Arial"/>
              </w:rPr>
              <w:t>.   </w:t>
            </w:r>
          </w:p>
          <w:p w14:paraId="79834B0A" w14:textId="77777777" w:rsidR="0034074F" w:rsidRPr="0034074F" w:rsidRDefault="0034074F" w:rsidP="0034074F">
            <w:pPr>
              <w:numPr>
                <w:ilvl w:val="0"/>
                <w:numId w:val="438"/>
              </w:numPr>
              <w:rPr>
                <w:rFonts w:cs="Arial"/>
              </w:rPr>
            </w:pPr>
            <w:r w:rsidRPr="0034074F">
              <w:rPr>
                <w:rFonts w:cs="Arial"/>
              </w:rPr>
              <w:t>CSF 3 and 5 –deliverable by FAO  </w:t>
            </w:r>
          </w:p>
        </w:tc>
        <w:tc>
          <w:tcPr>
            <w:tcW w:w="3118" w:type="dxa"/>
            <w:tcBorders>
              <w:top w:val="single" w:sz="4" w:space="0" w:color="auto"/>
              <w:left w:val="single" w:sz="4" w:space="0" w:color="auto"/>
              <w:bottom w:val="single" w:sz="4" w:space="0" w:color="auto"/>
              <w:right w:val="single" w:sz="4" w:space="0" w:color="auto"/>
            </w:tcBorders>
            <w:hideMark/>
          </w:tcPr>
          <w:p w14:paraId="3CE2B46C" w14:textId="77777777" w:rsidR="0034074F" w:rsidRPr="0034074F" w:rsidRDefault="0034074F" w:rsidP="0034074F">
            <w:pPr>
              <w:numPr>
                <w:ilvl w:val="0"/>
                <w:numId w:val="439"/>
              </w:numPr>
              <w:rPr>
                <w:rFonts w:cs="Arial"/>
              </w:rPr>
            </w:pPr>
            <w:r w:rsidRPr="0034074F">
              <w:rPr>
                <w:rFonts w:cs="Arial"/>
              </w:rPr>
              <w:lastRenderedPageBreak/>
              <w:t xml:space="preserve">The budget provisionally allocated to the AIM4Forests extension business case was £20 million, however </w:t>
            </w:r>
            <w:r w:rsidRPr="0034074F">
              <w:rPr>
                <w:rFonts w:cs="Arial"/>
              </w:rPr>
              <w:lastRenderedPageBreak/>
              <w:t>following more detailed analysis of the required funding, this option would cost approximately £20.9 million – so this option is above the provisionally allocated budget  </w:t>
            </w:r>
          </w:p>
        </w:tc>
        <w:tc>
          <w:tcPr>
            <w:tcW w:w="2977" w:type="dxa"/>
            <w:tcBorders>
              <w:top w:val="single" w:sz="4" w:space="0" w:color="auto"/>
              <w:left w:val="single" w:sz="4" w:space="0" w:color="auto"/>
              <w:bottom w:val="single" w:sz="4" w:space="0" w:color="auto"/>
              <w:right w:val="single" w:sz="4" w:space="0" w:color="auto"/>
            </w:tcBorders>
            <w:hideMark/>
          </w:tcPr>
          <w:p w14:paraId="60305B64" w14:textId="77777777" w:rsidR="0034074F" w:rsidRPr="0034074F" w:rsidRDefault="0034074F" w:rsidP="0034074F">
            <w:pPr>
              <w:numPr>
                <w:ilvl w:val="0"/>
                <w:numId w:val="440"/>
              </w:numPr>
              <w:rPr>
                <w:rFonts w:cs="Arial"/>
              </w:rPr>
            </w:pPr>
            <w:r w:rsidRPr="0034074F">
              <w:rPr>
                <w:rFonts w:cs="Arial"/>
              </w:rPr>
              <w:lastRenderedPageBreak/>
              <w:t xml:space="preserve">There may be opportunities to explore co-funding/ partnership opportunities with Germany on the </w:t>
            </w:r>
            <w:r w:rsidRPr="0034074F">
              <w:rPr>
                <w:rFonts w:cs="Arial"/>
              </w:rPr>
              <w:lastRenderedPageBreak/>
              <w:t>sustainable commodities workstream. However, we understand that future German funding is likely to be limited  </w:t>
            </w:r>
          </w:p>
          <w:p w14:paraId="3A2EE219" w14:textId="77777777" w:rsidR="0034074F" w:rsidRPr="0034074F" w:rsidRDefault="0034074F" w:rsidP="0034074F">
            <w:pPr>
              <w:numPr>
                <w:ilvl w:val="0"/>
                <w:numId w:val="441"/>
              </w:numPr>
              <w:rPr>
                <w:rFonts w:cs="Arial"/>
              </w:rPr>
            </w:pPr>
            <w:r w:rsidRPr="0034074F">
              <w:rPr>
                <w:rFonts w:cs="Arial"/>
              </w:rPr>
              <w:t>A 2-year extension to the term of the contract creates further opportunities to embed and institutionalise NFMS and MRV systems </w:t>
            </w:r>
          </w:p>
          <w:p w14:paraId="33A49999" w14:textId="77777777" w:rsidR="0034074F" w:rsidRPr="0034074F" w:rsidRDefault="0034074F" w:rsidP="0034074F">
            <w:pPr>
              <w:numPr>
                <w:ilvl w:val="0"/>
                <w:numId w:val="442"/>
              </w:numPr>
              <w:rPr>
                <w:rFonts w:cs="Arial"/>
              </w:rPr>
            </w:pPr>
            <w:r w:rsidRPr="0034074F">
              <w:rPr>
                <w:rFonts w:cs="Arial"/>
              </w:rPr>
              <w:t>Enabling the continuation of in-country technical assistance creates opportunities for AIM4Forests to support other emerging climate finance opportunities such as TFFF and create further linkages with existing HMG-funded programmes such as SCALE.  </w:t>
            </w:r>
          </w:p>
          <w:p w14:paraId="4CA5451E" w14:textId="77777777" w:rsidR="0034074F" w:rsidRPr="0034074F" w:rsidRDefault="0034074F" w:rsidP="0034074F">
            <w:pPr>
              <w:numPr>
                <w:ilvl w:val="0"/>
                <w:numId w:val="443"/>
              </w:numPr>
              <w:rPr>
                <w:rFonts w:cs="Arial"/>
              </w:rPr>
            </w:pPr>
            <w:r w:rsidRPr="0034074F">
              <w:rPr>
                <w:rFonts w:cs="Arial"/>
              </w:rPr>
              <w:t xml:space="preserve">A comprehensive programme on forest monitoring for sustainable commodity supply chains ensures that AIM4Forests can support/ create linkages with other supply </w:t>
            </w:r>
            <w:r w:rsidRPr="0034074F">
              <w:rPr>
                <w:rFonts w:cs="Arial"/>
              </w:rPr>
              <w:lastRenderedPageBreak/>
              <w:t>chain workstreams within IFU.  </w:t>
            </w:r>
          </w:p>
        </w:tc>
        <w:tc>
          <w:tcPr>
            <w:tcW w:w="2835" w:type="dxa"/>
            <w:tcBorders>
              <w:top w:val="single" w:sz="4" w:space="0" w:color="auto"/>
              <w:left w:val="single" w:sz="4" w:space="0" w:color="auto"/>
              <w:bottom w:val="single" w:sz="4" w:space="0" w:color="auto"/>
              <w:right w:val="single" w:sz="4" w:space="0" w:color="auto"/>
            </w:tcBorders>
            <w:hideMark/>
          </w:tcPr>
          <w:p w14:paraId="7B597520" w14:textId="77777777" w:rsidR="0034074F" w:rsidRPr="0034074F" w:rsidRDefault="0034074F" w:rsidP="0034074F">
            <w:pPr>
              <w:numPr>
                <w:ilvl w:val="0"/>
                <w:numId w:val="444"/>
              </w:numPr>
              <w:rPr>
                <w:rFonts w:cs="Arial"/>
              </w:rPr>
            </w:pPr>
            <w:r w:rsidRPr="0034074F">
              <w:rPr>
                <w:rFonts w:cs="Arial"/>
              </w:rPr>
              <w:lastRenderedPageBreak/>
              <w:t>Potential impacts on other ICF programming  </w:t>
            </w:r>
          </w:p>
        </w:tc>
        <w:tc>
          <w:tcPr>
            <w:tcW w:w="1087" w:type="dxa"/>
            <w:tcBorders>
              <w:top w:val="single" w:sz="4" w:space="0" w:color="auto"/>
              <w:left w:val="single" w:sz="4" w:space="0" w:color="auto"/>
              <w:bottom w:val="single" w:sz="4" w:space="0" w:color="auto"/>
              <w:right w:val="single" w:sz="4" w:space="0" w:color="auto"/>
            </w:tcBorders>
            <w:shd w:val="clear" w:color="auto" w:fill="92D050"/>
            <w:hideMark/>
          </w:tcPr>
          <w:p w14:paraId="31EF35AD" w14:textId="77777777" w:rsidR="0034074F" w:rsidRPr="0034074F" w:rsidRDefault="0034074F" w:rsidP="0034074F">
            <w:pPr>
              <w:rPr>
                <w:rFonts w:cs="Arial"/>
              </w:rPr>
            </w:pPr>
            <w:r w:rsidRPr="0034074F">
              <w:rPr>
                <w:rFonts w:cs="Arial"/>
              </w:rPr>
              <w:t> </w:t>
            </w:r>
          </w:p>
        </w:tc>
      </w:tr>
      <w:tr w:rsidR="0034074F" w:rsidRPr="0034074F" w14:paraId="1BFA2E46" w14:textId="77777777" w:rsidTr="004A7D84">
        <w:trPr>
          <w:trHeight w:val="300"/>
        </w:trPr>
        <w:tc>
          <w:tcPr>
            <w:tcW w:w="1985" w:type="dxa"/>
            <w:tcBorders>
              <w:top w:val="single" w:sz="4" w:space="0" w:color="auto"/>
              <w:left w:val="single" w:sz="4" w:space="0" w:color="auto"/>
              <w:bottom w:val="single" w:sz="4" w:space="0" w:color="auto"/>
              <w:right w:val="single" w:sz="4" w:space="0" w:color="auto"/>
            </w:tcBorders>
            <w:hideMark/>
          </w:tcPr>
          <w:p w14:paraId="11A452DB" w14:textId="77777777" w:rsidR="0034074F" w:rsidRPr="0034074F" w:rsidRDefault="0034074F" w:rsidP="0034074F">
            <w:pPr>
              <w:rPr>
                <w:rFonts w:cs="Arial"/>
              </w:rPr>
            </w:pPr>
            <w:r w:rsidRPr="0034074F">
              <w:rPr>
                <w:rFonts w:cs="Arial"/>
                <w:b/>
                <w:bCs/>
              </w:rPr>
              <w:lastRenderedPageBreak/>
              <w:t>Option 3: </w:t>
            </w:r>
            <w:r w:rsidRPr="0034074F">
              <w:rPr>
                <w:rFonts w:cs="Arial"/>
              </w:rPr>
              <w:t>Address current budget shortfall, include monitoring for sustainable commodities and an extension to the term of the programme on a </w:t>
            </w:r>
            <w:r w:rsidRPr="0034074F">
              <w:rPr>
                <w:rFonts w:cs="Arial"/>
                <w:b/>
                <w:bCs/>
              </w:rPr>
              <w:t>larger scale</w:t>
            </w:r>
            <w:r w:rsidRPr="0034074F">
              <w:rPr>
                <w:rFonts w:cs="Arial"/>
              </w:rPr>
              <w:t> </w:t>
            </w:r>
            <w:proofErr w:type="gramStart"/>
            <w:r w:rsidRPr="0034074F">
              <w:rPr>
                <w:rFonts w:cs="Arial"/>
              </w:rPr>
              <w:t>-  £</w:t>
            </w:r>
            <w:proofErr w:type="gramEnd"/>
            <w:r w:rsidRPr="0034074F">
              <w:rPr>
                <w:rFonts w:cs="Arial"/>
              </w:rPr>
              <w:t>40m (including a </w:t>
            </w:r>
            <w:proofErr w:type="gramStart"/>
            <w:r w:rsidRPr="0034074F">
              <w:rPr>
                <w:rFonts w:cs="Arial"/>
              </w:rPr>
              <w:t>two year</w:t>
            </w:r>
            <w:proofErr w:type="gramEnd"/>
            <w:r w:rsidRPr="0034074F">
              <w:rPr>
                <w:rFonts w:cs="Arial"/>
              </w:rPr>
              <w:t> extension) </w:t>
            </w:r>
          </w:p>
        </w:tc>
        <w:tc>
          <w:tcPr>
            <w:tcW w:w="3261" w:type="dxa"/>
            <w:tcBorders>
              <w:top w:val="single" w:sz="4" w:space="0" w:color="auto"/>
              <w:left w:val="single" w:sz="4" w:space="0" w:color="auto"/>
              <w:bottom w:val="single" w:sz="4" w:space="0" w:color="auto"/>
              <w:right w:val="single" w:sz="4" w:space="0" w:color="auto"/>
            </w:tcBorders>
            <w:hideMark/>
          </w:tcPr>
          <w:p w14:paraId="680B60DD" w14:textId="77777777" w:rsidR="0034074F" w:rsidRPr="0034074F" w:rsidRDefault="0034074F" w:rsidP="0034074F">
            <w:pPr>
              <w:numPr>
                <w:ilvl w:val="0"/>
                <w:numId w:val="445"/>
              </w:numPr>
              <w:rPr>
                <w:rFonts w:cs="Arial"/>
              </w:rPr>
            </w:pPr>
            <w:r w:rsidRPr="0034074F">
              <w:rPr>
                <w:rFonts w:cs="Arial"/>
              </w:rPr>
              <w:t>Delivers against Objectives 1,2,3,4,5.   </w:t>
            </w:r>
          </w:p>
          <w:p w14:paraId="178FFF2A" w14:textId="77777777" w:rsidR="0034074F" w:rsidRPr="0034074F" w:rsidRDefault="0034074F" w:rsidP="0034074F">
            <w:pPr>
              <w:numPr>
                <w:ilvl w:val="0"/>
                <w:numId w:val="446"/>
              </w:numPr>
              <w:rPr>
                <w:rFonts w:cs="Arial"/>
              </w:rPr>
            </w:pPr>
            <w:r w:rsidRPr="0034074F">
              <w:rPr>
                <w:rFonts w:cs="Arial"/>
              </w:rPr>
              <w:t>CSF 1- meets all strategic spending objectives and related business needs.  </w:t>
            </w:r>
          </w:p>
          <w:p w14:paraId="0A3CB1EC" w14:textId="77777777" w:rsidR="0034074F" w:rsidRPr="0034074F" w:rsidRDefault="0034074F" w:rsidP="0034074F">
            <w:pPr>
              <w:numPr>
                <w:ilvl w:val="0"/>
                <w:numId w:val="447"/>
              </w:numPr>
              <w:rPr>
                <w:rFonts w:cs="Arial"/>
              </w:rPr>
            </w:pPr>
            <w:r w:rsidRPr="0034074F">
              <w:rPr>
                <w:rFonts w:cs="Arial"/>
              </w:rPr>
              <w:t>CSF 2 – Building on the success of the programme and increasing its impact and sustainability increases </w:t>
            </w:r>
            <w:proofErr w:type="spellStart"/>
            <w:r w:rsidRPr="0034074F">
              <w:rPr>
                <w:rFonts w:cs="Arial"/>
              </w:rPr>
              <w:t>VfM</w:t>
            </w:r>
            <w:proofErr w:type="spellEnd"/>
            <w:r w:rsidRPr="0034074F">
              <w:rPr>
                <w:rFonts w:cs="Arial"/>
              </w:rPr>
              <w:t>.   </w:t>
            </w:r>
          </w:p>
          <w:p w14:paraId="55825F09" w14:textId="77777777" w:rsidR="0034074F" w:rsidRPr="0034074F" w:rsidRDefault="0034074F" w:rsidP="0034074F">
            <w:pPr>
              <w:numPr>
                <w:ilvl w:val="0"/>
                <w:numId w:val="448"/>
              </w:numPr>
              <w:rPr>
                <w:rFonts w:cs="Arial"/>
              </w:rPr>
            </w:pPr>
            <w:r w:rsidRPr="0034074F">
              <w:rPr>
                <w:rFonts w:cs="Arial"/>
              </w:rPr>
              <w:t>Would increase the number of countries in which AIM4Forests provides in-country technical </w:t>
            </w:r>
            <w:proofErr w:type="gramStart"/>
            <w:r w:rsidRPr="0034074F">
              <w:rPr>
                <w:rFonts w:cs="Arial"/>
              </w:rPr>
              <w:t>assistance, and</w:t>
            </w:r>
            <w:proofErr w:type="gramEnd"/>
            <w:r w:rsidRPr="0034074F">
              <w:rPr>
                <w:rFonts w:cs="Arial"/>
              </w:rPr>
              <w:t> would scale up the assistance provided in certain countries.   </w:t>
            </w:r>
          </w:p>
          <w:p w14:paraId="0584ADDF" w14:textId="77777777" w:rsidR="0034074F" w:rsidRPr="0034074F" w:rsidRDefault="0034074F" w:rsidP="0034074F">
            <w:pPr>
              <w:numPr>
                <w:ilvl w:val="0"/>
                <w:numId w:val="449"/>
              </w:numPr>
              <w:rPr>
                <w:rFonts w:cs="Arial"/>
              </w:rPr>
            </w:pPr>
            <w:r w:rsidRPr="0034074F">
              <w:rPr>
                <w:rFonts w:cs="Arial"/>
              </w:rPr>
              <w:t xml:space="preserve">Would significantly scale up on the work done on unsustainable commodity production, doubling the number of countries the programme could undertake this work in, and increasing the support offered at a global level.  Could also include a contribution to the Digital Integration of Agricultural </w:t>
            </w:r>
            <w:r w:rsidRPr="0034074F">
              <w:rPr>
                <w:rFonts w:cs="Arial"/>
              </w:rPr>
              <w:lastRenderedPageBreak/>
              <w:t>Supply Chains Alliance (DIASCA).  </w:t>
            </w:r>
          </w:p>
        </w:tc>
        <w:tc>
          <w:tcPr>
            <w:tcW w:w="3118" w:type="dxa"/>
            <w:tcBorders>
              <w:top w:val="single" w:sz="4" w:space="0" w:color="auto"/>
              <w:left w:val="single" w:sz="4" w:space="0" w:color="auto"/>
              <w:bottom w:val="single" w:sz="4" w:space="0" w:color="auto"/>
              <w:right w:val="single" w:sz="4" w:space="0" w:color="auto"/>
            </w:tcBorders>
            <w:hideMark/>
          </w:tcPr>
          <w:p w14:paraId="4E0EF012" w14:textId="77777777" w:rsidR="0034074F" w:rsidRPr="0034074F" w:rsidRDefault="0034074F" w:rsidP="0034074F">
            <w:pPr>
              <w:numPr>
                <w:ilvl w:val="0"/>
                <w:numId w:val="450"/>
              </w:numPr>
              <w:rPr>
                <w:rFonts w:cs="Arial"/>
              </w:rPr>
            </w:pPr>
            <w:r w:rsidRPr="0034074F">
              <w:rPr>
                <w:rFonts w:cs="Arial"/>
              </w:rPr>
              <w:lastRenderedPageBreak/>
              <w:t>Significantly higher than the provisionally allocated budget and would likely have implications for other ICF programming  </w:t>
            </w:r>
          </w:p>
        </w:tc>
        <w:tc>
          <w:tcPr>
            <w:tcW w:w="2977" w:type="dxa"/>
            <w:tcBorders>
              <w:top w:val="single" w:sz="4" w:space="0" w:color="auto"/>
              <w:left w:val="single" w:sz="4" w:space="0" w:color="auto"/>
              <w:bottom w:val="single" w:sz="4" w:space="0" w:color="auto"/>
              <w:right w:val="single" w:sz="4" w:space="0" w:color="auto"/>
            </w:tcBorders>
            <w:hideMark/>
          </w:tcPr>
          <w:p w14:paraId="2E1CB4E3" w14:textId="77777777" w:rsidR="0034074F" w:rsidRPr="0034074F" w:rsidRDefault="0034074F" w:rsidP="0034074F">
            <w:pPr>
              <w:numPr>
                <w:ilvl w:val="0"/>
                <w:numId w:val="451"/>
              </w:numPr>
              <w:rPr>
                <w:rFonts w:cs="Arial"/>
              </w:rPr>
            </w:pPr>
            <w:r w:rsidRPr="0034074F">
              <w:rPr>
                <w:rFonts w:cs="Arial"/>
              </w:rPr>
              <w:t>Create opportunities for AIM4Forests to expand into further countries (original target is 20 countries but this could be increased)  </w:t>
            </w:r>
          </w:p>
          <w:p w14:paraId="1E5433D8" w14:textId="77777777" w:rsidR="0034074F" w:rsidRPr="0034074F" w:rsidRDefault="0034074F" w:rsidP="0034074F">
            <w:pPr>
              <w:numPr>
                <w:ilvl w:val="0"/>
                <w:numId w:val="452"/>
              </w:numPr>
              <w:rPr>
                <w:rFonts w:cs="Arial"/>
              </w:rPr>
            </w:pPr>
            <w:r w:rsidRPr="0034074F">
              <w:rPr>
                <w:rFonts w:cs="Arial"/>
              </w:rPr>
              <w:t>More intensive in-country support could be provided in certain countries – increasing likelihood they can access different forms of climate finance </w:t>
            </w:r>
          </w:p>
        </w:tc>
        <w:tc>
          <w:tcPr>
            <w:tcW w:w="2835" w:type="dxa"/>
            <w:tcBorders>
              <w:top w:val="single" w:sz="4" w:space="0" w:color="auto"/>
              <w:left w:val="single" w:sz="4" w:space="0" w:color="auto"/>
              <w:bottom w:val="single" w:sz="4" w:space="0" w:color="auto"/>
              <w:right w:val="single" w:sz="4" w:space="0" w:color="auto"/>
            </w:tcBorders>
            <w:hideMark/>
          </w:tcPr>
          <w:p w14:paraId="1F55B4F8" w14:textId="77777777" w:rsidR="0034074F" w:rsidRPr="0034074F" w:rsidRDefault="0034074F" w:rsidP="0034074F">
            <w:pPr>
              <w:numPr>
                <w:ilvl w:val="0"/>
                <w:numId w:val="453"/>
              </w:numPr>
              <w:rPr>
                <w:rFonts w:cs="Arial"/>
              </w:rPr>
            </w:pPr>
            <w:r w:rsidRPr="0034074F">
              <w:rPr>
                <w:rFonts w:cs="Arial"/>
              </w:rPr>
              <w:t>Likely to have significant impact on other ICF programming  </w:t>
            </w:r>
          </w:p>
          <w:p w14:paraId="360C5D38" w14:textId="77777777" w:rsidR="0034074F" w:rsidRPr="0034074F" w:rsidRDefault="0034074F" w:rsidP="0034074F">
            <w:pPr>
              <w:numPr>
                <w:ilvl w:val="0"/>
                <w:numId w:val="454"/>
              </w:numPr>
              <w:rPr>
                <w:rFonts w:cs="Arial"/>
              </w:rPr>
            </w:pPr>
            <w:r w:rsidRPr="0034074F">
              <w:rPr>
                <w:rFonts w:cs="Arial"/>
              </w:rPr>
              <w:t>CSF 3 and 5 – would represent a significant increase in the size of the programme which would likely require the delivery partner to increase the size of the delivery team – this may have impacts on ability to deliver.  </w:t>
            </w:r>
          </w:p>
          <w:p w14:paraId="1360FFFE" w14:textId="77777777" w:rsidR="0034074F" w:rsidRPr="0034074F" w:rsidRDefault="0034074F" w:rsidP="0034074F">
            <w:pPr>
              <w:rPr>
                <w:rFonts w:cs="Arial"/>
              </w:rPr>
            </w:pPr>
            <w:r w:rsidRPr="0034074F">
              <w:rPr>
                <w:rFonts w:cs="Arial"/>
              </w:rPr>
              <w:t> </w:t>
            </w:r>
          </w:p>
        </w:tc>
        <w:tc>
          <w:tcPr>
            <w:tcW w:w="1087" w:type="dxa"/>
            <w:tcBorders>
              <w:top w:val="single" w:sz="4" w:space="0" w:color="auto"/>
              <w:left w:val="single" w:sz="4" w:space="0" w:color="auto"/>
              <w:bottom w:val="single" w:sz="4" w:space="0" w:color="auto"/>
              <w:right w:val="single" w:sz="4" w:space="0" w:color="auto"/>
            </w:tcBorders>
            <w:shd w:val="clear" w:color="auto" w:fill="FF0000"/>
            <w:hideMark/>
          </w:tcPr>
          <w:p w14:paraId="0B49742A" w14:textId="77777777" w:rsidR="0034074F" w:rsidRPr="0034074F" w:rsidRDefault="0034074F" w:rsidP="0034074F">
            <w:pPr>
              <w:rPr>
                <w:rFonts w:cs="Arial"/>
              </w:rPr>
            </w:pPr>
            <w:r w:rsidRPr="0034074F">
              <w:rPr>
                <w:rFonts w:cs="Arial"/>
              </w:rPr>
              <w:t> </w:t>
            </w:r>
          </w:p>
        </w:tc>
      </w:tr>
      <w:tr w:rsidR="0034074F" w:rsidRPr="0034074F" w14:paraId="657E51A5" w14:textId="77777777" w:rsidTr="0034074F">
        <w:trPr>
          <w:trHeight w:val="300"/>
        </w:trPr>
        <w:tc>
          <w:tcPr>
            <w:tcW w:w="15263" w:type="dxa"/>
            <w:gridSpan w:val="6"/>
            <w:tcBorders>
              <w:top w:val="single" w:sz="4" w:space="0" w:color="auto"/>
              <w:left w:val="single" w:sz="4" w:space="0" w:color="auto"/>
              <w:bottom w:val="single" w:sz="4" w:space="0" w:color="auto"/>
              <w:right w:val="single" w:sz="4" w:space="0" w:color="auto"/>
            </w:tcBorders>
            <w:vAlign w:val="center"/>
            <w:hideMark/>
          </w:tcPr>
          <w:p w14:paraId="67CE040D" w14:textId="77777777" w:rsidR="0034074F" w:rsidRPr="0034074F" w:rsidRDefault="0034074F" w:rsidP="0034074F">
            <w:pPr>
              <w:rPr>
                <w:rFonts w:cs="Arial"/>
              </w:rPr>
            </w:pPr>
            <w:r w:rsidRPr="0034074F">
              <w:rPr>
                <w:rFonts w:cs="Arial"/>
                <w:b/>
                <w:bCs/>
                <w:i/>
                <w:iCs/>
              </w:rPr>
              <w:t>Delivery options </w:t>
            </w:r>
            <w:r w:rsidRPr="0034074F">
              <w:rPr>
                <w:rFonts w:cs="Arial"/>
              </w:rPr>
              <w:t> </w:t>
            </w:r>
          </w:p>
        </w:tc>
      </w:tr>
      <w:tr w:rsidR="0034074F" w:rsidRPr="0034074F" w14:paraId="714402D7" w14:textId="77777777" w:rsidTr="004A7D84">
        <w:trPr>
          <w:trHeight w:val="300"/>
        </w:trPr>
        <w:tc>
          <w:tcPr>
            <w:tcW w:w="1985" w:type="dxa"/>
            <w:tcBorders>
              <w:top w:val="single" w:sz="4" w:space="0" w:color="auto"/>
              <w:left w:val="single" w:sz="4" w:space="0" w:color="auto"/>
              <w:bottom w:val="single" w:sz="4" w:space="0" w:color="auto"/>
              <w:right w:val="single" w:sz="4" w:space="0" w:color="auto"/>
            </w:tcBorders>
            <w:hideMark/>
          </w:tcPr>
          <w:p w14:paraId="3A0F0880" w14:textId="77777777" w:rsidR="0034074F" w:rsidRPr="0034074F" w:rsidRDefault="0034074F" w:rsidP="0034074F">
            <w:pPr>
              <w:rPr>
                <w:rFonts w:cs="Arial"/>
              </w:rPr>
            </w:pPr>
            <w:r w:rsidRPr="0034074F">
              <w:rPr>
                <w:rFonts w:cs="Arial"/>
                <w:b/>
                <w:bCs/>
              </w:rPr>
              <w:t>Delivery Option 1:</w:t>
            </w:r>
            <w:r w:rsidRPr="0034074F">
              <w:rPr>
                <w:rFonts w:cs="Arial"/>
              </w:rPr>
              <w:t> Retain current delivery partner  </w:t>
            </w:r>
          </w:p>
        </w:tc>
        <w:tc>
          <w:tcPr>
            <w:tcW w:w="3261" w:type="dxa"/>
            <w:tcBorders>
              <w:top w:val="single" w:sz="4" w:space="0" w:color="auto"/>
              <w:left w:val="single" w:sz="4" w:space="0" w:color="auto"/>
              <w:bottom w:val="single" w:sz="4" w:space="0" w:color="auto"/>
              <w:right w:val="single" w:sz="4" w:space="0" w:color="auto"/>
            </w:tcBorders>
            <w:hideMark/>
          </w:tcPr>
          <w:p w14:paraId="6DC5DD01" w14:textId="77777777" w:rsidR="0034074F" w:rsidRPr="0034074F" w:rsidRDefault="0034074F" w:rsidP="0034074F">
            <w:pPr>
              <w:numPr>
                <w:ilvl w:val="0"/>
                <w:numId w:val="455"/>
              </w:numPr>
              <w:rPr>
                <w:rFonts w:cs="Arial"/>
              </w:rPr>
            </w:pPr>
            <w:r w:rsidRPr="0034074F">
              <w:rPr>
                <w:rFonts w:cs="Arial"/>
              </w:rPr>
              <w:t>CSF 2: Retaining the current delivery partner builds on the success and momentum of the programme and reduces any delays associated with establishing a new partner/ programme providing further value for money. The 2024 Annual Review found that the programme is delivering strong value for money due to the programmes design and delivery.   </w:t>
            </w:r>
          </w:p>
          <w:p w14:paraId="5ABC6CA4" w14:textId="77777777" w:rsidR="0034074F" w:rsidRPr="0034074F" w:rsidRDefault="0034074F" w:rsidP="0034074F">
            <w:pPr>
              <w:numPr>
                <w:ilvl w:val="0"/>
                <w:numId w:val="456"/>
              </w:numPr>
              <w:rPr>
                <w:rFonts w:cs="Arial"/>
              </w:rPr>
            </w:pPr>
            <w:r w:rsidRPr="0034074F">
              <w:rPr>
                <w:rFonts w:cs="Arial"/>
              </w:rPr>
              <w:t xml:space="preserve">CSF 3: FAO is already successfully delivering the AIM4Forests programme and has experience delivering programmes relating to monitoring for unsustainable commodities. The mid-term review highlighted the technical comparative advantage that FAO has in NFMS and MRV, as well as the country and regional presence FAO has </w:t>
            </w:r>
            <w:r w:rsidRPr="0034074F">
              <w:rPr>
                <w:rFonts w:cs="Arial"/>
              </w:rPr>
              <w:lastRenderedPageBreak/>
              <w:t>through its offices and established networks, including those related to REDD+ and strong working relationships with governments and convening power.   </w:t>
            </w:r>
          </w:p>
          <w:p w14:paraId="09A0C465" w14:textId="77777777" w:rsidR="0034074F" w:rsidRPr="0034074F" w:rsidRDefault="0034074F" w:rsidP="0034074F">
            <w:pPr>
              <w:numPr>
                <w:ilvl w:val="0"/>
                <w:numId w:val="457"/>
              </w:numPr>
              <w:rPr>
                <w:rFonts w:cs="Arial"/>
              </w:rPr>
            </w:pPr>
            <w:r w:rsidRPr="0034074F">
              <w:rPr>
                <w:rFonts w:cs="Arial"/>
              </w:rPr>
              <w:t>CSF 5: As detailed above, FAO already has the level of skills/ expertise required to deliver the proposed activities    </w:t>
            </w:r>
          </w:p>
          <w:p w14:paraId="779B10FC" w14:textId="77777777" w:rsidR="0034074F" w:rsidRPr="0034074F" w:rsidRDefault="0034074F" w:rsidP="0034074F">
            <w:pPr>
              <w:numPr>
                <w:ilvl w:val="0"/>
                <w:numId w:val="458"/>
              </w:numPr>
              <w:rPr>
                <w:rFonts w:cs="Arial"/>
              </w:rPr>
            </w:pPr>
            <w:r w:rsidRPr="0034074F">
              <w:rPr>
                <w:rFonts w:cs="Arial"/>
              </w:rPr>
              <w:t>AIM4Forests has been able to leverage FAO’s existing UN-REDD framework. The mid-term review found that it is not possible to identify a more efficient way of channelling UK funds to AIM4Forests implementation than the current one through the UN-REDD Programme Fund.  </w:t>
            </w:r>
          </w:p>
          <w:p w14:paraId="12E77987" w14:textId="77777777" w:rsidR="0034074F" w:rsidRPr="0034074F" w:rsidRDefault="0034074F" w:rsidP="0034074F">
            <w:pPr>
              <w:numPr>
                <w:ilvl w:val="0"/>
                <w:numId w:val="459"/>
              </w:numPr>
              <w:rPr>
                <w:rFonts w:cs="Arial"/>
              </w:rPr>
            </w:pPr>
            <w:r w:rsidRPr="0034074F">
              <w:rPr>
                <w:rFonts w:cs="Arial"/>
              </w:rPr>
              <w:t>It also allows the programme to utilise the convening function of the GFOI – the only international platform that provides the specific convening function of an international partnership of donors that collaboratively assist developin</w:t>
            </w:r>
            <w:r w:rsidRPr="0034074F">
              <w:rPr>
                <w:rFonts w:cs="Arial"/>
              </w:rPr>
              <w:lastRenderedPageBreak/>
              <w:t>g countries report, advance, and progress REDD+, meet NDCs, and build capacity for GHG inventories.    </w:t>
            </w:r>
          </w:p>
        </w:tc>
        <w:tc>
          <w:tcPr>
            <w:tcW w:w="3118" w:type="dxa"/>
            <w:tcBorders>
              <w:top w:val="single" w:sz="4" w:space="0" w:color="auto"/>
              <w:left w:val="single" w:sz="4" w:space="0" w:color="auto"/>
              <w:bottom w:val="single" w:sz="4" w:space="0" w:color="auto"/>
              <w:right w:val="single" w:sz="4" w:space="0" w:color="auto"/>
            </w:tcBorders>
            <w:hideMark/>
          </w:tcPr>
          <w:p w14:paraId="552DEBC3" w14:textId="77777777" w:rsidR="0034074F" w:rsidRPr="0034074F" w:rsidRDefault="0034074F" w:rsidP="0034074F">
            <w:pPr>
              <w:numPr>
                <w:ilvl w:val="0"/>
                <w:numId w:val="460"/>
              </w:numPr>
              <w:rPr>
                <w:rFonts w:cs="Arial"/>
              </w:rPr>
            </w:pPr>
            <w:r w:rsidRPr="0034074F">
              <w:rPr>
                <w:rFonts w:cs="Arial"/>
              </w:rPr>
              <w:lastRenderedPageBreak/>
              <w:t>May limit opportunities for innovation, however, current Delivery Partner has shown ability to work alongside other partners. The mid-term review highlighted the adaptable and flexible delivery approach which reduces the risk of limited innovation/ complacency.  </w:t>
            </w:r>
          </w:p>
        </w:tc>
        <w:tc>
          <w:tcPr>
            <w:tcW w:w="2977" w:type="dxa"/>
            <w:tcBorders>
              <w:top w:val="single" w:sz="4" w:space="0" w:color="auto"/>
              <w:left w:val="single" w:sz="4" w:space="0" w:color="auto"/>
              <w:bottom w:val="single" w:sz="4" w:space="0" w:color="auto"/>
              <w:right w:val="single" w:sz="4" w:space="0" w:color="auto"/>
            </w:tcBorders>
            <w:hideMark/>
          </w:tcPr>
          <w:p w14:paraId="5DBA68C3" w14:textId="77777777" w:rsidR="0034074F" w:rsidRPr="0034074F" w:rsidRDefault="0034074F" w:rsidP="0034074F">
            <w:pPr>
              <w:numPr>
                <w:ilvl w:val="0"/>
                <w:numId w:val="461"/>
              </w:numPr>
              <w:rPr>
                <w:rFonts w:cs="Arial"/>
              </w:rPr>
            </w:pPr>
            <w:r w:rsidRPr="0034074F">
              <w:rPr>
                <w:rFonts w:cs="Arial"/>
              </w:rPr>
              <w:t>The technical expertise and reputation of FAO </w:t>
            </w:r>
            <w:proofErr w:type="gramStart"/>
            <w:r w:rsidRPr="0034074F">
              <w:rPr>
                <w:rFonts w:cs="Arial"/>
              </w:rPr>
              <w:t>creates</w:t>
            </w:r>
            <w:proofErr w:type="gramEnd"/>
            <w:r w:rsidRPr="0034074F">
              <w:rPr>
                <w:rFonts w:cs="Arial"/>
              </w:rPr>
              <w:t> opportunities to support/ work with other key programmes such as TFFF </w:t>
            </w:r>
          </w:p>
          <w:p w14:paraId="5351E146" w14:textId="77777777" w:rsidR="0034074F" w:rsidRPr="0034074F" w:rsidRDefault="0034074F" w:rsidP="0034074F">
            <w:pPr>
              <w:numPr>
                <w:ilvl w:val="0"/>
                <w:numId w:val="462"/>
              </w:numPr>
              <w:rPr>
                <w:rFonts w:cs="Arial"/>
              </w:rPr>
            </w:pPr>
            <w:r w:rsidRPr="0034074F">
              <w:rPr>
                <w:rFonts w:cs="Arial"/>
              </w:rPr>
              <w:t>FAO can subgrant to other partners/ consultants creating opportunities to work with other experts </w:t>
            </w:r>
          </w:p>
        </w:tc>
        <w:tc>
          <w:tcPr>
            <w:tcW w:w="2835" w:type="dxa"/>
            <w:tcBorders>
              <w:top w:val="single" w:sz="4" w:space="0" w:color="auto"/>
              <w:left w:val="single" w:sz="4" w:space="0" w:color="auto"/>
              <w:bottom w:val="single" w:sz="4" w:space="0" w:color="auto"/>
              <w:right w:val="single" w:sz="4" w:space="0" w:color="auto"/>
            </w:tcBorders>
            <w:hideMark/>
          </w:tcPr>
          <w:p w14:paraId="073C0B82" w14:textId="77777777" w:rsidR="0034074F" w:rsidRPr="0034074F" w:rsidRDefault="0034074F" w:rsidP="0034074F">
            <w:pPr>
              <w:numPr>
                <w:ilvl w:val="0"/>
                <w:numId w:val="463"/>
              </w:numPr>
              <w:rPr>
                <w:rFonts w:cs="Arial"/>
              </w:rPr>
            </w:pPr>
            <w:r w:rsidRPr="0034074F">
              <w:rPr>
                <w:rFonts w:cs="Arial"/>
              </w:rPr>
              <w:t>Non-commercial approach to procurement creates risk of challenge to DESNZ.  However, we will work with DESNZ Commercial and Legal teams to ensure that we have sufficiently evidenced the strong justification for extending the existing arrangement with FAO.  </w:t>
            </w:r>
          </w:p>
        </w:tc>
        <w:tc>
          <w:tcPr>
            <w:tcW w:w="1087" w:type="dxa"/>
            <w:tcBorders>
              <w:top w:val="single" w:sz="4" w:space="0" w:color="auto"/>
              <w:left w:val="single" w:sz="4" w:space="0" w:color="auto"/>
              <w:bottom w:val="single" w:sz="4" w:space="0" w:color="auto"/>
              <w:right w:val="single" w:sz="4" w:space="0" w:color="auto"/>
            </w:tcBorders>
            <w:shd w:val="clear" w:color="auto" w:fill="92D050"/>
            <w:hideMark/>
          </w:tcPr>
          <w:p w14:paraId="25921BDF" w14:textId="77777777" w:rsidR="0034074F" w:rsidRPr="0034074F" w:rsidRDefault="0034074F" w:rsidP="0034074F">
            <w:pPr>
              <w:rPr>
                <w:rFonts w:cs="Arial"/>
              </w:rPr>
            </w:pPr>
            <w:r w:rsidRPr="0034074F">
              <w:rPr>
                <w:rFonts w:cs="Arial"/>
              </w:rPr>
              <w:t> </w:t>
            </w:r>
          </w:p>
        </w:tc>
      </w:tr>
      <w:tr w:rsidR="0034074F" w:rsidRPr="0034074F" w14:paraId="59B3D350" w14:textId="77777777" w:rsidTr="004A7D84">
        <w:trPr>
          <w:trHeight w:val="300"/>
        </w:trPr>
        <w:tc>
          <w:tcPr>
            <w:tcW w:w="1985" w:type="dxa"/>
            <w:tcBorders>
              <w:top w:val="single" w:sz="4" w:space="0" w:color="auto"/>
              <w:left w:val="single" w:sz="4" w:space="0" w:color="auto"/>
              <w:bottom w:val="single" w:sz="4" w:space="0" w:color="auto"/>
              <w:right w:val="single" w:sz="4" w:space="0" w:color="auto"/>
            </w:tcBorders>
            <w:hideMark/>
          </w:tcPr>
          <w:p w14:paraId="592DE139" w14:textId="77777777" w:rsidR="0034074F" w:rsidRPr="0034074F" w:rsidRDefault="0034074F" w:rsidP="0034074F">
            <w:pPr>
              <w:rPr>
                <w:rFonts w:cs="Arial"/>
              </w:rPr>
            </w:pPr>
            <w:r w:rsidRPr="0034074F">
              <w:rPr>
                <w:rFonts w:cs="Arial"/>
                <w:b/>
                <w:bCs/>
              </w:rPr>
              <w:lastRenderedPageBreak/>
              <w:t>Delivery Option 2:</w:t>
            </w:r>
            <w:r w:rsidRPr="0034074F">
              <w:rPr>
                <w:rFonts w:cs="Arial"/>
              </w:rPr>
              <w:t> Funding a new programme through competitive tender  </w:t>
            </w:r>
          </w:p>
        </w:tc>
        <w:tc>
          <w:tcPr>
            <w:tcW w:w="3261" w:type="dxa"/>
            <w:tcBorders>
              <w:top w:val="single" w:sz="4" w:space="0" w:color="auto"/>
              <w:left w:val="single" w:sz="4" w:space="0" w:color="auto"/>
              <w:bottom w:val="single" w:sz="4" w:space="0" w:color="auto"/>
              <w:right w:val="single" w:sz="4" w:space="0" w:color="auto"/>
            </w:tcBorders>
            <w:hideMark/>
          </w:tcPr>
          <w:p w14:paraId="50262FEE" w14:textId="77777777" w:rsidR="0034074F" w:rsidRPr="0034074F" w:rsidRDefault="0034074F" w:rsidP="0034074F">
            <w:pPr>
              <w:numPr>
                <w:ilvl w:val="0"/>
                <w:numId w:val="464"/>
              </w:numPr>
              <w:rPr>
                <w:rFonts w:cs="Arial"/>
              </w:rPr>
            </w:pPr>
            <w:r w:rsidRPr="0034074F">
              <w:rPr>
                <w:rFonts w:cs="Arial"/>
              </w:rPr>
              <w:t>CSF 1: A new programme would allow that programme to be designed in a way to meet the relevant objectives  </w:t>
            </w:r>
          </w:p>
          <w:p w14:paraId="6409B0B3" w14:textId="77777777" w:rsidR="0034074F" w:rsidRPr="0034074F" w:rsidRDefault="0034074F" w:rsidP="0034074F">
            <w:pPr>
              <w:numPr>
                <w:ilvl w:val="0"/>
                <w:numId w:val="465"/>
              </w:numPr>
              <w:rPr>
                <w:rFonts w:cs="Arial"/>
              </w:rPr>
            </w:pPr>
            <w:r w:rsidRPr="0034074F">
              <w:rPr>
                <w:rFonts w:cs="Arial"/>
              </w:rPr>
              <w:t>There are several experienced delivery partners who are already delivered technical assistance at scale for example, the World Bank.   </w:t>
            </w:r>
          </w:p>
          <w:p w14:paraId="62CCAACD" w14:textId="77777777" w:rsidR="0034074F" w:rsidRPr="0034074F" w:rsidRDefault="0034074F" w:rsidP="0034074F">
            <w:pPr>
              <w:rPr>
                <w:rFonts w:cs="Arial"/>
              </w:rPr>
            </w:pPr>
            <w:r w:rsidRPr="0034074F">
              <w:rPr>
                <w:rFonts w:cs="Arial"/>
              </w:rPr>
              <w:t> </w:t>
            </w:r>
          </w:p>
        </w:tc>
        <w:tc>
          <w:tcPr>
            <w:tcW w:w="3118" w:type="dxa"/>
            <w:tcBorders>
              <w:top w:val="single" w:sz="4" w:space="0" w:color="auto"/>
              <w:left w:val="single" w:sz="4" w:space="0" w:color="auto"/>
              <w:bottom w:val="single" w:sz="4" w:space="0" w:color="auto"/>
              <w:right w:val="single" w:sz="4" w:space="0" w:color="auto"/>
            </w:tcBorders>
            <w:hideMark/>
          </w:tcPr>
          <w:p w14:paraId="60C16A44" w14:textId="77777777" w:rsidR="0034074F" w:rsidRPr="0034074F" w:rsidRDefault="0034074F" w:rsidP="0034074F">
            <w:pPr>
              <w:numPr>
                <w:ilvl w:val="0"/>
                <w:numId w:val="466"/>
              </w:numPr>
              <w:rPr>
                <w:rFonts w:cs="Arial"/>
              </w:rPr>
            </w:pPr>
            <w:r w:rsidRPr="0034074F">
              <w:rPr>
                <w:rFonts w:cs="Arial"/>
              </w:rPr>
              <w:t>Resource intensive in terms of procurement and management (including co-management and delivery of multiple arms of the programme).  </w:t>
            </w:r>
          </w:p>
          <w:p w14:paraId="77168CD7" w14:textId="77777777" w:rsidR="0034074F" w:rsidRPr="0034074F" w:rsidRDefault="0034074F" w:rsidP="0034074F">
            <w:pPr>
              <w:numPr>
                <w:ilvl w:val="0"/>
                <w:numId w:val="467"/>
              </w:numPr>
              <w:rPr>
                <w:rFonts w:cs="Arial"/>
              </w:rPr>
            </w:pPr>
            <w:r w:rsidRPr="0034074F">
              <w:rPr>
                <w:rFonts w:cs="Arial"/>
              </w:rPr>
              <w:t>CSF 2 and 4: AIM4Forests is already a well-performing programme. Building on the success of the programme ensure greater </w:t>
            </w:r>
            <w:proofErr w:type="spellStart"/>
            <w:r w:rsidRPr="0034074F">
              <w:rPr>
                <w:rFonts w:cs="Arial"/>
              </w:rPr>
              <w:t>VfM</w:t>
            </w:r>
            <w:proofErr w:type="spellEnd"/>
            <w:r w:rsidRPr="0034074F">
              <w:rPr>
                <w:rFonts w:cs="Arial"/>
              </w:rPr>
              <w:t>, while creating a new programme could increase costs and delay implementation.  </w:t>
            </w:r>
          </w:p>
          <w:p w14:paraId="372601A7" w14:textId="77777777" w:rsidR="0034074F" w:rsidRPr="0034074F" w:rsidRDefault="0034074F" w:rsidP="0034074F">
            <w:pPr>
              <w:numPr>
                <w:ilvl w:val="0"/>
                <w:numId w:val="468"/>
              </w:numPr>
              <w:rPr>
                <w:rFonts w:cs="Arial"/>
              </w:rPr>
            </w:pPr>
            <w:r w:rsidRPr="0034074F">
              <w:rPr>
                <w:rFonts w:cs="Arial"/>
              </w:rPr>
              <w:t>A competitive tender was undertaken during the initial AIM4Forests Business Case, and FAO-UNREDD were the most successful bid then. It is unlikely that another competitive tender would give a different result for very similar objectives.   </w:t>
            </w:r>
          </w:p>
        </w:tc>
        <w:tc>
          <w:tcPr>
            <w:tcW w:w="2977" w:type="dxa"/>
            <w:tcBorders>
              <w:top w:val="single" w:sz="4" w:space="0" w:color="auto"/>
              <w:left w:val="single" w:sz="4" w:space="0" w:color="auto"/>
              <w:bottom w:val="single" w:sz="4" w:space="0" w:color="auto"/>
              <w:right w:val="single" w:sz="4" w:space="0" w:color="auto"/>
            </w:tcBorders>
            <w:hideMark/>
          </w:tcPr>
          <w:p w14:paraId="481A2CB9" w14:textId="77777777" w:rsidR="0034074F" w:rsidRPr="0034074F" w:rsidRDefault="0034074F" w:rsidP="0034074F">
            <w:pPr>
              <w:numPr>
                <w:ilvl w:val="0"/>
                <w:numId w:val="469"/>
              </w:numPr>
              <w:rPr>
                <w:rFonts w:cs="Arial"/>
              </w:rPr>
            </w:pPr>
            <w:r w:rsidRPr="0034074F">
              <w:rPr>
                <w:rFonts w:cs="Arial"/>
              </w:rPr>
              <w:t>Opportunities to establish new HMG links in countries with a new partnership  </w:t>
            </w:r>
          </w:p>
        </w:tc>
        <w:tc>
          <w:tcPr>
            <w:tcW w:w="2835" w:type="dxa"/>
            <w:tcBorders>
              <w:top w:val="single" w:sz="4" w:space="0" w:color="auto"/>
              <w:left w:val="single" w:sz="4" w:space="0" w:color="auto"/>
              <w:bottom w:val="single" w:sz="4" w:space="0" w:color="auto"/>
              <w:right w:val="single" w:sz="4" w:space="0" w:color="auto"/>
            </w:tcBorders>
            <w:hideMark/>
          </w:tcPr>
          <w:p w14:paraId="2F3292DE" w14:textId="77777777" w:rsidR="0034074F" w:rsidRPr="0034074F" w:rsidRDefault="0034074F" w:rsidP="0034074F">
            <w:pPr>
              <w:numPr>
                <w:ilvl w:val="0"/>
                <w:numId w:val="470"/>
              </w:numPr>
              <w:rPr>
                <w:rFonts w:cs="Arial"/>
              </w:rPr>
            </w:pPr>
            <w:r w:rsidRPr="0034074F">
              <w:rPr>
                <w:rFonts w:cs="Arial"/>
              </w:rPr>
              <w:t>Some entities are limited in their country reach depending on where they are currently operating </w:t>
            </w:r>
          </w:p>
          <w:p w14:paraId="42392A70" w14:textId="77777777" w:rsidR="0034074F" w:rsidRPr="0034074F" w:rsidRDefault="0034074F" w:rsidP="0034074F">
            <w:pPr>
              <w:numPr>
                <w:ilvl w:val="0"/>
                <w:numId w:val="471"/>
              </w:numPr>
              <w:rPr>
                <w:rFonts w:cs="Arial"/>
              </w:rPr>
            </w:pPr>
            <w:r w:rsidRPr="0034074F">
              <w:rPr>
                <w:rFonts w:cs="Arial"/>
              </w:rPr>
              <w:t xml:space="preserve">Relatively long lead-time before funds </w:t>
            </w:r>
            <w:proofErr w:type="gramStart"/>
            <w:r w:rsidRPr="0034074F">
              <w:rPr>
                <w:rFonts w:cs="Arial"/>
              </w:rPr>
              <w:t>are</w:t>
            </w:r>
            <w:proofErr w:type="gramEnd"/>
            <w:r w:rsidRPr="0034074F">
              <w:rPr>
                <w:rFonts w:cs="Arial"/>
              </w:rPr>
              <w:t xml:space="preserve"> disbursed. Could cause unnecessary delays in implementation.    </w:t>
            </w:r>
          </w:p>
          <w:p w14:paraId="261DD1B9" w14:textId="77777777" w:rsidR="0034074F" w:rsidRPr="0034074F" w:rsidRDefault="0034074F" w:rsidP="0034074F">
            <w:pPr>
              <w:rPr>
                <w:rFonts w:cs="Arial"/>
              </w:rPr>
            </w:pPr>
            <w:r w:rsidRPr="0034074F">
              <w:rPr>
                <w:rFonts w:cs="Arial"/>
              </w:rPr>
              <w:t> </w:t>
            </w:r>
          </w:p>
        </w:tc>
        <w:tc>
          <w:tcPr>
            <w:tcW w:w="1087" w:type="dxa"/>
            <w:tcBorders>
              <w:top w:val="single" w:sz="4" w:space="0" w:color="auto"/>
              <w:left w:val="single" w:sz="4" w:space="0" w:color="auto"/>
              <w:bottom w:val="single" w:sz="4" w:space="0" w:color="auto"/>
              <w:right w:val="single" w:sz="4" w:space="0" w:color="auto"/>
            </w:tcBorders>
            <w:shd w:val="clear" w:color="auto" w:fill="FF0000"/>
            <w:hideMark/>
          </w:tcPr>
          <w:p w14:paraId="6103612D" w14:textId="77777777" w:rsidR="0034074F" w:rsidRPr="0034074F" w:rsidRDefault="0034074F" w:rsidP="0034074F">
            <w:pPr>
              <w:rPr>
                <w:rFonts w:cs="Arial"/>
              </w:rPr>
            </w:pPr>
            <w:r w:rsidRPr="0034074F">
              <w:rPr>
                <w:rFonts w:cs="Arial"/>
              </w:rPr>
              <w:t> </w:t>
            </w:r>
          </w:p>
        </w:tc>
      </w:tr>
    </w:tbl>
    <w:p w14:paraId="1E7D2AE6" w14:textId="523D20B9" w:rsidR="003827B7" w:rsidRPr="003827B7" w:rsidRDefault="003827B7" w:rsidP="0034735F">
      <w:pPr>
        <w:rPr>
          <w:rFonts w:cs="Arial"/>
          <w:sz w:val="22"/>
          <w:szCs w:val="22"/>
        </w:rPr>
      </w:pPr>
      <w:r w:rsidRPr="003827B7">
        <w:rPr>
          <w:rFonts w:cs="Arial"/>
          <w:sz w:val="22"/>
          <w:szCs w:val="22"/>
        </w:rPr>
        <w:t> </w:t>
      </w:r>
    </w:p>
    <w:p w14:paraId="0CBBD27D" w14:textId="184DF043" w:rsidR="00383522" w:rsidRDefault="00383522">
      <w:pPr>
        <w:rPr>
          <w:rFonts w:cs="Arial"/>
          <w:b/>
          <w:bCs/>
          <w:i/>
          <w:iCs/>
          <w:sz w:val="22"/>
          <w:szCs w:val="22"/>
        </w:rPr>
      </w:pPr>
      <w:r>
        <w:rPr>
          <w:rFonts w:cs="Arial"/>
          <w:b/>
          <w:bCs/>
          <w:i/>
          <w:iCs/>
          <w:sz w:val="22"/>
          <w:szCs w:val="22"/>
        </w:rPr>
        <w:lastRenderedPageBreak/>
        <w:br w:type="page"/>
      </w:r>
    </w:p>
    <w:p w14:paraId="037C29FB" w14:textId="77777777" w:rsidR="00383522" w:rsidRDefault="00383522">
      <w:pPr>
        <w:rPr>
          <w:rFonts w:cs="Arial"/>
          <w:b/>
          <w:bCs/>
          <w:i/>
          <w:iCs/>
          <w:sz w:val="22"/>
          <w:szCs w:val="22"/>
        </w:rPr>
        <w:sectPr w:rsidR="00383522" w:rsidSect="0034735F">
          <w:pgSz w:w="16838" w:h="11906" w:orient="landscape" w:code="9"/>
          <w:pgMar w:top="851" w:right="720"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106F89C" w14:textId="5B243BDC" w:rsidR="00F578AE" w:rsidRPr="00030704" w:rsidRDefault="00030704">
      <w:pPr>
        <w:rPr>
          <w:rFonts w:cs="Arial"/>
          <w:b/>
          <w:bCs/>
          <w:sz w:val="22"/>
          <w:szCs w:val="22"/>
          <w:u w:val="single"/>
        </w:rPr>
      </w:pPr>
      <w:r w:rsidRPr="00030704">
        <w:rPr>
          <w:rFonts w:cs="Arial"/>
          <w:b/>
          <w:bCs/>
          <w:sz w:val="22"/>
          <w:szCs w:val="22"/>
          <w:u w:val="single"/>
        </w:rPr>
        <w:lastRenderedPageBreak/>
        <w:t>Annex M: AIM4Forests (Extension) Programme Integrated Assurance and Approval Plan </w:t>
      </w:r>
    </w:p>
    <w:p w14:paraId="6B4785CB" w14:textId="66748993" w:rsidR="0059762C" w:rsidRDefault="0059762C">
      <w:pPr>
        <w:rPr>
          <w:rFonts w:cs="Arial"/>
          <w:b/>
          <w:bCs/>
          <w:i/>
          <w:iCs/>
          <w:sz w:val="22"/>
          <w:szCs w:val="22"/>
        </w:rPr>
      </w:pPr>
    </w:p>
    <w:tbl>
      <w:tblPr>
        <w:tblW w:w="888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6240"/>
      </w:tblGrid>
      <w:tr w:rsidR="0059762C" w:rsidRPr="0059762C" w14:paraId="1B724B2F" w14:textId="77777777" w:rsidTr="00313C0C">
        <w:trPr>
          <w:trHeight w:val="300"/>
        </w:trPr>
        <w:tc>
          <w:tcPr>
            <w:tcW w:w="2640" w:type="dxa"/>
            <w:tcBorders>
              <w:top w:val="single" w:sz="6" w:space="0" w:color="auto"/>
              <w:left w:val="single" w:sz="6" w:space="0" w:color="auto"/>
              <w:bottom w:val="single" w:sz="6" w:space="0" w:color="auto"/>
              <w:right w:val="single" w:sz="6" w:space="0" w:color="auto"/>
            </w:tcBorders>
            <w:hideMark/>
          </w:tcPr>
          <w:p w14:paraId="5DBF3C1F" w14:textId="77777777" w:rsidR="0059762C" w:rsidRPr="0059762C" w:rsidRDefault="0059762C" w:rsidP="0059762C">
            <w:pPr>
              <w:rPr>
                <w:rFonts w:cs="Arial"/>
                <w:sz w:val="22"/>
                <w:szCs w:val="22"/>
              </w:rPr>
            </w:pPr>
            <w:r w:rsidRPr="0059762C">
              <w:rPr>
                <w:rFonts w:cs="Arial"/>
                <w:sz w:val="22"/>
                <w:szCs w:val="22"/>
              </w:rPr>
              <w:t>Programme Name   </w:t>
            </w:r>
          </w:p>
        </w:tc>
        <w:tc>
          <w:tcPr>
            <w:tcW w:w="6240" w:type="dxa"/>
            <w:tcBorders>
              <w:top w:val="single" w:sz="6" w:space="0" w:color="auto"/>
              <w:left w:val="single" w:sz="6" w:space="0" w:color="auto"/>
              <w:bottom w:val="single" w:sz="6" w:space="0" w:color="auto"/>
              <w:right w:val="single" w:sz="6" w:space="0" w:color="auto"/>
            </w:tcBorders>
            <w:hideMark/>
          </w:tcPr>
          <w:p w14:paraId="0C7263FB" w14:textId="77777777" w:rsidR="0059762C" w:rsidRPr="0059762C" w:rsidRDefault="0059762C" w:rsidP="0059762C">
            <w:pPr>
              <w:rPr>
                <w:rFonts w:cs="Arial"/>
                <w:sz w:val="22"/>
                <w:szCs w:val="22"/>
              </w:rPr>
            </w:pPr>
            <w:r w:rsidRPr="0059762C">
              <w:rPr>
                <w:rFonts w:cs="Arial"/>
                <w:sz w:val="22"/>
                <w:szCs w:val="22"/>
              </w:rPr>
              <w:t>Accelerating Innovative Monitoring for Forests (AIM4Forests) - Extension </w:t>
            </w:r>
          </w:p>
        </w:tc>
      </w:tr>
      <w:tr w:rsidR="0059762C" w:rsidRPr="0059762C" w14:paraId="33D19F03" w14:textId="77777777" w:rsidTr="00313C0C">
        <w:trPr>
          <w:trHeight w:val="300"/>
        </w:trPr>
        <w:tc>
          <w:tcPr>
            <w:tcW w:w="2640" w:type="dxa"/>
            <w:tcBorders>
              <w:top w:val="single" w:sz="6" w:space="0" w:color="auto"/>
              <w:left w:val="single" w:sz="6" w:space="0" w:color="auto"/>
              <w:bottom w:val="single" w:sz="6" w:space="0" w:color="auto"/>
              <w:right w:val="single" w:sz="6" w:space="0" w:color="auto"/>
            </w:tcBorders>
            <w:hideMark/>
          </w:tcPr>
          <w:p w14:paraId="5C9D5903" w14:textId="77777777" w:rsidR="0059762C" w:rsidRPr="0059762C" w:rsidRDefault="0059762C" w:rsidP="0059762C">
            <w:pPr>
              <w:rPr>
                <w:rFonts w:cs="Arial"/>
                <w:sz w:val="22"/>
                <w:szCs w:val="22"/>
              </w:rPr>
            </w:pPr>
            <w:r w:rsidRPr="0059762C">
              <w:rPr>
                <w:rFonts w:cs="Arial"/>
                <w:sz w:val="22"/>
                <w:szCs w:val="22"/>
              </w:rPr>
              <w:t>DESNZ Directorate   </w:t>
            </w:r>
          </w:p>
        </w:tc>
        <w:tc>
          <w:tcPr>
            <w:tcW w:w="6240" w:type="dxa"/>
            <w:tcBorders>
              <w:top w:val="single" w:sz="6" w:space="0" w:color="auto"/>
              <w:left w:val="single" w:sz="6" w:space="0" w:color="auto"/>
              <w:bottom w:val="single" w:sz="6" w:space="0" w:color="auto"/>
              <w:right w:val="single" w:sz="6" w:space="0" w:color="auto"/>
            </w:tcBorders>
            <w:hideMark/>
          </w:tcPr>
          <w:p w14:paraId="1B6CB111" w14:textId="77777777" w:rsidR="0059762C" w:rsidRPr="0059762C" w:rsidRDefault="0059762C" w:rsidP="0059762C">
            <w:pPr>
              <w:rPr>
                <w:rFonts w:cs="Arial"/>
                <w:sz w:val="22"/>
                <w:szCs w:val="22"/>
              </w:rPr>
            </w:pPr>
            <w:r w:rsidRPr="0059762C">
              <w:rPr>
                <w:rFonts w:cs="Arial"/>
                <w:sz w:val="22"/>
                <w:szCs w:val="22"/>
              </w:rPr>
              <w:t>International Net Zero: Climate Finance &amp; Strategy  </w:t>
            </w:r>
          </w:p>
        </w:tc>
      </w:tr>
    </w:tbl>
    <w:p w14:paraId="0BCDF4A9" w14:textId="77777777" w:rsidR="0059762C" w:rsidRPr="0059762C" w:rsidRDefault="0059762C" w:rsidP="0059762C">
      <w:pPr>
        <w:rPr>
          <w:rFonts w:cs="Arial"/>
          <w:sz w:val="22"/>
          <w:szCs w:val="22"/>
        </w:rPr>
      </w:pPr>
      <w:r w:rsidRPr="0059762C">
        <w:rPr>
          <w:rFonts w:cs="Arial"/>
          <w:sz w:val="22"/>
          <w:szCs w:val="22"/>
        </w:rPr>
        <w:t> </w:t>
      </w:r>
    </w:p>
    <w:p w14:paraId="772F9E34" w14:textId="77777777" w:rsidR="0059762C" w:rsidRPr="0059762C" w:rsidRDefault="0059762C" w:rsidP="0059762C">
      <w:pPr>
        <w:rPr>
          <w:rFonts w:cs="Arial"/>
          <w:b/>
          <w:bCs/>
          <w:sz w:val="22"/>
          <w:szCs w:val="22"/>
        </w:rPr>
      </w:pPr>
      <w:r w:rsidRPr="0059762C">
        <w:rPr>
          <w:rFonts w:cs="Arial"/>
          <w:b/>
          <w:bCs/>
          <w:sz w:val="22"/>
          <w:szCs w:val="22"/>
        </w:rPr>
        <w:t>Introduction   </w:t>
      </w:r>
    </w:p>
    <w:p w14:paraId="264D7185" w14:textId="2ACA4EA7" w:rsidR="0059762C" w:rsidRPr="0059762C" w:rsidRDefault="0059762C" w:rsidP="0059762C">
      <w:pPr>
        <w:rPr>
          <w:rFonts w:cs="Arial"/>
          <w:sz w:val="22"/>
          <w:szCs w:val="22"/>
        </w:rPr>
      </w:pPr>
      <w:r w:rsidRPr="0059762C">
        <w:rPr>
          <w:rFonts w:cs="Arial"/>
          <w:sz w:val="22"/>
          <w:szCs w:val="22"/>
        </w:rPr>
        <w:t>This Integrated Assurance and Approval Plan (IAAP) </w:t>
      </w:r>
      <w:proofErr w:type="gramStart"/>
      <w:r w:rsidRPr="0059762C">
        <w:rPr>
          <w:rFonts w:cs="Arial"/>
          <w:sz w:val="22"/>
          <w:szCs w:val="22"/>
        </w:rPr>
        <w:t>provides</w:t>
      </w:r>
      <w:proofErr w:type="gramEnd"/>
      <w:r w:rsidRPr="0059762C">
        <w:rPr>
          <w:rFonts w:cs="Arial"/>
          <w:sz w:val="22"/>
          <w:szCs w:val="22"/>
        </w:rPr>
        <w:t> a summary of assurance and approvals activities in relation to the AIM4Forests Programme (including extension). It provides a summary of the assurance and approvals processes that apply to all DESNZ International Climate Finance (ICF) programmes of this size, and outlines team resourcing, roles and responsibilities and an overview of key approval milestones specific to the AIM4Forests programme. </w:t>
      </w:r>
    </w:p>
    <w:p w14:paraId="5D79A428" w14:textId="6244F3D4" w:rsidR="0059762C" w:rsidRPr="0059762C" w:rsidRDefault="0059762C" w:rsidP="0059762C">
      <w:pPr>
        <w:rPr>
          <w:rFonts w:cs="Arial"/>
          <w:sz w:val="22"/>
          <w:szCs w:val="22"/>
        </w:rPr>
      </w:pPr>
      <w:r w:rsidRPr="0059762C">
        <w:rPr>
          <w:rFonts w:cs="Arial"/>
          <w:sz w:val="22"/>
          <w:szCs w:val="22"/>
        </w:rPr>
        <w:t>Our ICF assurance and approval processes ensure a risk-based, proportionate and integrated approach.    </w:t>
      </w:r>
    </w:p>
    <w:p w14:paraId="1E9B785C" w14:textId="77777777" w:rsidR="0059762C" w:rsidRPr="0059762C" w:rsidRDefault="0059762C" w:rsidP="0059762C">
      <w:pPr>
        <w:rPr>
          <w:rFonts w:cs="Arial"/>
          <w:b/>
          <w:bCs/>
          <w:sz w:val="22"/>
          <w:szCs w:val="22"/>
        </w:rPr>
      </w:pPr>
      <w:r w:rsidRPr="0059762C">
        <w:rPr>
          <w:rFonts w:cs="Arial"/>
          <w:b/>
          <w:bCs/>
          <w:sz w:val="22"/>
          <w:szCs w:val="22"/>
        </w:rPr>
        <w:t>Programme: Purpose and Scope    </w:t>
      </w:r>
    </w:p>
    <w:p w14:paraId="6DB89C4B" w14:textId="528B0F56" w:rsidR="0059762C" w:rsidRPr="0059762C" w:rsidRDefault="0059762C" w:rsidP="0059762C">
      <w:pPr>
        <w:rPr>
          <w:rFonts w:cs="Arial"/>
          <w:sz w:val="22"/>
          <w:szCs w:val="22"/>
        </w:rPr>
      </w:pPr>
      <w:r w:rsidRPr="0059762C">
        <w:rPr>
          <w:rFonts w:cs="Arial"/>
          <w:sz w:val="22"/>
          <w:szCs w:val="22"/>
          <w:u w:val="single"/>
        </w:rPr>
        <w:t>ICF Overview: </w:t>
      </w:r>
      <w:r w:rsidRPr="0059762C">
        <w:rPr>
          <w:rFonts w:cs="Arial"/>
          <w:sz w:val="22"/>
          <w:szCs w:val="22"/>
        </w:rPr>
        <w:t>  All UK ICF is ODA and is spent in-line with ODA rules. Three government departments (FCDO, DESNZ and DEFRA) are responsible for administering the budget. DESNZ is responsible for delivering policy and ODA programmes which support climate mitigation, mainly in countries with large or rapidly growing emissions trajectories. This includes mobilising investment from the private sector into low-carbon markets and technologies.    </w:t>
      </w:r>
    </w:p>
    <w:p w14:paraId="5F60E662" w14:textId="46DC0FF9" w:rsidR="0059762C" w:rsidRPr="0059762C" w:rsidRDefault="0059762C" w:rsidP="0059762C">
      <w:pPr>
        <w:rPr>
          <w:rFonts w:cs="Arial"/>
          <w:sz w:val="22"/>
          <w:szCs w:val="22"/>
        </w:rPr>
      </w:pPr>
      <w:r w:rsidRPr="0059762C">
        <w:rPr>
          <w:rFonts w:cs="Arial"/>
          <w:sz w:val="22"/>
          <w:szCs w:val="22"/>
        </w:rPr>
        <w:t>DESNZ ICF has adopted a programme governance approach which is aligned with FCDO’s Programme Operating Framework (</w:t>
      </w:r>
      <w:proofErr w:type="spellStart"/>
      <w:r w:rsidRPr="0059762C">
        <w:rPr>
          <w:rFonts w:cs="Arial"/>
          <w:sz w:val="22"/>
          <w:szCs w:val="22"/>
        </w:rPr>
        <w:t>PrOF</w:t>
      </w:r>
      <w:proofErr w:type="spellEnd"/>
      <w:r w:rsidRPr="0059762C">
        <w:rPr>
          <w:rFonts w:cs="Arial"/>
          <w:sz w:val="22"/>
          <w:szCs w:val="22"/>
        </w:rPr>
        <w:t>) and ensures a clear separation between those delivering programmes and those checking against compliance and performance as shown in the figure below. This approach is aligned with DESNZ ICF PPM best practice guidance embedded across the ICF portfolio.   </w:t>
      </w:r>
    </w:p>
    <w:p w14:paraId="237335A4" w14:textId="77777777" w:rsidR="0059762C" w:rsidRPr="0059762C" w:rsidRDefault="0059762C" w:rsidP="0059762C">
      <w:pPr>
        <w:rPr>
          <w:rFonts w:cs="Arial"/>
          <w:b/>
          <w:bCs/>
          <w:sz w:val="22"/>
          <w:szCs w:val="22"/>
        </w:rPr>
      </w:pPr>
      <w:r w:rsidRPr="0059762C">
        <w:rPr>
          <w:rFonts w:cs="Arial"/>
          <w:b/>
          <w:bCs/>
          <w:sz w:val="22"/>
          <w:szCs w:val="22"/>
        </w:rPr>
        <w:t>ICF Governance  </w:t>
      </w:r>
    </w:p>
    <w:p w14:paraId="6EA81388" w14:textId="2D9F7498" w:rsidR="0059762C" w:rsidRPr="0059762C" w:rsidRDefault="0059762C" w:rsidP="0059762C">
      <w:pPr>
        <w:rPr>
          <w:rFonts w:cs="Arial"/>
          <w:sz w:val="22"/>
          <w:szCs w:val="22"/>
        </w:rPr>
      </w:pPr>
      <w:r w:rsidRPr="0059762C">
        <w:rPr>
          <w:rFonts w:cs="Arial"/>
          <w:sz w:val="22"/>
          <w:szCs w:val="22"/>
        </w:rPr>
        <w:t>For programmes with a total budget under £50m, the Business case is approved by ICF Portfolio Committee (PC). For programmes over £50m, the business case is approved by DESNZ Portfolio Investment Committee (PIC). The AIM4Forests Extension is under £50m (£20.9m proposed), therefore it will be approved by PC. </w:t>
      </w:r>
    </w:p>
    <w:p w14:paraId="41023A86" w14:textId="77777777" w:rsidR="0059762C" w:rsidRPr="0059762C" w:rsidRDefault="0059762C" w:rsidP="0059762C">
      <w:pPr>
        <w:rPr>
          <w:rFonts w:cs="Arial"/>
          <w:sz w:val="22"/>
          <w:szCs w:val="22"/>
        </w:rPr>
      </w:pPr>
      <w:r w:rsidRPr="0059762C">
        <w:rPr>
          <w:rFonts w:cs="Arial"/>
          <w:sz w:val="22"/>
          <w:szCs w:val="22"/>
        </w:rPr>
        <w:t>Complete ICF governance is detailed in the figure below.  </w:t>
      </w:r>
    </w:p>
    <w:p w14:paraId="0D8BF2BC" w14:textId="11D28597" w:rsidR="0059762C" w:rsidRPr="0059762C" w:rsidRDefault="0059762C" w:rsidP="0059762C">
      <w:pPr>
        <w:rPr>
          <w:rFonts w:cs="Arial"/>
          <w:sz w:val="22"/>
          <w:szCs w:val="22"/>
        </w:rPr>
      </w:pPr>
      <w:r w:rsidRPr="00030704">
        <w:rPr>
          <w:rFonts w:cs="Arial"/>
          <w:noProof/>
          <w:sz w:val="22"/>
          <w:szCs w:val="22"/>
        </w:rPr>
        <w:lastRenderedPageBreak/>
        <w:drawing>
          <wp:inline distT="0" distB="0" distL="0" distR="0" wp14:anchorId="74CC53FE" wp14:editId="47FEB780">
            <wp:extent cx="5149850" cy="2895600"/>
            <wp:effectExtent l="0" t="0" r="0" b="0"/>
            <wp:docPr id="1053665654" name="Picture 10" descr="A diagram of a company's govern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iagram of a company's governan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9850" cy="2895600"/>
                    </a:xfrm>
                    <a:prstGeom prst="rect">
                      <a:avLst/>
                    </a:prstGeom>
                    <a:noFill/>
                    <a:ln>
                      <a:noFill/>
                    </a:ln>
                  </pic:spPr>
                </pic:pic>
              </a:graphicData>
            </a:graphic>
          </wp:inline>
        </w:drawing>
      </w:r>
      <w:r w:rsidRPr="0059762C">
        <w:rPr>
          <w:rFonts w:cs="Arial"/>
          <w:sz w:val="22"/>
          <w:szCs w:val="22"/>
        </w:rPr>
        <w:t> </w:t>
      </w:r>
    </w:p>
    <w:p w14:paraId="4CEBD7C9" w14:textId="77777777" w:rsidR="0059762C" w:rsidRPr="0059762C" w:rsidRDefault="0059762C" w:rsidP="0059762C">
      <w:pPr>
        <w:rPr>
          <w:rFonts w:cs="Arial"/>
          <w:b/>
          <w:bCs/>
          <w:sz w:val="22"/>
          <w:szCs w:val="22"/>
        </w:rPr>
      </w:pPr>
      <w:r w:rsidRPr="0059762C">
        <w:rPr>
          <w:rFonts w:cs="Arial"/>
          <w:b/>
          <w:bCs/>
          <w:sz w:val="22"/>
          <w:szCs w:val="22"/>
          <w:u w:val="single"/>
        </w:rPr>
        <w:t>Programme overview</w:t>
      </w:r>
      <w:r w:rsidRPr="0059762C">
        <w:rPr>
          <w:rFonts w:cs="Arial"/>
          <w:b/>
          <w:bCs/>
          <w:sz w:val="22"/>
          <w:szCs w:val="22"/>
        </w:rPr>
        <w:t> </w:t>
      </w:r>
    </w:p>
    <w:p w14:paraId="0EC20A6C" w14:textId="77777777" w:rsidR="0059762C" w:rsidRPr="0059762C" w:rsidRDefault="0059762C" w:rsidP="0059762C">
      <w:pPr>
        <w:rPr>
          <w:rFonts w:cs="Arial"/>
          <w:sz w:val="22"/>
          <w:szCs w:val="22"/>
        </w:rPr>
      </w:pPr>
      <w:r w:rsidRPr="0059762C">
        <w:rPr>
          <w:rFonts w:cs="Arial"/>
          <w:sz w:val="22"/>
          <w:szCs w:val="22"/>
        </w:rPr>
        <w:t>The Accelerating Innovative Monitoring for Forests (AIM4Forests) Programme was launched by the UK in April 2023, in partnership with The Food and Agriculture Organisation of the United Nations (FAO). The programme is delivered through the FAO’s Forest Monitoring and Data Platforms team, in collaboration with the UN-REDD Programme and the Global Forest Observations Initiative (GFOI). AIM4Forests is a global programme that supports and improves countries’ National Forest Monitoring Systems (NFMS) and MRV. The main goals of AIM4Forests include:  </w:t>
      </w:r>
    </w:p>
    <w:p w14:paraId="451680E4" w14:textId="77777777" w:rsidR="0059762C" w:rsidRPr="0059762C" w:rsidRDefault="0059762C" w:rsidP="0059762C">
      <w:pPr>
        <w:numPr>
          <w:ilvl w:val="0"/>
          <w:numId w:val="472"/>
        </w:numPr>
        <w:rPr>
          <w:rFonts w:cs="Arial"/>
          <w:sz w:val="22"/>
          <w:szCs w:val="22"/>
        </w:rPr>
      </w:pPr>
      <w:r w:rsidRPr="0059762C">
        <w:rPr>
          <w:rFonts w:cs="Arial"/>
          <w:sz w:val="22"/>
          <w:szCs w:val="22"/>
        </w:rPr>
        <w:t>Addressing the remaining technical and institutional gaps to embed national forest monitoring systems that are fit for purpose into national institutions   </w:t>
      </w:r>
    </w:p>
    <w:p w14:paraId="0B5B7263" w14:textId="77777777" w:rsidR="0059762C" w:rsidRPr="0059762C" w:rsidRDefault="0059762C" w:rsidP="0059762C">
      <w:pPr>
        <w:numPr>
          <w:ilvl w:val="0"/>
          <w:numId w:val="473"/>
        </w:numPr>
        <w:rPr>
          <w:rFonts w:cs="Arial"/>
          <w:sz w:val="22"/>
          <w:szCs w:val="22"/>
        </w:rPr>
      </w:pPr>
      <w:r w:rsidRPr="0059762C">
        <w:rPr>
          <w:rFonts w:cs="Arial"/>
          <w:sz w:val="22"/>
          <w:szCs w:val="22"/>
        </w:rPr>
        <w:t>Accelerating the alignment, innovation, and deployment of high-integrity datasets to overcome REDD+ MRV methodological challenges, as well as other data and reporting needs around transparent commodity value chains and ecosystem restoration; and   </w:t>
      </w:r>
    </w:p>
    <w:p w14:paraId="4E400559" w14:textId="77777777" w:rsidR="0059762C" w:rsidRPr="0059762C" w:rsidRDefault="0059762C" w:rsidP="0059762C">
      <w:pPr>
        <w:numPr>
          <w:ilvl w:val="0"/>
          <w:numId w:val="474"/>
        </w:numPr>
        <w:rPr>
          <w:rFonts w:cs="Arial"/>
          <w:sz w:val="22"/>
          <w:szCs w:val="22"/>
        </w:rPr>
      </w:pPr>
      <w:r w:rsidRPr="0059762C">
        <w:rPr>
          <w:rFonts w:cs="Arial"/>
          <w:sz w:val="22"/>
          <w:szCs w:val="22"/>
        </w:rPr>
        <w:t>Enhancing the participation of indigenous peoples and local communities (IPs &amp; LCs) in forest monitoring.   </w:t>
      </w:r>
    </w:p>
    <w:p w14:paraId="091A08D1" w14:textId="77777777" w:rsidR="0059762C" w:rsidRPr="0059762C" w:rsidRDefault="0059762C" w:rsidP="0059762C">
      <w:pPr>
        <w:rPr>
          <w:rFonts w:cs="Arial"/>
          <w:sz w:val="22"/>
          <w:szCs w:val="22"/>
        </w:rPr>
      </w:pPr>
      <w:r w:rsidRPr="0059762C">
        <w:rPr>
          <w:rFonts w:cs="Arial"/>
          <w:sz w:val="22"/>
          <w:szCs w:val="22"/>
        </w:rPr>
        <w:t>The programme also supports countries to build capacity and monitor and report their progress towards Target 2 of the Kunming-Montreal Global Biodiversity Framework (KMGBF). The programme intends to eventually work with 20 countries across Africa, Asia and the Pacific, and Latin America and the Caribbean to institutionalize their NFMS and provide high-integrity MRV through modern monitoring technologies, novel learning approaches, and innovation.   </w:t>
      </w:r>
    </w:p>
    <w:p w14:paraId="46D0F977" w14:textId="77777777" w:rsidR="0059762C" w:rsidRPr="0059762C" w:rsidRDefault="0059762C" w:rsidP="0059762C">
      <w:pPr>
        <w:rPr>
          <w:rFonts w:cs="Arial"/>
          <w:sz w:val="22"/>
          <w:szCs w:val="22"/>
        </w:rPr>
      </w:pPr>
      <w:r w:rsidRPr="0059762C">
        <w:rPr>
          <w:rFonts w:cs="Arial"/>
          <w:sz w:val="22"/>
          <w:szCs w:val="22"/>
        </w:rPr>
        <w:t>This extension business case proposes an additional £20.9m, 2-year extension to the existing £31.5m Accelerating Innovative Monitoring for Forests (AIM4Forests) programme. This additional funding will amplify the country-level technical assistance work, as well as expand the scope of the programme to cover monitoring for sustainable commodity production.  </w:t>
      </w:r>
    </w:p>
    <w:p w14:paraId="59FF2544" w14:textId="77777777" w:rsidR="0059762C" w:rsidRPr="0059762C" w:rsidRDefault="0059762C" w:rsidP="0059762C">
      <w:pPr>
        <w:rPr>
          <w:rFonts w:cs="Arial"/>
          <w:sz w:val="22"/>
          <w:szCs w:val="22"/>
        </w:rPr>
      </w:pPr>
      <w:r w:rsidRPr="0059762C">
        <w:rPr>
          <w:rFonts w:cs="Arial"/>
          <w:sz w:val="22"/>
          <w:szCs w:val="22"/>
        </w:rPr>
        <w:t> </w:t>
      </w:r>
    </w:p>
    <w:p w14:paraId="2C459625" w14:textId="77777777" w:rsidR="0059762C" w:rsidRPr="0059762C" w:rsidRDefault="0059762C" w:rsidP="0059762C">
      <w:pPr>
        <w:rPr>
          <w:rFonts w:cs="Arial"/>
          <w:b/>
          <w:bCs/>
          <w:sz w:val="22"/>
          <w:szCs w:val="22"/>
        </w:rPr>
      </w:pPr>
      <w:r w:rsidRPr="0059762C">
        <w:rPr>
          <w:rFonts w:cs="Arial"/>
          <w:b/>
          <w:bCs/>
          <w:sz w:val="22"/>
          <w:szCs w:val="22"/>
        </w:rPr>
        <w:t>Programme: Assessment of Risks and determination of Assurance / Approval requirements    </w:t>
      </w:r>
    </w:p>
    <w:p w14:paraId="049DC743" w14:textId="77777777" w:rsidR="0059762C" w:rsidRPr="0059762C" w:rsidRDefault="0059762C" w:rsidP="0059762C">
      <w:pPr>
        <w:rPr>
          <w:rFonts w:cs="Arial"/>
          <w:sz w:val="22"/>
          <w:szCs w:val="22"/>
        </w:rPr>
      </w:pPr>
      <w:r w:rsidRPr="0059762C">
        <w:rPr>
          <w:rFonts w:cs="Arial"/>
          <w:sz w:val="22"/>
          <w:szCs w:val="22"/>
        </w:rPr>
        <w:lastRenderedPageBreak/>
        <w:t>The IAAP seeks to set our assurance and approvals processes for the AIM4Forests Programme (extension) in-line with the HMT “three lines of defence” and DESNZ’s Integrated Assurance and Approvals Framework. The plan clearly sets out the assurance processes in place to assess the management, governance and risk management of delivery. ICF assurance and approval processes ensure a risk-based, proportionate and integrated approach.    </w:t>
      </w:r>
    </w:p>
    <w:p w14:paraId="33F20332" w14:textId="77777777" w:rsidR="0059762C" w:rsidRPr="0059762C" w:rsidRDefault="0059762C" w:rsidP="0059762C">
      <w:pPr>
        <w:rPr>
          <w:rFonts w:cs="Arial"/>
          <w:sz w:val="22"/>
          <w:szCs w:val="22"/>
        </w:rPr>
      </w:pPr>
      <w:r w:rsidRPr="0059762C">
        <w:rPr>
          <w:rFonts w:cs="Arial"/>
          <w:sz w:val="22"/>
          <w:szCs w:val="22"/>
          <w:u w:val="single"/>
        </w:rPr>
        <w:t>Business Case approval:</w:t>
      </w:r>
      <w:r w:rsidRPr="0059762C">
        <w:rPr>
          <w:rFonts w:cs="Arial"/>
          <w:sz w:val="22"/>
          <w:szCs w:val="22"/>
        </w:rPr>
        <w:t> </w:t>
      </w:r>
    </w:p>
    <w:p w14:paraId="6671754C" w14:textId="77777777" w:rsidR="0059762C" w:rsidRPr="0059762C" w:rsidRDefault="0059762C" w:rsidP="0059762C">
      <w:pPr>
        <w:numPr>
          <w:ilvl w:val="0"/>
          <w:numId w:val="475"/>
        </w:numPr>
        <w:rPr>
          <w:rFonts w:cs="Arial"/>
          <w:sz w:val="22"/>
          <w:szCs w:val="22"/>
        </w:rPr>
      </w:pPr>
      <w:r w:rsidRPr="0059762C">
        <w:rPr>
          <w:rFonts w:cs="Arial"/>
          <w:sz w:val="22"/>
          <w:szCs w:val="22"/>
        </w:rPr>
        <w:t>The business case will go to Portfolio Committee for approval </w:t>
      </w:r>
    </w:p>
    <w:p w14:paraId="29ADC02C" w14:textId="77777777" w:rsidR="0059762C" w:rsidRPr="0059762C" w:rsidRDefault="0059762C" w:rsidP="0059762C">
      <w:pPr>
        <w:numPr>
          <w:ilvl w:val="0"/>
          <w:numId w:val="476"/>
        </w:numPr>
        <w:rPr>
          <w:rFonts w:cs="Arial"/>
          <w:sz w:val="22"/>
          <w:szCs w:val="22"/>
        </w:rPr>
      </w:pPr>
      <w:r w:rsidRPr="0059762C">
        <w:rPr>
          <w:rFonts w:cs="Arial"/>
          <w:sz w:val="22"/>
          <w:szCs w:val="22"/>
        </w:rPr>
        <w:t>The business case will be submitted to DESNZ Ministers for approval.    </w:t>
      </w:r>
    </w:p>
    <w:p w14:paraId="09B2307A" w14:textId="77777777" w:rsidR="0059762C" w:rsidRPr="0059762C" w:rsidRDefault="0059762C" w:rsidP="0059762C">
      <w:pPr>
        <w:rPr>
          <w:rFonts w:cs="Arial"/>
          <w:sz w:val="22"/>
          <w:szCs w:val="22"/>
        </w:rPr>
      </w:pPr>
      <w:r w:rsidRPr="0059762C">
        <w:rPr>
          <w:rFonts w:cs="Arial"/>
          <w:sz w:val="22"/>
          <w:szCs w:val="22"/>
          <w:u w:val="single"/>
        </w:rPr>
        <w:t>Monitoring and Assurance of the programme during delivery:</w:t>
      </w:r>
      <w:r w:rsidRPr="0059762C">
        <w:rPr>
          <w:rFonts w:cs="Arial"/>
          <w:sz w:val="22"/>
          <w:szCs w:val="22"/>
        </w:rPr>
        <w:t> </w:t>
      </w:r>
    </w:p>
    <w:p w14:paraId="13FA7FA8" w14:textId="77777777" w:rsidR="0059762C" w:rsidRPr="0059762C" w:rsidRDefault="0059762C" w:rsidP="0059762C">
      <w:pPr>
        <w:numPr>
          <w:ilvl w:val="0"/>
          <w:numId w:val="477"/>
        </w:numPr>
        <w:rPr>
          <w:rFonts w:cs="Arial"/>
          <w:sz w:val="22"/>
          <w:szCs w:val="22"/>
        </w:rPr>
      </w:pPr>
      <w:r w:rsidRPr="0059762C">
        <w:rPr>
          <w:rFonts w:cs="Arial"/>
          <w:sz w:val="22"/>
          <w:szCs w:val="22"/>
        </w:rPr>
        <w:t>Programme Delivery Plan updated monthly with information on milestones, issues and risks, finance, safeguarding and fraud. Reviewed by ICF Portfolio Management Office and Finance. </w:t>
      </w:r>
    </w:p>
    <w:p w14:paraId="0C000083" w14:textId="77777777" w:rsidR="0059762C" w:rsidRPr="0059762C" w:rsidRDefault="0059762C" w:rsidP="0059762C">
      <w:pPr>
        <w:numPr>
          <w:ilvl w:val="0"/>
          <w:numId w:val="478"/>
        </w:numPr>
        <w:rPr>
          <w:rFonts w:cs="Arial"/>
          <w:sz w:val="22"/>
          <w:szCs w:val="22"/>
        </w:rPr>
      </w:pPr>
      <w:r w:rsidRPr="0059762C">
        <w:rPr>
          <w:rFonts w:cs="Arial"/>
          <w:sz w:val="22"/>
          <w:szCs w:val="22"/>
        </w:rPr>
        <w:t>ICF Portfolio Delivery Group – monthly update on programme progress, risk rating, annual reviews and escalation point for risks and issues. </w:t>
      </w:r>
    </w:p>
    <w:p w14:paraId="77206912" w14:textId="77777777" w:rsidR="0059762C" w:rsidRPr="0059762C" w:rsidRDefault="0059762C" w:rsidP="0059762C">
      <w:pPr>
        <w:numPr>
          <w:ilvl w:val="0"/>
          <w:numId w:val="479"/>
        </w:numPr>
        <w:rPr>
          <w:rFonts w:cs="Arial"/>
          <w:sz w:val="22"/>
          <w:szCs w:val="22"/>
        </w:rPr>
      </w:pPr>
      <w:r w:rsidRPr="0059762C">
        <w:rPr>
          <w:rFonts w:cs="Arial"/>
          <w:sz w:val="22"/>
          <w:szCs w:val="22"/>
        </w:rPr>
        <w:t>Annual Reviews: a key tool to monitor performance and to ensure continuous improvement. ICF analysts score the programme against deliverables and KPI. Recommendations for improving the programme performance are provided and implemented by the programme team. The annual reviews are published on </w:t>
      </w:r>
      <w:proofErr w:type="spellStart"/>
      <w:r w:rsidRPr="0059762C">
        <w:rPr>
          <w:rFonts w:cs="Arial"/>
          <w:sz w:val="22"/>
          <w:szCs w:val="22"/>
        </w:rPr>
        <w:t>DevTracker</w:t>
      </w:r>
      <w:proofErr w:type="spellEnd"/>
      <w:r w:rsidRPr="0059762C">
        <w:rPr>
          <w:rFonts w:cs="Arial"/>
          <w:sz w:val="22"/>
          <w:szCs w:val="22"/>
        </w:rPr>
        <w:t>. </w:t>
      </w:r>
    </w:p>
    <w:p w14:paraId="316BBC52" w14:textId="77777777" w:rsidR="0059762C" w:rsidRPr="0059762C" w:rsidRDefault="0059762C" w:rsidP="0059762C">
      <w:pPr>
        <w:numPr>
          <w:ilvl w:val="0"/>
          <w:numId w:val="480"/>
        </w:numPr>
        <w:rPr>
          <w:rFonts w:cs="Arial"/>
          <w:sz w:val="22"/>
          <w:szCs w:val="22"/>
        </w:rPr>
      </w:pPr>
      <w:r w:rsidRPr="0059762C">
        <w:rPr>
          <w:rFonts w:cs="Arial"/>
          <w:sz w:val="22"/>
          <w:szCs w:val="22"/>
        </w:rPr>
        <w:t>Meetings twice a year between DESNZ and Delivery Partner working level taskforce teams to discuss project finances, forward look pipeline and disbursement data </w:t>
      </w:r>
    </w:p>
    <w:p w14:paraId="0D24551B" w14:textId="77777777" w:rsidR="0059762C" w:rsidRPr="0059762C" w:rsidRDefault="0059762C" w:rsidP="0059762C">
      <w:pPr>
        <w:rPr>
          <w:rFonts w:cs="Arial"/>
          <w:sz w:val="22"/>
          <w:szCs w:val="22"/>
        </w:rPr>
      </w:pPr>
      <w:r w:rsidRPr="0059762C">
        <w:rPr>
          <w:rFonts w:cs="Arial"/>
          <w:sz w:val="22"/>
          <w:szCs w:val="22"/>
          <w:u w:val="single"/>
        </w:rPr>
        <w:t>Closing the programme:</w:t>
      </w:r>
      <w:r w:rsidRPr="0059762C">
        <w:rPr>
          <w:rFonts w:cs="Arial"/>
          <w:sz w:val="22"/>
          <w:szCs w:val="22"/>
        </w:rPr>
        <w:t> </w:t>
      </w:r>
    </w:p>
    <w:p w14:paraId="45E1B2F1" w14:textId="77777777" w:rsidR="0059762C" w:rsidRPr="0059762C" w:rsidRDefault="0059762C" w:rsidP="0059762C">
      <w:pPr>
        <w:numPr>
          <w:ilvl w:val="0"/>
          <w:numId w:val="481"/>
        </w:numPr>
        <w:rPr>
          <w:rFonts w:cs="Arial"/>
          <w:sz w:val="22"/>
          <w:szCs w:val="22"/>
        </w:rPr>
      </w:pPr>
      <w:r w:rsidRPr="0059762C">
        <w:rPr>
          <w:rFonts w:cs="Arial"/>
          <w:sz w:val="22"/>
          <w:szCs w:val="22"/>
        </w:rPr>
        <w:t>Programme Completion Review  </w:t>
      </w:r>
    </w:p>
    <w:p w14:paraId="7E9AA1FC" w14:textId="77777777" w:rsidR="0059762C" w:rsidRPr="0059762C" w:rsidRDefault="0059762C" w:rsidP="0059762C">
      <w:pPr>
        <w:numPr>
          <w:ilvl w:val="0"/>
          <w:numId w:val="482"/>
        </w:numPr>
        <w:rPr>
          <w:rFonts w:cs="Arial"/>
          <w:sz w:val="22"/>
          <w:szCs w:val="22"/>
        </w:rPr>
      </w:pPr>
      <w:r w:rsidRPr="0059762C">
        <w:rPr>
          <w:rFonts w:cs="Arial"/>
          <w:sz w:val="22"/>
          <w:szCs w:val="22"/>
        </w:rPr>
        <w:t>End of programme impact evaluation, including approval of evaluation methodologies and plan   </w:t>
      </w:r>
    </w:p>
    <w:p w14:paraId="0D4549F8" w14:textId="77777777" w:rsidR="0059762C" w:rsidRPr="0059762C" w:rsidRDefault="0059762C" w:rsidP="0059762C">
      <w:pPr>
        <w:rPr>
          <w:rFonts w:cs="Arial"/>
          <w:sz w:val="22"/>
          <w:szCs w:val="22"/>
        </w:rPr>
      </w:pPr>
      <w:r w:rsidRPr="0059762C">
        <w:rPr>
          <w:rFonts w:cs="Arial"/>
          <w:sz w:val="22"/>
          <w:szCs w:val="22"/>
        </w:rPr>
        <w:t> </w:t>
      </w:r>
    </w:p>
    <w:p w14:paraId="363367AA" w14:textId="77777777" w:rsidR="0059762C" w:rsidRPr="0059762C" w:rsidRDefault="0059762C" w:rsidP="0059762C">
      <w:pPr>
        <w:rPr>
          <w:rFonts w:cs="Arial"/>
          <w:b/>
          <w:bCs/>
          <w:sz w:val="22"/>
          <w:szCs w:val="22"/>
        </w:rPr>
      </w:pPr>
      <w:r w:rsidRPr="0059762C">
        <w:rPr>
          <w:rFonts w:cs="Arial"/>
          <w:b/>
          <w:bCs/>
          <w:sz w:val="22"/>
          <w:szCs w:val="22"/>
        </w:rPr>
        <w:t>Programme: Roles and Responsibilities  </w:t>
      </w:r>
    </w:p>
    <w:p w14:paraId="6D1CC3EA" w14:textId="77777777" w:rsidR="0059762C" w:rsidRPr="0059762C" w:rsidRDefault="0059762C" w:rsidP="0059762C">
      <w:pPr>
        <w:rPr>
          <w:rFonts w:cs="Arial"/>
          <w:sz w:val="22"/>
          <w:szCs w:val="22"/>
        </w:rPr>
      </w:pPr>
      <w:r w:rsidRPr="0059762C">
        <w:rPr>
          <w:rFonts w:cs="Arial"/>
          <w:sz w:val="22"/>
          <w:szCs w:val="22"/>
        </w:rPr>
        <w:t>The roles and tasks below are compulsory for all ICF programmes.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803"/>
        <w:gridCol w:w="1605"/>
        <w:gridCol w:w="5940"/>
      </w:tblGrid>
      <w:tr w:rsidR="0059762C" w:rsidRPr="0059762C" w14:paraId="7997AEB5" w14:textId="77777777">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D9E2F3"/>
            <w:hideMark/>
          </w:tcPr>
          <w:p w14:paraId="0394DC13" w14:textId="77777777" w:rsidR="0059762C" w:rsidRPr="0059762C" w:rsidRDefault="0059762C" w:rsidP="0059762C">
            <w:pPr>
              <w:rPr>
                <w:rFonts w:cs="Arial"/>
                <w:sz w:val="22"/>
                <w:szCs w:val="22"/>
              </w:rPr>
            </w:pPr>
            <w:r w:rsidRPr="0059762C">
              <w:rPr>
                <w:rFonts w:cs="Arial"/>
                <w:sz w:val="22"/>
                <w:szCs w:val="22"/>
              </w:rPr>
              <w:t>Line of defence </w:t>
            </w:r>
          </w:p>
        </w:tc>
        <w:tc>
          <w:tcPr>
            <w:tcW w:w="750" w:type="dxa"/>
            <w:tcBorders>
              <w:top w:val="single" w:sz="6" w:space="0" w:color="auto"/>
              <w:left w:val="single" w:sz="6" w:space="0" w:color="auto"/>
              <w:bottom w:val="single" w:sz="6" w:space="0" w:color="auto"/>
              <w:right w:val="single" w:sz="6" w:space="0" w:color="auto"/>
            </w:tcBorders>
            <w:shd w:val="clear" w:color="auto" w:fill="D9E2F3"/>
            <w:hideMark/>
          </w:tcPr>
          <w:p w14:paraId="00CB8652" w14:textId="77777777" w:rsidR="0059762C" w:rsidRPr="0059762C" w:rsidRDefault="0059762C" w:rsidP="0059762C">
            <w:pPr>
              <w:rPr>
                <w:rFonts w:cs="Arial"/>
                <w:sz w:val="22"/>
                <w:szCs w:val="22"/>
              </w:rPr>
            </w:pPr>
            <w:r w:rsidRPr="0059762C">
              <w:rPr>
                <w:rFonts w:cs="Arial"/>
                <w:sz w:val="22"/>
                <w:szCs w:val="22"/>
              </w:rPr>
              <w:t>Dept.    </w:t>
            </w:r>
          </w:p>
        </w:tc>
        <w:tc>
          <w:tcPr>
            <w:tcW w:w="1605" w:type="dxa"/>
            <w:tcBorders>
              <w:top w:val="single" w:sz="6" w:space="0" w:color="auto"/>
              <w:left w:val="single" w:sz="6" w:space="0" w:color="auto"/>
              <w:bottom w:val="single" w:sz="6" w:space="0" w:color="auto"/>
              <w:right w:val="single" w:sz="6" w:space="0" w:color="auto"/>
            </w:tcBorders>
            <w:shd w:val="clear" w:color="auto" w:fill="D9E2F3"/>
            <w:hideMark/>
          </w:tcPr>
          <w:p w14:paraId="1AEC9ADC" w14:textId="77777777" w:rsidR="0059762C" w:rsidRPr="0059762C" w:rsidRDefault="0059762C" w:rsidP="0059762C">
            <w:pPr>
              <w:rPr>
                <w:rFonts w:cs="Arial"/>
                <w:sz w:val="22"/>
                <w:szCs w:val="22"/>
              </w:rPr>
            </w:pPr>
            <w:r w:rsidRPr="0059762C">
              <w:rPr>
                <w:rFonts w:cs="Arial"/>
                <w:sz w:val="22"/>
                <w:szCs w:val="22"/>
              </w:rPr>
              <w:t>Team    </w:t>
            </w:r>
          </w:p>
        </w:tc>
        <w:tc>
          <w:tcPr>
            <w:tcW w:w="5940" w:type="dxa"/>
            <w:tcBorders>
              <w:top w:val="single" w:sz="6" w:space="0" w:color="auto"/>
              <w:left w:val="single" w:sz="6" w:space="0" w:color="auto"/>
              <w:bottom w:val="single" w:sz="6" w:space="0" w:color="auto"/>
              <w:right w:val="single" w:sz="6" w:space="0" w:color="auto"/>
            </w:tcBorders>
            <w:shd w:val="clear" w:color="auto" w:fill="D9E2F3"/>
            <w:hideMark/>
          </w:tcPr>
          <w:p w14:paraId="01FD9DB4" w14:textId="77777777" w:rsidR="0059762C" w:rsidRPr="0059762C" w:rsidRDefault="0059762C" w:rsidP="0059762C">
            <w:pPr>
              <w:rPr>
                <w:rFonts w:cs="Arial"/>
                <w:sz w:val="22"/>
                <w:szCs w:val="22"/>
              </w:rPr>
            </w:pPr>
            <w:r w:rsidRPr="0059762C">
              <w:rPr>
                <w:rFonts w:cs="Arial"/>
                <w:sz w:val="22"/>
                <w:szCs w:val="22"/>
              </w:rPr>
              <w:t>Role(</w:t>
            </w:r>
            <w:proofErr w:type="gramStart"/>
            <w:r w:rsidRPr="0059762C">
              <w:rPr>
                <w:rFonts w:cs="Arial"/>
                <w:sz w:val="22"/>
                <w:szCs w:val="22"/>
              </w:rPr>
              <w:t>s)   </w:t>
            </w:r>
            <w:proofErr w:type="gramEnd"/>
            <w:r w:rsidRPr="0059762C">
              <w:rPr>
                <w:rFonts w:cs="Arial"/>
                <w:sz w:val="22"/>
                <w:szCs w:val="22"/>
              </w:rPr>
              <w:t> </w:t>
            </w:r>
          </w:p>
        </w:tc>
      </w:tr>
      <w:tr w:rsidR="0059762C" w:rsidRPr="0059762C" w14:paraId="4916A5D2" w14:textId="77777777">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DAE9F7"/>
            <w:hideMark/>
          </w:tcPr>
          <w:p w14:paraId="4B1653AC" w14:textId="77777777" w:rsidR="0059762C" w:rsidRPr="0059762C" w:rsidRDefault="0059762C" w:rsidP="0059762C">
            <w:pPr>
              <w:rPr>
                <w:rFonts w:cs="Arial"/>
                <w:sz w:val="22"/>
                <w:szCs w:val="22"/>
              </w:rPr>
            </w:pPr>
            <w:r w:rsidRPr="0059762C">
              <w:rPr>
                <w:rFonts w:cs="Arial"/>
                <w:sz w:val="22"/>
                <w:szCs w:val="22"/>
              </w:rPr>
              <w:t>1</w:t>
            </w:r>
            <w:r w:rsidRPr="0059762C">
              <w:rPr>
                <w:rFonts w:cs="Arial"/>
                <w:sz w:val="22"/>
                <w:szCs w:val="22"/>
                <w:vertAlign w:val="superscript"/>
              </w:rPr>
              <w:t>st</w:t>
            </w:r>
            <w:r w:rsidRPr="0059762C">
              <w:rPr>
                <w:rFonts w:cs="Arial"/>
                <w:sz w:val="22"/>
                <w:szCs w:val="22"/>
              </w:rPr>
              <w:t> line </w:t>
            </w:r>
          </w:p>
        </w:tc>
        <w:tc>
          <w:tcPr>
            <w:tcW w:w="750" w:type="dxa"/>
            <w:tcBorders>
              <w:top w:val="single" w:sz="6" w:space="0" w:color="auto"/>
              <w:left w:val="single" w:sz="6" w:space="0" w:color="auto"/>
              <w:bottom w:val="single" w:sz="6" w:space="0" w:color="auto"/>
              <w:right w:val="single" w:sz="6" w:space="0" w:color="auto"/>
            </w:tcBorders>
            <w:hideMark/>
          </w:tcPr>
          <w:p w14:paraId="3294D4A9" w14:textId="77777777" w:rsidR="0059762C" w:rsidRPr="0059762C" w:rsidRDefault="0059762C" w:rsidP="0059762C">
            <w:pPr>
              <w:rPr>
                <w:rFonts w:cs="Arial"/>
                <w:sz w:val="22"/>
                <w:szCs w:val="22"/>
              </w:rPr>
            </w:pPr>
            <w:r w:rsidRPr="0059762C">
              <w:rPr>
                <w:rFonts w:cs="Arial"/>
                <w:sz w:val="22"/>
                <w:szCs w:val="22"/>
              </w:rPr>
              <w:t>DESNZ    </w:t>
            </w:r>
          </w:p>
        </w:tc>
        <w:tc>
          <w:tcPr>
            <w:tcW w:w="1605" w:type="dxa"/>
            <w:tcBorders>
              <w:top w:val="single" w:sz="6" w:space="0" w:color="auto"/>
              <w:left w:val="single" w:sz="6" w:space="0" w:color="auto"/>
              <w:bottom w:val="single" w:sz="6" w:space="0" w:color="auto"/>
              <w:right w:val="single" w:sz="6" w:space="0" w:color="auto"/>
            </w:tcBorders>
            <w:hideMark/>
          </w:tcPr>
          <w:p w14:paraId="12AF35CF" w14:textId="77777777" w:rsidR="0059762C" w:rsidRPr="0059762C" w:rsidRDefault="0059762C" w:rsidP="0059762C">
            <w:pPr>
              <w:rPr>
                <w:rFonts w:cs="Arial"/>
                <w:sz w:val="22"/>
                <w:szCs w:val="22"/>
              </w:rPr>
            </w:pPr>
            <w:r w:rsidRPr="0059762C">
              <w:rPr>
                <w:rFonts w:cs="Arial"/>
                <w:sz w:val="22"/>
                <w:szCs w:val="22"/>
              </w:rPr>
              <w:t>Programme Management Team    </w:t>
            </w:r>
          </w:p>
        </w:tc>
        <w:tc>
          <w:tcPr>
            <w:tcW w:w="5940" w:type="dxa"/>
            <w:tcBorders>
              <w:top w:val="single" w:sz="6" w:space="0" w:color="auto"/>
              <w:left w:val="single" w:sz="6" w:space="0" w:color="auto"/>
              <w:bottom w:val="single" w:sz="6" w:space="0" w:color="auto"/>
              <w:right w:val="single" w:sz="6" w:space="0" w:color="auto"/>
            </w:tcBorders>
            <w:hideMark/>
          </w:tcPr>
          <w:p w14:paraId="66AFF494" w14:textId="77777777" w:rsidR="0059762C" w:rsidRPr="0059762C" w:rsidRDefault="0059762C" w:rsidP="0059762C">
            <w:pPr>
              <w:numPr>
                <w:ilvl w:val="0"/>
                <w:numId w:val="483"/>
              </w:numPr>
              <w:rPr>
                <w:rFonts w:cs="Arial"/>
                <w:sz w:val="22"/>
                <w:szCs w:val="22"/>
              </w:rPr>
            </w:pPr>
            <w:r w:rsidRPr="0059762C">
              <w:rPr>
                <w:rFonts w:cs="Arial"/>
                <w:sz w:val="22"/>
                <w:szCs w:val="22"/>
              </w:rPr>
              <w:t>Develops initial IAAP    </w:t>
            </w:r>
          </w:p>
          <w:p w14:paraId="0746BC51" w14:textId="77777777" w:rsidR="0059762C" w:rsidRPr="0059762C" w:rsidRDefault="0059762C" w:rsidP="0059762C">
            <w:pPr>
              <w:numPr>
                <w:ilvl w:val="0"/>
                <w:numId w:val="484"/>
              </w:numPr>
              <w:rPr>
                <w:rFonts w:cs="Arial"/>
                <w:sz w:val="22"/>
                <w:szCs w:val="22"/>
              </w:rPr>
            </w:pPr>
            <w:r w:rsidRPr="0059762C">
              <w:rPr>
                <w:rFonts w:cs="Arial"/>
                <w:sz w:val="22"/>
                <w:szCs w:val="22"/>
              </w:rPr>
              <w:t>Manages execution of the IAAP schedule and requirements (for programme-level IAAPs not Portfolio-level)    </w:t>
            </w:r>
          </w:p>
          <w:p w14:paraId="3FB32E24" w14:textId="77777777" w:rsidR="0059762C" w:rsidRPr="0059762C" w:rsidRDefault="0059762C" w:rsidP="0059762C">
            <w:pPr>
              <w:numPr>
                <w:ilvl w:val="0"/>
                <w:numId w:val="485"/>
              </w:numPr>
              <w:rPr>
                <w:rFonts w:cs="Arial"/>
                <w:sz w:val="22"/>
                <w:szCs w:val="22"/>
              </w:rPr>
            </w:pPr>
            <w:r w:rsidRPr="0059762C">
              <w:rPr>
                <w:rFonts w:cs="Arial"/>
                <w:sz w:val="22"/>
                <w:szCs w:val="22"/>
              </w:rPr>
              <w:t>Liaises with potential assurance providers to schedule and resource assurance reviews in- line with IAAP     </w:t>
            </w:r>
          </w:p>
          <w:p w14:paraId="57FDF631" w14:textId="77777777" w:rsidR="0059762C" w:rsidRPr="0059762C" w:rsidRDefault="0059762C" w:rsidP="0059762C">
            <w:pPr>
              <w:numPr>
                <w:ilvl w:val="0"/>
                <w:numId w:val="486"/>
              </w:numPr>
              <w:rPr>
                <w:rFonts w:cs="Arial"/>
                <w:sz w:val="22"/>
                <w:szCs w:val="22"/>
              </w:rPr>
            </w:pPr>
            <w:r w:rsidRPr="0059762C">
              <w:rPr>
                <w:rFonts w:cs="Arial"/>
                <w:sz w:val="22"/>
                <w:szCs w:val="22"/>
              </w:rPr>
              <w:lastRenderedPageBreak/>
              <w:t>Reviews IAAP after each assurance activity and updates IAAP if appropriate – sends amended IAAP to DESNZ Portfolio Management Office </w:t>
            </w:r>
          </w:p>
          <w:p w14:paraId="44DA8AD8" w14:textId="77777777" w:rsidR="0059762C" w:rsidRPr="0059762C" w:rsidRDefault="0059762C" w:rsidP="0059762C">
            <w:pPr>
              <w:numPr>
                <w:ilvl w:val="0"/>
                <w:numId w:val="487"/>
              </w:numPr>
              <w:rPr>
                <w:rFonts w:cs="Arial"/>
                <w:sz w:val="22"/>
                <w:szCs w:val="22"/>
              </w:rPr>
            </w:pPr>
            <w:r w:rsidRPr="0059762C">
              <w:rPr>
                <w:rFonts w:cs="Arial"/>
                <w:sz w:val="22"/>
                <w:szCs w:val="22"/>
              </w:rPr>
              <w:t>Monthly conversations with Delivery Partner on safeguarding issues. </w:t>
            </w:r>
          </w:p>
          <w:p w14:paraId="0F0D6088" w14:textId="77777777" w:rsidR="0059762C" w:rsidRPr="0059762C" w:rsidRDefault="0059762C" w:rsidP="0059762C">
            <w:pPr>
              <w:numPr>
                <w:ilvl w:val="0"/>
                <w:numId w:val="488"/>
              </w:numPr>
              <w:rPr>
                <w:rFonts w:cs="Arial"/>
                <w:sz w:val="22"/>
                <w:szCs w:val="22"/>
              </w:rPr>
            </w:pPr>
            <w:r w:rsidRPr="0059762C">
              <w:rPr>
                <w:rFonts w:cs="Arial"/>
                <w:sz w:val="22"/>
                <w:szCs w:val="22"/>
              </w:rPr>
              <w:t>Update Programme Delivery Plan (PDP) monthly with key information on programme delivery (updates, milestones, issues and risks, safeguarding).  </w:t>
            </w:r>
          </w:p>
          <w:p w14:paraId="0F3CEFA4" w14:textId="77777777" w:rsidR="0059762C" w:rsidRPr="0059762C" w:rsidRDefault="0059762C" w:rsidP="0059762C">
            <w:pPr>
              <w:numPr>
                <w:ilvl w:val="0"/>
                <w:numId w:val="489"/>
              </w:numPr>
              <w:rPr>
                <w:rFonts w:cs="Arial"/>
                <w:sz w:val="22"/>
                <w:szCs w:val="22"/>
              </w:rPr>
            </w:pPr>
            <w:r w:rsidRPr="0059762C">
              <w:rPr>
                <w:rFonts w:cs="Arial"/>
                <w:sz w:val="22"/>
                <w:szCs w:val="22"/>
              </w:rPr>
              <w:t>Annual Reviews: conducted on an annual basis and is a key tool to monitor performance and to ensure continuous improvement. The annual reviews are published.   </w:t>
            </w:r>
          </w:p>
          <w:p w14:paraId="2FC21CD4" w14:textId="77777777" w:rsidR="0059762C" w:rsidRPr="0059762C" w:rsidRDefault="0059762C" w:rsidP="0059762C">
            <w:pPr>
              <w:numPr>
                <w:ilvl w:val="0"/>
                <w:numId w:val="490"/>
              </w:numPr>
              <w:rPr>
                <w:rFonts w:cs="Arial"/>
                <w:sz w:val="22"/>
                <w:szCs w:val="22"/>
              </w:rPr>
            </w:pPr>
            <w:r w:rsidRPr="0059762C">
              <w:rPr>
                <w:rFonts w:cs="Arial"/>
                <w:sz w:val="22"/>
                <w:szCs w:val="22"/>
              </w:rPr>
              <w:t>Monthly, as needed, meetings: DESNZ and AIM4Forests Programme Team - working level taskforce teams to discuss project progress, risks, project pipeline, project deep dives. </w:t>
            </w:r>
          </w:p>
          <w:p w14:paraId="44D8B7F9" w14:textId="77777777" w:rsidR="0059762C" w:rsidRPr="0059762C" w:rsidRDefault="0059762C" w:rsidP="0059762C">
            <w:pPr>
              <w:numPr>
                <w:ilvl w:val="0"/>
                <w:numId w:val="491"/>
              </w:numPr>
              <w:rPr>
                <w:rFonts w:cs="Arial"/>
                <w:sz w:val="22"/>
                <w:szCs w:val="22"/>
              </w:rPr>
            </w:pPr>
            <w:r w:rsidRPr="0059762C">
              <w:rPr>
                <w:rFonts w:cs="Arial"/>
                <w:sz w:val="22"/>
                <w:szCs w:val="22"/>
              </w:rPr>
              <w:t>6-monthly meetings: DESNZ and Delivery Partner working level taskforce teams to discuss project finances, forward look pipeline and disbursement data. </w:t>
            </w:r>
          </w:p>
        </w:tc>
      </w:tr>
      <w:tr w:rsidR="0059762C" w:rsidRPr="0059762C" w14:paraId="56B721CE" w14:textId="77777777">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DAE9F7"/>
            <w:hideMark/>
          </w:tcPr>
          <w:p w14:paraId="04E44561" w14:textId="77777777" w:rsidR="0059762C" w:rsidRPr="0059762C" w:rsidRDefault="0059762C" w:rsidP="0059762C">
            <w:pPr>
              <w:rPr>
                <w:rFonts w:cs="Arial"/>
                <w:sz w:val="22"/>
                <w:szCs w:val="22"/>
              </w:rPr>
            </w:pPr>
            <w:r w:rsidRPr="0059762C">
              <w:rPr>
                <w:rFonts w:cs="Arial"/>
                <w:sz w:val="22"/>
                <w:szCs w:val="22"/>
              </w:rPr>
              <w:t>1</w:t>
            </w:r>
            <w:r w:rsidRPr="0059762C">
              <w:rPr>
                <w:rFonts w:cs="Arial"/>
                <w:sz w:val="22"/>
                <w:szCs w:val="22"/>
                <w:vertAlign w:val="superscript"/>
              </w:rPr>
              <w:t>st</w:t>
            </w:r>
            <w:r w:rsidRPr="0059762C">
              <w:rPr>
                <w:rFonts w:cs="Arial"/>
                <w:sz w:val="22"/>
                <w:szCs w:val="22"/>
              </w:rPr>
              <w:t> line </w:t>
            </w:r>
          </w:p>
        </w:tc>
        <w:tc>
          <w:tcPr>
            <w:tcW w:w="750" w:type="dxa"/>
            <w:tcBorders>
              <w:top w:val="single" w:sz="6" w:space="0" w:color="auto"/>
              <w:left w:val="single" w:sz="6" w:space="0" w:color="auto"/>
              <w:bottom w:val="single" w:sz="6" w:space="0" w:color="auto"/>
              <w:right w:val="single" w:sz="6" w:space="0" w:color="auto"/>
            </w:tcBorders>
            <w:hideMark/>
          </w:tcPr>
          <w:p w14:paraId="444656C8" w14:textId="77777777" w:rsidR="0059762C" w:rsidRPr="0059762C" w:rsidRDefault="0059762C" w:rsidP="0059762C">
            <w:pPr>
              <w:rPr>
                <w:rFonts w:cs="Arial"/>
                <w:sz w:val="22"/>
                <w:szCs w:val="22"/>
              </w:rPr>
            </w:pPr>
            <w:r w:rsidRPr="0059762C">
              <w:rPr>
                <w:rFonts w:cs="Arial"/>
                <w:sz w:val="22"/>
                <w:szCs w:val="22"/>
              </w:rPr>
              <w:t>DESNZ    </w:t>
            </w:r>
          </w:p>
        </w:tc>
        <w:tc>
          <w:tcPr>
            <w:tcW w:w="1605" w:type="dxa"/>
            <w:tcBorders>
              <w:top w:val="single" w:sz="6" w:space="0" w:color="auto"/>
              <w:left w:val="single" w:sz="6" w:space="0" w:color="auto"/>
              <w:bottom w:val="single" w:sz="6" w:space="0" w:color="auto"/>
              <w:right w:val="single" w:sz="6" w:space="0" w:color="auto"/>
            </w:tcBorders>
            <w:hideMark/>
          </w:tcPr>
          <w:p w14:paraId="597C0781" w14:textId="77777777" w:rsidR="0059762C" w:rsidRPr="0059762C" w:rsidRDefault="0059762C" w:rsidP="0059762C">
            <w:pPr>
              <w:rPr>
                <w:rFonts w:cs="Arial"/>
                <w:sz w:val="22"/>
                <w:szCs w:val="22"/>
              </w:rPr>
            </w:pPr>
            <w:r w:rsidRPr="0059762C">
              <w:rPr>
                <w:rFonts w:cs="Arial"/>
                <w:sz w:val="22"/>
                <w:szCs w:val="22"/>
              </w:rPr>
              <w:t>ICF Portfolio Management Office (</w:t>
            </w:r>
            <w:proofErr w:type="gramStart"/>
            <w:r w:rsidRPr="0059762C">
              <w:rPr>
                <w:rFonts w:cs="Arial"/>
                <w:sz w:val="22"/>
                <w:szCs w:val="22"/>
              </w:rPr>
              <w:t>PMO)   </w:t>
            </w:r>
            <w:proofErr w:type="gramEnd"/>
            <w:r w:rsidRPr="0059762C">
              <w:rPr>
                <w:rFonts w:cs="Arial"/>
                <w:sz w:val="22"/>
                <w:szCs w:val="22"/>
              </w:rPr>
              <w:t> </w:t>
            </w:r>
          </w:p>
        </w:tc>
        <w:tc>
          <w:tcPr>
            <w:tcW w:w="5940" w:type="dxa"/>
            <w:tcBorders>
              <w:top w:val="single" w:sz="6" w:space="0" w:color="auto"/>
              <w:left w:val="single" w:sz="6" w:space="0" w:color="auto"/>
              <w:bottom w:val="single" w:sz="6" w:space="0" w:color="auto"/>
              <w:right w:val="single" w:sz="6" w:space="0" w:color="auto"/>
            </w:tcBorders>
            <w:hideMark/>
          </w:tcPr>
          <w:p w14:paraId="0638B955" w14:textId="77777777" w:rsidR="0059762C" w:rsidRPr="0059762C" w:rsidRDefault="0059762C" w:rsidP="0059762C">
            <w:pPr>
              <w:numPr>
                <w:ilvl w:val="0"/>
                <w:numId w:val="492"/>
              </w:numPr>
              <w:rPr>
                <w:rFonts w:cs="Arial"/>
                <w:sz w:val="22"/>
                <w:szCs w:val="22"/>
              </w:rPr>
            </w:pPr>
            <w:r w:rsidRPr="0059762C">
              <w:rPr>
                <w:rFonts w:cs="Arial"/>
                <w:sz w:val="22"/>
                <w:szCs w:val="22"/>
              </w:rPr>
              <w:t>Monitors execution of IAAP and actions exceptions    </w:t>
            </w:r>
          </w:p>
          <w:p w14:paraId="492AA0B5" w14:textId="77777777" w:rsidR="0059762C" w:rsidRPr="0059762C" w:rsidRDefault="0059762C" w:rsidP="0059762C">
            <w:pPr>
              <w:numPr>
                <w:ilvl w:val="0"/>
                <w:numId w:val="493"/>
              </w:numPr>
              <w:rPr>
                <w:rFonts w:cs="Arial"/>
                <w:sz w:val="22"/>
                <w:szCs w:val="22"/>
              </w:rPr>
            </w:pPr>
            <w:r w:rsidRPr="0059762C">
              <w:rPr>
                <w:rFonts w:cs="Arial"/>
                <w:sz w:val="22"/>
                <w:szCs w:val="22"/>
              </w:rPr>
              <w:t>Monitors delivery of assurance recommendations    </w:t>
            </w:r>
          </w:p>
          <w:p w14:paraId="03642DC1" w14:textId="77777777" w:rsidR="0059762C" w:rsidRPr="0059762C" w:rsidRDefault="0059762C" w:rsidP="0059762C">
            <w:pPr>
              <w:numPr>
                <w:ilvl w:val="0"/>
                <w:numId w:val="494"/>
              </w:numPr>
              <w:rPr>
                <w:rFonts w:cs="Arial"/>
                <w:sz w:val="22"/>
                <w:szCs w:val="22"/>
              </w:rPr>
            </w:pPr>
            <w:r w:rsidRPr="0059762C">
              <w:rPr>
                <w:rFonts w:cs="Arial"/>
                <w:sz w:val="22"/>
                <w:szCs w:val="22"/>
              </w:rPr>
              <w:t>Monitors programme delivery progress through monthly meetings to review Programme Delivery Plan (PDP).   </w:t>
            </w:r>
          </w:p>
          <w:p w14:paraId="353BEB1A" w14:textId="77777777" w:rsidR="0059762C" w:rsidRPr="0059762C" w:rsidRDefault="0059762C" w:rsidP="0059762C">
            <w:pPr>
              <w:numPr>
                <w:ilvl w:val="0"/>
                <w:numId w:val="495"/>
              </w:numPr>
              <w:rPr>
                <w:rFonts w:cs="Arial"/>
                <w:sz w:val="22"/>
                <w:szCs w:val="22"/>
              </w:rPr>
            </w:pPr>
            <w:r w:rsidRPr="0059762C">
              <w:rPr>
                <w:rFonts w:cs="Arial"/>
                <w:sz w:val="22"/>
                <w:szCs w:val="22"/>
              </w:rPr>
              <w:t>Monitors annual review and logframe  </w:t>
            </w:r>
          </w:p>
        </w:tc>
      </w:tr>
      <w:tr w:rsidR="0059762C" w:rsidRPr="0059762C" w14:paraId="0884E331" w14:textId="77777777">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DAE9F7"/>
            <w:hideMark/>
          </w:tcPr>
          <w:p w14:paraId="4A98C21D" w14:textId="77777777" w:rsidR="0059762C" w:rsidRPr="0059762C" w:rsidRDefault="0059762C" w:rsidP="0059762C">
            <w:pPr>
              <w:rPr>
                <w:rFonts w:cs="Arial"/>
                <w:sz w:val="22"/>
                <w:szCs w:val="22"/>
              </w:rPr>
            </w:pPr>
            <w:r w:rsidRPr="0059762C">
              <w:rPr>
                <w:rFonts w:cs="Arial"/>
                <w:sz w:val="22"/>
                <w:szCs w:val="22"/>
              </w:rPr>
              <w:t>1</w:t>
            </w:r>
            <w:r w:rsidRPr="0059762C">
              <w:rPr>
                <w:rFonts w:cs="Arial"/>
                <w:sz w:val="22"/>
                <w:szCs w:val="22"/>
                <w:vertAlign w:val="superscript"/>
              </w:rPr>
              <w:t>st</w:t>
            </w:r>
            <w:r w:rsidRPr="0059762C">
              <w:rPr>
                <w:rFonts w:cs="Arial"/>
                <w:sz w:val="22"/>
                <w:szCs w:val="22"/>
              </w:rPr>
              <w:t> line </w:t>
            </w:r>
          </w:p>
        </w:tc>
        <w:tc>
          <w:tcPr>
            <w:tcW w:w="750" w:type="dxa"/>
            <w:tcBorders>
              <w:top w:val="single" w:sz="6" w:space="0" w:color="auto"/>
              <w:left w:val="single" w:sz="6" w:space="0" w:color="auto"/>
              <w:bottom w:val="single" w:sz="6" w:space="0" w:color="auto"/>
              <w:right w:val="single" w:sz="6" w:space="0" w:color="auto"/>
            </w:tcBorders>
            <w:hideMark/>
          </w:tcPr>
          <w:p w14:paraId="615BAA0D" w14:textId="77777777" w:rsidR="0059762C" w:rsidRPr="0059762C" w:rsidRDefault="0059762C" w:rsidP="0059762C">
            <w:pPr>
              <w:rPr>
                <w:rFonts w:cs="Arial"/>
                <w:sz w:val="22"/>
                <w:szCs w:val="22"/>
              </w:rPr>
            </w:pPr>
            <w:r w:rsidRPr="0059762C">
              <w:rPr>
                <w:rFonts w:cs="Arial"/>
                <w:sz w:val="22"/>
                <w:szCs w:val="22"/>
              </w:rPr>
              <w:t>DESNZ </w:t>
            </w:r>
          </w:p>
        </w:tc>
        <w:tc>
          <w:tcPr>
            <w:tcW w:w="1605" w:type="dxa"/>
            <w:tcBorders>
              <w:top w:val="single" w:sz="6" w:space="0" w:color="auto"/>
              <w:left w:val="single" w:sz="6" w:space="0" w:color="auto"/>
              <w:bottom w:val="single" w:sz="6" w:space="0" w:color="auto"/>
              <w:right w:val="single" w:sz="6" w:space="0" w:color="auto"/>
            </w:tcBorders>
            <w:hideMark/>
          </w:tcPr>
          <w:p w14:paraId="1497948F" w14:textId="77777777" w:rsidR="0059762C" w:rsidRPr="0059762C" w:rsidRDefault="0059762C" w:rsidP="0059762C">
            <w:pPr>
              <w:rPr>
                <w:rFonts w:cs="Arial"/>
                <w:sz w:val="22"/>
                <w:szCs w:val="22"/>
              </w:rPr>
            </w:pPr>
            <w:r w:rsidRPr="0059762C">
              <w:rPr>
                <w:rFonts w:cs="Arial"/>
                <w:sz w:val="22"/>
                <w:szCs w:val="22"/>
              </w:rPr>
              <w:t>Programme Delivery Group </w:t>
            </w:r>
          </w:p>
        </w:tc>
        <w:tc>
          <w:tcPr>
            <w:tcW w:w="5940" w:type="dxa"/>
            <w:tcBorders>
              <w:top w:val="single" w:sz="6" w:space="0" w:color="auto"/>
              <w:left w:val="single" w:sz="6" w:space="0" w:color="auto"/>
              <w:bottom w:val="single" w:sz="6" w:space="0" w:color="auto"/>
              <w:right w:val="single" w:sz="6" w:space="0" w:color="auto"/>
            </w:tcBorders>
            <w:hideMark/>
          </w:tcPr>
          <w:p w14:paraId="162AF1A4" w14:textId="77777777" w:rsidR="0059762C" w:rsidRPr="0059762C" w:rsidRDefault="0059762C" w:rsidP="0059762C">
            <w:pPr>
              <w:numPr>
                <w:ilvl w:val="0"/>
                <w:numId w:val="496"/>
              </w:numPr>
              <w:rPr>
                <w:rFonts w:cs="Arial"/>
                <w:sz w:val="22"/>
                <w:szCs w:val="22"/>
              </w:rPr>
            </w:pPr>
            <w:r w:rsidRPr="0059762C">
              <w:rPr>
                <w:rFonts w:cs="Arial"/>
                <w:sz w:val="22"/>
                <w:szCs w:val="22"/>
              </w:rPr>
              <w:t>Monthly meetings to monitoring programme performance, programme risks, portfolio risks, financial performance, and recent annual reviews and outcomes.   </w:t>
            </w:r>
          </w:p>
        </w:tc>
      </w:tr>
      <w:tr w:rsidR="0059762C" w:rsidRPr="0059762C" w14:paraId="4911874C" w14:textId="77777777">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A5C9EB"/>
            <w:hideMark/>
          </w:tcPr>
          <w:p w14:paraId="6D0C94A2" w14:textId="77777777" w:rsidR="0059762C" w:rsidRPr="0059762C" w:rsidRDefault="0059762C" w:rsidP="0059762C">
            <w:pPr>
              <w:rPr>
                <w:rFonts w:cs="Arial"/>
                <w:sz w:val="22"/>
                <w:szCs w:val="22"/>
              </w:rPr>
            </w:pPr>
            <w:r w:rsidRPr="0059762C">
              <w:rPr>
                <w:rFonts w:cs="Arial"/>
                <w:sz w:val="22"/>
                <w:szCs w:val="22"/>
              </w:rPr>
              <w:t>2</w:t>
            </w:r>
            <w:r w:rsidRPr="0059762C">
              <w:rPr>
                <w:rFonts w:cs="Arial"/>
                <w:sz w:val="22"/>
                <w:szCs w:val="22"/>
                <w:vertAlign w:val="superscript"/>
              </w:rPr>
              <w:t>nd</w:t>
            </w:r>
            <w:r w:rsidRPr="0059762C">
              <w:rPr>
                <w:rFonts w:cs="Arial"/>
                <w:sz w:val="22"/>
                <w:szCs w:val="22"/>
              </w:rPr>
              <w:t> line </w:t>
            </w:r>
          </w:p>
        </w:tc>
        <w:tc>
          <w:tcPr>
            <w:tcW w:w="750" w:type="dxa"/>
            <w:tcBorders>
              <w:top w:val="single" w:sz="6" w:space="0" w:color="auto"/>
              <w:left w:val="single" w:sz="6" w:space="0" w:color="auto"/>
              <w:bottom w:val="single" w:sz="6" w:space="0" w:color="auto"/>
              <w:right w:val="single" w:sz="6" w:space="0" w:color="auto"/>
            </w:tcBorders>
            <w:hideMark/>
          </w:tcPr>
          <w:p w14:paraId="16AEEFC8" w14:textId="77777777" w:rsidR="0059762C" w:rsidRPr="0059762C" w:rsidRDefault="0059762C" w:rsidP="0059762C">
            <w:pPr>
              <w:rPr>
                <w:rFonts w:cs="Arial"/>
                <w:sz w:val="22"/>
                <w:szCs w:val="22"/>
              </w:rPr>
            </w:pPr>
            <w:r w:rsidRPr="0059762C">
              <w:rPr>
                <w:rFonts w:cs="Arial"/>
                <w:sz w:val="22"/>
                <w:szCs w:val="22"/>
              </w:rPr>
              <w:t>DESNZ    </w:t>
            </w:r>
          </w:p>
        </w:tc>
        <w:tc>
          <w:tcPr>
            <w:tcW w:w="1605" w:type="dxa"/>
            <w:tcBorders>
              <w:top w:val="single" w:sz="6" w:space="0" w:color="auto"/>
              <w:left w:val="single" w:sz="6" w:space="0" w:color="auto"/>
              <w:bottom w:val="single" w:sz="6" w:space="0" w:color="auto"/>
              <w:right w:val="single" w:sz="6" w:space="0" w:color="auto"/>
            </w:tcBorders>
            <w:hideMark/>
          </w:tcPr>
          <w:p w14:paraId="503198E8" w14:textId="77777777" w:rsidR="0059762C" w:rsidRPr="0059762C" w:rsidRDefault="0059762C" w:rsidP="0059762C">
            <w:pPr>
              <w:rPr>
                <w:rFonts w:cs="Arial"/>
                <w:sz w:val="22"/>
                <w:szCs w:val="22"/>
              </w:rPr>
            </w:pPr>
            <w:r w:rsidRPr="0059762C">
              <w:rPr>
                <w:rFonts w:cs="Arial"/>
                <w:sz w:val="22"/>
                <w:szCs w:val="22"/>
              </w:rPr>
              <w:t>SRO    </w:t>
            </w:r>
          </w:p>
        </w:tc>
        <w:tc>
          <w:tcPr>
            <w:tcW w:w="5940" w:type="dxa"/>
            <w:tcBorders>
              <w:top w:val="single" w:sz="6" w:space="0" w:color="auto"/>
              <w:left w:val="single" w:sz="6" w:space="0" w:color="auto"/>
              <w:bottom w:val="single" w:sz="6" w:space="0" w:color="auto"/>
              <w:right w:val="single" w:sz="6" w:space="0" w:color="auto"/>
            </w:tcBorders>
            <w:hideMark/>
          </w:tcPr>
          <w:p w14:paraId="19C3E08A" w14:textId="77777777" w:rsidR="0059762C" w:rsidRPr="0059762C" w:rsidRDefault="0059762C" w:rsidP="0059762C">
            <w:pPr>
              <w:numPr>
                <w:ilvl w:val="0"/>
                <w:numId w:val="497"/>
              </w:numPr>
              <w:rPr>
                <w:rFonts w:cs="Arial"/>
                <w:sz w:val="22"/>
                <w:szCs w:val="22"/>
              </w:rPr>
            </w:pPr>
            <w:r w:rsidRPr="0059762C">
              <w:rPr>
                <w:rFonts w:cs="Arial"/>
                <w:sz w:val="22"/>
                <w:szCs w:val="22"/>
              </w:rPr>
              <w:t>Agrees IAAP     </w:t>
            </w:r>
          </w:p>
          <w:p w14:paraId="0A89C2F6" w14:textId="77777777" w:rsidR="0059762C" w:rsidRPr="0059762C" w:rsidRDefault="0059762C" w:rsidP="0059762C">
            <w:pPr>
              <w:numPr>
                <w:ilvl w:val="0"/>
                <w:numId w:val="498"/>
              </w:numPr>
              <w:rPr>
                <w:rFonts w:cs="Arial"/>
                <w:sz w:val="22"/>
                <w:szCs w:val="22"/>
              </w:rPr>
            </w:pPr>
            <w:r w:rsidRPr="0059762C">
              <w:rPr>
                <w:rFonts w:cs="Arial"/>
                <w:sz w:val="22"/>
                <w:szCs w:val="22"/>
              </w:rPr>
              <w:t>Sponsors assurance reviews    </w:t>
            </w:r>
          </w:p>
          <w:p w14:paraId="62090D04" w14:textId="77777777" w:rsidR="0059762C" w:rsidRPr="0059762C" w:rsidRDefault="0059762C" w:rsidP="0059762C">
            <w:pPr>
              <w:numPr>
                <w:ilvl w:val="0"/>
                <w:numId w:val="499"/>
              </w:numPr>
              <w:rPr>
                <w:rFonts w:cs="Arial"/>
                <w:sz w:val="22"/>
                <w:szCs w:val="22"/>
              </w:rPr>
            </w:pPr>
            <w:r w:rsidRPr="0059762C">
              <w:rPr>
                <w:rFonts w:cs="Arial"/>
                <w:sz w:val="22"/>
                <w:szCs w:val="22"/>
              </w:rPr>
              <w:t>Communicates and actions assurance findings and recommendations    </w:t>
            </w:r>
          </w:p>
          <w:p w14:paraId="10452E65" w14:textId="77777777" w:rsidR="0059762C" w:rsidRPr="0059762C" w:rsidRDefault="0059762C" w:rsidP="0059762C">
            <w:pPr>
              <w:numPr>
                <w:ilvl w:val="0"/>
                <w:numId w:val="500"/>
              </w:numPr>
              <w:rPr>
                <w:rFonts w:cs="Arial"/>
                <w:sz w:val="22"/>
                <w:szCs w:val="22"/>
              </w:rPr>
            </w:pPr>
            <w:r w:rsidRPr="0059762C">
              <w:rPr>
                <w:rFonts w:cs="Arial"/>
                <w:sz w:val="22"/>
                <w:szCs w:val="22"/>
              </w:rPr>
              <w:t>Owns programme response and implementation of recommendations in assurance reports    </w:t>
            </w:r>
          </w:p>
        </w:tc>
      </w:tr>
      <w:tr w:rsidR="0059762C" w:rsidRPr="0059762C" w14:paraId="2C2709EF" w14:textId="77777777">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A5C9EB"/>
            <w:hideMark/>
          </w:tcPr>
          <w:p w14:paraId="408047B3" w14:textId="77777777" w:rsidR="0059762C" w:rsidRPr="0059762C" w:rsidRDefault="0059762C" w:rsidP="0059762C">
            <w:pPr>
              <w:rPr>
                <w:rFonts w:cs="Arial"/>
                <w:sz w:val="22"/>
                <w:szCs w:val="22"/>
              </w:rPr>
            </w:pPr>
            <w:r w:rsidRPr="0059762C">
              <w:rPr>
                <w:rFonts w:cs="Arial"/>
                <w:sz w:val="22"/>
                <w:szCs w:val="22"/>
              </w:rPr>
              <w:lastRenderedPageBreak/>
              <w:t>2</w:t>
            </w:r>
            <w:r w:rsidRPr="0059762C">
              <w:rPr>
                <w:rFonts w:cs="Arial"/>
                <w:sz w:val="22"/>
                <w:szCs w:val="22"/>
                <w:vertAlign w:val="superscript"/>
              </w:rPr>
              <w:t>nd</w:t>
            </w:r>
            <w:r w:rsidRPr="0059762C">
              <w:rPr>
                <w:rFonts w:cs="Arial"/>
                <w:sz w:val="22"/>
                <w:szCs w:val="22"/>
              </w:rPr>
              <w:t> line </w:t>
            </w:r>
          </w:p>
        </w:tc>
        <w:tc>
          <w:tcPr>
            <w:tcW w:w="750" w:type="dxa"/>
            <w:tcBorders>
              <w:top w:val="single" w:sz="6" w:space="0" w:color="auto"/>
              <w:left w:val="single" w:sz="6" w:space="0" w:color="auto"/>
              <w:bottom w:val="single" w:sz="6" w:space="0" w:color="auto"/>
              <w:right w:val="single" w:sz="6" w:space="0" w:color="auto"/>
            </w:tcBorders>
            <w:hideMark/>
          </w:tcPr>
          <w:p w14:paraId="144B76BF" w14:textId="77777777" w:rsidR="0059762C" w:rsidRPr="0059762C" w:rsidRDefault="0059762C" w:rsidP="0059762C">
            <w:pPr>
              <w:rPr>
                <w:rFonts w:cs="Arial"/>
                <w:sz w:val="22"/>
                <w:szCs w:val="22"/>
              </w:rPr>
            </w:pPr>
            <w:r w:rsidRPr="0059762C">
              <w:rPr>
                <w:rFonts w:cs="Arial"/>
                <w:sz w:val="22"/>
                <w:szCs w:val="22"/>
              </w:rPr>
              <w:t>DESNZ   </w:t>
            </w:r>
          </w:p>
        </w:tc>
        <w:tc>
          <w:tcPr>
            <w:tcW w:w="1605" w:type="dxa"/>
            <w:tcBorders>
              <w:top w:val="single" w:sz="6" w:space="0" w:color="auto"/>
              <w:left w:val="single" w:sz="6" w:space="0" w:color="auto"/>
              <w:bottom w:val="single" w:sz="6" w:space="0" w:color="auto"/>
              <w:right w:val="single" w:sz="6" w:space="0" w:color="auto"/>
            </w:tcBorders>
            <w:hideMark/>
          </w:tcPr>
          <w:p w14:paraId="2E173343" w14:textId="77777777" w:rsidR="0059762C" w:rsidRPr="0059762C" w:rsidRDefault="0059762C" w:rsidP="0059762C">
            <w:pPr>
              <w:rPr>
                <w:rFonts w:cs="Arial"/>
                <w:sz w:val="22"/>
                <w:szCs w:val="22"/>
              </w:rPr>
            </w:pPr>
            <w:r w:rsidRPr="0059762C">
              <w:rPr>
                <w:rFonts w:cs="Arial"/>
                <w:sz w:val="22"/>
                <w:szCs w:val="22"/>
              </w:rPr>
              <w:t>Portfolio Committee   </w:t>
            </w:r>
          </w:p>
        </w:tc>
        <w:tc>
          <w:tcPr>
            <w:tcW w:w="5940" w:type="dxa"/>
            <w:tcBorders>
              <w:top w:val="single" w:sz="6" w:space="0" w:color="auto"/>
              <w:left w:val="single" w:sz="6" w:space="0" w:color="auto"/>
              <w:bottom w:val="single" w:sz="6" w:space="0" w:color="auto"/>
              <w:right w:val="single" w:sz="6" w:space="0" w:color="auto"/>
            </w:tcBorders>
            <w:hideMark/>
          </w:tcPr>
          <w:p w14:paraId="4B165BD1" w14:textId="77777777" w:rsidR="0059762C" w:rsidRPr="0059762C" w:rsidRDefault="0059762C" w:rsidP="0059762C">
            <w:pPr>
              <w:numPr>
                <w:ilvl w:val="0"/>
                <w:numId w:val="501"/>
              </w:numPr>
              <w:rPr>
                <w:rFonts w:cs="Arial"/>
                <w:sz w:val="22"/>
                <w:szCs w:val="22"/>
              </w:rPr>
            </w:pPr>
            <w:r w:rsidRPr="0059762C">
              <w:rPr>
                <w:rFonts w:cs="Arial"/>
                <w:sz w:val="22"/>
                <w:szCs w:val="22"/>
              </w:rPr>
              <w:t>Approves IAAP </w:t>
            </w:r>
          </w:p>
          <w:p w14:paraId="33CD4FE5" w14:textId="77777777" w:rsidR="0059762C" w:rsidRPr="0059762C" w:rsidRDefault="0059762C" w:rsidP="0059762C">
            <w:pPr>
              <w:numPr>
                <w:ilvl w:val="0"/>
                <w:numId w:val="502"/>
              </w:numPr>
              <w:rPr>
                <w:rFonts w:cs="Arial"/>
                <w:sz w:val="22"/>
                <w:szCs w:val="22"/>
              </w:rPr>
            </w:pPr>
            <w:r w:rsidRPr="0059762C">
              <w:rPr>
                <w:rFonts w:cs="Arial"/>
                <w:sz w:val="22"/>
                <w:szCs w:val="22"/>
              </w:rPr>
              <w:t>Approved Concept Note </w:t>
            </w:r>
          </w:p>
          <w:p w14:paraId="667EDE67" w14:textId="77777777" w:rsidR="0059762C" w:rsidRPr="0059762C" w:rsidRDefault="0059762C" w:rsidP="0059762C">
            <w:pPr>
              <w:numPr>
                <w:ilvl w:val="0"/>
                <w:numId w:val="503"/>
              </w:numPr>
              <w:rPr>
                <w:rFonts w:cs="Arial"/>
                <w:sz w:val="22"/>
                <w:szCs w:val="22"/>
              </w:rPr>
            </w:pPr>
            <w:r w:rsidRPr="0059762C">
              <w:rPr>
                <w:rFonts w:cs="Arial"/>
                <w:sz w:val="22"/>
                <w:szCs w:val="22"/>
              </w:rPr>
              <w:t>Approves Business Case up to £50m </w:t>
            </w:r>
          </w:p>
        </w:tc>
      </w:tr>
      <w:tr w:rsidR="0059762C" w:rsidRPr="0059762C" w14:paraId="61EEBFDD" w14:textId="77777777">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4C94D8"/>
            <w:hideMark/>
          </w:tcPr>
          <w:p w14:paraId="70B4DA9B" w14:textId="77777777" w:rsidR="0059762C" w:rsidRPr="0059762C" w:rsidRDefault="0059762C" w:rsidP="0059762C">
            <w:pPr>
              <w:rPr>
                <w:rFonts w:cs="Arial"/>
                <w:sz w:val="22"/>
                <w:szCs w:val="22"/>
              </w:rPr>
            </w:pPr>
            <w:r w:rsidRPr="0059762C">
              <w:rPr>
                <w:rFonts w:cs="Arial"/>
                <w:sz w:val="22"/>
                <w:szCs w:val="22"/>
              </w:rPr>
              <w:t>3</w:t>
            </w:r>
            <w:r w:rsidRPr="0059762C">
              <w:rPr>
                <w:rFonts w:cs="Arial"/>
                <w:sz w:val="22"/>
                <w:szCs w:val="22"/>
                <w:vertAlign w:val="superscript"/>
              </w:rPr>
              <w:t>rd</w:t>
            </w:r>
            <w:r w:rsidRPr="0059762C">
              <w:rPr>
                <w:rFonts w:cs="Arial"/>
                <w:sz w:val="22"/>
                <w:szCs w:val="22"/>
              </w:rPr>
              <w:t> line </w:t>
            </w:r>
          </w:p>
        </w:tc>
        <w:tc>
          <w:tcPr>
            <w:tcW w:w="750" w:type="dxa"/>
            <w:tcBorders>
              <w:top w:val="single" w:sz="6" w:space="0" w:color="auto"/>
              <w:left w:val="single" w:sz="6" w:space="0" w:color="auto"/>
              <w:bottom w:val="single" w:sz="6" w:space="0" w:color="auto"/>
              <w:right w:val="single" w:sz="6" w:space="0" w:color="auto"/>
            </w:tcBorders>
            <w:hideMark/>
          </w:tcPr>
          <w:p w14:paraId="653362C5" w14:textId="77777777" w:rsidR="0059762C" w:rsidRPr="0059762C" w:rsidRDefault="0059762C" w:rsidP="0059762C">
            <w:pPr>
              <w:rPr>
                <w:rFonts w:cs="Arial"/>
                <w:sz w:val="22"/>
                <w:szCs w:val="22"/>
              </w:rPr>
            </w:pPr>
            <w:r w:rsidRPr="0059762C">
              <w:rPr>
                <w:rFonts w:cs="Arial"/>
                <w:sz w:val="22"/>
                <w:szCs w:val="22"/>
              </w:rPr>
              <w:t>DESNZ    </w:t>
            </w:r>
          </w:p>
        </w:tc>
        <w:tc>
          <w:tcPr>
            <w:tcW w:w="1605" w:type="dxa"/>
            <w:tcBorders>
              <w:top w:val="single" w:sz="6" w:space="0" w:color="auto"/>
              <w:left w:val="single" w:sz="6" w:space="0" w:color="auto"/>
              <w:bottom w:val="single" w:sz="6" w:space="0" w:color="auto"/>
              <w:right w:val="single" w:sz="6" w:space="0" w:color="auto"/>
            </w:tcBorders>
            <w:hideMark/>
          </w:tcPr>
          <w:p w14:paraId="7F610025" w14:textId="77777777" w:rsidR="0059762C" w:rsidRPr="0059762C" w:rsidRDefault="0059762C" w:rsidP="0059762C">
            <w:pPr>
              <w:rPr>
                <w:rFonts w:cs="Arial"/>
                <w:sz w:val="22"/>
                <w:szCs w:val="22"/>
              </w:rPr>
            </w:pPr>
            <w:r w:rsidRPr="0059762C">
              <w:rPr>
                <w:rFonts w:cs="Arial"/>
                <w:sz w:val="22"/>
                <w:szCs w:val="22"/>
              </w:rPr>
              <w:t>Wider stakeholders    </w:t>
            </w:r>
          </w:p>
        </w:tc>
        <w:tc>
          <w:tcPr>
            <w:tcW w:w="5940" w:type="dxa"/>
            <w:tcBorders>
              <w:top w:val="single" w:sz="6" w:space="0" w:color="auto"/>
              <w:left w:val="single" w:sz="6" w:space="0" w:color="auto"/>
              <w:bottom w:val="single" w:sz="6" w:space="0" w:color="auto"/>
              <w:right w:val="single" w:sz="6" w:space="0" w:color="auto"/>
            </w:tcBorders>
            <w:hideMark/>
          </w:tcPr>
          <w:p w14:paraId="474F90D0" w14:textId="77777777" w:rsidR="0059762C" w:rsidRPr="0059762C" w:rsidRDefault="0059762C" w:rsidP="0059762C">
            <w:pPr>
              <w:numPr>
                <w:ilvl w:val="0"/>
                <w:numId w:val="504"/>
              </w:numPr>
              <w:rPr>
                <w:rFonts w:cs="Arial"/>
                <w:sz w:val="22"/>
                <w:szCs w:val="22"/>
              </w:rPr>
            </w:pPr>
            <w:r w:rsidRPr="0059762C">
              <w:rPr>
                <w:rFonts w:cs="Arial"/>
                <w:sz w:val="22"/>
                <w:szCs w:val="22"/>
              </w:rPr>
              <w:t>Indicate assurance requirements     </w:t>
            </w:r>
          </w:p>
          <w:p w14:paraId="527361B0" w14:textId="77777777" w:rsidR="0059762C" w:rsidRPr="0059762C" w:rsidRDefault="0059762C" w:rsidP="0059762C">
            <w:pPr>
              <w:numPr>
                <w:ilvl w:val="0"/>
                <w:numId w:val="505"/>
              </w:numPr>
              <w:rPr>
                <w:rFonts w:cs="Arial"/>
                <w:sz w:val="22"/>
                <w:szCs w:val="22"/>
              </w:rPr>
            </w:pPr>
            <w:r w:rsidRPr="0059762C">
              <w:rPr>
                <w:rFonts w:cs="Arial"/>
                <w:sz w:val="22"/>
                <w:szCs w:val="22"/>
              </w:rPr>
              <w:t>Receive assurances (for example, reports) </w:t>
            </w:r>
          </w:p>
          <w:p w14:paraId="2F778CE2" w14:textId="77777777" w:rsidR="0059762C" w:rsidRPr="0059762C" w:rsidRDefault="0059762C" w:rsidP="0059762C">
            <w:pPr>
              <w:numPr>
                <w:ilvl w:val="0"/>
                <w:numId w:val="506"/>
              </w:numPr>
              <w:rPr>
                <w:rFonts w:cs="Arial"/>
                <w:sz w:val="22"/>
                <w:szCs w:val="22"/>
              </w:rPr>
            </w:pPr>
            <w:r w:rsidRPr="0059762C">
              <w:rPr>
                <w:rFonts w:cs="Arial"/>
                <w:sz w:val="22"/>
                <w:szCs w:val="22"/>
              </w:rPr>
              <w:t>Programme-specific assurance reviews are conducted on an ad-hoc basis when a need is identified.  </w:t>
            </w:r>
          </w:p>
          <w:p w14:paraId="18647BD1" w14:textId="77777777" w:rsidR="0059762C" w:rsidRPr="0059762C" w:rsidRDefault="0059762C" w:rsidP="0059762C">
            <w:pPr>
              <w:numPr>
                <w:ilvl w:val="0"/>
                <w:numId w:val="507"/>
              </w:numPr>
              <w:rPr>
                <w:rFonts w:cs="Arial"/>
                <w:sz w:val="22"/>
                <w:szCs w:val="22"/>
              </w:rPr>
            </w:pPr>
            <w:r w:rsidRPr="0059762C">
              <w:rPr>
                <w:rFonts w:cs="Arial"/>
                <w:sz w:val="22"/>
                <w:szCs w:val="22"/>
              </w:rPr>
              <w:t>In discussion with ICF Portfolio Committee and PMO, </w:t>
            </w:r>
            <w:proofErr w:type="gramStart"/>
            <w:r w:rsidRPr="0059762C">
              <w:rPr>
                <w:rFonts w:cs="Arial"/>
                <w:sz w:val="22"/>
                <w:szCs w:val="22"/>
              </w:rPr>
              <w:t>make a decision</w:t>
            </w:r>
            <w:proofErr w:type="gramEnd"/>
            <w:r w:rsidRPr="0059762C">
              <w:rPr>
                <w:rFonts w:cs="Arial"/>
                <w:sz w:val="22"/>
                <w:szCs w:val="22"/>
              </w:rPr>
              <w:t> on </w:t>
            </w:r>
            <w:proofErr w:type="gramStart"/>
            <w:r w:rsidRPr="0059762C">
              <w:rPr>
                <w:rFonts w:cs="Arial"/>
                <w:sz w:val="22"/>
                <w:szCs w:val="22"/>
              </w:rPr>
              <w:t>whether or not</w:t>
            </w:r>
            <w:proofErr w:type="gramEnd"/>
            <w:r w:rsidRPr="0059762C">
              <w:rPr>
                <w:rFonts w:cs="Arial"/>
                <w:sz w:val="22"/>
                <w:szCs w:val="22"/>
              </w:rPr>
              <w:t> to commission portfolio-level external reviews, such as Government Internal Audit Agency (GIAA) and Independent Commission for Aid Impact (ICAI). Such reviews would be managed by DESNZ ICF PMO and the AIM4Forests programme team  </w:t>
            </w:r>
          </w:p>
        </w:tc>
      </w:tr>
    </w:tbl>
    <w:p w14:paraId="1F43714E" w14:textId="77777777" w:rsidR="0059762C" w:rsidRPr="0059762C" w:rsidRDefault="0059762C" w:rsidP="0059762C">
      <w:pPr>
        <w:rPr>
          <w:rFonts w:cs="Arial"/>
          <w:sz w:val="22"/>
          <w:szCs w:val="22"/>
        </w:rPr>
      </w:pPr>
      <w:r w:rsidRPr="0059762C">
        <w:rPr>
          <w:rFonts w:cs="Arial"/>
          <w:sz w:val="22"/>
          <w:szCs w:val="22"/>
        </w:rPr>
        <w:t> </w:t>
      </w:r>
    </w:p>
    <w:p w14:paraId="795E8603" w14:textId="77777777" w:rsidR="0059762C" w:rsidRPr="0059762C" w:rsidRDefault="0059762C" w:rsidP="0059762C">
      <w:pPr>
        <w:rPr>
          <w:rFonts w:cs="Arial"/>
          <w:b/>
          <w:bCs/>
          <w:sz w:val="22"/>
          <w:szCs w:val="22"/>
        </w:rPr>
      </w:pPr>
      <w:r w:rsidRPr="0059762C">
        <w:rPr>
          <w:rFonts w:cs="Arial"/>
          <w:b/>
          <w:bCs/>
          <w:sz w:val="22"/>
          <w:szCs w:val="22"/>
        </w:rPr>
        <w:t>Programme Assurance and Approvals Activity    </w:t>
      </w:r>
    </w:p>
    <w:p w14:paraId="3A4828A3" w14:textId="77777777" w:rsidR="0059762C" w:rsidRPr="0059762C" w:rsidRDefault="0059762C" w:rsidP="0059762C">
      <w:pPr>
        <w:rPr>
          <w:rFonts w:cs="Arial"/>
          <w:sz w:val="22"/>
          <w:szCs w:val="22"/>
        </w:rPr>
      </w:pPr>
      <w:r w:rsidRPr="0059762C">
        <w:rPr>
          <w:rFonts w:cs="Arial"/>
          <w:sz w:val="22"/>
          <w:szCs w:val="22"/>
        </w:rPr>
        <w:t>The assurance and approvals activities below are compulsory for all ICF programmes.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0"/>
        <w:gridCol w:w="5265"/>
      </w:tblGrid>
      <w:tr w:rsidR="0059762C" w:rsidRPr="0059762C" w14:paraId="79E697D3" w14:textId="77777777">
        <w:trPr>
          <w:trHeight w:val="300"/>
        </w:trPr>
        <w:tc>
          <w:tcPr>
            <w:tcW w:w="3690" w:type="dxa"/>
            <w:tcBorders>
              <w:top w:val="single" w:sz="6" w:space="0" w:color="auto"/>
              <w:left w:val="single" w:sz="6" w:space="0" w:color="auto"/>
              <w:bottom w:val="single" w:sz="6" w:space="0" w:color="auto"/>
              <w:right w:val="single" w:sz="6" w:space="0" w:color="auto"/>
            </w:tcBorders>
            <w:shd w:val="clear" w:color="auto" w:fill="D9E2F3"/>
            <w:hideMark/>
          </w:tcPr>
          <w:p w14:paraId="7D4BBF51" w14:textId="77777777" w:rsidR="0059762C" w:rsidRPr="0059762C" w:rsidRDefault="0059762C" w:rsidP="0059762C">
            <w:pPr>
              <w:rPr>
                <w:rFonts w:cs="Arial"/>
                <w:sz w:val="22"/>
                <w:szCs w:val="22"/>
              </w:rPr>
            </w:pPr>
            <w:r w:rsidRPr="0059762C">
              <w:rPr>
                <w:rFonts w:cs="Arial"/>
                <w:sz w:val="22"/>
                <w:szCs w:val="22"/>
              </w:rPr>
              <w:t>Approval and Assurances    </w:t>
            </w:r>
          </w:p>
        </w:tc>
        <w:tc>
          <w:tcPr>
            <w:tcW w:w="5265" w:type="dxa"/>
            <w:tcBorders>
              <w:top w:val="single" w:sz="6" w:space="0" w:color="auto"/>
              <w:left w:val="single" w:sz="6" w:space="0" w:color="auto"/>
              <w:bottom w:val="single" w:sz="6" w:space="0" w:color="auto"/>
              <w:right w:val="single" w:sz="6" w:space="0" w:color="auto"/>
            </w:tcBorders>
            <w:shd w:val="clear" w:color="auto" w:fill="D9E2F3"/>
            <w:hideMark/>
          </w:tcPr>
          <w:p w14:paraId="5DF778EA" w14:textId="77777777" w:rsidR="0059762C" w:rsidRPr="0059762C" w:rsidRDefault="0059762C" w:rsidP="0059762C">
            <w:pPr>
              <w:rPr>
                <w:rFonts w:cs="Arial"/>
                <w:sz w:val="22"/>
                <w:szCs w:val="22"/>
              </w:rPr>
            </w:pPr>
            <w:r w:rsidRPr="0059762C">
              <w:rPr>
                <w:rFonts w:cs="Arial"/>
                <w:sz w:val="22"/>
                <w:szCs w:val="22"/>
              </w:rPr>
              <w:t>Indicative Dates    </w:t>
            </w:r>
          </w:p>
        </w:tc>
      </w:tr>
      <w:tr w:rsidR="0059762C" w:rsidRPr="0059762C" w14:paraId="6E3FCA5A" w14:textId="77777777">
        <w:trPr>
          <w:trHeight w:val="300"/>
        </w:trPr>
        <w:tc>
          <w:tcPr>
            <w:tcW w:w="3690" w:type="dxa"/>
            <w:tcBorders>
              <w:top w:val="single" w:sz="6" w:space="0" w:color="auto"/>
              <w:left w:val="single" w:sz="6" w:space="0" w:color="auto"/>
              <w:bottom w:val="single" w:sz="6" w:space="0" w:color="auto"/>
              <w:right w:val="single" w:sz="6" w:space="0" w:color="auto"/>
            </w:tcBorders>
            <w:vAlign w:val="center"/>
            <w:hideMark/>
          </w:tcPr>
          <w:p w14:paraId="1E5B6C4C" w14:textId="77777777" w:rsidR="0059762C" w:rsidRPr="0059762C" w:rsidRDefault="0059762C" w:rsidP="0059762C">
            <w:pPr>
              <w:rPr>
                <w:rFonts w:cs="Arial"/>
                <w:sz w:val="22"/>
                <w:szCs w:val="22"/>
              </w:rPr>
            </w:pPr>
            <w:r w:rsidRPr="0059762C">
              <w:rPr>
                <w:rFonts w:cs="Arial"/>
                <w:sz w:val="22"/>
                <w:szCs w:val="22"/>
              </w:rPr>
              <w:t>DESNZ Portfolio Committee for Business Case   </w:t>
            </w:r>
          </w:p>
        </w:tc>
        <w:tc>
          <w:tcPr>
            <w:tcW w:w="5265" w:type="dxa"/>
            <w:tcBorders>
              <w:top w:val="single" w:sz="6" w:space="0" w:color="auto"/>
              <w:left w:val="single" w:sz="6" w:space="0" w:color="auto"/>
              <w:bottom w:val="single" w:sz="6" w:space="0" w:color="auto"/>
              <w:right w:val="single" w:sz="6" w:space="0" w:color="auto"/>
            </w:tcBorders>
            <w:vAlign w:val="center"/>
            <w:hideMark/>
          </w:tcPr>
          <w:p w14:paraId="34564FCA" w14:textId="77777777" w:rsidR="0059762C" w:rsidRPr="0059762C" w:rsidRDefault="0059762C" w:rsidP="0059762C">
            <w:pPr>
              <w:rPr>
                <w:rFonts w:cs="Arial"/>
                <w:sz w:val="22"/>
                <w:szCs w:val="22"/>
              </w:rPr>
            </w:pPr>
            <w:r w:rsidRPr="0059762C">
              <w:rPr>
                <w:rFonts w:cs="Arial"/>
                <w:sz w:val="22"/>
                <w:szCs w:val="22"/>
              </w:rPr>
              <w:t>7</w:t>
            </w:r>
            <w:r w:rsidRPr="0059762C">
              <w:rPr>
                <w:rFonts w:cs="Arial"/>
                <w:sz w:val="22"/>
                <w:szCs w:val="22"/>
                <w:vertAlign w:val="superscript"/>
              </w:rPr>
              <w:t>th</w:t>
            </w:r>
            <w:r w:rsidRPr="0059762C">
              <w:rPr>
                <w:rFonts w:cs="Arial"/>
                <w:sz w:val="22"/>
                <w:szCs w:val="22"/>
              </w:rPr>
              <w:t> October 2025 </w:t>
            </w:r>
          </w:p>
        </w:tc>
      </w:tr>
      <w:tr w:rsidR="0059762C" w:rsidRPr="0059762C" w14:paraId="7059D94A" w14:textId="77777777">
        <w:trPr>
          <w:trHeight w:val="300"/>
        </w:trPr>
        <w:tc>
          <w:tcPr>
            <w:tcW w:w="3690" w:type="dxa"/>
            <w:tcBorders>
              <w:top w:val="single" w:sz="6" w:space="0" w:color="auto"/>
              <w:left w:val="single" w:sz="6" w:space="0" w:color="auto"/>
              <w:bottom w:val="single" w:sz="6" w:space="0" w:color="auto"/>
              <w:right w:val="single" w:sz="6" w:space="0" w:color="auto"/>
            </w:tcBorders>
            <w:vAlign w:val="center"/>
            <w:hideMark/>
          </w:tcPr>
          <w:p w14:paraId="2042D3F6" w14:textId="77777777" w:rsidR="0059762C" w:rsidRPr="0059762C" w:rsidRDefault="0059762C" w:rsidP="0059762C">
            <w:pPr>
              <w:rPr>
                <w:rFonts w:cs="Arial"/>
                <w:sz w:val="22"/>
                <w:szCs w:val="22"/>
              </w:rPr>
            </w:pPr>
            <w:r w:rsidRPr="0059762C">
              <w:rPr>
                <w:rFonts w:cs="Arial"/>
                <w:sz w:val="22"/>
                <w:szCs w:val="22"/>
              </w:rPr>
              <w:t>Ministerial approval    </w:t>
            </w:r>
          </w:p>
        </w:tc>
        <w:tc>
          <w:tcPr>
            <w:tcW w:w="5265" w:type="dxa"/>
            <w:tcBorders>
              <w:top w:val="single" w:sz="6" w:space="0" w:color="auto"/>
              <w:left w:val="single" w:sz="6" w:space="0" w:color="auto"/>
              <w:bottom w:val="single" w:sz="6" w:space="0" w:color="auto"/>
              <w:right w:val="single" w:sz="6" w:space="0" w:color="auto"/>
            </w:tcBorders>
            <w:vAlign w:val="center"/>
            <w:hideMark/>
          </w:tcPr>
          <w:p w14:paraId="3ECA422F" w14:textId="77777777" w:rsidR="0059762C" w:rsidRPr="0059762C" w:rsidRDefault="0059762C" w:rsidP="0059762C">
            <w:pPr>
              <w:rPr>
                <w:rFonts w:cs="Arial"/>
                <w:sz w:val="22"/>
                <w:szCs w:val="22"/>
              </w:rPr>
            </w:pPr>
            <w:r w:rsidRPr="0059762C">
              <w:rPr>
                <w:rFonts w:cs="Arial"/>
                <w:sz w:val="22"/>
                <w:szCs w:val="22"/>
              </w:rPr>
              <w:t>21</w:t>
            </w:r>
            <w:proofErr w:type="gramStart"/>
            <w:r w:rsidRPr="0059762C">
              <w:rPr>
                <w:rFonts w:cs="Arial"/>
                <w:sz w:val="22"/>
                <w:szCs w:val="22"/>
                <w:vertAlign w:val="superscript"/>
              </w:rPr>
              <w:t>st</w:t>
            </w:r>
            <w:r w:rsidRPr="0059762C">
              <w:rPr>
                <w:rFonts w:cs="Arial"/>
                <w:sz w:val="22"/>
                <w:szCs w:val="22"/>
              </w:rPr>
              <w:t>  October</w:t>
            </w:r>
            <w:proofErr w:type="gramEnd"/>
            <w:r w:rsidRPr="0059762C">
              <w:rPr>
                <w:rFonts w:cs="Arial"/>
                <w:sz w:val="22"/>
                <w:szCs w:val="22"/>
              </w:rPr>
              <w:t> – 10</w:t>
            </w:r>
            <w:r w:rsidRPr="0059762C">
              <w:rPr>
                <w:rFonts w:cs="Arial"/>
                <w:sz w:val="22"/>
                <w:szCs w:val="22"/>
                <w:vertAlign w:val="superscript"/>
              </w:rPr>
              <w:t>th</w:t>
            </w:r>
            <w:r w:rsidRPr="0059762C">
              <w:rPr>
                <w:rFonts w:cs="Arial"/>
                <w:sz w:val="22"/>
                <w:szCs w:val="22"/>
              </w:rPr>
              <w:t> November 2025 </w:t>
            </w:r>
          </w:p>
        </w:tc>
      </w:tr>
      <w:tr w:rsidR="0059762C" w:rsidRPr="0059762C" w14:paraId="799AC6D5" w14:textId="77777777">
        <w:trPr>
          <w:trHeight w:val="300"/>
        </w:trPr>
        <w:tc>
          <w:tcPr>
            <w:tcW w:w="3690" w:type="dxa"/>
            <w:tcBorders>
              <w:top w:val="single" w:sz="6" w:space="0" w:color="auto"/>
              <w:left w:val="single" w:sz="6" w:space="0" w:color="auto"/>
              <w:bottom w:val="single" w:sz="6" w:space="0" w:color="auto"/>
              <w:right w:val="single" w:sz="6" w:space="0" w:color="auto"/>
            </w:tcBorders>
            <w:vAlign w:val="center"/>
            <w:hideMark/>
          </w:tcPr>
          <w:p w14:paraId="41F1F261" w14:textId="77777777" w:rsidR="0059762C" w:rsidRPr="0059762C" w:rsidRDefault="0059762C" w:rsidP="0059762C">
            <w:pPr>
              <w:rPr>
                <w:rFonts w:cs="Arial"/>
                <w:sz w:val="22"/>
                <w:szCs w:val="22"/>
              </w:rPr>
            </w:pPr>
            <w:r w:rsidRPr="0059762C">
              <w:rPr>
                <w:rFonts w:cs="Arial"/>
                <w:sz w:val="22"/>
                <w:szCs w:val="22"/>
              </w:rPr>
              <w:t>HMT Approval  </w:t>
            </w:r>
          </w:p>
        </w:tc>
        <w:tc>
          <w:tcPr>
            <w:tcW w:w="5265" w:type="dxa"/>
            <w:tcBorders>
              <w:top w:val="single" w:sz="6" w:space="0" w:color="auto"/>
              <w:left w:val="single" w:sz="6" w:space="0" w:color="auto"/>
              <w:bottom w:val="single" w:sz="6" w:space="0" w:color="auto"/>
              <w:right w:val="single" w:sz="6" w:space="0" w:color="auto"/>
            </w:tcBorders>
            <w:vAlign w:val="center"/>
            <w:hideMark/>
          </w:tcPr>
          <w:p w14:paraId="79EC4EDF" w14:textId="77777777" w:rsidR="0059762C" w:rsidRPr="0059762C" w:rsidRDefault="0059762C" w:rsidP="0059762C">
            <w:pPr>
              <w:rPr>
                <w:rFonts w:cs="Arial"/>
                <w:sz w:val="22"/>
                <w:szCs w:val="22"/>
              </w:rPr>
            </w:pPr>
            <w:r w:rsidRPr="0059762C">
              <w:rPr>
                <w:rFonts w:cs="Arial"/>
                <w:sz w:val="22"/>
                <w:szCs w:val="22"/>
              </w:rPr>
              <w:t>N/A </w:t>
            </w:r>
          </w:p>
        </w:tc>
      </w:tr>
      <w:tr w:rsidR="0059762C" w:rsidRPr="0059762C" w14:paraId="45662C89" w14:textId="77777777">
        <w:trPr>
          <w:trHeight w:val="300"/>
        </w:trPr>
        <w:tc>
          <w:tcPr>
            <w:tcW w:w="3690" w:type="dxa"/>
            <w:tcBorders>
              <w:top w:val="single" w:sz="6" w:space="0" w:color="auto"/>
              <w:left w:val="single" w:sz="6" w:space="0" w:color="auto"/>
              <w:bottom w:val="single" w:sz="6" w:space="0" w:color="auto"/>
              <w:right w:val="single" w:sz="6" w:space="0" w:color="auto"/>
            </w:tcBorders>
            <w:vAlign w:val="center"/>
            <w:hideMark/>
          </w:tcPr>
          <w:p w14:paraId="41CAC31A" w14:textId="77777777" w:rsidR="0059762C" w:rsidRPr="0059762C" w:rsidRDefault="0059762C" w:rsidP="0059762C">
            <w:pPr>
              <w:rPr>
                <w:rFonts w:cs="Arial"/>
                <w:sz w:val="22"/>
                <w:szCs w:val="22"/>
              </w:rPr>
            </w:pPr>
            <w:r w:rsidRPr="0059762C">
              <w:rPr>
                <w:rFonts w:cs="Arial"/>
                <w:sz w:val="22"/>
                <w:szCs w:val="22"/>
              </w:rPr>
              <w:t>Annual Reviews    </w:t>
            </w:r>
          </w:p>
        </w:tc>
        <w:tc>
          <w:tcPr>
            <w:tcW w:w="5265" w:type="dxa"/>
            <w:tcBorders>
              <w:top w:val="single" w:sz="6" w:space="0" w:color="auto"/>
              <w:left w:val="single" w:sz="6" w:space="0" w:color="auto"/>
              <w:bottom w:val="single" w:sz="6" w:space="0" w:color="auto"/>
              <w:right w:val="single" w:sz="6" w:space="0" w:color="auto"/>
            </w:tcBorders>
            <w:vAlign w:val="center"/>
            <w:hideMark/>
          </w:tcPr>
          <w:p w14:paraId="1AABA1AD" w14:textId="77777777" w:rsidR="0059762C" w:rsidRPr="0059762C" w:rsidRDefault="0059762C" w:rsidP="0059762C">
            <w:pPr>
              <w:rPr>
                <w:rFonts w:cs="Arial"/>
                <w:sz w:val="22"/>
                <w:szCs w:val="22"/>
              </w:rPr>
            </w:pPr>
            <w:r w:rsidRPr="0059762C">
              <w:rPr>
                <w:rFonts w:cs="Arial"/>
                <w:sz w:val="22"/>
                <w:szCs w:val="22"/>
              </w:rPr>
              <w:t>End of Q1 annually </w:t>
            </w:r>
          </w:p>
        </w:tc>
      </w:tr>
      <w:tr w:rsidR="0059762C" w:rsidRPr="0059762C" w14:paraId="25013F63" w14:textId="77777777">
        <w:trPr>
          <w:trHeight w:val="300"/>
        </w:trPr>
        <w:tc>
          <w:tcPr>
            <w:tcW w:w="3690" w:type="dxa"/>
            <w:tcBorders>
              <w:top w:val="single" w:sz="6" w:space="0" w:color="auto"/>
              <w:left w:val="single" w:sz="6" w:space="0" w:color="auto"/>
              <w:bottom w:val="single" w:sz="6" w:space="0" w:color="auto"/>
              <w:right w:val="single" w:sz="6" w:space="0" w:color="auto"/>
            </w:tcBorders>
            <w:vAlign w:val="center"/>
            <w:hideMark/>
          </w:tcPr>
          <w:p w14:paraId="7BC75091" w14:textId="77777777" w:rsidR="0059762C" w:rsidRPr="0059762C" w:rsidRDefault="0059762C" w:rsidP="0059762C">
            <w:pPr>
              <w:rPr>
                <w:rFonts w:cs="Arial"/>
                <w:sz w:val="22"/>
                <w:szCs w:val="22"/>
              </w:rPr>
            </w:pPr>
            <w:r w:rsidRPr="0059762C">
              <w:rPr>
                <w:rFonts w:cs="Arial"/>
                <w:sz w:val="22"/>
                <w:szCs w:val="22"/>
              </w:rPr>
              <w:t>Programme Delivery Plan meetings    </w:t>
            </w:r>
          </w:p>
        </w:tc>
        <w:tc>
          <w:tcPr>
            <w:tcW w:w="5265" w:type="dxa"/>
            <w:tcBorders>
              <w:top w:val="single" w:sz="6" w:space="0" w:color="auto"/>
              <w:left w:val="single" w:sz="6" w:space="0" w:color="auto"/>
              <w:bottom w:val="single" w:sz="6" w:space="0" w:color="auto"/>
              <w:right w:val="single" w:sz="6" w:space="0" w:color="auto"/>
            </w:tcBorders>
            <w:vAlign w:val="center"/>
            <w:hideMark/>
          </w:tcPr>
          <w:p w14:paraId="286AD1D9" w14:textId="77777777" w:rsidR="0059762C" w:rsidRPr="0059762C" w:rsidRDefault="0059762C" w:rsidP="0059762C">
            <w:pPr>
              <w:rPr>
                <w:rFonts w:cs="Arial"/>
                <w:sz w:val="22"/>
                <w:szCs w:val="22"/>
              </w:rPr>
            </w:pPr>
            <w:r w:rsidRPr="0059762C">
              <w:rPr>
                <w:rFonts w:cs="Arial"/>
                <w:sz w:val="22"/>
                <w:szCs w:val="22"/>
              </w:rPr>
              <w:t>Monthly </w:t>
            </w:r>
          </w:p>
        </w:tc>
      </w:tr>
      <w:tr w:rsidR="0059762C" w:rsidRPr="0059762C" w14:paraId="6432B4B4" w14:textId="77777777">
        <w:trPr>
          <w:trHeight w:val="300"/>
        </w:trPr>
        <w:tc>
          <w:tcPr>
            <w:tcW w:w="3690" w:type="dxa"/>
            <w:tcBorders>
              <w:top w:val="single" w:sz="6" w:space="0" w:color="auto"/>
              <w:left w:val="single" w:sz="6" w:space="0" w:color="auto"/>
              <w:bottom w:val="single" w:sz="6" w:space="0" w:color="auto"/>
              <w:right w:val="single" w:sz="6" w:space="0" w:color="auto"/>
            </w:tcBorders>
            <w:vAlign w:val="center"/>
            <w:hideMark/>
          </w:tcPr>
          <w:p w14:paraId="3BE96C5E" w14:textId="77777777" w:rsidR="0059762C" w:rsidRPr="0059762C" w:rsidRDefault="0059762C" w:rsidP="0059762C">
            <w:pPr>
              <w:rPr>
                <w:rFonts w:cs="Arial"/>
                <w:sz w:val="22"/>
                <w:szCs w:val="22"/>
              </w:rPr>
            </w:pPr>
            <w:r w:rsidRPr="0059762C">
              <w:rPr>
                <w:rFonts w:cs="Arial"/>
                <w:sz w:val="22"/>
                <w:szCs w:val="22"/>
              </w:rPr>
              <w:t>Approval of projects    </w:t>
            </w:r>
          </w:p>
        </w:tc>
        <w:tc>
          <w:tcPr>
            <w:tcW w:w="5265" w:type="dxa"/>
            <w:tcBorders>
              <w:top w:val="single" w:sz="6" w:space="0" w:color="auto"/>
              <w:left w:val="single" w:sz="6" w:space="0" w:color="auto"/>
              <w:bottom w:val="single" w:sz="6" w:space="0" w:color="auto"/>
              <w:right w:val="single" w:sz="6" w:space="0" w:color="auto"/>
            </w:tcBorders>
            <w:vAlign w:val="center"/>
            <w:hideMark/>
          </w:tcPr>
          <w:p w14:paraId="04EF1CDB" w14:textId="77777777" w:rsidR="0059762C" w:rsidRPr="0059762C" w:rsidRDefault="0059762C" w:rsidP="0059762C">
            <w:pPr>
              <w:rPr>
                <w:rFonts w:cs="Arial"/>
                <w:sz w:val="22"/>
                <w:szCs w:val="22"/>
              </w:rPr>
            </w:pPr>
            <w:r w:rsidRPr="0059762C">
              <w:rPr>
                <w:rFonts w:cs="Arial"/>
                <w:sz w:val="22"/>
                <w:szCs w:val="22"/>
              </w:rPr>
              <w:t>Ad-hoc as needed </w:t>
            </w:r>
          </w:p>
        </w:tc>
      </w:tr>
      <w:tr w:rsidR="0059762C" w:rsidRPr="0059762C" w14:paraId="5D8012B6" w14:textId="77777777">
        <w:trPr>
          <w:trHeight w:val="300"/>
        </w:trPr>
        <w:tc>
          <w:tcPr>
            <w:tcW w:w="3690" w:type="dxa"/>
            <w:tcBorders>
              <w:top w:val="single" w:sz="6" w:space="0" w:color="auto"/>
              <w:left w:val="single" w:sz="6" w:space="0" w:color="auto"/>
              <w:bottom w:val="single" w:sz="6" w:space="0" w:color="auto"/>
              <w:right w:val="single" w:sz="6" w:space="0" w:color="auto"/>
            </w:tcBorders>
            <w:vAlign w:val="center"/>
            <w:hideMark/>
          </w:tcPr>
          <w:p w14:paraId="084B519C" w14:textId="77777777" w:rsidR="0059762C" w:rsidRPr="0059762C" w:rsidRDefault="0059762C" w:rsidP="0059762C">
            <w:pPr>
              <w:rPr>
                <w:rFonts w:cs="Arial"/>
                <w:sz w:val="22"/>
                <w:szCs w:val="22"/>
              </w:rPr>
            </w:pPr>
            <w:r w:rsidRPr="0059762C">
              <w:rPr>
                <w:rFonts w:cs="Arial"/>
                <w:sz w:val="22"/>
                <w:szCs w:val="22"/>
              </w:rPr>
              <w:t>Programme management meetings with delivery partners   </w:t>
            </w:r>
          </w:p>
        </w:tc>
        <w:tc>
          <w:tcPr>
            <w:tcW w:w="5265" w:type="dxa"/>
            <w:tcBorders>
              <w:top w:val="single" w:sz="6" w:space="0" w:color="auto"/>
              <w:left w:val="single" w:sz="6" w:space="0" w:color="auto"/>
              <w:bottom w:val="single" w:sz="6" w:space="0" w:color="auto"/>
              <w:right w:val="single" w:sz="6" w:space="0" w:color="auto"/>
            </w:tcBorders>
            <w:vAlign w:val="center"/>
            <w:hideMark/>
          </w:tcPr>
          <w:p w14:paraId="4C867695" w14:textId="77777777" w:rsidR="0059762C" w:rsidRPr="0059762C" w:rsidRDefault="0059762C" w:rsidP="0059762C">
            <w:pPr>
              <w:rPr>
                <w:rFonts w:cs="Arial"/>
                <w:sz w:val="22"/>
                <w:szCs w:val="22"/>
              </w:rPr>
            </w:pPr>
            <w:r w:rsidRPr="0059762C">
              <w:rPr>
                <w:rFonts w:cs="Arial"/>
                <w:sz w:val="22"/>
                <w:szCs w:val="22"/>
              </w:rPr>
              <w:t>Monthly or as needed. A Steering Committee is held every 6 months in person. </w:t>
            </w:r>
          </w:p>
        </w:tc>
      </w:tr>
      <w:tr w:rsidR="0059762C" w:rsidRPr="0059762C" w14:paraId="594369B1" w14:textId="77777777">
        <w:trPr>
          <w:trHeight w:val="300"/>
        </w:trPr>
        <w:tc>
          <w:tcPr>
            <w:tcW w:w="3690" w:type="dxa"/>
            <w:tcBorders>
              <w:top w:val="single" w:sz="6" w:space="0" w:color="auto"/>
              <w:left w:val="single" w:sz="6" w:space="0" w:color="auto"/>
              <w:bottom w:val="single" w:sz="6" w:space="0" w:color="auto"/>
              <w:right w:val="single" w:sz="6" w:space="0" w:color="auto"/>
            </w:tcBorders>
            <w:hideMark/>
          </w:tcPr>
          <w:p w14:paraId="155AAF21" w14:textId="77777777" w:rsidR="0059762C" w:rsidRPr="0059762C" w:rsidRDefault="0059762C" w:rsidP="0059762C">
            <w:pPr>
              <w:rPr>
                <w:rFonts w:cs="Arial"/>
                <w:sz w:val="22"/>
                <w:szCs w:val="22"/>
              </w:rPr>
            </w:pPr>
            <w:r w:rsidRPr="0059762C">
              <w:rPr>
                <w:rFonts w:cs="Arial"/>
                <w:sz w:val="22"/>
                <w:szCs w:val="22"/>
              </w:rPr>
              <w:t>Programme Completion Review  </w:t>
            </w:r>
          </w:p>
        </w:tc>
        <w:tc>
          <w:tcPr>
            <w:tcW w:w="5265" w:type="dxa"/>
            <w:tcBorders>
              <w:top w:val="single" w:sz="6" w:space="0" w:color="auto"/>
              <w:left w:val="single" w:sz="6" w:space="0" w:color="auto"/>
              <w:bottom w:val="single" w:sz="6" w:space="0" w:color="auto"/>
              <w:right w:val="single" w:sz="6" w:space="0" w:color="auto"/>
            </w:tcBorders>
            <w:hideMark/>
          </w:tcPr>
          <w:p w14:paraId="52FD44C0" w14:textId="77777777" w:rsidR="0059762C" w:rsidRPr="0059762C" w:rsidRDefault="0059762C" w:rsidP="0059762C">
            <w:pPr>
              <w:rPr>
                <w:rFonts w:cs="Arial"/>
                <w:sz w:val="22"/>
                <w:szCs w:val="22"/>
              </w:rPr>
            </w:pPr>
            <w:r w:rsidRPr="0059762C">
              <w:rPr>
                <w:rFonts w:cs="Arial"/>
                <w:sz w:val="22"/>
                <w:szCs w:val="22"/>
              </w:rPr>
              <w:t>2030 </w:t>
            </w:r>
          </w:p>
        </w:tc>
      </w:tr>
      <w:tr w:rsidR="0059762C" w:rsidRPr="0059762C" w14:paraId="7431415D" w14:textId="77777777">
        <w:trPr>
          <w:trHeight w:val="300"/>
        </w:trPr>
        <w:tc>
          <w:tcPr>
            <w:tcW w:w="3690" w:type="dxa"/>
            <w:tcBorders>
              <w:top w:val="single" w:sz="6" w:space="0" w:color="auto"/>
              <w:left w:val="single" w:sz="6" w:space="0" w:color="auto"/>
              <w:bottom w:val="single" w:sz="6" w:space="0" w:color="auto"/>
              <w:right w:val="single" w:sz="6" w:space="0" w:color="auto"/>
            </w:tcBorders>
            <w:hideMark/>
          </w:tcPr>
          <w:p w14:paraId="0A3A9361" w14:textId="77777777" w:rsidR="0059762C" w:rsidRPr="0059762C" w:rsidRDefault="0059762C" w:rsidP="0059762C">
            <w:pPr>
              <w:rPr>
                <w:rFonts w:cs="Arial"/>
                <w:sz w:val="22"/>
                <w:szCs w:val="22"/>
              </w:rPr>
            </w:pPr>
            <w:r w:rsidRPr="0059762C">
              <w:rPr>
                <w:rFonts w:cs="Arial"/>
                <w:sz w:val="22"/>
                <w:szCs w:val="22"/>
              </w:rPr>
              <w:lastRenderedPageBreak/>
              <w:t>Mid-Term Reviews </w:t>
            </w:r>
          </w:p>
        </w:tc>
        <w:tc>
          <w:tcPr>
            <w:tcW w:w="5265" w:type="dxa"/>
            <w:tcBorders>
              <w:top w:val="single" w:sz="6" w:space="0" w:color="auto"/>
              <w:left w:val="single" w:sz="6" w:space="0" w:color="auto"/>
              <w:bottom w:val="single" w:sz="6" w:space="0" w:color="auto"/>
              <w:right w:val="single" w:sz="6" w:space="0" w:color="auto"/>
            </w:tcBorders>
            <w:hideMark/>
          </w:tcPr>
          <w:p w14:paraId="0434AF2F" w14:textId="77777777" w:rsidR="0059762C" w:rsidRPr="0059762C" w:rsidRDefault="0059762C" w:rsidP="0059762C">
            <w:pPr>
              <w:rPr>
                <w:rFonts w:cs="Arial"/>
                <w:sz w:val="22"/>
                <w:szCs w:val="22"/>
              </w:rPr>
            </w:pPr>
            <w:r w:rsidRPr="0059762C">
              <w:rPr>
                <w:rFonts w:cs="Arial"/>
                <w:sz w:val="22"/>
                <w:szCs w:val="22"/>
              </w:rPr>
              <w:t>One in 2025, one expected in 2027 </w:t>
            </w:r>
          </w:p>
        </w:tc>
      </w:tr>
      <w:tr w:rsidR="0059762C" w:rsidRPr="0059762C" w14:paraId="2DB30F4D" w14:textId="77777777">
        <w:trPr>
          <w:trHeight w:val="300"/>
        </w:trPr>
        <w:tc>
          <w:tcPr>
            <w:tcW w:w="3690" w:type="dxa"/>
            <w:tcBorders>
              <w:top w:val="single" w:sz="6" w:space="0" w:color="auto"/>
              <w:left w:val="single" w:sz="6" w:space="0" w:color="auto"/>
              <w:bottom w:val="single" w:sz="6" w:space="0" w:color="auto"/>
              <w:right w:val="single" w:sz="6" w:space="0" w:color="auto"/>
            </w:tcBorders>
            <w:hideMark/>
          </w:tcPr>
          <w:p w14:paraId="20A57BD5" w14:textId="77777777" w:rsidR="0059762C" w:rsidRPr="0059762C" w:rsidRDefault="0059762C" w:rsidP="0059762C">
            <w:pPr>
              <w:rPr>
                <w:rFonts w:cs="Arial"/>
                <w:sz w:val="22"/>
                <w:szCs w:val="22"/>
              </w:rPr>
            </w:pPr>
            <w:r w:rsidRPr="0059762C">
              <w:rPr>
                <w:rFonts w:cs="Arial"/>
                <w:sz w:val="22"/>
                <w:szCs w:val="22"/>
              </w:rPr>
              <w:t>End of programme impact evaluation, including approval of evaluation methodologies and plan   </w:t>
            </w:r>
          </w:p>
        </w:tc>
        <w:tc>
          <w:tcPr>
            <w:tcW w:w="5265" w:type="dxa"/>
            <w:tcBorders>
              <w:top w:val="single" w:sz="6" w:space="0" w:color="auto"/>
              <w:left w:val="single" w:sz="6" w:space="0" w:color="auto"/>
              <w:bottom w:val="single" w:sz="6" w:space="0" w:color="auto"/>
              <w:right w:val="single" w:sz="6" w:space="0" w:color="auto"/>
            </w:tcBorders>
            <w:hideMark/>
          </w:tcPr>
          <w:p w14:paraId="078C555A" w14:textId="77777777" w:rsidR="0059762C" w:rsidRPr="0059762C" w:rsidRDefault="0059762C" w:rsidP="0059762C">
            <w:pPr>
              <w:rPr>
                <w:rFonts w:cs="Arial"/>
                <w:sz w:val="22"/>
                <w:szCs w:val="22"/>
              </w:rPr>
            </w:pPr>
            <w:r w:rsidRPr="0059762C">
              <w:rPr>
                <w:rFonts w:cs="Arial"/>
                <w:sz w:val="22"/>
                <w:szCs w:val="22"/>
              </w:rPr>
              <w:t>2029-2030 </w:t>
            </w:r>
          </w:p>
        </w:tc>
      </w:tr>
    </w:tbl>
    <w:p w14:paraId="495EB9E4" w14:textId="77777777" w:rsidR="0059762C" w:rsidRPr="0059762C" w:rsidRDefault="0059762C" w:rsidP="0059762C">
      <w:pPr>
        <w:rPr>
          <w:rFonts w:cs="Arial"/>
          <w:sz w:val="22"/>
          <w:szCs w:val="22"/>
        </w:rPr>
      </w:pPr>
      <w:r w:rsidRPr="0059762C">
        <w:rPr>
          <w:rFonts w:cs="Arial"/>
          <w:sz w:val="22"/>
          <w:szCs w:val="22"/>
        </w:rPr>
        <w:t> </w:t>
      </w:r>
    </w:p>
    <w:p w14:paraId="520E2D27" w14:textId="77777777" w:rsidR="0059762C" w:rsidRPr="0059762C" w:rsidRDefault="0059762C" w:rsidP="0059762C">
      <w:pPr>
        <w:rPr>
          <w:rFonts w:cs="Arial"/>
          <w:b/>
          <w:bCs/>
          <w:sz w:val="22"/>
          <w:szCs w:val="22"/>
        </w:rPr>
      </w:pPr>
      <w:r w:rsidRPr="0059762C">
        <w:rPr>
          <w:rFonts w:cs="Arial"/>
          <w:b/>
          <w:bCs/>
          <w:sz w:val="22"/>
          <w:szCs w:val="22"/>
        </w:rPr>
        <w:t>Approvals Summary   </w:t>
      </w:r>
    </w:p>
    <w:p w14:paraId="3138FF65" w14:textId="7FC7556B" w:rsidR="0059762C" w:rsidRPr="0059762C" w:rsidRDefault="0059762C" w:rsidP="0059762C">
      <w:pPr>
        <w:rPr>
          <w:rFonts w:cs="Arial"/>
          <w:sz w:val="22"/>
          <w:szCs w:val="22"/>
        </w:rPr>
      </w:pPr>
      <w:r w:rsidRPr="0059762C">
        <w:rPr>
          <w:rFonts w:cs="Arial"/>
          <w:sz w:val="22"/>
          <w:szCs w:val="22"/>
        </w:rPr>
        <w:t>The purpose of ICF approval processes is to ensure that programmes entering the ICF Portfolio are deliverable, affordable, will drive benefits aligned with the DESNZ’s strategy and represent value-for-money. Investment approvals must be defendable within the rules of ‘Managing Public Money’. The DESNZ ICF Portfolio Committee, do this by scrutinising business cases, including benefits, financial impacts, governance arrangements, resourcing, deliverability and value-for-money of programmes.   </w:t>
      </w:r>
    </w:p>
    <w:p w14:paraId="1718B1AF" w14:textId="61F4831A" w:rsidR="0059762C" w:rsidRPr="0059762C" w:rsidRDefault="0059762C" w:rsidP="0059762C">
      <w:pPr>
        <w:rPr>
          <w:rFonts w:cs="Arial"/>
          <w:sz w:val="22"/>
          <w:szCs w:val="22"/>
        </w:rPr>
      </w:pPr>
      <w:r w:rsidRPr="0059762C">
        <w:rPr>
          <w:rFonts w:cs="Arial"/>
          <w:sz w:val="22"/>
          <w:szCs w:val="22"/>
        </w:rPr>
        <w:t>The DESNZ ICF Change Control Process is detailed here: </w:t>
      </w:r>
      <w:hyperlink r:id="rId26" w:tgtFrame="_blank" w:history="1">
        <w:r w:rsidRPr="0059762C">
          <w:rPr>
            <w:rStyle w:val="Hyperlink"/>
            <w:rFonts w:cs="Arial"/>
            <w:sz w:val="22"/>
            <w:szCs w:val="22"/>
          </w:rPr>
          <w:t>ICF Change Control </w:t>
        </w:r>
        <w:proofErr w:type="spellStart"/>
        <w:r w:rsidRPr="0059762C">
          <w:rPr>
            <w:rStyle w:val="Hyperlink"/>
            <w:rFonts w:cs="Arial"/>
            <w:sz w:val="22"/>
            <w:szCs w:val="22"/>
          </w:rPr>
          <w:t>Process_Jan</w:t>
        </w:r>
        <w:proofErr w:type="spellEnd"/>
        <w:r w:rsidRPr="0059762C">
          <w:rPr>
            <w:rStyle w:val="Hyperlink"/>
            <w:rFonts w:cs="Arial"/>
            <w:sz w:val="22"/>
            <w:szCs w:val="22"/>
          </w:rPr>
          <w:t> 2024.docx</w:t>
        </w:r>
      </w:hyperlink>
      <w:r w:rsidRPr="0059762C">
        <w:rPr>
          <w:rFonts w:cs="Arial"/>
          <w:sz w:val="22"/>
          <w:szCs w:val="22"/>
        </w:rPr>
        <w:t>  </w:t>
      </w:r>
    </w:p>
    <w:p w14:paraId="296546F0" w14:textId="77777777" w:rsidR="0059762C" w:rsidRPr="0059762C" w:rsidRDefault="0059762C" w:rsidP="0059762C">
      <w:pPr>
        <w:rPr>
          <w:rFonts w:cs="Arial"/>
          <w:sz w:val="22"/>
          <w:szCs w:val="22"/>
        </w:rPr>
      </w:pPr>
      <w:r w:rsidRPr="0059762C">
        <w:rPr>
          <w:rFonts w:cs="Arial"/>
          <w:sz w:val="22"/>
          <w:szCs w:val="22"/>
        </w:rPr>
        <w:t>The approval process is outlined below: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2115"/>
        <w:gridCol w:w="4665"/>
      </w:tblGrid>
      <w:tr w:rsidR="0059762C" w:rsidRPr="0059762C" w14:paraId="1A84A1C8" w14:textId="77777777">
        <w:trPr>
          <w:trHeight w:val="360"/>
        </w:trPr>
        <w:tc>
          <w:tcPr>
            <w:tcW w:w="2115" w:type="dxa"/>
            <w:tcBorders>
              <w:top w:val="single" w:sz="6" w:space="0" w:color="auto"/>
              <w:left w:val="single" w:sz="6" w:space="0" w:color="auto"/>
              <w:bottom w:val="single" w:sz="6" w:space="0" w:color="auto"/>
              <w:right w:val="single" w:sz="6" w:space="0" w:color="auto"/>
            </w:tcBorders>
            <w:shd w:val="clear" w:color="auto" w:fill="D9E2F3"/>
            <w:hideMark/>
          </w:tcPr>
          <w:p w14:paraId="2D5F4027" w14:textId="77777777" w:rsidR="0059762C" w:rsidRPr="0059762C" w:rsidRDefault="0059762C" w:rsidP="0059762C">
            <w:pPr>
              <w:rPr>
                <w:rFonts w:cs="Arial"/>
                <w:sz w:val="22"/>
                <w:szCs w:val="22"/>
              </w:rPr>
            </w:pPr>
            <w:r w:rsidRPr="0059762C">
              <w:rPr>
                <w:rFonts w:cs="Arial"/>
                <w:sz w:val="22"/>
                <w:szCs w:val="22"/>
              </w:rPr>
              <w:t>Product/Change   </w:t>
            </w:r>
          </w:p>
        </w:tc>
        <w:tc>
          <w:tcPr>
            <w:tcW w:w="2115" w:type="dxa"/>
            <w:tcBorders>
              <w:top w:val="single" w:sz="6" w:space="0" w:color="auto"/>
              <w:left w:val="single" w:sz="6" w:space="0" w:color="auto"/>
              <w:bottom w:val="single" w:sz="6" w:space="0" w:color="auto"/>
              <w:right w:val="single" w:sz="6" w:space="0" w:color="auto"/>
            </w:tcBorders>
            <w:shd w:val="clear" w:color="auto" w:fill="D9E2F3"/>
            <w:hideMark/>
          </w:tcPr>
          <w:p w14:paraId="3A2CDF47" w14:textId="77777777" w:rsidR="0059762C" w:rsidRPr="0059762C" w:rsidRDefault="0059762C" w:rsidP="0059762C">
            <w:pPr>
              <w:rPr>
                <w:rFonts w:cs="Arial"/>
                <w:sz w:val="22"/>
                <w:szCs w:val="22"/>
              </w:rPr>
            </w:pPr>
            <w:r w:rsidRPr="0059762C">
              <w:rPr>
                <w:rFonts w:cs="Arial"/>
                <w:sz w:val="22"/>
                <w:szCs w:val="22"/>
              </w:rPr>
              <w:t>Sign Off   </w:t>
            </w:r>
          </w:p>
        </w:tc>
        <w:tc>
          <w:tcPr>
            <w:tcW w:w="4665" w:type="dxa"/>
            <w:tcBorders>
              <w:top w:val="single" w:sz="6" w:space="0" w:color="auto"/>
              <w:left w:val="single" w:sz="6" w:space="0" w:color="auto"/>
              <w:bottom w:val="single" w:sz="6" w:space="0" w:color="auto"/>
              <w:right w:val="single" w:sz="6" w:space="0" w:color="auto"/>
            </w:tcBorders>
            <w:shd w:val="clear" w:color="auto" w:fill="D9E2F3"/>
            <w:hideMark/>
          </w:tcPr>
          <w:p w14:paraId="667E68BA" w14:textId="77777777" w:rsidR="0059762C" w:rsidRPr="0059762C" w:rsidRDefault="0059762C" w:rsidP="0059762C">
            <w:pPr>
              <w:rPr>
                <w:rFonts w:cs="Arial"/>
                <w:sz w:val="22"/>
                <w:szCs w:val="22"/>
              </w:rPr>
            </w:pPr>
            <w:r w:rsidRPr="0059762C">
              <w:rPr>
                <w:rFonts w:cs="Arial"/>
                <w:sz w:val="22"/>
                <w:szCs w:val="22"/>
              </w:rPr>
              <w:t>Approvals Prior to Sign Off/Points to Note   </w:t>
            </w:r>
          </w:p>
        </w:tc>
      </w:tr>
      <w:tr w:rsidR="0059762C" w:rsidRPr="0059762C" w14:paraId="7FA183B2" w14:textId="77777777">
        <w:trPr>
          <w:trHeight w:val="390"/>
        </w:trPr>
        <w:tc>
          <w:tcPr>
            <w:tcW w:w="2115" w:type="dxa"/>
            <w:tcBorders>
              <w:top w:val="single" w:sz="6" w:space="0" w:color="auto"/>
              <w:left w:val="single" w:sz="6" w:space="0" w:color="auto"/>
              <w:bottom w:val="single" w:sz="6" w:space="0" w:color="auto"/>
              <w:right w:val="single" w:sz="6" w:space="0" w:color="auto"/>
            </w:tcBorders>
            <w:hideMark/>
          </w:tcPr>
          <w:p w14:paraId="6D3F32F2" w14:textId="77777777" w:rsidR="0059762C" w:rsidRPr="0059762C" w:rsidRDefault="0059762C" w:rsidP="0059762C">
            <w:pPr>
              <w:rPr>
                <w:rFonts w:cs="Arial"/>
                <w:sz w:val="22"/>
                <w:szCs w:val="22"/>
              </w:rPr>
            </w:pPr>
            <w:r w:rsidRPr="0059762C">
              <w:rPr>
                <w:rFonts w:cs="Arial"/>
                <w:sz w:val="22"/>
                <w:szCs w:val="22"/>
              </w:rPr>
              <w:t>Key Monitoring and Evaluation Lead products (Theory of Change, Logframe and MEL Framework including MTR and end of project evaluation)  </w:t>
            </w:r>
          </w:p>
        </w:tc>
        <w:tc>
          <w:tcPr>
            <w:tcW w:w="2115" w:type="dxa"/>
            <w:tcBorders>
              <w:top w:val="single" w:sz="6" w:space="0" w:color="auto"/>
              <w:left w:val="single" w:sz="6" w:space="0" w:color="auto"/>
              <w:bottom w:val="single" w:sz="6" w:space="0" w:color="auto"/>
              <w:right w:val="single" w:sz="6" w:space="0" w:color="auto"/>
            </w:tcBorders>
            <w:hideMark/>
          </w:tcPr>
          <w:p w14:paraId="2C925E15" w14:textId="77777777" w:rsidR="0059762C" w:rsidRPr="0059762C" w:rsidRDefault="0059762C" w:rsidP="0059762C">
            <w:pPr>
              <w:rPr>
                <w:rFonts w:cs="Arial"/>
                <w:sz w:val="22"/>
                <w:szCs w:val="22"/>
              </w:rPr>
            </w:pPr>
            <w:r w:rsidRPr="0059762C">
              <w:rPr>
                <w:rFonts w:cs="Arial"/>
                <w:sz w:val="22"/>
                <w:szCs w:val="22"/>
              </w:rPr>
              <w:t>Programme Team DD  </w:t>
            </w:r>
          </w:p>
        </w:tc>
        <w:tc>
          <w:tcPr>
            <w:tcW w:w="4665" w:type="dxa"/>
            <w:tcBorders>
              <w:top w:val="single" w:sz="6" w:space="0" w:color="auto"/>
              <w:left w:val="single" w:sz="6" w:space="0" w:color="auto"/>
              <w:bottom w:val="single" w:sz="6" w:space="0" w:color="auto"/>
              <w:right w:val="single" w:sz="6" w:space="0" w:color="auto"/>
            </w:tcBorders>
            <w:hideMark/>
          </w:tcPr>
          <w:p w14:paraId="06302253" w14:textId="77777777" w:rsidR="0059762C" w:rsidRPr="0059762C" w:rsidRDefault="0059762C" w:rsidP="0059762C">
            <w:pPr>
              <w:numPr>
                <w:ilvl w:val="0"/>
                <w:numId w:val="508"/>
              </w:numPr>
              <w:rPr>
                <w:rFonts w:cs="Arial"/>
                <w:sz w:val="22"/>
                <w:szCs w:val="22"/>
              </w:rPr>
            </w:pPr>
            <w:r w:rsidRPr="0059762C">
              <w:rPr>
                <w:rFonts w:cs="Arial"/>
                <w:sz w:val="22"/>
                <w:szCs w:val="22"/>
              </w:rPr>
              <w:t>Analyst Team G6, G7/SEO Programme Leads, PMO (where applicable).  </w:t>
            </w:r>
          </w:p>
        </w:tc>
      </w:tr>
      <w:tr w:rsidR="0059762C" w:rsidRPr="0059762C" w14:paraId="5073DB88" w14:textId="77777777">
        <w:trPr>
          <w:trHeight w:val="840"/>
        </w:trPr>
        <w:tc>
          <w:tcPr>
            <w:tcW w:w="2115" w:type="dxa"/>
            <w:tcBorders>
              <w:top w:val="single" w:sz="6" w:space="0" w:color="auto"/>
              <w:left w:val="single" w:sz="6" w:space="0" w:color="auto"/>
              <w:bottom w:val="single" w:sz="6" w:space="0" w:color="auto"/>
              <w:right w:val="single" w:sz="6" w:space="0" w:color="auto"/>
            </w:tcBorders>
            <w:hideMark/>
          </w:tcPr>
          <w:p w14:paraId="724630AF" w14:textId="77777777" w:rsidR="0059762C" w:rsidRPr="0059762C" w:rsidRDefault="0059762C" w:rsidP="0059762C">
            <w:pPr>
              <w:rPr>
                <w:rFonts w:cs="Arial"/>
                <w:sz w:val="22"/>
                <w:szCs w:val="22"/>
              </w:rPr>
            </w:pPr>
            <w:r w:rsidRPr="0059762C">
              <w:rPr>
                <w:rFonts w:cs="Arial"/>
                <w:sz w:val="22"/>
                <w:szCs w:val="22"/>
              </w:rPr>
              <w:t>Annual Review (</w:t>
            </w:r>
            <w:proofErr w:type="gramStart"/>
            <w:r w:rsidRPr="0059762C">
              <w:rPr>
                <w:rFonts w:cs="Arial"/>
                <w:sz w:val="22"/>
                <w:szCs w:val="22"/>
              </w:rPr>
              <w:t>AR)   </w:t>
            </w:r>
            <w:proofErr w:type="gramEnd"/>
          </w:p>
        </w:tc>
        <w:tc>
          <w:tcPr>
            <w:tcW w:w="2115" w:type="dxa"/>
            <w:tcBorders>
              <w:top w:val="single" w:sz="6" w:space="0" w:color="auto"/>
              <w:left w:val="single" w:sz="6" w:space="0" w:color="auto"/>
              <w:bottom w:val="single" w:sz="6" w:space="0" w:color="auto"/>
              <w:right w:val="single" w:sz="6" w:space="0" w:color="auto"/>
            </w:tcBorders>
            <w:hideMark/>
          </w:tcPr>
          <w:p w14:paraId="09C68E82" w14:textId="77777777" w:rsidR="0059762C" w:rsidRPr="0059762C" w:rsidRDefault="0059762C" w:rsidP="0059762C">
            <w:pPr>
              <w:rPr>
                <w:rFonts w:cs="Arial"/>
                <w:sz w:val="22"/>
                <w:szCs w:val="22"/>
              </w:rPr>
            </w:pPr>
            <w:r w:rsidRPr="0059762C">
              <w:rPr>
                <w:rFonts w:cs="Arial"/>
                <w:sz w:val="22"/>
                <w:szCs w:val="22"/>
              </w:rPr>
              <w:t>Programme Team DD if Annual Review score B or lower, G6 if A, A+ or A++.  </w:t>
            </w:r>
          </w:p>
          <w:p w14:paraId="2155B81E" w14:textId="77777777" w:rsidR="0059762C" w:rsidRPr="0059762C" w:rsidRDefault="0059762C" w:rsidP="0059762C">
            <w:pPr>
              <w:rPr>
                <w:rFonts w:cs="Arial"/>
                <w:sz w:val="22"/>
                <w:szCs w:val="22"/>
              </w:rPr>
            </w:pPr>
            <w:r w:rsidRPr="0059762C">
              <w:rPr>
                <w:rFonts w:cs="Arial"/>
                <w:sz w:val="22"/>
                <w:szCs w:val="22"/>
              </w:rPr>
              <w:t>Scoring agreed by project G6/PMO &amp; G6/Analysts. Escalated to SRO for sign-off if scoring cannot be agreed)  </w:t>
            </w:r>
          </w:p>
        </w:tc>
        <w:tc>
          <w:tcPr>
            <w:tcW w:w="4665" w:type="dxa"/>
            <w:tcBorders>
              <w:top w:val="single" w:sz="6" w:space="0" w:color="auto"/>
              <w:left w:val="single" w:sz="6" w:space="0" w:color="auto"/>
              <w:bottom w:val="single" w:sz="6" w:space="0" w:color="auto"/>
              <w:right w:val="single" w:sz="6" w:space="0" w:color="auto"/>
            </w:tcBorders>
            <w:hideMark/>
          </w:tcPr>
          <w:p w14:paraId="708514C9" w14:textId="77777777" w:rsidR="0059762C" w:rsidRPr="0059762C" w:rsidRDefault="0059762C" w:rsidP="0059762C">
            <w:pPr>
              <w:numPr>
                <w:ilvl w:val="0"/>
                <w:numId w:val="509"/>
              </w:numPr>
              <w:rPr>
                <w:rFonts w:cs="Arial"/>
                <w:sz w:val="22"/>
                <w:szCs w:val="22"/>
              </w:rPr>
            </w:pPr>
            <w:r w:rsidRPr="0059762C">
              <w:rPr>
                <w:rFonts w:cs="Arial"/>
                <w:sz w:val="22"/>
                <w:szCs w:val="22"/>
              </w:rPr>
              <w:t>Analysts review of AR  </w:t>
            </w:r>
          </w:p>
          <w:p w14:paraId="3C7B6492" w14:textId="77777777" w:rsidR="0059762C" w:rsidRPr="0059762C" w:rsidRDefault="0059762C" w:rsidP="0059762C">
            <w:pPr>
              <w:numPr>
                <w:ilvl w:val="0"/>
                <w:numId w:val="510"/>
              </w:numPr>
              <w:rPr>
                <w:rFonts w:cs="Arial"/>
                <w:sz w:val="22"/>
                <w:szCs w:val="22"/>
              </w:rPr>
            </w:pPr>
            <w:r w:rsidRPr="0059762C">
              <w:rPr>
                <w:rFonts w:cs="Arial"/>
                <w:sz w:val="22"/>
                <w:szCs w:val="22"/>
              </w:rPr>
              <w:t>ICF Programme Team G6   </w:t>
            </w:r>
          </w:p>
          <w:p w14:paraId="64CE1120" w14:textId="77777777" w:rsidR="0059762C" w:rsidRPr="0059762C" w:rsidRDefault="0059762C" w:rsidP="0059762C">
            <w:pPr>
              <w:numPr>
                <w:ilvl w:val="0"/>
                <w:numId w:val="511"/>
              </w:numPr>
              <w:rPr>
                <w:rFonts w:cs="Arial"/>
                <w:sz w:val="22"/>
                <w:szCs w:val="22"/>
              </w:rPr>
            </w:pPr>
            <w:r w:rsidRPr="0059762C">
              <w:rPr>
                <w:rFonts w:cs="Arial"/>
                <w:sz w:val="22"/>
                <w:szCs w:val="22"/>
              </w:rPr>
              <w:t>G7/SEO Programme Leads  </w:t>
            </w:r>
          </w:p>
        </w:tc>
      </w:tr>
      <w:tr w:rsidR="0059762C" w:rsidRPr="0059762C" w14:paraId="635FB0B9" w14:textId="77777777">
        <w:trPr>
          <w:trHeight w:val="360"/>
        </w:trPr>
        <w:tc>
          <w:tcPr>
            <w:tcW w:w="2115" w:type="dxa"/>
            <w:tcBorders>
              <w:top w:val="single" w:sz="6" w:space="0" w:color="auto"/>
              <w:left w:val="single" w:sz="6" w:space="0" w:color="auto"/>
              <w:bottom w:val="single" w:sz="6" w:space="0" w:color="auto"/>
              <w:right w:val="single" w:sz="6" w:space="0" w:color="auto"/>
            </w:tcBorders>
            <w:hideMark/>
          </w:tcPr>
          <w:p w14:paraId="07B9C142" w14:textId="77777777" w:rsidR="0059762C" w:rsidRPr="0059762C" w:rsidRDefault="0059762C" w:rsidP="0059762C">
            <w:pPr>
              <w:rPr>
                <w:rFonts w:cs="Arial"/>
                <w:sz w:val="22"/>
                <w:szCs w:val="22"/>
              </w:rPr>
            </w:pPr>
            <w:r w:rsidRPr="0059762C">
              <w:rPr>
                <w:rFonts w:cs="Arial"/>
                <w:sz w:val="22"/>
                <w:szCs w:val="22"/>
              </w:rPr>
              <w:t>Changes to Logframe   </w:t>
            </w:r>
          </w:p>
        </w:tc>
        <w:tc>
          <w:tcPr>
            <w:tcW w:w="2115" w:type="dxa"/>
            <w:tcBorders>
              <w:top w:val="single" w:sz="6" w:space="0" w:color="auto"/>
              <w:left w:val="single" w:sz="6" w:space="0" w:color="auto"/>
              <w:bottom w:val="single" w:sz="6" w:space="0" w:color="auto"/>
              <w:right w:val="single" w:sz="6" w:space="0" w:color="auto"/>
            </w:tcBorders>
            <w:hideMark/>
          </w:tcPr>
          <w:p w14:paraId="7C37B413" w14:textId="77777777" w:rsidR="0059762C" w:rsidRPr="0059762C" w:rsidRDefault="0059762C" w:rsidP="0059762C">
            <w:pPr>
              <w:rPr>
                <w:rFonts w:cs="Arial"/>
                <w:sz w:val="22"/>
                <w:szCs w:val="22"/>
              </w:rPr>
            </w:pPr>
            <w:r w:rsidRPr="0059762C">
              <w:rPr>
                <w:rFonts w:cs="Arial"/>
                <w:sz w:val="22"/>
                <w:szCs w:val="22"/>
              </w:rPr>
              <w:t>Programme Team DD  </w:t>
            </w:r>
          </w:p>
        </w:tc>
        <w:tc>
          <w:tcPr>
            <w:tcW w:w="4665" w:type="dxa"/>
            <w:tcBorders>
              <w:top w:val="single" w:sz="6" w:space="0" w:color="auto"/>
              <w:left w:val="single" w:sz="6" w:space="0" w:color="auto"/>
              <w:bottom w:val="single" w:sz="6" w:space="0" w:color="auto"/>
              <w:right w:val="single" w:sz="6" w:space="0" w:color="auto"/>
            </w:tcBorders>
            <w:hideMark/>
          </w:tcPr>
          <w:p w14:paraId="00043877" w14:textId="77777777" w:rsidR="0059762C" w:rsidRPr="0059762C" w:rsidRDefault="0059762C" w:rsidP="0059762C">
            <w:pPr>
              <w:numPr>
                <w:ilvl w:val="0"/>
                <w:numId w:val="512"/>
              </w:numPr>
              <w:rPr>
                <w:rFonts w:cs="Arial"/>
                <w:sz w:val="22"/>
                <w:szCs w:val="22"/>
              </w:rPr>
            </w:pPr>
            <w:r w:rsidRPr="0059762C">
              <w:rPr>
                <w:rFonts w:cs="Arial"/>
                <w:sz w:val="22"/>
                <w:szCs w:val="22"/>
              </w:rPr>
              <w:t>Analysts review of Logframe  </w:t>
            </w:r>
          </w:p>
          <w:p w14:paraId="3CF6CE93" w14:textId="77777777" w:rsidR="0059762C" w:rsidRPr="0059762C" w:rsidRDefault="0059762C" w:rsidP="0059762C">
            <w:pPr>
              <w:numPr>
                <w:ilvl w:val="0"/>
                <w:numId w:val="513"/>
              </w:numPr>
              <w:rPr>
                <w:rFonts w:cs="Arial"/>
                <w:sz w:val="22"/>
                <w:szCs w:val="22"/>
              </w:rPr>
            </w:pPr>
            <w:r w:rsidRPr="0059762C">
              <w:rPr>
                <w:rFonts w:cs="Arial"/>
                <w:sz w:val="22"/>
                <w:szCs w:val="22"/>
              </w:rPr>
              <w:t>ICF Programme Team G6  </w:t>
            </w:r>
          </w:p>
        </w:tc>
      </w:tr>
      <w:tr w:rsidR="0059762C" w:rsidRPr="0059762C" w14:paraId="3C6F9EE0" w14:textId="77777777">
        <w:trPr>
          <w:trHeight w:val="570"/>
        </w:trPr>
        <w:tc>
          <w:tcPr>
            <w:tcW w:w="2115" w:type="dxa"/>
            <w:tcBorders>
              <w:top w:val="single" w:sz="6" w:space="0" w:color="auto"/>
              <w:left w:val="single" w:sz="6" w:space="0" w:color="auto"/>
              <w:bottom w:val="single" w:sz="6" w:space="0" w:color="auto"/>
              <w:right w:val="single" w:sz="6" w:space="0" w:color="auto"/>
            </w:tcBorders>
            <w:hideMark/>
          </w:tcPr>
          <w:p w14:paraId="690B904E" w14:textId="77777777" w:rsidR="0059762C" w:rsidRPr="0059762C" w:rsidRDefault="0059762C" w:rsidP="0059762C">
            <w:pPr>
              <w:rPr>
                <w:rFonts w:cs="Arial"/>
                <w:sz w:val="22"/>
                <w:szCs w:val="22"/>
              </w:rPr>
            </w:pPr>
            <w:r w:rsidRPr="0059762C">
              <w:rPr>
                <w:rFonts w:cs="Arial"/>
                <w:sz w:val="22"/>
                <w:szCs w:val="22"/>
              </w:rPr>
              <w:lastRenderedPageBreak/>
              <w:t>End of Project Evaluation  </w:t>
            </w:r>
          </w:p>
        </w:tc>
        <w:tc>
          <w:tcPr>
            <w:tcW w:w="2115" w:type="dxa"/>
            <w:tcBorders>
              <w:top w:val="single" w:sz="6" w:space="0" w:color="auto"/>
              <w:left w:val="single" w:sz="6" w:space="0" w:color="auto"/>
              <w:bottom w:val="single" w:sz="6" w:space="0" w:color="auto"/>
              <w:right w:val="single" w:sz="6" w:space="0" w:color="auto"/>
            </w:tcBorders>
            <w:hideMark/>
          </w:tcPr>
          <w:p w14:paraId="7BABFE23" w14:textId="77777777" w:rsidR="0059762C" w:rsidRPr="0059762C" w:rsidRDefault="0059762C" w:rsidP="0059762C">
            <w:pPr>
              <w:rPr>
                <w:rFonts w:cs="Arial"/>
                <w:sz w:val="22"/>
                <w:szCs w:val="22"/>
              </w:rPr>
            </w:pPr>
            <w:r w:rsidRPr="0059762C">
              <w:rPr>
                <w:rFonts w:cs="Arial"/>
                <w:sz w:val="22"/>
                <w:szCs w:val="22"/>
              </w:rPr>
              <w:t>Programme Team DD  </w:t>
            </w:r>
          </w:p>
        </w:tc>
        <w:tc>
          <w:tcPr>
            <w:tcW w:w="4665" w:type="dxa"/>
            <w:tcBorders>
              <w:top w:val="single" w:sz="6" w:space="0" w:color="auto"/>
              <w:left w:val="single" w:sz="6" w:space="0" w:color="auto"/>
              <w:bottom w:val="single" w:sz="6" w:space="0" w:color="auto"/>
              <w:right w:val="single" w:sz="6" w:space="0" w:color="auto"/>
            </w:tcBorders>
            <w:hideMark/>
          </w:tcPr>
          <w:p w14:paraId="104183F2" w14:textId="77777777" w:rsidR="0059762C" w:rsidRPr="0059762C" w:rsidRDefault="0059762C" w:rsidP="0059762C">
            <w:pPr>
              <w:numPr>
                <w:ilvl w:val="0"/>
                <w:numId w:val="514"/>
              </w:numPr>
              <w:rPr>
                <w:rFonts w:cs="Arial"/>
                <w:sz w:val="22"/>
                <w:szCs w:val="22"/>
              </w:rPr>
            </w:pPr>
            <w:r w:rsidRPr="0059762C">
              <w:rPr>
                <w:rFonts w:cs="Arial"/>
                <w:sz w:val="22"/>
                <w:szCs w:val="22"/>
              </w:rPr>
              <w:t>SEO, G7 Programme leads, PMO, MEL Advisers, Economists.  </w:t>
            </w:r>
          </w:p>
        </w:tc>
      </w:tr>
      <w:tr w:rsidR="0059762C" w:rsidRPr="0059762C" w14:paraId="6A6ADF84" w14:textId="77777777">
        <w:trPr>
          <w:trHeight w:val="570"/>
        </w:trPr>
        <w:tc>
          <w:tcPr>
            <w:tcW w:w="2115" w:type="dxa"/>
            <w:tcBorders>
              <w:top w:val="single" w:sz="6" w:space="0" w:color="auto"/>
              <w:left w:val="single" w:sz="6" w:space="0" w:color="auto"/>
              <w:bottom w:val="single" w:sz="6" w:space="0" w:color="auto"/>
              <w:right w:val="single" w:sz="6" w:space="0" w:color="auto"/>
            </w:tcBorders>
            <w:hideMark/>
          </w:tcPr>
          <w:p w14:paraId="212EC78D" w14:textId="77777777" w:rsidR="0059762C" w:rsidRPr="0059762C" w:rsidRDefault="0059762C" w:rsidP="0059762C">
            <w:pPr>
              <w:rPr>
                <w:rFonts w:cs="Arial"/>
                <w:sz w:val="22"/>
                <w:szCs w:val="22"/>
              </w:rPr>
            </w:pPr>
            <w:r w:rsidRPr="0059762C">
              <w:rPr>
                <w:rFonts w:cs="Arial"/>
                <w:sz w:val="22"/>
                <w:szCs w:val="22"/>
              </w:rPr>
              <w:t>Programme Completion Review  </w:t>
            </w:r>
          </w:p>
        </w:tc>
        <w:tc>
          <w:tcPr>
            <w:tcW w:w="2115" w:type="dxa"/>
            <w:tcBorders>
              <w:top w:val="single" w:sz="6" w:space="0" w:color="auto"/>
              <w:left w:val="single" w:sz="6" w:space="0" w:color="auto"/>
              <w:bottom w:val="single" w:sz="6" w:space="0" w:color="auto"/>
              <w:right w:val="single" w:sz="6" w:space="0" w:color="auto"/>
            </w:tcBorders>
            <w:hideMark/>
          </w:tcPr>
          <w:p w14:paraId="1AAA2D57" w14:textId="77777777" w:rsidR="0059762C" w:rsidRPr="0059762C" w:rsidRDefault="0059762C" w:rsidP="0059762C">
            <w:pPr>
              <w:rPr>
                <w:rFonts w:cs="Arial"/>
                <w:sz w:val="22"/>
                <w:szCs w:val="22"/>
              </w:rPr>
            </w:pPr>
            <w:r w:rsidRPr="0059762C">
              <w:rPr>
                <w:rFonts w:cs="Arial"/>
                <w:sz w:val="22"/>
                <w:szCs w:val="22"/>
              </w:rPr>
              <w:t>Programme Team DD (final version sent to SRO)  </w:t>
            </w:r>
          </w:p>
        </w:tc>
        <w:tc>
          <w:tcPr>
            <w:tcW w:w="4665" w:type="dxa"/>
            <w:tcBorders>
              <w:top w:val="single" w:sz="6" w:space="0" w:color="auto"/>
              <w:left w:val="single" w:sz="6" w:space="0" w:color="auto"/>
              <w:bottom w:val="single" w:sz="6" w:space="0" w:color="auto"/>
              <w:right w:val="single" w:sz="6" w:space="0" w:color="auto"/>
            </w:tcBorders>
            <w:hideMark/>
          </w:tcPr>
          <w:p w14:paraId="0D9A102A" w14:textId="77777777" w:rsidR="0059762C" w:rsidRPr="0059762C" w:rsidRDefault="0059762C" w:rsidP="0059762C">
            <w:pPr>
              <w:numPr>
                <w:ilvl w:val="0"/>
                <w:numId w:val="515"/>
              </w:numPr>
              <w:rPr>
                <w:rFonts w:cs="Arial"/>
                <w:sz w:val="22"/>
                <w:szCs w:val="22"/>
              </w:rPr>
            </w:pPr>
            <w:r w:rsidRPr="0059762C">
              <w:rPr>
                <w:rFonts w:cs="Arial"/>
                <w:sz w:val="22"/>
                <w:szCs w:val="22"/>
              </w:rPr>
              <w:t>Programme G6 and PMO G6 prior to final review. MEL Advisers, Economist, PMO review/sign-off.  </w:t>
            </w:r>
          </w:p>
        </w:tc>
      </w:tr>
    </w:tbl>
    <w:p w14:paraId="210DB700" w14:textId="77777777" w:rsidR="0059762C" w:rsidRPr="0059762C" w:rsidRDefault="0059762C" w:rsidP="0059762C">
      <w:pPr>
        <w:rPr>
          <w:rFonts w:cs="Arial"/>
          <w:sz w:val="22"/>
          <w:szCs w:val="22"/>
        </w:rPr>
      </w:pPr>
      <w:r w:rsidRPr="0059762C">
        <w:rPr>
          <w:rFonts w:cs="Arial"/>
          <w:sz w:val="22"/>
          <w:szCs w:val="22"/>
        </w:rPr>
        <w:t> </w:t>
      </w:r>
    </w:p>
    <w:p w14:paraId="263251FE" w14:textId="77777777" w:rsidR="0059762C" w:rsidRPr="0059762C" w:rsidRDefault="0059762C" w:rsidP="0059762C">
      <w:pPr>
        <w:rPr>
          <w:rFonts w:cs="Arial"/>
          <w:b/>
          <w:bCs/>
          <w:sz w:val="22"/>
          <w:szCs w:val="22"/>
        </w:rPr>
      </w:pPr>
      <w:r w:rsidRPr="0059762C">
        <w:rPr>
          <w:rFonts w:cs="Arial"/>
          <w:b/>
          <w:bCs/>
          <w:sz w:val="22"/>
          <w:szCs w:val="22"/>
        </w:rPr>
        <w:t>Programme: Reporting and Communications:   </w:t>
      </w:r>
    </w:p>
    <w:p w14:paraId="738052B0" w14:textId="77777777" w:rsidR="0059762C" w:rsidRPr="0059762C" w:rsidRDefault="0059762C" w:rsidP="0059762C">
      <w:pPr>
        <w:rPr>
          <w:rFonts w:cs="Arial"/>
          <w:sz w:val="22"/>
          <w:szCs w:val="22"/>
        </w:rPr>
      </w:pPr>
      <w:r w:rsidRPr="0059762C">
        <w:rPr>
          <w:rFonts w:cs="Arial"/>
          <w:sz w:val="22"/>
          <w:szCs w:val="22"/>
        </w:rPr>
        <w:t>DESNZ will use the following tools to report on AIM4Forests: </w:t>
      </w:r>
    </w:p>
    <w:p w14:paraId="1CF12CD7" w14:textId="77777777" w:rsidR="0059762C" w:rsidRPr="0059762C" w:rsidRDefault="0059762C" w:rsidP="0059762C">
      <w:pPr>
        <w:numPr>
          <w:ilvl w:val="0"/>
          <w:numId w:val="516"/>
        </w:numPr>
        <w:rPr>
          <w:rFonts w:cs="Arial"/>
          <w:sz w:val="22"/>
          <w:szCs w:val="22"/>
        </w:rPr>
      </w:pPr>
      <w:r w:rsidRPr="0059762C">
        <w:rPr>
          <w:rFonts w:cs="Arial"/>
          <w:sz w:val="22"/>
          <w:szCs w:val="22"/>
        </w:rPr>
        <w:t>Programme Delivery Plan updates (monthly)   </w:t>
      </w:r>
    </w:p>
    <w:p w14:paraId="6B51F42B" w14:textId="77777777" w:rsidR="0059762C" w:rsidRPr="0059762C" w:rsidRDefault="0059762C" w:rsidP="0059762C">
      <w:pPr>
        <w:numPr>
          <w:ilvl w:val="0"/>
          <w:numId w:val="517"/>
        </w:numPr>
        <w:rPr>
          <w:rFonts w:cs="Arial"/>
          <w:sz w:val="22"/>
          <w:szCs w:val="22"/>
        </w:rPr>
      </w:pPr>
      <w:r w:rsidRPr="0059762C">
        <w:rPr>
          <w:rFonts w:cs="Arial"/>
          <w:sz w:val="22"/>
          <w:szCs w:val="22"/>
        </w:rPr>
        <w:t>DESNZ ICF Portfolio Delivery Group updates (monthly)   </w:t>
      </w:r>
    </w:p>
    <w:p w14:paraId="4210FB13" w14:textId="77777777" w:rsidR="0059762C" w:rsidRPr="0059762C" w:rsidRDefault="0059762C" w:rsidP="0059762C">
      <w:pPr>
        <w:numPr>
          <w:ilvl w:val="0"/>
          <w:numId w:val="518"/>
        </w:numPr>
        <w:rPr>
          <w:rFonts w:cs="Arial"/>
          <w:sz w:val="22"/>
          <w:szCs w:val="22"/>
        </w:rPr>
      </w:pPr>
      <w:r w:rsidRPr="0059762C">
        <w:rPr>
          <w:rFonts w:cs="Arial"/>
          <w:sz w:val="22"/>
          <w:szCs w:val="22"/>
        </w:rPr>
        <w:t>Annual Reviews (annually)   </w:t>
      </w:r>
    </w:p>
    <w:p w14:paraId="207CDFA5" w14:textId="77777777" w:rsidR="0059762C" w:rsidRPr="0059762C" w:rsidRDefault="0059762C" w:rsidP="0059762C">
      <w:pPr>
        <w:numPr>
          <w:ilvl w:val="0"/>
          <w:numId w:val="519"/>
        </w:numPr>
        <w:rPr>
          <w:rFonts w:cs="Arial"/>
          <w:sz w:val="22"/>
          <w:szCs w:val="22"/>
        </w:rPr>
      </w:pPr>
      <w:r w:rsidRPr="0059762C">
        <w:rPr>
          <w:rFonts w:cs="Arial"/>
          <w:sz w:val="22"/>
          <w:szCs w:val="22"/>
        </w:rPr>
        <w:t>Programme Completion Report (end of programme)   </w:t>
      </w:r>
    </w:p>
    <w:p w14:paraId="719C8B50" w14:textId="77777777" w:rsidR="0059762C" w:rsidRPr="0059762C" w:rsidRDefault="0059762C" w:rsidP="0059762C">
      <w:pPr>
        <w:rPr>
          <w:rFonts w:cs="Arial"/>
          <w:b/>
          <w:bCs/>
          <w:sz w:val="22"/>
          <w:szCs w:val="22"/>
        </w:rPr>
      </w:pPr>
      <w:r w:rsidRPr="0059762C">
        <w:rPr>
          <w:rFonts w:cs="Arial"/>
          <w:b/>
          <w:bCs/>
          <w:sz w:val="22"/>
          <w:szCs w:val="22"/>
        </w:rPr>
        <w:t> </w:t>
      </w:r>
    </w:p>
    <w:p w14:paraId="1D997C1E" w14:textId="77777777" w:rsidR="0059762C" w:rsidRPr="0059762C" w:rsidRDefault="0059762C" w:rsidP="0059762C">
      <w:pPr>
        <w:rPr>
          <w:rFonts w:cs="Arial"/>
          <w:b/>
          <w:bCs/>
          <w:sz w:val="22"/>
          <w:szCs w:val="22"/>
        </w:rPr>
      </w:pPr>
      <w:r w:rsidRPr="0059762C">
        <w:rPr>
          <w:rFonts w:cs="Arial"/>
          <w:b/>
          <w:bCs/>
          <w:sz w:val="22"/>
          <w:szCs w:val="22"/>
        </w:rPr>
        <w:t>Programme Managing Outcomes and Consequential Assurance  </w:t>
      </w:r>
    </w:p>
    <w:p w14:paraId="243B4EB6" w14:textId="77777777" w:rsidR="0059762C" w:rsidRPr="0059762C" w:rsidRDefault="0059762C" w:rsidP="0059762C">
      <w:pPr>
        <w:rPr>
          <w:rFonts w:cs="Arial"/>
          <w:sz w:val="22"/>
          <w:szCs w:val="22"/>
        </w:rPr>
      </w:pPr>
      <w:r w:rsidRPr="0059762C">
        <w:rPr>
          <w:rFonts w:cs="Arial"/>
          <w:sz w:val="22"/>
          <w:szCs w:val="22"/>
        </w:rPr>
        <w:t>DESNZ ICF has adopted a programme management approach which is aligned with the FCDO Programme Operating Framework (</w:t>
      </w:r>
      <w:proofErr w:type="spellStart"/>
      <w:r w:rsidRPr="0059762C">
        <w:rPr>
          <w:rFonts w:cs="Arial"/>
          <w:sz w:val="22"/>
          <w:szCs w:val="22"/>
        </w:rPr>
        <w:t>PrOF</w:t>
      </w:r>
      <w:proofErr w:type="spellEnd"/>
      <w:r w:rsidRPr="0059762C">
        <w:rPr>
          <w:rFonts w:cs="Arial"/>
          <w:sz w:val="22"/>
          <w:szCs w:val="22"/>
        </w:rPr>
        <w:t>) ‘Rules and Guide’ and ensures a clear separation between those delivering and those checking against compliance and performance. This approach is set out in the DESNZ ICF ‘Operating Manual’. The day-to-day programme management of AIM4Forests will be undertaken by an SEO Programme Manager, whilst the Portfolio Management Office (PMO) will monitor through monthly Programme Delivery Plan (PDP) meetings and Annual Reviews. Additionally, all programmes in ICF are subject to portfolio-level governance and assurance processes in accordance with FCDO best practice for delivering ODA, following HM Treasury guidance on ‘ODA Value- for- Money’ and the framework for ‘Managing Public Money’. This is set out in DESNZ ICF ‘Governing Principles’. </w:t>
      </w:r>
    </w:p>
    <w:p w14:paraId="12475E5B" w14:textId="77777777" w:rsidR="0059762C" w:rsidRPr="0059762C" w:rsidRDefault="0059762C" w:rsidP="0059762C">
      <w:pPr>
        <w:rPr>
          <w:rFonts w:cs="Arial"/>
          <w:sz w:val="22"/>
          <w:szCs w:val="22"/>
        </w:rPr>
      </w:pPr>
      <w:r w:rsidRPr="0059762C">
        <w:rPr>
          <w:rFonts w:cs="Arial"/>
          <w:sz w:val="22"/>
          <w:szCs w:val="22"/>
        </w:rPr>
        <w:t> </w:t>
      </w:r>
    </w:p>
    <w:p w14:paraId="56FB926A" w14:textId="77777777" w:rsidR="0059762C" w:rsidRPr="0059762C" w:rsidRDefault="0059762C" w:rsidP="0059762C">
      <w:pPr>
        <w:rPr>
          <w:rFonts w:cs="Arial"/>
          <w:b/>
          <w:bCs/>
          <w:sz w:val="22"/>
          <w:szCs w:val="22"/>
        </w:rPr>
      </w:pPr>
      <w:r w:rsidRPr="0059762C">
        <w:rPr>
          <w:rFonts w:cs="Arial"/>
          <w:b/>
          <w:bCs/>
          <w:sz w:val="22"/>
          <w:szCs w:val="22"/>
        </w:rPr>
        <w:t>Programme: IAAP Schedule  </w:t>
      </w:r>
    </w:p>
    <w:p w14:paraId="2BC24184" w14:textId="13BE60E6" w:rsidR="0059762C" w:rsidRPr="0059762C" w:rsidRDefault="0059762C" w:rsidP="0059762C">
      <w:pPr>
        <w:rPr>
          <w:rFonts w:cs="Arial"/>
          <w:sz w:val="22"/>
          <w:szCs w:val="22"/>
        </w:rPr>
      </w:pPr>
      <w:r w:rsidRPr="0059762C">
        <w:rPr>
          <w:rFonts w:cs="Arial"/>
          <w:sz w:val="22"/>
          <w:szCs w:val="22"/>
        </w:rPr>
        <w:t>Central to the IAAP is the schedule. This is a summary of all assurance and approval processes and allows the DESNZ ICF Portfolio to plan the various assurance and approval points.   </w:t>
      </w:r>
    </w:p>
    <w:p w14:paraId="56582D7C" w14:textId="77777777" w:rsidR="0059762C" w:rsidRPr="0059762C" w:rsidRDefault="0059762C" w:rsidP="0059762C">
      <w:pPr>
        <w:rPr>
          <w:rFonts w:cs="Arial"/>
          <w:sz w:val="22"/>
          <w:szCs w:val="22"/>
        </w:rPr>
      </w:pPr>
      <w:r w:rsidRPr="0059762C">
        <w:rPr>
          <w:rFonts w:cs="Arial"/>
          <w:sz w:val="22"/>
          <w:szCs w:val="22"/>
        </w:rPr>
        <w:t>1</w:t>
      </w:r>
      <w:r w:rsidRPr="0059762C">
        <w:rPr>
          <w:rFonts w:cs="Arial"/>
          <w:sz w:val="22"/>
          <w:szCs w:val="22"/>
          <w:vertAlign w:val="superscript"/>
        </w:rPr>
        <w:t>st</w:t>
      </w:r>
      <w:r w:rsidRPr="0059762C">
        <w:rPr>
          <w:rFonts w:cs="Arial"/>
          <w:sz w:val="22"/>
          <w:szCs w:val="22"/>
        </w:rPr>
        <w:t> Line of Defence   </w:t>
      </w:r>
    </w:p>
    <w:p w14:paraId="0FD5C14C" w14:textId="77777777" w:rsidR="0059762C" w:rsidRPr="0059762C" w:rsidRDefault="0059762C" w:rsidP="0059762C">
      <w:pPr>
        <w:numPr>
          <w:ilvl w:val="0"/>
          <w:numId w:val="520"/>
        </w:numPr>
        <w:rPr>
          <w:rFonts w:cs="Arial"/>
          <w:sz w:val="22"/>
          <w:szCs w:val="22"/>
        </w:rPr>
      </w:pPr>
      <w:r w:rsidRPr="0059762C">
        <w:rPr>
          <w:rFonts w:cs="Arial"/>
          <w:sz w:val="22"/>
          <w:szCs w:val="22"/>
        </w:rPr>
        <w:t>Update Programme Delivery Plan monthly with key information on programme delivery (updates, milestones, issues and risks, safeguarding). </w:t>
      </w:r>
    </w:p>
    <w:p w14:paraId="16652C85" w14:textId="77777777" w:rsidR="0059762C" w:rsidRPr="0059762C" w:rsidRDefault="0059762C" w:rsidP="0059762C">
      <w:pPr>
        <w:numPr>
          <w:ilvl w:val="0"/>
          <w:numId w:val="521"/>
        </w:numPr>
        <w:rPr>
          <w:rFonts w:cs="Arial"/>
          <w:sz w:val="22"/>
          <w:szCs w:val="22"/>
        </w:rPr>
      </w:pPr>
      <w:r w:rsidRPr="0059762C">
        <w:rPr>
          <w:rFonts w:cs="Arial"/>
          <w:sz w:val="22"/>
          <w:szCs w:val="22"/>
        </w:rPr>
        <w:t>Monthly conversations with Delivery Partner on safeguarding issues. </w:t>
      </w:r>
    </w:p>
    <w:p w14:paraId="4269AEBA" w14:textId="77777777" w:rsidR="0059762C" w:rsidRPr="0059762C" w:rsidRDefault="0059762C" w:rsidP="0059762C">
      <w:pPr>
        <w:numPr>
          <w:ilvl w:val="0"/>
          <w:numId w:val="522"/>
        </w:numPr>
        <w:rPr>
          <w:rFonts w:cs="Arial"/>
          <w:sz w:val="22"/>
          <w:szCs w:val="22"/>
        </w:rPr>
      </w:pPr>
      <w:r w:rsidRPr="0059762C">
        <w:rPr>
          <w:rFonts w:cs="Arial"/>
          <w:sz w:val="22"/>
          <w:szCs w:val="22"/>
        </w:rPr>
        <w:t>Internal monthly Programme Delivery Plan meetings with the ICF PMO. These 1-1 meetings allow for programme oversight at the working level.   </w:t>
      </w:r>
    </w:p>
    <w:p w14:paraId="6B60E930" w14:textId="77777777" w:rsidR="0059762C" w:rsidRPr="0059762C" w:rsidRDefault="0059762C" w:rsidP="0059762C">
      <w:pPr>
        <w:numPr>
          <w:ilvl w:val="0"/>
          <w:numId w:val="523"/>
        </w:numPr>
        <w:rPr>
          <w:rFonts w:cs="Arial"/>
          <w:sz w:val="22"/>
          <w:szCs w:val="22"/>
        </w:rPr>
      </w:pPr>
      <w:r w:rsidRPr="0059762C">
        <w:rPr>
          <w:rFonts w:cs="Arial"/>
          <w:sz w:val="22"/>
          <w:szCs w:val="22"/>
        </w:rPr>
        <w:lastRenderedPageBreak/>
        <w:t>Internal monthly DESNZ ICF Portfolio Delivery Group meetings, chaired by the DESNZ ICF Portfolio Deputy Director, is responsible for monitoring programme performance, programme risks, portfolio risks, financial performance, and recent annual reviews and outcomes.   </w:t>
      </w:r>
    </w:p>
    <w:p w14:paraId="7FDECB8C" w14:textId="77777777" w:rsidR="0059762C" w:rsidRPr="0059762C" w:rsidRDefault="0059762C" w:rsidP="0059762C">
      <w:pPr>
        <w:numPr>
          <w:ilvl w:val="0"/>
          <w:numId w:val="524"/>
        </w:numPr>
        <w:rPr>
          <w:rFonts w:cs="Arial"/>
          <w:sz w:val="22"/>
          <w:szCs w:val="22"/>
        </w:rPr>
      </w:pPr>
      <w:r w:rsidRPr="0059762C">
        <w:rPr>
          <w:rFonts w:cs="Arial"/>
          <w:sz w:val="22"/>
          <w:szCs w:val="22"/>
        </w:rPr>
        <w:t>Annual Reviews: Conducted on an annual basis and is a key tool to monitor performance and to ensure continuous improvement. The annual reviews are published.  </w:t>
      </w:r>
    </w:p>
    <w:p w14:paraId="57EBCFC4" w14:textId="1E6521EF" w:rsidR="0059762C" w:rsidRPr="0059762C" w:rsidRDefault="0059762C" w:rsidP="0059762C">
      <w:pPr>
        <w:numPr>
          <w:ilvl w:val="0"/>
          <w:numId w:val="525"/>
        </w:numPr>
        <w:rPr>
          <w:rFonts w:cs="Arial"/>
          <w:sz w:val="22"/>
          <w:szCs w:val="22"/>
        </w:rPr>
      </w:pPr>
      <w:r w:rsidRPr="0059762C">
        <w:rPr>
          <w:rFonts w:cs="Arial"/>
          <w:sz w:val="22"/>
          <w:szCs w:val="22"/>
        </w:rPr>
        <w:t>6-monthly meetings: DESNZ and Delivery Partner secretariat (Trust Fund Committee) to discuss project finances, forward look pipeline and disbursement data.   </w:t>
      </w:r>
    </w:p>
    <w:p w14:paraId="0C8E788F" w14:textId="77777777" w:rsidR="0059762C" w:rsidRPr="0059762C" w:rsidRDefault="0059762C" w:rsidP="0059762C">
      <w:pPr>
        <w:rPr>
          <w:rFonts w:cs="Arial"/>
          <w:sz w:val="22"/>
          <w:szCs w:val="22"/>
        </w:rPr>
      </w:pPr>
      <w:r w:rsidRPr="0059762C">
        <w:rPr>
          <w:rFonts w:cs="Arial"/>
          <w:sz w:val="22"/>
          <w:szCs w:val="22"/>
        </w:rPr>
        <w:t>2</w:t>
      </w:r>
      <w:r w:rsidRPr="0059762C">
        <w:rPr>
          <w:rFonts w:cs="Arial"/>
          <w:sz w:val="22"/>
          <w:szCs w:val="22"/>
          <w:vertAlign w:val="superscript"/>
        </w:rPr>
        <w:t>nd</w:t>
      </w:r>
      <w:r w:rsidRPr="0059762C">
        <w:rPr>
          <w:rFonts w:cs="Arial"/>
          <w:sz w:val="22"/>
          <w:szCs w:val="22"/>
        </w:rPr>
        <w:t> Line of Defence   </w:t>
      </w:r>
    </w:p>
    <w:p w14:paraId="50B3BE12" w14:textId="77777777" w:rsidR="0059762C" w:rsidRPr="0059762C" w:rsidRDefault="0059762C" w:rsidP="0059762C">
      <w:pPr>
        <w:numPr>
          <w:ilvl w:val="0"/>
          <w:numId w:val="526"/>
        </w:numPr>
        <w:rPr>
          <w:rFonts w:cs="Arial"/>
          <w:sz w:val="22"/>
          <w:szCs w:val="22"/>
        </w:rPr>
      </w:pPr>
      <w:r w:rsidRPr="0059762C">
        <w:rPr>
          <w:rFonts w:cs="Arial"/>
          <w:sz w:val="22"/>
          <w:szCs w:val="22"/>
        </w:rPr>
        <w:t>DESNZ ICF Portfolio Committee, which has overall responsibility for the DESNZ ICF Portfolio.  </w:t>
      </w:r>
    </w:p>
    <w:p w14:paraId="1A8F9441" w14:textId="4113FCF5" w:rsidR="0059762C" w:rsidRPr="0059762C" w:rsidRDefault="0059762C" w:rsidP="0059762C">
      <w:pPr>
        <w:numPr>
          <w:ilvl w:val="0"/>
          <w:numId w:val="527"/>
        </w:numPr>
        <w:rPr>
          <w:rFonts w:cs="Arial"/>
          <w:sz w:val="22"/>
          <w:szCs w:val="22"/>
        </w:rPr>
      </w:pPr>
      <w:r w:rsidRPr="0059762C">
        <w:rPr>
          <w:rFonts w:cs="Arial"/>
          <w:sz w:val="22"/>
          <w:szCs w:val="22"/>
        </w:rPr>
        <w:t>Programme specific governance</w:t>
      </w:r>
    </w:p>
    <w:p w14:paraId="0FDF6F4E" w14:textId="30057BF3" w:rsidR="0059762C" w:rsidRPr="0059762C" w:rsidRDefault="0059762C" w:rsidP="0059762C">
      <w:pPr>
        <w:rPr>
          <w:rFonts w:cs="Arial"/>
          <w:sz w:val="22"/>
          <w:szCs w:val="22"/>
        </w:rPr>
      </w:pPr>
      <w:r w:rsidRPr="0059762C">
        <w:rPr>
          <w:rFonts w:cs="Arial"/>
          <w:sz w:val="22"/>
          <w:szCs w:val="22"/>
        </w:rPr>
        <w:t>3</w:t>
      </w:r>
      <w:r w:rsidRPr="0059762C">
        <w:rPr>
          <w:rFonts w:cs="Arial"/>
          <w:sz w:val="22"/>
          <w:szCs w:val="22"/>
          <w:vertAlign w:val="superscript"/>
        </w:rPr>
        <w:t>rd</w:t>
      </w:r>
      <w:r w:rsidRPr="0059762C">
        <w:rPr>
          <w:rFonts w:cs="Arial"/>
          <w:sz w:val="22"/>
          <w:szCs w:val="22"/>
        </w:rPr>
        <w:t> Line of Defence    </w:t>
      </w:r>
    </w:p>
    <w:p w14:paraId="09BDB491" w14:textId="77777777" w:rsidR="0059762C" w:rsidRPr="0059762C" w:rsidRDefault="0059762C" w:rsidP="0059762C">
      <w:pPr>
        <w:numPr>
          <w:ilvl w:val="0"/>
          <w:numId w:val="528"/>
        </w:numPr>
        <w:rPr>
          <w:rFonts w:cs="Arial"/>
          <w:sz w:val="22"/>
          <w:szCs w:val="22"/>
        </w:rPr>
      </w:pPr>
      <w:r w:rsidRPr="0059762C">
        <w:rPr>
          <w:rFonts w:cs="Arial"/>
          <w:sz w:val="22"/>
          <w:szCs w:val="22"/>
        </w:rPr>
        <w:t>Programme-specific assurance reviews are conducted on an ad-hoc basis when a need is identified.  </w:t>
      </w:r>
    </w:p>
    <w:p w14:paraId="4DC4DF1D" w14:textId="77777777" w:rsidR="0059762C" w:rsidRDefault="0059762C" w:rsidP="0059762C">
      <w:pPr>
        <w:numPr>
          <w:ilvl w:val="0"/>
          <w:numId w:val="529"/>
        </w:numPr>
        <w:rPr>
          <w:rFonts w:cs="Arial"/>
          <w:sz w:val="22"/>
          <w:szCs w:val="22"/>
        </w:rPr>
      </w:pPr>
      <w:r w:rsidRPr="0059762C">
        <w:rPr>
          <w:rFonts w:cs="Arial"/>
          <w:sz w:val="22"/>
          <w:szCs w:val="22"/>
        </w:rPr>
        <w:t>In discussion with ICF Portfolio Committee and PMO, </w:t>
      </w:r>
      <w:proofErr w:type="gramStart"/>
      <w:r w:rsidRPr="0059762C">
        <w:rPr>
          <w:rFonts w:cs="Arial"/>
          <w:sz w:val="22"/>
          <w:szCs w:val="22"/>
        </w:rPr>
        <w:t>make a decision</w:t>
      </w:r>
      <w:proofErr w:type="gramEnd"/>
      <w:r w:rsidRPr="0059762C">
        <w:rPr>
          <w:rFonts w:cs="Arial"/>
          <w:sz w:val="22"/>
          <w:szCs w:val="22"/>
        </w:rPr>
        <w:t> on </w:t>
      </w:r>
      <w:proofErr w:type="gramStart"/>
      <w:r w:rsidRPr="0059762C">
        <w:rPr>
          <w:rFonts w:cs="Arial"/>
          <w:sz w:val="22"/>
          <w:szCs w:val="22"/>
        </w:rPr>
        <w:t>whether or not</w:t>
      </w:r>
      <w:proofErr w:type="gramEnd"/>
      <w:r w:rsidRPr="0059762C">
        <w:rPr>
          <w:rFonts w:cs="Arial"/>
          <w:sz w:val="22"/>
          <w:szCs w:val="22"/>
        </w:rPr>
        <w:t> to commission portfolio-level external reviews, such as Government Internal Audit Agency (GIAA) and Independent Commission for Aid Impact (ICAI). Such reviews would be managed by DESNZ ICF PMO and the CIF Extension programme team.  </w:t>
      </w:r>
    </w:p>
    <w:p w14:paraId="097F811D" w14:textId="7B88EC01" w:rsidR="00300AE1" w:rsidRDefault="00300AE1">
      <w:pPr>
        <w:rPr>
          <w:rFonts w:cs="Arial"/>
          <w:sz w:val="22"/>
          <w:szCs w:val="22"/>
        </w:rPr>
      </w:pPr>
      <w:r>
        <w:rPr>
          <w:rFonts w:cs="Arial"/>
          <w:sz w:val="22"/>
          <w:szCs w:val="22"/>
        </w:rPr>
        <w:br w:type="page"/>
      </w:r>
    </w:p>
    <w:p w14:paraId="0B984302" w14:textId="77777777" w:rsidR="00300AE1" w:rsidRDefault="00300AE1" w:rsidP="00300AE1">
      <w:pPr>
        <w:rPr>
          <w:rFonts w:cs="Arial"/>
          <w:sz w:val="22"/>
          <w:szCs w:val="22"/>
        </w:rPr>
        <w:sectPr w:rsidR="00300AE1" w:rsidSect="00383522">
          <w:pgSz w:w="11906" w:h="16838" w:code="9"/>
          <w:pgMar w:top="720"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ED2E497" w14:textId="610B4E4B" w:rsidR="00300AE1" w:rsidRPr="00C70418" w:rsidRDefault="00300AE1" w:rsidP="00300AE1">
      <w:pPr>
        <w:rPr>
          <w:rFonts w:cs="Arial"/>
          <w:b/>
          <w:bCs/>
          <w:sz w:val="22"/>
          <w:szCs w:val="22"/>
          <w:u w:val="single"/>
        </w:rPr>
      </w:pPr>
      <w:r w:rsidRPr="00C70418">
        <w:rPr>
          <w:rFonts w:cs="Arial"/>
          <w:b/>
          <w:bCs/>
          <w:sz w:val="22"/>
          <w:szCs w:val="22"/>
          <w:u w:val="single"/>
        </w:rPr>
        <w:lastRenderedPageBreak/>
        <w:t>Annex N: Draft logframe for extension</w:t>
      </w:r>
    </w:p>
    <w:p w14:paraId="44E6FD30" w14:textId="24405BFA" w:rsidR="00300AE1" w:rsidRPr="0059762C" w:rsidRDefault="00300AE1" w:rsidP="00300AE1">
      <w:pPr>
        <w:rPr>
          <w:rFonts w:cs="Arial"/>
          <w:sz w:val="22"/>
          <w:szCs w:val="22"/>
        </w:rPr>
      </w:pPr>
      <w:r w:rsidRPr="00300AE1">
        <w:rPr>
          <w:rFonts w:cs="Arial"/>
          <w:noProof/>
          <w:sz w:val="22"/>
          <w:szCs w:val="22"/>
        </w:rPr>
        <w:drawing>
          <wp:inline distT="0" distB="0" distL="0" distR="0" wp14:anchorId="5415458C" wp14:editId="0D5FAE3D">
            <wp:extent cx="9514840" cy="4153535"/>
            <wp:effectExtent l="0" t="0" r="0" b="0"/>
            <wp:docPr id="16962567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56718" name="Picture 1" descr="A screenshot of a computer&#10;&#10;AI-generated content may be incorrect."/>
                    <pic:cNvPicPr/>
                  </pic:nvPicPr>
                  <pic:blipFill>
                    <a:blip r:embed="rId27"/>
                    <a:stretch>
                      <a:fillRect/>
                    </a:stretch>
                  </pic:blipFill>
                  <pic:spPr>
                    <a:xfrm>
                      <a:off x="0" y="0"/>
                      <a:ext cx="9514840" cy="4153535"/>
                    </a:xfrm>
                    <a:prstGeom prst="rect">
                      <a:avLst/>
                    </a:prstGeom>
                  </pic:spPr>
                </pic:pic>
              </a:graphicData>
            </a:graphic>
          </wp:inline>
        </w:drawing>
      </w:r>
    </w:p>
    <w:p w14:paraId="62131BFF" w14:textId="77777777" w:rsidR="00C70418" w:rsidRDefault="00C70418">
      <w:pPr>
        <w:rPr>
          <w:rFonts w:cs="Arial"/>
          <w:b/>
          <w:bCs/>
          <w:i/>
          <w:iCs/>
          <w:sz w:val="22"/>
          <w:szCs w:val="22"/>
        </w:rPr>
      </w:pPr>
    </w:p>
    <w:p w14:paraId="2CE4429D" w14:textId="20BF26BB" w:rsidR="0059762C" w:rsidRDefault="00C70418">
      <w:pPr>
        <w:rPr>
          <w:rFonts w:cs="Arial"/>
          <w:b/>
          <w:bCs/>
          <w:i/>
          <w:iCs/>
          <w:sz w:val="22"/>
          <w:szCs w:val="22"/>
        </w:rPr>
      </w:pPr>
      <w:r w:rsidRPr="00C70418">
        <w:rPr>
          <w:rFonts w:cs="Arial"/>
          <w:b/>
          <w:bCs/>
          <w:i/>
          <w:iCs/>
          <w:noProof/>
          <w:sz w:val="22"/>
          <w:szCs w:val="22"/>
        </w:rPr>
        <w:lastRenderedPageBreak/>
        <w:drawing>
          <wp:inline distT="0" distB="0" distL="0" distR="0" wp14:anchorId="603DA24F" wp14:editId="2F86C8B1">
            <wp:extent cx="9514840" cy="3511550"/>
            <wp:effectExtent l="0" t="0" r="0" b="0"/>
            <wp:docPr id="330985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8503" name="Picture 1" descr="A screenshot of a computer&#10;&#10;AI-generated content may be incorrect."/>
                    <pic:cNvPicPr/>
                  </pic:nvPicPr>
                  <pic:blipFill>
                    <a:blip r:embed="rId28"/>
                    <a:stretch>
                      <a:fillRect/>
                    </a:stretch>
                  </pic:blipFill>
                  <pic:spPr>
                    <a:xfrm>
                      <a:off x="0" y="0"/>
                      <a:ext cx="9514840" cy="3511550"/>
                    </a:xfrm>
                    <a:prstGeom prst="rect">
                      <a:avLst/>
                    </a:prstGeom>
                  </pic:spPr>
                </pic:pic>
              </a:graphicData>
            </a:graphic>
          </wp:inline>
        </w:drawing>
      </w:r>
      <w:r w:rsidR="00BF00C7" w:rsidRPr="00BF00C7">
        <w:rPr>
          <w:rFonts w:cs="Arial"/>
          <w:b/>
          <w:bCs/>
          <w:i/>
          <w:iCs/>
          <w:noProof/>
          <w:sz w:val="22"/>
          <w:szCs w:val="22"/>
        </w:rPr>
        <w:lastRenderedPageBreak/>
        <w:drawing>
          <wp:inline distT="0" distB="0" distL="0" distR="0" wp14:anchorId="24739E68" wp14:editId="0AE2913F">
            <wp:extent cx="9514840" cy="2519045"/>
            <wp:effectExtent l="0" t="0" r="0" b="0"/>
            <wp:docPr id="2843837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83750" name="Picture 1" descr="A screenshot of a computer&#10;&#10;AI-generated content may be incorrect."/>
                    <pic:cNvPicPr/>
                  </pic:nvPicPr>
                  <pic:blipFill>
                    <a:blip r:embed="rId29"/>
                    <a:stretch>
                      <a:fillRect/>
                    </a:stretch>
                  </pic:blipFill>
                  <pic:spPr>
                    <a:xfrm>
                      <a:off x="0" y="0"/>
                      <a:ext cx="9514840" cy="2519045"/>
                    </a:xfrm>
                    <a:prstGeom prst="rect">
                      <a:avLst/>
                    </a:prstGeom>
                  </pic:spPr>
                </pic:pic>
              </a:graphicData>
            </a:graphic>
          </wp:inline>
        </w:drawing>
      </w:r>
    </w:p>
    <w:p w14:paraId="5A5D6749" w14:textId="1901DB33" w:rsidR="00C70418" w:rsidRPr="00086856" w:rsidRDefault="00C70418">
      <w:pPr>
        <w:rPr>
          <w:rFonts w:cs="Arial"/>
          <w:b/>
          <w:bCs/>
          <w:i/>
          <w:iCs/>
          <w:sz w:val="22"/>
          <w:szCs w:val="22"/>
        </w:rPr>
      </w:pPr>
      <w:r w:rsidRPr="00C70418">
        <w:rPr>
          <w:rFonts w:cs="Arial"/>
          <w:b/>
          <w:bCs/>
          <w:i/>
          <w:iCs/>
          <w:noProof/>
          <w:sz w:val="22"/>
          <w:szCs w:val="22"/>
        </w:rPr>
        <w:lastRenderedPageBreak/>
        <w:drawing>
          <wp:inline distT="0" distB="0" distL="0" distR="0" wp14:anchorId="7742F59D" wp14:editId="30A23DA9">
            <wp:extent cx="9514840" cy="5081270"/>
            <wp:effectExtent l="0" t="0" r="0" b="5080"/>
            <wp:docPr id="16825944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94453" name="Picture 1" descr="A screenshot of a computer&#10;&#10;AI-generated content may be incorrect."/>
                    <pic:cNvPicPr/>
                  </pic:nvPicPr>
                  <pic:blipFill>
                    <a:blip r:embed="rId30"/>
                    <a:stretch>
                      <a:fillRect/>
                    </a:stretch>
                  </pic:blipFill>
                  <pic:spPr>
                    <a:xfrm>
                      <a:off x="0" y="0"/>
                      <a:ext cx="9514840" cy="5081270"/>
                    </a:xfrm>
                    <a:prstGeom prst="rect">
                      <a:avLst/>
                    </a:prstGeom>
                  </pic:spPr>
                </pic:pic>
              </a:graphicData>
            </a:graphic>
          </wp:inline>
        </w:drawing>
      </w:r>
    </w:p>
    <w:sectPr w:rsidR="00C70418" w:rsidRPr="00086856" w:rsidSect="00300AE1">
      <w:pgSz w:w="16838" w:h="11906" w:orient="landscape" w:code="9"/>
      <w:pgMar w:top="851" w:right="720"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BB6D6" w14:textId="77777777" w:rsidR="008A32C4" w:rsidRPr="00E76A09" w:rsidRDefault="008A32C4">
      <w:r w:rsidRPr="00E76A09">
        <w:separator/>
      </w:r>
    </w:p>
  </w:endnote>
  <w:endnote w:type="continuationSeparator" w:id="0">
    <w:p w14:paraId="34BB6372" w14:textId="77777777" w:rsidR="008A32C4" w:rsidRPr="00E76A09" w:rsidRDefault="008A32C4">
      <w:r w:rsidRPr="00E76A09">
        <w:continuationSeparator/>
      </w:r>
    </w:p>
  </w:endnote>
  <w:endnote w:type="continuationNotice" w:id="1">
    <w:p w14:paraId="02E19AB4" w14:textId="77777777" w:rsidR="008A32C4" w:rsidRPr="00E76A09" w:rsidRDefault="008A32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B0E87" w14:textId="6843931F" w:rsidR="005B5FBF" w:rsidRPr="00E76A09" w:rsidRDefault="00F06B07" w:rsidP="00CC0651">
    <w:pPr>
      <w:pStyle w:val="Footer"/>
      <w:framePr w:wrap="around" w:vAnchor="text" w:hAnchor="margin" w:xAlign="center" w:y="1"/>
      <w:rPr>
        <w:rStyle w:val="PageNumber"/>
      </w:rPr>
    </w:pPr>
    <w:r w:rsidRPr="004D2825">
      <w:rPr>
        <w:noProof/>
      </w:rPr>
      <mc:AlternateContent>
        <mc:Choice Requires="wps">
          <w:drawing>
            <wp:anchor distT="0" distB="0" distL="0" distR="0" simplePos="0" relativeHeight="251658240" behindDoc="0" locked="0" layoutInCell="1" allowOverlap="1" wp14:anchorId="036FFF35" wp14:editId="7E94D28E">
              <wp:simplePos x="635" y="635"/>
              <wp:positionH relativeFrom="page">
                <wp:align>center</wp:align>
              </wp:positionH>
              <wp:positionV relativeFrom="page">
                <wp:align>bottom</wp:align>
              </wp:positionV>
              <wp:extent cx="459740" cy="432435"/>
              <wp:effectExtent l="0" t="0" r="16510" b="0"/>
              <wp:wrapNone/>
              <wp:docPr id="183840986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32435"/>
                      </a:xfrm>
                      <a:prstGeom prst="rect">
                        <a:avLst/>
                      </a:prstGeom>
                      <a:noFill/>
                      <a:ln>
                        <a:noFill/>
                      </a:ln>
                    </wps:spPr>
                    <wps:txbx>
                      <w:txbxContent>
                        <w:p w14:paraId="036BFE0A" w14:textId="60FD7489" w:rsidR="00F06B07" w:rsidRPr="003D2A81" w:rsidRDefault="00F06B07" w:rsidP="00F06B07">
                          <w:pPr>
                            <w:spacing w:after="0"/>
                            <w:rPr>
                              <w:rFonts w:ascii="Calibri" w:eastAsia="Calibri" w:hAnsi="Calibri" w:cs="Calibri"/>
                              <w:color w:val="000000"/>
                            </w:rPr>
                          </w:pPr>
                          <w:r w:rsidRPr="003D2A81">
                            <w:rPr>
                              <w:rFonts w:ascii="Calibri" w:eastAsia="Calibri" w:hAnsi="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59B3255">
            <v:shapetype id="_x0000_t202" coordsize="21600,21600" o:spt="202" path="m,l,21600r21600,l21600,xe" w14:anchorId="036FFF35">
              <v:stroke joinstyle="miter"/>
              <v:path gradientshapeok="t" o:connecttype="rect"/>
            </v:shapetype>
            <v:shape id="Text Box 5" style="position:absolute;margin-left:0;margin-top:0;width:36.2pt;height:34.0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">
              <v:textbox style="mso-fit-shape-to-text:t" inset="0,0,0,15pt">
                <w:txbxContent>
                  <w:p w:rsidRPr="003D2A81" w:rsidR="00F06B07" w:rsidP="00F06B07" w:rsidRDefault="00F06B07" w14:paraId="09E77742" w14:textId="60FD7489">
                    <w:pPr>
                      <w:spacing w:after="0"/>
                      <w:rPr>
                        <w:rFonts w:ascii="Calibri" w:hAnsi="Calibri" w:eastAsia="Calibri" w:cs="Calibri"/>
                        <w:color w:val="000000"/>
                      </w:rPr>
                    </w:pPr>
                    <w:r w:rsidRPr="003D2A81">
                      <w:rPr>
                        <w:rFonts w:ascii="Calibri" w:hAnsi="Calibri" w:eastAsia="Calibri" w:cs="Calibri"/>
                        <w:color w:val="000000"/>
                      </w:rPr>
                      <w:t>OFFICIAL</w:t>
                    </w:r>
                  </w:p>
                </w:txbxContent>
              </v:textbox>
              <w10:wrap anchorx="page" anchory="page"/>
            </v:shape>
          </w:pict>
        </mc:Fallback>
      </mc:AlternateContent>
    </w:r>
    <w:r w:rsidR="005B5FBF" w:rsidRPr="00E76A09">
      <w:rPr>
        <w:rStyle w:val="PageNumber"/>
      </w:rPr>
      <w:fldChar w:fldCharType="begin"/>
    </w:r>
    <w:r w:rsidR="005B5FBF" w:rsidRPr="00E76A09">
      <w:rPr>
        <w:rStyle w:val="PageNumber"/>
      </w:rPr>
      <w:instrText xml:space="preserve">PAGE  </w:instrText>
    </w:r>
    <w:r w:rsidR="005B5FBF" w:rsidRPr="00E76A09">
      <w:rPr>
        <w:rStyle w:val="PageNumber"/>
      </w:rPr>
      <w:fldChar w:fldCharType="separate"/>
    </w:r>
    <w:r w:rsidR="00F675BC" w:rsidRPr="00E76A09">
      <w:rPr>
        <w:rStyle w:val="PageNumber"/>
      </w:rPr>
      <w:t>10</w:t>
    </w:r>
    <w:r w:rsidR="005B5FBF" w:rsidRPr="00E76A09">
      <w:rPr>
        <w:rStyle w:val="PageNumber"/>
      </w:rPr>
      <w:fldChar w:fldCharType="end"/>
    </w:r>
  </w:p>
  <w:p w14:paraId="763B0E88" w14:textId="77777777" w:rsidR="005B5FBF" w:rsidRPr="00E76A09" w:rsidRDefault="005B5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B0E89" w14:textId="7C3CCD70" w:rsidR="005B5FBF" w:rsidRPr="00E76A09" w:rsidRDefault="00F06B07" w:rsidP="00CC0651">
    <w:pPr>
      <w:pStyle w:val="Footer"/>
      <w:framePr w:wrap="around" w:vAnchor="text" w:hAnchor="margin" w:xAlign="center" w:y="1"/>
      <w:rPr>
        <w:rStyle w:val="PageNumber"/>
      </w:rPr>
    </w:pPr>
    <w:r w:rsidRPr="004D2825">
      <w:rPr>
        <w:noProof/>
      </w:rPr>
      <mc:AlternateContent>
        <mc:Choice Requires="wps">
          <w:drawing>
            <wp:anchor distT="0" distB="0" distL="0" distR="0" simplePos="0" relativeHeight="251658241" behindDoc="0" locked="0" layoutInCell="1" allowOverlap="1" wp14:anchorId="43A23E38" wp14:editId="26D8A28D">
              <wp:simplePos x="3752850" y="9934575"/>
              <wp:positionH relativeFrom="page">
                <wp:align>center</wp:align>
              </wp:positionH>
              <wp:positionV relativeFrom="page">
                <wp:align>bottom</wp:align>
              </wp:positionV>
              <wp:extent cx="459740" cy="432435"/>
              <wp:effectExtent l="0" t="0" r="16510" b="0"/>
              <wp:wrapNone/>
              <wp:docPr id="207966153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32435"/>
                      </a:xfrm>
                      <a:prstGeom prst="rect">
                        <a:avLst/>
                      </a:prstGeom>
                      <a:noFill/>
                      <a:ln>
                        <a:noFill/>
                      </a:ln>
                    </wps:spPr>
                    <wps:txbx>
                      <w:txbxContent>
                        <w:p w14:paraId="25B01EE7" w14:textId="709E3D29" w:rsidR="00F06B07" w:rsidRPr="003D2A81" w:rsidRDefault="00F06B07" w:rsidP="00F06B07">
                          <w:pPr>
                            <w:spacing w:after="0"/>
                            <w:rPr>
                              <w:rFonts w:ascii="Calibri" w:eastAsia="Calibri" w:hAnsi="Calibri" w:cs="Calibri"/>
                              <w:color w:val="000000"/>
                            </w:rPr>
                          </w:pPr>
                          <w:r w:rsidRPr="003D2A81">
                            <w:rPr>
                              <w:rFonts w:ascii="Calibri" w:eastAsia="Calibri" w:hAnsi="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01F5004">
            <v:shapetype id="_x0000_t202" coordsize="21600,21600" o:spt="202" path="m,l,21600r21600,l21600,xe" w14:anchorId="43A23E38">
              <v:stroke joinstyle="miter"/>
              <v:path gradientshapeok="t" o:connecttype="rect"/>
            </v:shapetype>
            <v:shape id="Text Box 6" style="position:absolute;margin-left:0;margin-top:0;width:36.2pt;height:34.0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">
              <v:textbox style="mso-fit-shape-to-text:t" inset="0,0,0,15pt">
                <w:txbxContent>
                  <w:p w:rsidRPr="003D2A81" w:rsidR="00F06B07" w:rsidP="00F06B07" w:rsidRDefault="00F06B07" w14:paraId="08CE8BEA" w14:textId="709E3D29">
                    <w:pPr>
                      <w:spacing w:after="0"/>
                      <w:rPr>
                        <w:rFonts w:ascii="Calibri" w:hAnsi="Calibri" w:eastAsia="Calibri" w:cs="Calibri"/>
                        <w:color w:val="000000"/>
                      </w:rPr>
                    </w:pPr>
                    <w:r w:rsidRPr="003D2A81">
                      <w:rPr>
                        <w:rFonts w:ascii="Calibri" w:hAnsi="Calibri" w:eastAsia="Calibri" w:cs="Calibri"/>
                        <w:color w:val="000000"/>
                      </w:rPr>
                      <w:t>OFFICIAL</w:t>
                    </w:r>
                  </w:p>
                </w:txbxContent>
              </v:textbox>
              <w10:wrap anchorx="page" anchory="page"/>
            </v:shape>
          </w:pict>
        </mc:Fallback>
      </mc:AlternateContent>
    </w:r>
    <w:r w:rsidR="005B5FBF" w:rsidRPr="00E76A09">
      <w:rPr>
        <w:rStyle w:val="PageNumber"/>
      </w:rPr>
      <w:fldChar w:fldCharType="begin"/>
    </w:r>
    <w:r w:rsidR="005B5FBF" w:rsidRPr="00E76A09">
      <w:rPr>
        <w:rStyle w:val="PageNumber"/>
      </w:rPr>
      <w:instrText xml:space="preserve">PAGE  </w:instrText>
    </w:r>
    <w:r w:rsidR="005B5FBF" w:rsidRPr="00E76A09">
      <w:rPr>
        <w:rStyle w:val="PageNumber"/>
      </w:rPr>
      <w:fldChar w:fldCharType="separate"/>
    </w:r>
    <w:r w:rsidR="00547D98" w:rsidRPr="00E76A09">
      <w:rPr>
        <w:rStyle w:val="PageNumber"/>
      </w:rPr>
      <w:t>8</w:t>
    </w:r>
    <w:r w:rsidR="005B5FBF" w:rsidRPr="00E76A09">
      <w:rPr>
        <w:rStyle w:val="PageNumber"/>
      </w:rPr>
      <w:fldChar w:fldCharType="end"/>
    </w:r>
  </w:p>
  <w:p w14:paraId="763B0E8A" w14:textId="77777777" w:rsidR="005B5FBF" w:rsidRPr="00E76A09" w:rsidRDefault="005B5F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26F6" w14:textId="7725E649" w:rsidR="00F06B07" w:rsidRPr="00E76A09" w:rsidRDefault="00F06B07">
    <w:pPr>
      <w:pStyle w:val="Footer"/>
    </w:pPr>
    <w:r w:rsidRPr="004D2825">
      <w:rPr>
        <w:noProof/>
      </w:rPr>
      <mc:AlternateContent>
        <mc:Choice Requires="wps">
          <w:drawing>
            <wp:anchor distT="0" distB="0" distL="0" distR="0" simplePos="0" relativeHeight="251658245" behindDoc="0" locked="0" layoutInCell="1" allowOverlap="1" wp14:anchorId="04008804" wp14:editId="5A2ECC16">
              <wp:simplePos x="635" y="635"/>
              <wp:positionH relativeFrom="page">
                <wp:align>center</wp:align>
              </wp:positionH>
              <wp:positionV relativeFrom="page">
                <wp:align>bottom</wp:align>
              </wp:positionV>
              <wp:extent cx="459740" cy="432435"/>
              <wp:effectExtent l="0" t="0" r="16510" b="0"/>
              <wp:wrapNone/>
              <wp:docPr id="23553535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32435"/>
                      </a:xfrm>
                      <a:prstGeom prst="rect">
                        <a:avLst/>
                      </a:prstGeom>
                      <a:noFill/>
                      <a:ln>
                        <a:noFill/>
                      </a:ln>
                    </wps:spPr>
                    <wps:txbx>
                      <w:txbxContent>
                        <w:p w14:paraId="72E8803F" w14:textId="5C8CD4C4" w:rsidR="00F06B07" w:rsidRPr="003D2A81" w:rsidRDefault="00F06B07" w:rsidP="00F06B07">
                          <w:pPr>
                            <w:spacing w:after="0"/>
                            <w:rPr>
                              <w:rFonts w:ascii="Calibri" w:eastAsia="Calibri" w:hAnsi="Calibri" w:cs="Calibri"/>
                              <w:color w:val="000000"/>
                            </w:rPr>
                          </w:pPr>
                          <w:r w:rsidRPr="003D2A81">
                            <w:rPr>
                              <w:rFonts w:ascii="Calibri" w:eastAsia="Calibri" w:hAnsi="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86C891A">
            <v:shapetype id="_x0000_t202" coordsize="21600,21600" o:spt="202" path="m,l,21600r21600,l21600,xe" w14:anchorId="04008804">
              <v:stroke joinstyle="miter"/>
              <v:path gradientshapeok="t" o:connecttype="rect"/>
            </v:shapetype>
            <v:shape id="Text Box 4" style="position:absolute;margin-left:0;margin-top:0;width:36.2pt;height:34.0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">
              <v:textbox style="mso-fit-shape-to-text:t" inset="0,0,0,15pt">
                <w:txbxContent>
                  <w:p w:rsidRPr="003D2A81" w:rsidR="00F06B07" w:rsidP="00F06B07" w:rsidRDefault="00F06B07" w14:paraId="171AAEBA" w14:textId="5C8CD4C4">
                    <w:pPr>
                      <w:spacing w:after="0"/>
                      <w:rPr>
                        <w:rFonts w:ascii="Calibri" w:hAnsi="Calibri" w:eastAsia="Calibri" w:cs="Calibri"/>
                        <w:color w:val="000000"/>
                      </w:rPr>
                    </w:pPr>
                    <w:r w:rsidRPr="003D2A81">
                      <w:rPr>
                        <w:rFonts w:ascii="Calibri" w:hAnsi="Calibri" w:eastAsia="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9760E" w14:textId="77777777" w:rsidR="008A32C4" w:rsidRPr="00E76A09" w:rsidRDefault="008A32C4">
      <w:r w:rsidRPr="00E76A09">
        <w:separator/>
      </w:r>
    </w:p>
  </w:footnote>
  <w:footnote w:type="continuationSeparator" w:id="0">
    <w:p w14:paraId="53D3509E" w14:textId="77777777" w:rsidR="008A32C4" w:rsidRPr="00E76A09" w:rsidRDefault="008A32C4">
      <w:r w:rsidRPr="00E76A09">
        <w:continuationSeparator/>
      </w:r>
    </w:p>
  </w:footnote>
  <w:footnote w:type="continuationNotice" w:id="1">
    <w:p w14:paraId="65703B90" w14:textId="77777777" w:rsidR="008A32C4" w:rsidRPr="00E76A09" w:rsidRDefault="008A32C4">
      <w:pPr>
        <w:spacing w:before="0" w:after="0" w:line="240" w:lineRule="auto"/>
      </w:pPr>
    </w:p>
  </w:footnote>
  <w:footnote w:id="2">
    <w:p w14:paraId="56163356" w14:textId="63AD7EF5" w:rsidR="007A0C1E" w:rsidRPr="00E76A09" w:rsidRDefault="007A0C1E">
      <w:pPr>
        <w:pStyle w:val="FootnoteText"/>
        <w:rPr>
          <w:sz w:val="18"/>
          <w:szCs w:val="18"/>
        </w:rPr>
      </w:pPr>
      <w:r w:rsidRPr="00E76A09">
        <w:rPr>
          <w:rStyle w:val="FootnoteReference"/>
          <w:sz w:val="18"/>
          <w:szCs w:val="18"/>
        </w:rPr>
        <w:footnoteRef/>
      </w:r>
      <w:r w:rsidRPr="00E76A09">
        <w:rPr>
          <w:sz w:val="18"/>
          <w:szCs w:val="18"/>
        </w:rPr>
        <w:t xml:space="preserve"> We are currently providing 16 countries with in-country technical assistance plus an additional 3 countries who do not receive in-country technical assistance but are part of the Country-Led Planning Process. The target is to support 20 countries with in-country technical assistance. </w:t>
      </w:r>
    </w:p>
  </w:footnote>
  <w:footnote w:id="3">
    <w:p w14:paraId="1BBC9326" w14:textId="4E7503C6" w:rsidR="583ABEC1" w:rsidRPr="00E76A09" w:rsidRDefault="583ABEC1" w:rsidP="007B73C9">
      <w:pPr>
        <w:pStyle w:val="FootnoteText"/>
      </w:pPr>
      <w:r w:rsidRPr="00E76A09">
        <w:rPr>
          <w:rStyle w:val="FootnoteReference"/>
          <w:sz w:val="18"/>
          <w:szCs w:val="18"/>
        </w:rPr>
        <w:footnoteRef/>
      </w:r>
      <w:r w:rsidRPr="00E76A09">
        <w:rPr>
          <w:sz w:val="18"/>
          <w:szCs w:val="18"/>
        </w:rPr>
        <w:t xml:space="preserve"> On recommendation from the mid-term evaluation, the previously labelled Output 6 (Countries progress towards embedding NFMS and MRV in national institutions, ensuring results are transparent and accessible to all users) </w:t>
      </w:r>
      <w:r w:rsidR="00FB5219" w:rsidRPr="00E76A09">
        <w:rPr>
          <w:sz w:val="18"/>
          <w:szCs w:val="18"/>
        </w:rPr>
        <w:t>w</w:t>
      </w:r>
      <w:r w:rsidRPr="00E76A09">
        <w:rPr>
          <w:sz w:val="18"/>
          <w:szCs w:val="18"/>
        </w:rPr>
        <w:t>as dissolved and merged into other activities. This was due to the overlaps with activities under other outputs. In early 2025, a new output on nature restoration was added to the programme (this was previously referred to as Output 7) however due to the dissolution of the previous Output 6 – th</w:t>
      </w:r>
      <w:r w:rsidR="00E2304E" w:rsidRPr="00E76A09">
        <w:rPr>
          <w:sz w:val="18"/>
          <w:szCs w:val="18"/>
        </w:rPr>
        <w:t>is</w:t>
      </w:r>
      <w:r w:rsidRPr="00E76A09">
        <w:rPr>
          <w:sz w:val="18"/>
          <w:szCs w:val="18"/>
        </w:rPr>
        <w:t xml:space="preserve"> output on nature restoration has </w:t>
      </w:r>
      <w:r w:rsidR="00E2304E" w:rsidRPr="00E76A09">
        <w:rPr>
          <w:sz w:val="18"/>
          <w:szCs w:val="18"/>
        </w:rPr>
        <w:t xml:space="preserve">now </w:t>
      </w:r>
      <w:r w:rsidRPr="00E76A09">
        <w:rPr>
          <w:sz w:val="18"/>
          <w:szCs w:val="18"/>
        </w:rPr>
        <w:t>been labelled Output 6.</w:t>
      </w:r>
      <w:r w:rsidRPr="00E76A09">
        <w:t xml:space="preserve">     </w:t>
      </w:r>
    </w:p>
  </w:footnote>
  <w:footnote w:id="4">
    <w:p w14:paraId="668F5302" w14:textId="389C2458" w:rsidR="0AF4FB7A" w:rsidRPr="00E76A09" w:rsidRDefault="0AF4FB7A" w:rsidP="57AB4C69">
      <w:pPr>
        <w:pStyle w:val="FootnoteText"/>
        <w:rPr>
          <w:sz w:val="18"/>
          <w:szCs w:val="18"/>
        </w:rPr>
      </w:pPr>
      <w:r w:rsidRPr="00E76A09">
        <w:rPr>
          <w:rStyle w:val="FootnoteReference"/>
        </w:rPr>
        <w:footnoteRef/>
      </w:r>
      <w:r w:rsidR="57AB4C69" w:rsidRPr="00E76A09">
        <w:t xml:space="preserve"> </w:t>
      </w:r>
      <w:r w:rsidR="57AB4C69" w:rsidRPr="00E76A09">
        <w:rPr>
          <w:sz w:val="18"/>
          <w:szCs w:val="18"/>
        </w:rPr>
        <w:t xml:space="preserve">Due to ICF pipeline pressures during Business Case development, there is only £4m of the requested £10m in RDEL available during the 2025/26 financial year. Whilst further funding for this £6m RDEL shortfall may be made available, this cannot be guaranteed. Should further funding have not been made available, the programme will undertake a review (likely in late 2026) to reconsider pipeline planning and reprioritise budgets within the programme accordingly. </w:t>
      </w:r>
    </w:p>
  </w:footnote>
  <w:footnote w:id="5">
    <w:p w14:paraId="38C64812" w14:textId="10AA99DC" w:rsidR="707C80B5" w:rsidRPr="00E76A09" w:rsidRDefault="707C80B5" w:rsidP="007B73C9">
      <w:pPr>
        <w:pStyle w:val="FootnoteText"/>
      </w:pPr>
      <w:r w:rsidRPr="00E76A09">
        <w:rPr>
          <w:rStyle w:val="FootnoteReference"/>
          <w:sz w:val="18"/>
          <w:szCs w:val="18"/>
        </w:rPr>
        <w:footnoteRef/>
      </w:r>
      <w:r w:rsidR="338AF18A" w:rsidRPr="00E76A09">
        <w:rPr>
          <w:sz w:val="18"/>
          <w:szCs w:val="18"/>
        </w:rPr>
        <w:t xml:space="preserve"> System for Earth Observation Data Access, Processing and Analysis for Land Monitoring (SEPAL) helps countries monitor and report on forests and land use.  Open Foris WHISP is a digital public good which helps communities, including Indigenous</w:t>
      </w:r>
      <w:r w:rsidR="338AF18A" w:rsidRPr="00E76A09">
        <w:t xml:space="preserve"> Peoples and smallholder </w:t>
      </w:r>
      <w:r w:rsidR="338AF18A" w:rsidRPr="00E76A09">
        <w:rPr>
          <w:sz w:val="18"/>
          <w:szCs w:val="18"/>
        </w:rPr>
        <w:t>farmers produce forest monitoring information and support compliance with deforestation regulations. The open-source solution provides insights on different datasets from satellite-derived forest, land-use and tree-cover maps, combining information to gain a more detailed understanding of a particular area.</w:t>
      </w:r>
    </w:p>
  </w:footnote>
  <w:footnote w:id="6">
    <w:p w14:paraId="2ADCE043" w14:textId="350CFBBA" w:rsidR="5B6F91D2" w:rsidRPr="00E76A09" w:rsidRDefault="5B6F91D2" w:rsidP="5B6F91D2">
      <w:pPr>
        <w:pStyle w:val="FootnoteText"/>
        <w:rPr>
          <w:sz w:val="18"/>
          <w:szCs w:val="18"/>
        </w:rPr>
      </w:pPr>
      <w:r w:rsidRPr="00E76A09">
        <w:rPr>
          <w:rStyle w:val="FootnoteReference"/>
          <w:sz w:val="18"/>
          <w:szCs w:val="18"/>
        </w:rPr>
        <w:footnoteRef/>
      </w:r>
      <w:r w:rsidRPr="00E76A09">
        <w:rPr>
          <w:sz w:val="18"/>
          <w:szCs w:val="18"/>
        </w:rPr>
        <w:t xml:space="preserve"> </w:t>
      </w:r>
      <w:hyperlink r:id="rId1" w:anchor="footnote-154">
        <w:r w:rsidRPr="00E76A09">
          <w:rPr>
            <w:rStyle w:val="Hyperlink"/>
            <w:color w:val="auto"/>
            <w:sz w:val="18"/>
            <w:szCs w:val="18"/>
          </w:rPr>
          <w:t>The UK’s contribution to tackling global deforestation - Environmental Audit Committee</w:t>
        </w:r>
      </w:hyperlink>
      <w:r w:rsidRPr="00E76A09">
        <w:rPr>
          <w:sz w:val="18"/>
          <w:szCs w:val="18"/>
        </w:rPr>
        <w:t xml:space="preserve"> </w:t>
      </w:r>
    </w:p>
  </w:footnote>
  <w:footnote w:id="7">
    <w:p w14:paraId="665FFB7C" w14:textId="74C42A32" w:rsidR="08DF5094" w:rsidRPr="00E76A09" w:rsidRDefault="08DF5094" w:rsidP="08DF5094">
      <w:pPr>
        <w:pStyle w:val="FootnoteText"/>
      </w:pPr>
      <w:r w:rsidRPr="00E76A09">
        <w:rPr>
          <w:rStyle w:val="FootnoteReference"/>
          <w:sz w:val="18"/>
          <w:szCs w:val="18"/>
        </w:rPr>
        <w:footnoteRef/>
      </w:r>
      <w:r w:rsidR="32AE886B" w:rsidRPr="00E76A09">
        <w:rPr>
          <w:sz w:val="18"/>
          <w:szCs w:val="18"/>
        </w:rPr>
        <w:t xml:space="preserve"> Neeff, T., Merle, C., D’Annunzio, R., O’Brien, V., Gill, G., </w:t>
      </w:r>
      <w:proofErr w:type="spellStart"/>
      <w:r w:rsidR="32AE886B" w:rsidRPr="00E76A09">
        <w:rPr>
          <w:sz w:val="18"/>
          <w:szCs w:val="18"/>
        </w:rPr>
        <w:t>Poultouchidou</w:t>
      </w:r>
      <w:proofErr w:type="spellEnd"/>
      <w:r w:rsidR="32AE886B" w:rsidRPr="00E76A09">
        <w:rPr>
          <w:sz w:val="18"/>
          <w:szCs w:val="18"/>
        </w:rPr>
        <w:t>, A. and Fox, J. 2024.</w:t>
      </w:r>
      <w:r w:rsidR="32AE886B" w:rsidRPr="00E76A09">
        <w:rPr>
          <w:i/>
          <w:iCs/>
          <w:sz w:val="18"/>
          <w:szCs w:val="18"/>
        </w:rPr>
        <w:t xml:space="preserve"> Forest monitoring for transparent commodity supply chains.</w:t>
      </w:r>
      <w:r w:rsidR="32AE886B" w:rsidRPr="00E76A09">
        <w:rPr>
          <w:sz w:val="18"/>
          <w:szCs w:val="18"/>
        </w:rPr>
        <w:t xml:space="preserve"> Rome, FAO. https://doi.org/10.4060/cd3280en</w:t>
      </w:r>
    </w:p>
  </w:footnote>
  <w:footnote w:id="8">
    <w:p w14:paraId="075E7F77" w14:textId="030AFD48" w:rsidR="260961D6" w:rsidRPr="00E76A09" w:rsidRDefault="260961D6" w:rsidP="260961D6">
      <w:pPr>
        <w:pStyle w:val="FootnoteText"/>
        <w:rPr>
          <w:sz w:val="18"/>
          <w:szCs w:val="18"/>
        </w:rPr>
      </w:pPr>
      <w:r w:rsidRPr="00E76A09">
        <w:rPr>
          <w:rStyle w:val="FootnoteReference"/>
          <w:sz w:val="18"/>
          <w:szCs w:val="18"/>
        </w:rPr>
        <w:footnoteRef/>
      </w:r>
      <w:r w:rsidRPr="00E76A09">
        <w:rPr>
          <w:sz w:val="18"/>
          <w:szCs w:val="18"/>
        </w:rPr>
        <w:t xml:space="preserve"> </w:t>
      </w:r>
      <w:hyperlink r:id="rId2">
        <w:r w:rsidRPr="00E76A09">
          <w:rPr>
            <w:rStyle w:val="Hyperlink"/>
            <w:color w:val="auto"/>
            <w:sz w:val="18"/>
            <w:szCs w:val="18"/>
          </w:rPr>
          <w:t>https://www.cbd.int/gbf/targets/2</w:t>
        </w:r>
      </w:hyperlink>
      <w:r w:rsidRPr="00E76A09">
        <w:rPr>
          <w:sz w:val="18"/>
          <w:szCs w:val="18"/>
        </w:rPr>
        <w:t xml:space="preserve"> </w:t>
      </w:r>
    </w:p>
  </w:footnote>
  <w:footnote w:id="9">
    <w:p w14:paraId="2C72C4AE" w14:textId="17C9CE27" w:rsidR="729230D4" w:rsidRPr="00E76A09" w:rsidRDefault="729230D4" w:rsidP="729230D4">
      <w:pPr>
        <w:pStyle w:val="FootnoteText"/>
        <w:rPr>
          <w:sz w:val="18"/>
          <w:szCs w:val="18"/>
        </w:rPr>
      </w:pPr>
      <w:r w:rsidRPr="00E76A09">
        <w:rPr>
          <w:rStyle w:val="FootnoteReference"/>
          <w:sz w:val="18"/>
          <w:szCs w:val="18"/>
        </w:rPr>
        <w:footnoteRef/>
      </w:r>
      <w:r w:rsidR="55886C46" w:rsidRPr="00E76A09">
        <w:rPr>
          <w:sz w:val="18"/>
          <w:szCs w:val="18"/>
        </w:rPr>
        <w:t xml:space="preserve"> </w:t>
      </w:r>
      <w:hyperlink r:id="rId3">
        <w:r w:rsidR="55886C46" w:rsidRPr="00E76A09">
          <w:rPr>
            <w:rStyle w:val="Hyperlink"/>
            <w:color w:val="auto"/>
            <w:sz w:val="18"/>
            <w:szCs w:val="18"/>
          </w:rPr>
          <w:t>FAO launches AIM4NatuRe to improve monitoring of ecosystem restoration</w:t>
        </w:r>
      </w:hyperlink>
    </w:p>
  </w:footnote>
  <w:footnote w:id="10">
    <w:p w14:paraId="62305CD1" w14:textId="4D0A6EFE" w:rsidR="17A78B96" w:rsidRPr="00E76A09" w:rsidRDefault="17A78B96" w:rsidP="17A78B96">
      <w:pPr>
        <w:pStyle w:val="FootnoteText"/>
        <w:rPr>
          <w:sz w:val="18"/>
          <w:szCs w:val="18"/>
        </w:rPr>
      </w:pPr>
      <w:r w:rsidRPr="00E76A09">
        <w:rPr>
          <w:rStyle w:val="FootnoteReference"/>
          <w:sz w:val="18"/>
          <w:szCs w:val="18"/>
        </w:rPr>
        <w:footnoteRef/>
      </w:r>
      <w:r w:rsidR="006E1862" w:rsidRPr="00E76A09">
        <w:rPr>
          <w:sz w:val="18"/>
          <w:szCs w:val="18"/>
        </w:rPr>
        <w:t xml:space="preserve"> </w:t>
      </w:r>
      <w:hyperlink r:id="rId4" w:history="1">
        <w:r w:rsidR="006E1862" w:rsidRPr="00E76A09">
          <w:rPr>
            <w:rStyle w:val="Hyperlink"/>
            <w:color w:val="auto"/>
            <w:sz w:val="18"/>
            <w:szCs w:val="18"/>
          </w:rPr>
          <w:t>https://www.cbd.int/gbf/targets/2</w:t>
        </w:r>
      </w:hyperlink>
      <w:r w:rsidR="006E1862" w:rsidRPr="00E76A09">
        <w:rPr>
          <w:sz w:val="18"/>
          <w:szCs w:val="18"/>
        </w:rPr>
        <w:t xml:space="preserve"> </w:t>
      </w:r>
      <w:r w:rsidR="0B735FAA" w:rsidRPr="00E76A09">
        <w:rPr>
          <w:rStyle w:val="FootnoteReference"/>
          <w:sz w:val="18"/>
          <w:szCs w:val="18"/>
          <w:vertAlign w:val="baseline"/>
        </w:rPr>
        <w:t xml:space="preserve"> </w:t>
      </w:r>
    </w:p>
  </w:footnote>
  <w:footnote w:id="11">
    <w:p w14:paraId="61DA6912" w14:textId="2C0E9B80" w:rsidR="6923388F" w:rsidRPr="00E76A09" w:rsidRDefault="6923388F" w:rsidP="007B73C9">
      <w:pPr>
        <w:pStyle w:val="FootnoteText"/>
        <w:rPr>
          <w:sz w:val="18"/>
          <w:szCs w:val="18"/>
        </w:rPr>
      </w:pPr>
      <w:r w:rsidRPr="00E76A09">
        <w:rPr>
          <w:rStyle w:val="FootnoteReference"/>
          <w:sz w:val="18"/>
          <w:szCs w:val="18"/>
        </w:rPr>
        <w:footnoteRef/>
      </w:r>
      <w:r w:rsidRPr="00E76A09">
        <w:rPr>
          <w:sz w:val="18"/>
          <w:szCs w:val="18"/>
        </w:rPr>
        <w:t xml:space="preserve"> </w:t>
      </w:r>
      <w:hyperlink r:id="rId5" w:history="1">
        <w:r w:rsidRPr="00E76A09">
          <w:rPr>
            <w:rStyle w:val="Hyperlink"/>
            <w:color w:val="auto"/>
            <w:sz w:val="18"/>
            <w:szCs w:val="18"/>
          </w:rPr>
          <w:t>https://science-and-innovation-network.s3.eu-west-2.amazonaws.com/BEIS+ICF/AIM/AIM+for+Forests+Business+Case.docx</w:t>
        </w:r>
      </w:hyperlink>
      <w:r w:rsidRPr="00E76A09">
        <w:rPr>
          <w:sz w:val="18"/>
          <w:szCs w:val="18"/>
        </w:rPr>
        <w:t xml:space="preserve"> </w:t>
      </w:r>
    </w:p>
  </w:footnote>
  <w:footnote w:id="12">
    <w:p w14:paraId="3EE109C1" w14:textId="5600EC8E" w:rsidR="004574D8" w:rsidRPr="00E76A09" w:rsidRDefault="004574D8">
      <w:pPr>
        <w:pStyle w:val="FootnoteText"/>
        <w:rPr>
          <w:sz w:val="18"/>
          <w:szCs w:val="18"/>
        </w:rPr>
      </w:pPr>
      <w:r w:rsidRPr="00E76A09">
        <w:rPr>
          <w:rStyle w:val="FootnoteReference"/>
          <w:sz w:val="18"/>
          <w:szCs w:val="18"/>
        </w:rPr>
        <w:footnoteRef/>
      </w:r>
      <w:r w:rsidRPr="00E76A09">
        <w:rPr>
          <w:sz w:val="18"/>
          <w:szCs w:val="18"/>
        </w:rPr>
        <w:t xml:space="preserve"> </w:t>
      </w:r>
      <w:hyperlink r:id="rId6" w:tgtFrame="_blank" w:history="1">
        <w:r w:rsidRPr="00E76A09">
          <w:rPr>
            <w:rStyle w:val="Hyperlink"/>
            <w:color w:val="auto"/>
            <w:sz w:val="18"/>
            <w:szCs w:val="18"/>
          </w:rPr>
          <w:t>AIM4Forests Annual Review FY23-24 final version.docx</w:t>
        </w:r>
      </w:hyperlink>
      <w:r w:rsidRPr="00E76A09">
        <w:rPr>
          <w:sz w:val="18"/>
          <w:szCs w:val="18"/>
        </w:rPr>
        <w:t> </w:t>
      </w:r>
    </w:p>
  </w:footnote>
  <w:footnote w:id="13">
    <w:p w14:paraId="53487E4A" w14:textId="7F36A93B" w:rsidR="0011774E" w:rsidRPr="00E76A09" w:rsidRDefault="0011774E">
      <w:pPr>
        <w:pStyle w:val="FootnoteText"/>
        <w:rPr>
          <w:sz w:val="18"/>
          <w:szCs w:val="18"/>
        </w:rPr>
      </w:pPr>
      <w:r w:rsidRPr="00E76A09">
        <w:rPr>
          <w:rStyle w:val="FootnoteReference"/>
          <w:sz w:val="18"/>
          <w:szCs w:val="18"/>
        </w:rPr>
        <w:footnoteRef/>
      </w:r>
      <w:r w:rsidRPr="00E76A09">
        <w:rPr>
          <w:sz w:val="18"/>
          <w:szCs w:val="18"/>
        </w:rPr>
        <w:t xml:space="preserve"> Mid-term Review of “Accelerating Innovative Monitoring for Forests” (AIM4Forests), Food and Agriculture Organisation of the United Nations, Rome, 2025.</w:t>
      </w:r>
    </w:p>
  </w:footnote>
  <w:footnote w:id="14">
    <w:p w14:paraId="1F7FF240" w14:textId="2FB3518A" w:rsidR="0011774E" w:rsidRPr="003D2A81" w:rsidRDefault="0011774E">
      <w:pPr>
        <w:pStyle w:val="FootnoteText"/>
        <w:rPr>
          <w:sz w:val="18"/>
          <w:szCs w:val="18"/>
        </w:rPr>
      </w:pPr>
      <w:r w:rsidRPr="00E76A09">
        <w:rPr>
          <w:rStyle w:val="FootnoteReference"/>
          <w:sz w:val="18"/>
          <w:szCs w:val="18"/>
        </w:rPr>
        <w:footnoteRef/>
      </w:r>
      <w:r w:rsidR="57AB4C69" w:rsidRPr="00E76A09">
        <w:rPr>
          <w:sz w:val="18"/>
          <w:szCs w:val="18"/>
        </w:rPr>
        <w:t xml:space="preserve"> Belize, Bolivia, Brazil, Cambodia, Colombia, Costa Rica, DRC, Fiji, Ghana, Guatemala, Indonesia, Kenya, Nigeria, Peru, PNG, Philippines, Uganda, Vietnam, and Zambia.</w:t>
      </w:r>
    </w:p>
  </w:footnote>
  <w:footnote w:id="15">
    <w:p w14:paraId="09A0D214" w14:textId="5E7FE783" w:rsidR="00792E71" w:rsidRPr="00E76A09" w:rsidRDefault="00792E71">
      <w:pPr>
        <w:pStyle w:val="FootnoteText"/>
      </w:pPr>
      <w:r w:rsidRPr="00E76A09">
        <w:rPr>
          <w:rStyle w:val="FootnoteReference"/>
          <w:sz w:val="18"/>
          <w:szCs w:val="18"/>
        </w:rPr>
        <w:footnoteRef/>
      </w:r>
      <w:r w:rsidRPr="00E76A09">
        <w:rPr>
          <w:sz w:val="18"/>
          <w:szCs w:val="18"/>
        </w:rPr>
        <w:t xml:space="preserve"> This corresponds to the volume of forest/ land-use carbon credits verified due to support from AIM4Forests, highlighting the importance of forest monitoring to stakeholders (carbon credits, millions). This includes the Colombia BTR TA submission (42,836,860 tCO2eq), the Ghana ART-TREES submission (11,907,539 tCO2), and the Vietnam ART-TREES submission (9,328,000 tCO2)</w:t>
      </w:r>
    </w:p>
  </w:footnote>
  <w:footnote w:id="16">
    <w:p w14:paraId="7AC6CF54" w14:textId="510BEB89" w:rsidR="00792E71" w:rsidRPr="00283E32" w:rsidRDefault="00792E71">
      <w:pPr>
        <w:pStyle w:val="FootnoteText"/>
        <w:rPr>
          <w:sz w:val="18"/>
          <w:szCs w:val="18"/>
        </w:rPr>
      </w:pPr>
      <w:r w:rsidRPr="00283E32">
        <w:rPr>
          <w:rStyle w:val="FootnoteReference"/>
          <w:sz w:val="18"/>
          <w:szCs w:val="18"/>
        </w:rPr>
        <w:footnoteRef/>
      </w:r>
      <w:r w:rsidRPr="00283E32">
        <w:rPr>
          <w:sz w:val="18"/>
          <w:szCs w:val="18"/>
        </w:rPr>
        <w:t xml:space="preserve"> </w:t>
      </w:r>
      <w:r w:rsidR="000A44A3" w:rsidRPr="00283E32">
        <w:rPr>
          <w:sz w:val="18"/>
          <w:szCs w:val="18"/>
        </w:rPr>
        <w:t>The emissions reductions reported are the volume of emission reductions in the forestry and land use sector reported to reputable carbon standards and reporting contexts, by countries which receive active forest monitoring support from the AIM4Forests programme, showcasing an innovative approach to managing land and forests (million tonnes). This includes the Colombia BTR submission (42,836,860 tCO2eq), the Ghana ART-TREES submission (22,440,805 tCO2), and the Vietnam ART-TREES submission (13,997,000 tCO2)</w:t>
      </w:r>
    </w:p>
  </w:footnote>
  <w:footnote w:id="17">
    <w:p w14:paraId="443FEEA8" w14:textId="50E09F24" w:rsidR="1D3B44EF" w:rsidRPr="00E76A09" w:rsidRDefault="1D3B44EF" w:rsidP="1D3B44EF">
      <w:pPr>
        <w:pStyle w:val="FootnoteText"/>
      </w:pPr>
      <w:r w:rsidRPr="00283E32">
        <w:rPr>
          <w:rStyle w:val="FootnoteReference"/>
          <w:sz w:val="18"/>
          <w:szCs w:val="18"/>
        </w:rPr>
        <w:footnoteRef/>
      </w:r>
      <w:r w:rsidR="2BF60341" w:rsidRPr="00283E32">
        <w:rPr>
          <w:sz w:val="18"/>
          <w:szCs w:val="18"/>
        </w:rPr>
        <w:t xml:space="preserve"> https://www.fao.org/in-action/aim4forests/news-and-events/news/news-detail/from-forests-to-nature---broadening-impact-through-data--innovation-and-inclusion---fao-launches-aim4nature-on-earth-day/en</w:t>
      </w:r>
    </w:p>
  </w:footnote>
  <w:footnote w:id="18">
    <w:p w14:paraId="1B2AC5B5" w14:textId="03C8E104" w:rsidR="000A44A3" w:rsidRPr="00E76A09" w:rsidRDefault="000A44A3">
      <w:pPr>
        <w:pStyle w:val="FootnoteText"/>
      </w:pPr>
      <w:r w:rsidRPr="00E76A09">
        <w:rPr>
          <w:rStyle w:val="FootnoteReference"/>
        </w:rPr>
        <w:footnoteRef/>
      </w:r>
      <w:r w:rsidRPr="00E76A09">
        <w:t xml:space="preserve"> </w:t>
      </w:r>
      <w:r w:rsidRPr="00E76A09">
        <w:rPr>
          <w:sz w:val="18"/>
          <w:szCs w:val="18"/>
        </w:rPr>
        <w:t xml:space="preserve"> https://www.cbd.int/gbf/targets  </w:t>
      </w:r>
    </w:p>
  </w:footnote>
  <w:footnote w:id="19">
    <w:p w14:paraId="14D92E15" w14:textId="0A753DE9" w:rsidR="00EA723C" w:rsidRPr="00E76A09" w:rsidRDefault="00EA723C">
      <w:pPr>
        <w:pStyle w:val="FootnoteText"/>
        <w:rPr>
          <w:sz w:val="18"/>
          <w:szCs w:val="18"/>
        </w:rPr>
      </w:pPr>
      <w:r w:rsidRPr="00E76A09">
        <w:rPr>
          <w:rStyle w:val="FootnoteReference"/>
        </w:rPr>
        <w:footnoteRef/>
      </w:r>
      <w:r w:rsidRPr="00E76A09">
        <w:t xml:space="preserve"> </w:t>
      </w:r>
      <w:hyperlink r:id="rId7" w:tgtFrame="_blank" w:history="1">
        <w:r w:rsidR="00927ECB" w:rsidRPr="00E76A09">
          <w:rPr>
            <w:rStyle w:val="Hyperlink"/>
            <w:color w:val="auto"/>
            <w:sz w:val="18"/>
            <w:szCs w:val="18"/>
          </w:rPr>
          <w:t>https://unfccc.int/process-and-meetings/the-paris-agreement/article6</w:t>
        </w:r>
      </w:hyperlink>
      <w:r w:rsidR="00927ECB" w:rsidRPr="00E76A09">
        <w:rPr>
          <w:sz w:val="18"/>
          <w:szCs w:val="18"/>
        </w:rPr>
        <w:t> </w:t>
      </w:r>
    </w:p>
  </w:footnote>
  <w:footnote w:id="20">
    <w:p w14:paraId="33ACC28E" w14:textId="2183A860" w:rsidR="1DB1974F" w:rsidRPr="00E76A09" w:rsidRDefault="1DB1974F" w:rsidP="1DB1974F">
      <w:pPr>
        <w:pStyle w:val="FootnoteText"/>
        <w:rPr>
          <w:sz w:val="18"/>
          <w:szCs w:val="18"/>
        </w:rPr>
      </w:pPr>
      <w:r w:rsidRPr="00E76A09">
        <w:rPr>
          <w:rStyle w:val="FootnoteReference"/>
          <w:sz w:val="18"/>
          <w:szCs w:val="18"/>
        </w:rPr>
        <w:footnoteRef/>
      </w:r>
      <w:r w:rsidR="5CF56BDD" w:rsidRPr="00E76A09">
        <w:rPr>
          <w:sz w:val="18"/>
          <w:szCs w:val="18"/>
        </w:rPr>
        <w:t xml:space="preserve"> </w:t>
      </w:r>
      <w:hyperlink r:id="rId8" w:anchor=":~:text=and%20structural%20mechanism.%22-,Tropical%20Forests%20Forever%20Fund%20(TFFF),every%20hectare%20deforested%20or%20degraded.">
        <w:r w:rsidR="5CF56BDD" w:rsidRPr="00E76A09">
          <w:rPr>
            <w:rStyle w:val="Hyperlink"/>
            <w:color w:val="auto"/>
            <w:sz w:val="18"/>
            <w:szCs w:val="18"/>
          </w:rPr>
          <w:t>Tropical Forests Forever Fund boosts international support and positions itself as a new global model for climate finance</w:t>
        </w:r>
      </w:hyperlink>
    </w:p>
  </w:footnote>
  <w:footnote w:id="21">
    <w:p w14:paraId="2332B856" w14:textId="75EE2E30" w:rsidR="005E0AF3" w:rsidRPr="00E76A09" w:rsidRDefault="005E0AF3">
      <w:pPr>
        <w:pStyle w:val="FootnoteText"/>
        <w:rPr>
          <w:sz w:val="18"/>
          <w:szCs w:val="18"/>
        </w:rPr>
      </w:pPr>
      <w:r w:rsidRPr="00E76A09">
        <w:rPr>
          <w:rStyle w:val="FootnoteReference"/>
          <w:sz w:val="18"/>
          <w:szCs w:val="18"/>
        </w:rPr>
        <w:footnoteRef/>
      </w:r>
      <w:r w:rsidRPr="00E76A09">
        <w:rPr>
          <w:sz w:val="18"/>
          <w:szCs w:val="18"/>
        </w:rPr>
        <w:t xml:space="preserve"> Mid-term Review of “Accelerating Innovative Monitoring for Forests” (AIM4Forests), Food and Agriculture Organisation of the United Nations, Rome, 2025.</w:t>
      </w:r>
    </w:p>
  </w:footnote>
  <w:footnote w:id="22">
    <w:p w14:paraId="0A294EF1" w14:textId="5DD3EEE6" w:rsidR="002069A2" w:rsidRPr="00E76A09" w:rsidRDefault="002069A2">
      <w:pPr>
        <w:pStyle w:val="FootnoteText"/>
      </w:pPr>
      <w:r w:rsidRPr="00E76A09">
        <w:rPr>
          <w:rStyle w:val="FootnoteReference"/>
        </w:rPr>
        <w:footnoteRef/>
      </w:r>
      <w:r w:rsidRPr="00E76A09">
        <w:t xml:space="preserve"> </w:t>
      </w:r>
      <w:hyperlink r:id="rId9" w:history="1">
        <w:r w:rsidR="00D8612E" w:rsidRPr="00E76A09">
          <w:rPr>
            <w:rStyle w:val="Hyperlink"/>
            <w:color w:val="auto"/>
            <w:sz w:val="18"/>
            <w:szCs w:val="18"/>
          </w:rPr>
          <w:t>AIM for Forests Business Case.docx</w:t>
        </w:r>
      </w:hyperlink>
    </w:p>
  </w:footnote>
  <w:footnote w:id="23">
    <w:p w14:paraId="64E7E984" w14:textId="511F39A3" w:rsidR="00766DD1" w:rsidRPr="00E76A09" w:rsidRDefault="00766DD1">
      <w:pPr>
        <w:pStyle w:val="FootnoteText"/>
        <w:rPr>
          <w:sz w:val="18"/>
          <w:szCs w:val="18"/>
        </w:rPr>
      </w:pPr>
      <w:r w:rsidRPr="00E76A09">
        <w:rPr>
          <w:rStyle w:val="FootnoteReference"/>
        </w:rPr>
        <w:footnoteRef/>
      </w:r>
      <w:r w:rsidRPr="00E76A09">
        <w:t xml:space="preserve"> </w:t>
      </w:r>
      <w:r w:rsidRPr="00E76A09">
        <w:rPr>
          <w:sz w:val="18"/>
          <w:szCs w:val="18"/>
        </w:rPr>
        <w:t>Mid-term Review of “Accelerating Innovative Monitoring for Forests” (AIM4Forests), Food and Agriculture Organisation of the United Nations, Rome, 2025.</w:t>
      </w:r>
    </w:p>
  </w:footnote>
  <w:footnote w:id="24">
    <w:p w14:paraId="086D44DD" w14:textId="5D17934E" w:rsidR="324D3D6D" w:rsidRPr="00E76A09" w:rsidRDefault="324D3D6D" w:rsidP="324D3D6D">
      <w:pPr>
        <w:pStyle w:val="FootnoteText"/>
      </w:pPr>
      <w:r w:rsidRPr="00E76A09">
        <w:rPr>
          <w:rStyle w:val="FootnoteReference"/>
        </w:rPr>
        <w:footnoteRef/>
      </w:r>
      <w:r w:rsidRPr="00E76A09">
        <w:t xml:space="preserve"> </w:t>
      </w:r>
      <w:r w:rsidRPr="00E76A09">
        <w:rPr>
          <w:sz w:val="18"/>
          <w:szCs w:val="18"/>
        </w:rPr>
        <w:t xml:space="preserve">Mid-term Review of </w:t>
      </w:r>
      <w:r w:rsidR="002C36BE" w:rsidRPr="00E76A09">
        <w:rPr>
          <w:sz w:val="18"/>
          <w:szCs w:val="18"/>
        </w:rPr>
        <w:t>“</w:t>
      </w:r>
      <w:r w:rsidRPr="00E76A09">
        <w:rPr>
          <w:sz w:val="18"/>
          <w:szCs w:val="18"/>
        </w:rPr>
        <w:t>Accelerating Innovative Monitoring for Forests” (AIM4Forests), FAO, 2025</w:t>
      </w:r>
    </w:p>
  </w:footnote>
  <w:footnote w:id="25">
    <w:p w14:paraId="25FD3253" w14:textId="77777777" w:rsidR="00B907BA" w:rsidRPr="00E76A09" w:rsidRDefault="00B907BA">
      <w:pPr>
        <w:pStyle w:val="FootnoteText"/>
      </w:pPr>
      <w:r w:rsidRPr="00E76A09">
        <w:rPr>
          <w:rStyle w:val="FootnoteReference"/>
        </w:rPr>
        <w:footnoteRef/>
      </w:r>
      <w:r w:rsidRPr="00E76A09">
        <w:t xml:space="preserve"> </w:t>
      </w:r>
      <w:r w:rsidR="0065215F" w:rsidRPr="00E76A09">
        <w:rPr>
          <w:sz w:val="18"/>
          <w:szCs w:val="18"/>
        </w:rPr>
        <w:t>See KPI methodologies and latest results publications here: UK Climate Finance Results - GOV.UK (</w:t>
      </w:r>
      <w:hyperlink r:id="rId10" w:tgtFrame="_blank" w:history="1">
        <w:r w:rsidR="0065215F" w:rsidRPr="00E76A09">
          <w:rPr>
            <w:rStyle w:val="Hyperlink"/>
            <w:sz w:val="18"/>
            <w:szCs w:val="18"/>
          </w:rPr>
          <w:t>www.gov.uk</w:t>
        </w:r>
      </w:hyperlink>
      <w:r w:rsidR="0065215F" w:rsidRPr="00E76A09">
        <w:rPr>
          <w:sz w:val="18"/>
          <w:szCs w:val="18"/>
        </w:rPr>
        <w:t>) </w:t>
      </w:r>
    </w:p>
  </w:footnote>
  <w:footnote w:id="26">
    <w:p w14:paraId="306FB8D6" w14:textId="791D6CF6" w:rsidR="00AC5C3F" w:rsidRPr="00E76A09" w:rsidRDefault="00AC5C3F">
      <w:pPr>
        <w:pStyle w:val="FootnoteText"/>
      </w:pPr>
      <w:r w:rsidRPr="00E76A09">
        <w:rPr>
          <w:rStyle w:val="FootnoteReference"/>
        </w:rPr>
        <w:footnoteRef/>
      </w:r>
      <w:r w:rsidRPr="00E76A09">
        <w:t xml:space="preserve"> </w:t>
      </w:r>
      <w:r w:rsidRPr="00E76A09">
        <w:rPr>
          <w:i/>
          <w:iCs/>
        </w:rPr>
        <w:t>Source: AIM4Forests logframe, Outcome Indicator 1.1 (Volume &amp; type of forest/land-use credits verified due to support from AIM), as reported by delivery partner FAO.</w:t>
      </w:r>
    </w:p>
  </w:footnote>
  <w:footnote w:id="27">
    <w:p w14:paraId="5AB26616" w14:textId="3D29C05C" w:rsidR="00185506" w:rsidRPr="00E76A09" w:rsidRDefault="00185506">
      <w:pPr>
        <w:pStyle w:val="FootnoteText"/>
        <w:rPr>
          <w:sz w:val="18"/>
          <w:szCs w:val="18"/>
        </w:rPr>
      </w:pPr>
      <w:r w:rsidRPr="00E76A09">
        <w:rPr>
          <w:rStyle w:val="FootnoteReference"/>
        </w:rPr>
        <w:footnoteRef/>
      </w:r>
      <w:r w:rsidRPr="00E76A09">
        <w:t xml:space="preserve"> </w:t>
      </w:r>
      <w:r w:rsidRPr="00E76A09">
        <w:rPr>
          <w:sz w:val="18"/>
          <w:szCs w:val="18"/>
        </w:rPr>
        <w:t>Annual Review – Accelerating Innovative Monitoring for Forests (AIM4Forests) Programme 2024</w:t>
      </w:r>
    </w:p>
  </w:footnote>
  <w:footnote w:id="28">
    <w:p w14:paraId="108FC253" w14:textId="76A374A9" w:rsidR="00F5545F" w:rsidRPr="00E76A09" w:rsidRDefault="00F5545F">
      <w:pPr>
        <w:pStyle w:val="FootnoteText"/>
      </w:pPr>
      <w:r w:rsidRPr="00E76A09">
        <w:rPr>
          <w:rStyle w:val="FootnoteReference"/>
          <w:sz w:val="18"/>
          <w:szCs w:val="18"/>
        </w:rPr>
        <w:footnoteRef/>
      </w:r>
      <w:r w:rsidRPr="00E76A09">
        <w:rPr>
          <w:sz w:val="18"/>
          <w:szCs w:val="18"/>
        </w:rPr>
        <w:t xml:space="preserve"> Mid-term Review of “Accelerating Innovative Monitoring for Forests” (AIM4Forests)</w:t>
      </w:r>
    </w:p>
  </w:footnote>
  <w:footnote w:id="29">
    <w:p w14:paraId="1E7E1ED9" w14:textId="544FC87A" w:rsidR="00397170" w:rsidRPr="00E76A09" w:rsidRDefault="00397170">
      <w:pPr>
        <w:pStyle w:val="FootnoteText"/>
      </w:pPr>
      <w:r w:rsidRPr="00E76A09">
        <w:rPr>
          <w:rStyle w:val="FootnoteReference"/>
        </w:rPr>
        <w:footnoteRef/>
      </w:r>
      <w:r w:rsidRPr="00E76A09">
        <w:t xml:space="preserve"> This </w:t>
      </w:r>
      <w:proofErr w:type="spellStart"/>
      <w:r w:rsidRPr="00E76A09">
        <w:t>VfM</w:t>
      </w:r>
      <w:proofErr w:type="spellEnd"/>
      <w:r w:rsidRPr="00E76A09">
        <w:t xml:space="preserve"> assessment is based on the analysis conducted by the FAO Operations Coordinator and financial support team upon a request from the MTR team. The real, detailed 2024 budget data was used to compare the indirect support costs under two cost recovery schemes associated with channelling the funds through the UN-REDD Programme Fund or Improved Cost Recovery Uplift based on direct funding to FAO from the UK. In case of the adopted approach a passthrough mechanism is used; the UK has signed an agreement with the UNREDD Multi-partner Trust Fund Office (MPT-O), and FAO already had an existing agreement (MOU) with the MPTF-O for the UN-REDD Fund. </w:t>
      </w:r>
    </w:p>
  </w:footnote>
  <w:footnote w:id="30">
    <w:p w14:paraId="4AA737D0" w14:textId="474A6B8D" w:rsidR="00FE5B45" w:rsidRPr="00E76A09" w:rsidRDefault="00FE5B45">
      <w:pPr>
        <w:pStyle w:val="FootnoteText"/>
      </w:pPr>
      <w:r w:rsidRPr="00E76A09">
        <w:rPr>
          <w:rStyle w:val="FootnoteReference"/>
        </w:rPr>
        <w:footnoteRef/>
      </w:r>
      <w:r w:rsidRPr="00E76A09">
        <w:t xml:space="preserve"> Annual Review – Accelerating Innovative Monitoring for Forests (AIM4Forests) Programme 2024</w:t>
      </w:r>
    </w:p>
  </w:footnote>
  <w:footnote w:id="31">
    <w:p w14:paraId="14CCC230" w14:textId="77856F42" w:rsidR="008B2FE5" w:rsidRPr="006E1862" w:rsidRDefault="008B2FE5">
      <w:pPr>
        <w:pStyle w:val="FootnoteText"/>
        <w:rPr>
          <w:sz w:val="18"/>
          <w:szCs w:val="18"/>
        </w:rPr>
      </w:pPr>
      <w:r w:rsidRPr="00E76A09">
        <w:rPr>
          <w:rStyle w:val="FootnoteReference"/>
        </w:rPr>
        <w:footnoteRef/>
      </w:r>
      <w:r w:rsidRPr="00E76A09">
        <w:t xml:space="preserve">  </w:t>
      </w:r>
      <w:r w:rsidRPr="00E76A09">
        <w:rPr>
          <w:sz w:val="18"/>
          <w:szCs w:val="18"/>
        </w:rPr>
        <w:t>Independent Evaluation Group (IEG) of the World Bank and the Development Assistance Committee (DAC) of the Organization for Economic Co-operation and Development (OECD)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A70F" w14:textId="71460428" w:rsidR="00F06B07" w:rsidRPr="00E76A09" w:rsidRDefault="00F06B07">
    <w:pPr>
      <w:pStyle w:val="Header"/>
    </w:pPr>
    <w:r w:rsidRPr="004D2825">
      <w:rPr>
        <w:noProof/>
      </w:rPr>
      <mc:AlternateContent>
        <mc:Choice Requires="wps">
          <w:drawing>
            <wp:anchor distT="0" distB="0" distL="0" distR="0" simplePos="0" relativeHeight="251658242" behindDoc="0" locked="0" layoutInCell="1" allowOverlap="1" wp14:anchorId="261A579D" wp14:editId="514A7DF0">
              <wp:simplePos x="635" y="635"/>
              <wp:positionH relativeFrom="page">
                <wp:align>center</wp:align>
              </wp:positionH>
              <wp:positionV relativeFrom="page">
                <wp:align>top</wp:align>
              </wp:positionV>
              <wp:extent cx="459740" cy="432435"/>
              <wp:effectExtent l="0" t="0" r="16510" b="5715"/>
              <wp:wrapNone/>
              <wp:docPr id="14385316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2435"/>
                      </a:xfrm>
                      <a:prstGeom prst="rect">
                        <a:avLst/>
                      </a:prstGeom>
                      <a:noFill/>
                      <a:ln>
                        <a:noFill/>
                      </a:ln>
                    </wps:spPr>
                    <wps:txbx>
                      <w:txbxContent>
                        <w:p w14:paraId="63A559C2" w14:textId="597162CF" w:rsidR="00F06B07" w:rsidRPr="003D2A81" w:rsidRDefault="00F06B07" w:rsidP="00F06B07">
                          <w:pPr>
                            <w:spacing w:after="0"/>
                            <w:rPr>
                              <w:rFonts w:ascii="Calibri" w:eastAsia="Calibri" w:hAnsi="Calibri" w:cs="Calibri"/>
                              <w:color w:val="000000"/>
                            </w:rPr>
                          </w:pPr>
                          <w:r w:rsidRPr="003D2A81">
                            <w:rPr>
                              <w:rFonts w:ascii="Calibri" w:eastAsia="Calibri" w:hAnsi="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E99ECDB">
            <v:shapetype id="_x0000_t202" coordsize="21600,21600" o:spt="202" path="m,l,21600r21600,l21600,xe" w14:anchorId="261A579D">
              <v:stroke joinstyle="miter"/>
              <v:path gradientshapeok="t" o:connecttype="rect"/>
            </v:shapetype>
            <v:shape id="Text Box 2" style="position:absolute;margin-left:0;margin-top:0;width:36.2pt;height:34.0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">
              <v:textbox style="mso-fit-shape-to-text:t" inset="0,15pt,0,0">
                <w:txbxContent>
                  <w:p w:rsidRPr="003D2A81" w:rsidR="00F06B07" w:rsidP="00F06B07" w:rsidRDefault="00F06B07" w14:paraId="17D1F485" w14:textId="597162CF">
                    <w:pPr>
                      <w:spacing w:after="0"/>
                      <w:rPr>
                        <w:rFonts w:ascii="Calibri" w:hAnsi="Calibri" w:eastAsia="Calibri" w:cs="Calibri"/>
                        <w:color w:val="000000"/>
                      </w:rPr>
                    </w:pPr>
                    <w:r w:rsidRPr="003D2A81">
                      <w:rPr>
                        <w:rFonts w:ascii="Calibri" w:hAnsi="Calibri" w:eastAsia="Calibri" w:cs="Calibri"/>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C99E" w14:textId="52581066" w:rsidR="00F06B07" w:rsidRPr="00E76A09" w:rsidRDefault="00F06B07">
    <w:pPr>
      <w:pStyle w:val="Header"/>
    </w:pPr>
    <w:r w:rsidRPr="004D2825">
      <w:rPr>
        <w:noProof/>
      </w:rPr>
      <mc:AlternateContent>
        <mc:Choice Requires="wps">
          <w:drawing>
            <wp:anchor distT="0" distB="0" distL="0" distR="0" simplePos="0" relativeHeight="251658243" behindDoc="0" locked="0" layoutInCell="1" allowOverlap="1" wp14:anchorId="177A087A" wp14:editId="43F64B67">
              <wp:simplePos x="542925" y="447675"/>
              <wp:positionH relativeFrom="page">
                <wp:align>center</wp:align>
              </wp:positionH>
              <wp:positionV relativeFrom="page">
                <wp:align>top</wp:align>
              </wp:positionV>
              <wp:extent cx="459740" cy="432435"/>
              <wp:effectExtent l="0" t="0" r="16510" b="5715"/>
              <wp:wrapNone/>
              <wp:docPr id="21283700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2435"/>
                      </a:xfrm>
                      <a:prstGeom prst="rect">
                        <a:avLst/>
                      </a:prstGeom>
                      <a:noFill/>
                      <a:ln>
                        <a:noFill/>
                      </a:ln>
                    </wps:spPr>
                    <wps:txbx>
                      <w:txbxContent>
                        <w:p w14:paraId="35EB1C78" w14:textId="17B008EE" w:rsidR="00F06B07" w:rsidRPr="003D2A81" w:rsidRDefault="00F06B07" w:rsidP="00F06B07">
                          <w:pPr>
                            <w:spacing w:after="0"/>
                            <w:rPr>
                              <w:rFonts w:ascii="Calibri" w:eastAsia="Calibri" w:hAnsi="Calibri" w:cs="Calibri"/>
                              <w:color w:val="000000"/>
                            </w:rPr>
                          </w:pPr>
                          <w:r w:rsidRPr="003D2A81">
                            <w:rPr>
                              <w:rFonts w:ascii="Calibri" w:eastAsia="Calibri" w:hAnsi="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4DA7C52">
            <v:shapetype id="_x0000_t202" coordsize="21600,21600" o:spt="202" path="m,l,21600r21600,l21600,xe" w14:anchorId="177A087A">
              <v:stroke joinstyle="miter"/>
              <v:path gradientshapeok="t" o:connecttype="rect"/>
            </v:shapetype>
            <v:shape id="Text Box 3" style="position:absolute;margin-left:0;margin-top:0;width:36.2pt;height:34.0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">
              <v:textbox style="mso-fit-shape-to-text:t" inset="0,15pt,0,0">
                <w:txbxContent>
                  <w:p w:rsidRPr="003D2A81" w:rsidR="00F06B07" w:rsidP="00F06B07" w:rsidRDefault="00F06B07" w14:paraId="75F360E3" w14:textId="17B008EE">
                    <w:pPr>
                      <w:spacing w:after="0"/>
                      <w:rPr>
                        <w:rFonts w:ascii="Calibri" w:hAnsi="Calibri" w:eastAsia="Calibri" w:cs="Calibri"/>
                        <w:color w:val="000000"/>
                      </w:rPr>
                    </w:pPr>
                    <w:r w:rsidRPr="003D2A81">
                      <w:rPr>
                        <w:rFonts w:ascii="Calibri" w:hAnsi="Calibri" w:eastAsia="Calibri" w:cs="Calibri"/>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9A38" w14:textId="1ED75CD8" w:rsidR="00F06B07" w:rsidRPr="00E76A09" w:rsidRDefault="00F06B07">
    <w:pPr>
      <w:pStyle w:val="Header"/>
    </w:pPr>
    <w:r w:rsidRPr="004D2825">
      <w:rPr>
        <w:noProof/>
      </w:rPr>
      <mc:AlternateContent>
        <mc:Choice Requires="wps">
          <w:drawing>
            <wp:anchor distT="0" distB="0" distL="0" distR="0" simplePos="0" relativeHeight="251658244" behindDoc="0" locked="0" layoutInCell="1" allowOverlap="1" wp14:anchorId="4711A01D" wp14:editId="36834AE6">
              <wp:simplePos x="635" y="635"/>
              <wp:positionH relativeFrom="page">
                <wp:align>center</wp:align>
              </wp:positionH>
              <wp:positionV relativeFrom="page">
                <wp:align>top</wp:align>
              </wp:positionV>
              <wp:extent cx="459740" cy="432435"/>
              <wp:effectExtent l="0" t="0" r="16510" b="5715"/>
              <wp:wrapNone/>
              <wp:docPr id="103938946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2435"/>
                      </a:xfrm>
                      <a:prstGeom prst="rect">
                        <a:avLst/>
                      </a:prstGeom>
                      <a:noFill/>
                      <a:ln>
                        <a:noFill/>
                      </a:ln>
                    </wps:spPr>
                    <wps:txbx>
                      <w:txbxContent>
                        <w:p w14:paraId="6A4E9DC9" w14:textId="65081F87" w:rsidR="00F06B07" w:rsidRPr="003D2A81" w:rsidRDefault="00F06B07" w:rsidP="00F06B07">
                          <w:pPr>
                            <w:spacing w:after="0"/>
                            <w:rPr>
                              <w:rFonts w:ascii="Calibri" w:eastAsia="Calibri" w:hAnsi="Calibri" w:cs="Calibri"/>
                              <w:color w:val="000000"/>
                            </w:rPr>
                          </w:pPr>
                          <w:r w:rsidRPr="003D2A81">
                            <w:rPr>
                              <w:rFonts w:ascii="Calibri" w:eastAsia="Calibri" w:hAnsi="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65895F4">
            <v:shapetype id="_x0000_t202" coordsize="21600,21600" o:spt="202" path="m,l,21600r21600,l21600,xe" w14:anchorId="4711A01D">
              <v:stroke joinstyle="miter"/>
              <v:path gradientshapeok="t" o:connecttype="rect"/>
            </v:shapetype>
            <v:shape id="Text Box 1" style="position:absolute;margin-left:0;margin-top:0;width:36.2pt;height:34.0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">
              <v:textbox style="mso-fit-shape-to-text:t" inset="0,15pt,0,0">
                <w:txbxContent>
                  <w:p w:rsidRPr="003D2A81" w:rsidR="00F06B07" w:rsidP="00F06B07" w:rsidRDefault="00F06B07" w14:paraId="2CCFEE10" w14:textId="65081F87">
                    <w:pPr>
                      <w:spacing w:after="0"/>
                      <w:rPr>
                        <w:rFonts w:ascii="Calibri" w:hAnsi="Calibri" w:eastAsia="Calibri" w:cs="Calibri"/>
                        <w:color w:val="000000"/>
                      </w:rPr>
                    </w:pPr>
                    <w:r w:rsidRPr="003D2A81">
                      <w:rPr>
                        <w:rFonts w:ascii="Calibri" w:hAnsi="Calibri" w:eastAsia="Calibri" w:cs="Calibri"/>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F7F"/>
    <w:multiLevelType w:val="multilevel"/>
    <w:tmpl w:val="C6EA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05F51"/>
    <w:multiLevelType w:val="multilevel"/>
    <w:tmpl w:val="FD80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AD2970"/>
    <w:multiLevelType w:val="multilevel"/>
    <w:tmpl w:val="E638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E32846"/>
    <w:multiLevelType w:val="multilevel"/>
    <w:tmpl w:val="936E6B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717C7E"/>
    <w:multiLevelType w:val="multilevel"/>
    <w:tmpl w:val="85D00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9F4D3A"/>
    <w:multiLevelType w:val="multilevel"/>
    <w:tmpl w:val="CB96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92E58"/>
    <w:multiLevelType w:val="multilevel"/>
    <w:tmpl w:val="55EE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DD1EB0"/>
    <w:multiLevelType w:val="multilevel"/>
    <w:tmpl w:val="E8AA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453F7A"/>
    <w:multiLevelType w:val="multilevel"/>
    <w:tmpl w:val="F302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10394"/>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99572C"/>
    <w:multiLevelType w:val="multilevel"/>
    <w:tmpl w:val="E414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CC6E3C"/>
    <w:multiLevelType w:val="multilevel"/>
    <w:tmpl w:val="92E6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EF3C9C"/>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243777"/>
    <w:multiLevelType w:val="multilevel"/>
    <w:tmpl w:val="38EC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311223"/>
    <w:multiLevelType w:val="multilevel"/>
    <w:tmpl w:val="FBF6D0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349490F"/>
    <w:multiLevelType w:val="multilevel"/>
    <w:tmpl w:val="02DE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4D3EA8"/>
    <w:multiLevelType w:val="multilevel"/>
    <w:tmpl w:val="F43A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9B0A5A"/>
    <w:multiLevelType w:val="multilevel"/>
    <w:tmpl w:val="8146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265BB0"/>
    <w:multiLevelType w:val="multilevel"/>
    <w:tmpl w:val="8E6C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64504"/>
    <w:multiLevelType w:val="multilevel"/>
    <w:tmpl w:val="CB60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5612D0"/>
    <w:multiLevelType w:val="hybridMultilevel"/>
    <w:tmpl w:val="38C8A45E"/>
    <w:lvl w:ilvl="0" w:tplc="FF96ABFC">
      <w:start w:val="1"/>
      <w:numFmt w:val="bullet"/>
      <w:lvlText w:val=""/>
      <w:lvlJc w:val="left"/>
      <w:pPr>
        <w:ind w:left="720" w:hanging="360"/>
      </w:pPr>
      <w:rPr>
        <w:rFonts w:ascii="Symbol" w:hAnsi="Symbol" w:hint="default"/>
      </w:rPr>
    </w:lvl>
    <w:lvl w:ilvl="1" w:tplc="7A1C1AE8">
      <w:start w:val="1"/>
      <w:numFmt w:val="bullet"/>
      <w:pStyle w:val="TOC2"/>
      <w:lvlText w:val="o"/>
      <w:lvlJc w:val="left"/>
      <w:pPr>
        <w:ind w:left="567" w:hanging="283"/>
      </w:pPr>
      <w:rPr>
        <w:rFonts w:ascii="Courier New" w:hAnsi="Courier New" w:hint="default"/>
      </w:rPr>
    </w:lvl>
    <w:lvl w:ilvl="2" w:tplc="B13A88CA">
      <w:start w:val="1"/>
      <w:numFmt w:val="bullet"/>
      <w:lvlText w:val=""/>
      <w:lvlJc w:val="left"/>
      <w:pPr>
        <w:ind w:left="2160" w:hanging="360"/>
      </w:pPr>
      <w:rPr>
        <w:rFonts w:ascii="Wingdings" w:hAnsi="Wingdings" w:hint="default"/>
      </w:rPr>
    </w:lvl>
    <w:lvl w:ilvl="3" w:tplc="42809F6E" w:tentative="1">
      <w:start w:val="1"/>
      <w:numFmt w:val="bullet"/>
      <w:lvlText w:val=""/>
      <w:lvlJc w:val="left"/>
      <w:pPr>
        <w:ind w:left="2880" w:hanging="360"/>
      </w:pPr>
      <w:rPr>
        <w:rFonts w:ascii="Symbol" w:hAnsi="Symbol" w:hint="default"/>
      </w:rPr>
    </w:lvl>
    <w:lvl w:ilvl="4" w:tplc="DC94B76E" w:tentative="1">
      <w:start w:val="1"/>
      <w:numFmt w:val="bullet"/>
      <w:lvlText w:val="o"/>
      <w:lvlJc w:val="left"/>
      <w:pPr>
        <w:ind w:left="3600" w:hanging="360"/>
      </w:pPr>
      <w:rPr>
        <w:rFonts w:ascii="Courier New" w:hAnsi="Courier New" w:hint="default"/>
      </w:rPr>
    </w:lvl>
    <w:lvl w:ilvl="5" w:tplc="94420DE0" w:tentative="1">
      <w:start w:val="1"/>
      <w:numFmt w:val="bullet"/>
      <w:lvlText w:val=""/>
      <w:lvlJc w:val="left"/>
      <w:pPr>
        <w:ind w:left="4320" w:hanging="360"/>
      </w:pPr>
      <w:rPr>
        <w:rFonts w:ascii="Wingdings" w:hAnsi="Wingdings" w:hint="default"/>
      </w:rPr>
    </w:lvl>
    <w:lvl w:ilvl="6" w:tplc="C2DE4984" w:tentative="1">
      <w:start w:val="1"/>
      <w:numFmt w:val="bullet"/>
      <w:lvlText w:val=""/>
      <w:lvlJc w:val="left"/>
      <w:pPr>
        <w:ind w:left="5040" w:hanging="360"/>
      </w:pPr>
      <w:rPr>
        <w:rFonts w:ascii="Symbol" w:hAnsi="Symbol" w:hint="default"/>
      </w:rPr>
    </w:lvl>
    <w:lvl w:ilvl="7" w:tplc="CBC26B8C" w:tentative="1">
      <w:start w:val="1"/>
      <w:numFmt w:val="bullet"/>
      <w:lvlText w:val="o"/>
      <w:lvlJc w:val="left"/>
      <w:pPr>
        <w:ind w:left="5760" w:hanging="360"/>
      </w:pPr>
      <w:rPr>
        <w:rFonts w:ascii="Courier New" w:hAnsi="Courier New" w:hint="default"/>
      </w:rPr>
    </w:lvl>
    <w:lvl w:ilvl="8" w:tplc="499E96E4" w:tentative="1">
      <w:start w:val="1"/>
      <w:numFmt w:val="bullet"/>
      <w:lvlText w:val=""/>
      <w:lvlJc w:val="left"/>
      <w:pPr>
        <w:ind w:left="6480" w:hanging="360"/>
      </w:pPr>
      <w:rPr>
        <w:rFonts w:ascii="Wingdings" w:hAnsi="Wingdings" w:hint="default"/>
      </w:rPr>
    </w:lvl>
  </w:abstractNum>
  <w:abstractNum w:abstractNumId="21" w15:restartNumberingAfterBreak="0">
    <w:nsid w:val="04902BDC"/>
    <w:multiLevelType w:val="multilevel"/>
    <w:tmpl w:val="9996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9C765D"/>
    <w:multiLevelType w:val="multilevel"/>
    <w:tmpl w:val="449A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9E59C1"/>
    <w:multiLevelType w:val="multilevel"/>
    <w:tmpl w:val="1F545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5177D40"/>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A71529"/>
    <w:multiLevelType w:val="multilevel"/>
    <w:tmpl w:val="0A2A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DF5C00"/>
    <w:multiLevelType w:val="multilevel"/>
    <w:tmpl w:val="48463D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6465995"/>
    <w:multiLevelType w:val="multilevel"/>
    <w:tmpl w:val="C91247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6994854"/>
    <w:multiLevelType w:val="multilevel"/>
    <w:tmpl w:val="106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6B17235"/>
    <w:multiLevelType w:val="multilevel"/>
    <w:tmpl w:val="78BA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6F22204"/>
    <w:multiLevelType w:val="multilevel"/>
    <w:tmpl w:val="3440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7753F02"/>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7933F00"/>
    <w:multiLevelType w:val="multilevel"/>
    <w:tmpl w:val="61EA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84A2930"/>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8CF230F"/>
    <w:multiLevelType w:val="multilevel"/>
    <w:tmpl w:val="684E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9984DE3"/>
    <w:multiLevelType w:val="multilevel"/>
    <w:tmpl w:val="8748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9E53F34"/>
    <w:multiLevelType w:val="multilevel"/>
    <w:tmpl w:val="E838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9F701BB"/>
    <w:multiLevelType w:val="multilevel"/>
    <w:tmpl w:val="478C45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9F826B3"/>
    <w:multiLevelType w:val="multilevel"/>
    <w:tmpl w:val="D136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A6D1A3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836FDF"/>
    <w:multiLevelType w:val="multilevel"/>
    <w:tmpl w:val="076653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AC84AC4"/>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AD367FB"/>
    <w:multiLevelType w:val="multilevel"/>
    <w:tmpl w:val="9B52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B2C5429"/>
    <w:multiLevelType w:val="multilevel"/>
    <w:tmpl w:val="EF4C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B6C6E5F"/>
    <w:multiLevelType w:val="multilevel"/>
    <w:tmpl w:val="0B7E5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B957547"/>
    <w:multiLevelType w:val="multilevel"/>
    <w:tmpl w:val="D828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BA908F4"/>
    <w:multiLevelType w:val="hybridMultilevel"/>
    <w:tmpl w:val="9200A888"/>
    <w:lvl w:ilvl="0" w:tplc="82A0A42A">
      <w:start w:val="1"/>
      <w:numFmt w:val="bullet"/>
      <w:lvlText w:val=""/>
      <w:lvlJc w:val="left"/>
      <w:pPr>
        <w:ind w:left="720" w:hanging="360"/>
      </w:pPr>
      <w:rPr>
        <w:rFonts w:ascii="Symbol" w:hAnsi="Symbol" w:hint="default"/>
      </w:rPr>
    </w:lvl>
    <w:lvl w:ilvl="1" w:tplc="6DCCB8D2">
      <w:numFmt w:val="bullet"/>
      <w:lvlText w:val="•"/>
      <w:lvlJc w:val="left"/>
      <w:pPr>
        <w:ind w:left="1800" w:hanging="720"/>
      </w:pPr>
      <w:rPr>
        <w:rFonts w:ascii="Calibri" w:hAnsi="Calibri" w:hint="default"/>
      </w:rPr>
    </w:lvl>
    <w:lvl w:ilvl="2" w:tplc="F974A3D4" w:tentative="1">
      <w:start w:val="1"/>
      <w:numFmt w:val="bullet"/>
      <w:lvlText w:val=""/>
      <w:lvlJc w:val="left"/>
      <w:pPr>
        <w:ind w:left="2160" w:hanging="360"/>
      </w:pPr>
      <w:rPr>
        <w:rFonts w:ascii="Wingdings" w:hAnsi="Wingdings" w:hint="default"/>
      </w:rPr>
    </w:lvl>
    <w:lvl w:ilvl="3" w:tplc="635072CA" w:tentative="1">
      <w:start w:val="1"/>
      <w:numFmt w:val="bullet"/>
      <w:lvlText w:val=""/>
      <w:lvlJc w:val="left"/>
      <w:pPr>
        <w:ind w:left="2880" w:hanging="360"/>
      </w:pPr>
      <w:rPr>
        <w:rFonts w:ascii="Symbol" w:hAnsi="Symbol" w:hint="default"/>
      </w:rPr>
    </w:lvl>
    <w:lvl w:ilvl="4" w:tplc="298064DC" w:tentative="1">
      <w:start w:val="1"/>
      <w:numFmt w:val="bullet"/>
      <w:lvlText w:val="o"/>
      <w:lvlJc w:val="left"/>
      <w:pPr>
        <w:ind w:left="3600" w:hanging="360"/>
      </w:pPr>
      <w:rPr>
        <w:rFonts w:ascii="Courier New" w:hAnsi="Courier New" w:hint="default"/>
      </w:rPr>
    </w:lvl>
    <w:lvl w:ilvl="5" w:tplc="BA5CEF54" w:tentative="1">
      <w:start w:val="1"/>
      <w:numFmt w:val="bullet"/>
      <w:lvlText w:val=""/>
      <w:lvlJc w:val="left"/>
      <w:pPr>
        <w:ind w:left="4320" w:hanging="360"/>
      </w:pPr>
      <w:rPr>
        <w:rFonts w:ascii="Wingdings" w:hAnsi="Wingdings" w:hint="default"/>
      </w:rPr>
    </w:lvl>
    <w:lvl w:ilvl="6" w:tplc="07361C5C" w:tentative="1">
      <w:start w:val="1"/>
      <w:numFmt w:val="bullet"/>
      <w:lvlText w:val=""/>
      <w:lvlJc w:val="left"/>
      <w:pPr>
        <w:ind w:left="5040" w:hanging="360"/>
      </w:pPr>
      <w:rPr>
        <w:rFonts w:ascii="Symbol" w:hAnsi="Symbol" w:hint="default"/>
      </w:rPr>
    </w:lvl>
    <w:lvl w:ilvl="7" w:tplc="368ACAEC" w:tentative="1">
      <w:start w:val="1"/>
      <w:numFmt w:val="bullet"/>
      <w:lvlText w:val="o"/>
      <w:lvlJc w:val="left"/>
      <w:pPr>
        <w:ind w:left="5760" w:hanging="360"/>
      </w:pPr>
      <w:rPr>
        <w:rFonts w:ascii="Courier New" w:hAnsi="Courier New" w:hint="default"/>
      </w:rPr>
    </w:lvl>
    <w:lvl w:ilvl="8" w:tplc="51D6F890" w:tentative="1">
      <w:start w:val="1"/>
      <w:numFmt w:val="bullet"/>
      <w:lvlText w:val=""/>
      <w:lvlJc w:val="left"/>
      <w:pPr>
        <w:ind w:left="6480" w:hanging="360"/>
      </w:pPr>
      <w:rPr>
        <w:rFonts w:ascii="Wingdings" w:hAnsi="Wingdings" w:hint="default"/>
      </w:rPr>
    </w:lvl>
  </w:abstractNum>
  <w:abstractNum w:abstractNumId="47" w15:restartNumberingAfterBreak="0">
    <w:nsid w:val="0BC37727"/>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1959EF"/>
    <w:multiLevelType w:val="multilevel"/>
    <w:tmpl w:val="D2E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C2B6E67"/>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C2C2A96"/>
    <w:multiLevelType w:val="multilevel"/>
    <w:tmpl w:val="0A00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C7F0EDE"/>
    <w:multiLevelType w:val="multilevel"/>
    <w:tmpl w:val="FDCC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C9863AA"/>
    <w:multiLevelType w:val="multilevel"/>
    <w:tmpl w:val="1E2CC5B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0CB7069B"/>
    <w:multiLevelType w:val="multilevel"/>
    <w:tmpl w:val="4EF6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CC52130"/>
    <w:multiLevelType w:val="multilevel"/>
    <w:tmpl w:val="B966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CE02B7F"/>
    <w:multiLevelType w:val="multilevel"/>
    <w:tmpl w:val="D82C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D8546AA"/>
    <w:multiLevelType w:val="multilevel"/>
    <w:tmpl w:val="630A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D9836E7"/>
    <w:multiLevelType w:val="multilevel"/>
    <w:tmpl w:val="DFCC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DB80506"/>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E27333B"/>
    <w:multiLevelType w:val="multilevel"/>
    <w:tmpl w:val="2FBA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E515DC9"/>
    <w:multiLevelType w:val="multilevel"/>
    <w:tmpl w:val="8316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ECC524C"/>
    <w:multiLevelType w:val="multilevel"/>
    <w:tmpl w:val="F010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F513EAD"/>
    <w:multiLevelType w:val="multilevel"/>
    <w:tmpl w:val="68E244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F573815"/>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F6A7F36"/>
    <w:multiLevelType w:val="multilevel"/>
    <w:tmpl w:val="2BFC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F7E75BF"/>
    <w:multiLevelType w:val="multilevel"/>
    <w:tmpl w:val="FB70AC20"/>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0F7F1F7E"/>
    <w:multiLevelType w:val="multilevel"/>
    <w:tmpl w:val="C58A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F862F38"/>
    <w:multiLevelType w:val="multilevel"/>
    <w:tmpl w:val="48EC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FD7700D"/>
    <w:multiLevelType w:val="multilevel"/>
    <w:tmpl w:val="086A2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FE32504"/>
    <w:multiLevelType w:val="multilevel"/>
    <w:tmpl w:val="8EF0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0901560"/>
    <w:multiLevelType w:val="multilevel"/>
    <w:tmpl w:val="7A4A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0B771B7"/>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14A7B28"/>
    <w:multiLevelType w:val="multilevel"/>
    <w:tmpl w:val="F796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19662B5"/>
    <w:multiLevelType w:val="multilevel"/>
    <w:tmpl w:val="2218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1A52427"/>
    <w:multiLevelType w:val="multilevel"/>
    <w:tmpl w:val="6052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1ED752C"/>
    <w:multiLevelType w:val="multilevel"/>
    <w:tmpl w:val="EF22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2601D4E"/>
    <w:multiLevelType w:val="multilevel"/>
    <w:tmpl w:val="DBCE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2904266"/>
    <w:multiLevelType w:val="multilevel"/>
    <w:tmpl w:val="2CD4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2C71C1B"/>
    <w:multiLevelType w:val="multilevel"/>
    <w:tmpl w:val="FF1A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2E45BFD"/>
    <w:multiLevelType w:val="multilevel"/>
    <w:tmpl w:val="71FE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2E75515"/>
    <w:multiLevelType w:val="multilevel"/>
    <w:tmpl w:val="9B38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312496C"/>
    <w:multiLevelType w:val="multilevel"/>
    <w:tmpl w:val="E48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31F534F"/>
    <w:multiLevelType w:val="multilevel"/>
    <w:tmpl w:val="6BB8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35C7214"/>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3623AA5"/>
    <w:multiLevelType w:val="multilevel"/>
    <w:tmpl w:val="3C6A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37E7D5A"/>
    <w:multiLevelType w:val="multilevel"/>
    <w:tmpl w:val="7FE2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385003D"/>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3863CBE"/>
    <w:multiLevelType w:val="hybridMultilevel"/>
    <w:tmpl w:val="E4C862E8"/>
    <w:lvl w:ilvl="0" w:tplc="9E9C62D2">
      <w:start w:val="1"/>
      <w:numFmt w:val="bullet"/>
      <w:lvlText w:val=""/>
      <w:lvlJc w:val="left"/>
      <w:pPr>
        <w:ind w:left="720" w:hanging="360"/>
      </w:pPr>
      <w:rPr>
        <w:rFonts w:ascii="Symbol" w:hAnsi="Symbol" w:hint="default"/>
      </w:rPr>
    </w:lvl>
    <w:lvl w:ilvl="1" w:tplc="9A484454" w:tentative="1">
      <w:start w:val="1"/>
      <w:numFmt w:val="bullet"/>
      <w:lvlText w:val="o"/>
      <w:lvlJc w:val="left"/>
      <w:pPr>
        <w:ind w:left="1440" w:hanging="360"/>
      </w:pPr>
      <w:rPr>
        <w:rFonts w:ascii="Courier New" w:hAnsi="Courier New" w:hint="default"/>
      </w:rPr>
    </w:lvl>
    <w:lvl w:ilvl="2" w:tplc="BAD077D4" w:tentative="1">
      <w:start w:val="1"/>
      <w:numFmt w:val="bullet"/>
      <w:lvlText w:val=""/>
      <w:lvlJc w:val="left"/>
      <w:pPr>
        <w:ind w:left="2160" w:hanging="360"/>
      </w:pPr>
      <w:rPr>
        <w:rFonts w:ascii="Wingdings" w:hAnsi="Wingdings" w:hint="default"/>
      </w:rPr>
    </w:lvl>
    <w:lvl w:ilvl="3" w:tplc="9BCED04C" w:tentative="1">
      <w:start w:val="1"/>
      <w:numFmt w:val="bullet"/>
      <w:lvlText w:val=""/>
      <w:lvlJc w:val="left"/>
      <w:pPr>
        <w:ind w:left="2880" w:hanging="360"/>
      </w:pPr>
      <w:rPr>
        <w:rFonts w:ascii="Symbol" w:hAnsi="Symbol" w:hint="default"/>
      </w:rPr>
    </w:lvl>
    <w:lvl w:ilvl="4" w:tplc="760E6DA8" w:tentative="1">
      <w:start w:val="1"/>
      <w:numFmt w:val="bullet"/>
      <w:lvlText w:val="o"/>
      <w:lvlJc w:val="left"/>
      <w:pPr>
        <w:ind w:left="3600" w:hanging="360"/>
      </w:pPr>
      <w:rPr>
        <w:rFonts w:ascii="Courier New" w:hAnsi="Courier New" w:hint="default"/>
      </w:rPr>
    </w:lvl>
    <w:lvl w:ilvl="5" w:tplc="3E36F73C" w:tentative="1">
      <w:start w:val="1"/>
      <w:numFmt w:val="bullet"/>
      <w:lvlText w:val=""/>
      <w:lvlJc w:val="left"/>
      <w:pPr>
        <w:ind w:left="4320" w:hanging="360"/>
      </w:pPr>
      <w:rPr>
        <w:rFonts w:ascii="Wingdings" w:hAnsi="Wingdings" w:hint="default"/>
      </w:rPr>
    </w:lvl>
    <w:lvl w:ilvl="6" w:tplc="4C863D9E" w:tentative="1">
      <w:start w:val="1"/>
      <w:numFmt w:val="bullet"/>
      <w:lvlText w:val=""/>
      <w:lvlJc w:val="left"/>
      <w:pPr>
        <w:ind w:left="5040" w:hanging="360"/>
      </w:pPr>
      <w:rPr>
        <w:rFonts w:ascii="Symbol" w:hAnsi="Symbol" w:hint="default"/>
      </w:rPr>
    </w:lvl>
    <w:lvl w:ilvl="7" w:tplc="55ECC354" w:tentative="1">
      <w:start w:val="1"/>
      <w:numFmt w:val="bullet"/>
      <w:lvlText w:val="o"/>
      <w:lvlJc w:val="left"/>
      <w:pPr>
        <w:ind w:left="5760" w:hanging="360"/>
      </w:pPr>
      <w:rPr>
        <w:rFonts w:ascii="Courier New" w:hAnsi="Courier New" w:hint="default"/>
      </w:rPr>
    </w:lvl>
    <w:lvl w:ilvl="8" w:tplc="F58CC726" w:tentative="1">
      <w:start w:val="1"/>
      <w:numFmt w:val="bullet"/>
      <w:lvlText w:val=""/>
      <w:lvlJc w:val="left"/>
      <w:pPr>
        <w:ind w:left="6480" w:hanging="360"/>
      </w:pPr>
      <w:rPr>
        <w:rFonts w:ascii="Wingdings" w:hAnsi="Wingdings" w:hint="default"/>
      </w:rPr>
    </w:lvl>
  </w:abstractNum>
  <w:abstractNum w:abstractNumId="88" w15:restartNumberingAfterBreak="0">
    <w:nsid w:val="13915D65"/>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3FE3BF0"/>
    <w:multiLevelType w:val="multilevel"/>
    <w:tmpl w:val="7226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4967EC5"/>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49B2DCA"/>
    <w:multiLevelType w:val="hybridMultilevel"/>
    <w:tmpl w:val="D754360C"/>
    <w:lvl w:ilvl="0" w:tplc="31EEEA52">
      <w:start w:val="1"/>
      <w:numFmt w:val="bullet"/>
      <w:lvlText w:val=""/>
      <w:lvlJc w:val="left"/>
      <w:pPr>
        <w:ind w:left="720" w:hanging="360"/>
      </w:pPr>
      <w:rPr>
        <w:rFonts w:ascii="Symbol" w:hAnsi="Symbol" w:hint="default"/>
      </w:rPr>
    </w:lvl>
    <w:lvl w:ilvl="1" w:tplc="EB5A9BDE" w:tentative="1">
      <w:start w:val="1"/>
      <w:numFmt w:val="bullet"/>
      <w:lvlText w:val="o"/>
      <w:lvlJc w:val="left"/>
      <w:pPr>
        <w:ind w:left="1156" w:hanging="360"/>
      </w:pPr>
      <w:rPr>
        <w:rFonts w:ascii="Courier New" w:hAnsi="Courier New" w:hint="default"/>
      </w:rPr>
    </w:lvl>
    <w:lvl w:ilvl="2" w:tplc="1A06B7DE" w:tentative="1">
      <w:start w:val="1"/>
      <w:numFmt w:val="bullet"/>
      <w:lvlText w:val=""/>
      <w:lvlJc w:val="left"/>
      <w:pPr>
        <w:ind w:left="1876" w:hanging="360"/>
      </w:pPr>
      <w:rPr>
        <w:rFonts w:ascii="Wingdings" w:hAnsi="Wingdings" w:hint="default"/>
      </w:rPr>
    </w:lvl>
    <w:lvl w:ilvl="3" w:tplc="35127D48" w:tentative="1">
      <w:start w:val="1"/>
      <w:numFmt w:val="bullet"/>
      <w:lvlText w:val=""/>
      <w:lvlJc w:val="left"/>
      <w:pPr>
        <w:ind w:left="2596" w:hanging="360"/>
      </w:pPr>
      <w:rPr>
        <w:rFonts w:ascii="Symbol" w:hAnsi="Symbol" w:hint="default"/>
      </w:rPr>
    </w:lvl>
    <w:lvl w:ilvl="4" w:tplc="B8FAF348" w:tentative="1">
      <w:start w:val="1"/>
      <w:numFmt w:val="bullet"/>
      <w:lvlText w:val="o"/>
      <w:lvlJc w:val="left"/>
      <w:pPr>
        <w:ind w:left="3316" w:hanging="360"/>
      </w:pPr>
      <w:rPr>
        <w:rFonts w:ascii="Courier New" w:hAnsi="Courier New" w:hint="default"/>
      </w:rPr>
    </w:lvl>
    <w:lvl w:ilvl="5" w:tplc="ACD4B3F4" w:tentative="1">
      <w:start w:val="1"/>
      <w:numFmt w:val="bullet"/>
      <w:lvlText w:val=""/>
      <w:lvlJc w:val="left"/>
      <w:pPr>
        <w:ind w:left="4036" w:hanging="360"/>
      </w:pPr>
      <w:rPr>
        <w:rFonts w:ascii="Wingdings" w:hAnsi="Wingdings" w:hint="default"/>
      </w:rPr>
    </w:lvl>
    <w:lvl w:ilvl="6" w:tplc="46E8B9D2" w:tentative="1">
      <w:start w:val="1"/>
      <w:numFmt w:val="bullet"/>
      <w:lvlText w:val=""/>
      <w:lvlJc w:val="left"/>
      <w:pPr>
        <w:ind w:left="4756" w:hanging="360"/>
      </w:pPr>
      <w:rPr>
        <w:rFonts w:ascii="Symbol" w:hAnsi="Symbol" w:hint="default"/>
      </w:rPr>
    </w:lvl>
    <w:lvl w:ilvl="7" w:tplc="5234F89E" w:tentative="1">
      <w:start w:val="1"/>
      <w:numFmt w:val="bullet"/>
      <w:lvlText w:val="o"/>
      <w:lvlJc w:val="left"/>
      <w:pPr>
        <w:ind w:left="5476" w:hanging="360"/>
      </w:pPr>
      <w:rPr>
        <w:rFonts w:ascii="Courier New" w:hAnsi="Courier New" w:hint="default"/>
      </w:rPr>
    </w:lvl>
    <w:lvl w:ilvl="8" w:tplc="909EA268" w:tentative="1">
      <w:start w:val="1"/>
      <w:numFmt w:val="bullet"/>
      <w:lvlText w:val=""/>
      <w:lvlJc w:val="left"/>
      <w:pPr>
        <w:ind w:left="6196" w:hanging="360"/>
      </w:pPr>
      <w:rPr>
        <w:rFonts w:ascii="Wingdings" w:hAnsi="Wingdings" w:hint="default"/>
      </w:rPr>
    </w:lvl>
  </w:abstractNum>
  <w:abstractNum w:abstractNumId="92" w15:restartNumberingAfterBreak="0">
    <w:nsid w:val="14B46260"/>
    <w:multiLevelType w:val="multilevel"/>
    <w:tmpl w:val="8B7E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4E2602C"/>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4EE21DB"/>
    <w:multiLevelType w:val="multilevel"/>
    <w:tmpl w:val="332E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4F22AD7"/>
    <w:multiLevelType w:val="multilevel"/>
    <w:tmpl w:val="8D8C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4F76F93"/>
    <w:multiLevelType w:val="multilevel"/>
    <w:tmpl w:val="4992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54A5ADB"/>
    <w:multiLevelType w:val="multilevel"/>
    <w:tmpl w:val="761A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5725920"/>
    <w:multiLevelType w:val="multilevel"/>
    <w:tmpl w:val="EB46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58E19F9"/>
    <w:multiLevelType w:val="multilevel"/>
    <w:tmpl w:val="2F5C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5C0117A"/>
    <w:multiLevelType w:val="multilevel"/>
    <w:tmpl w:val="7666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62A0CF8"/>
    <w:multiLevelType w:val="multilevel"/>
    <w:tmpl w:val="D8AE2894"/>
    <w:lvl w:ilvl="0">
      <w:start w:val="5"/>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64C0B33"/>
    <w:multiLevelType w:val="multilevel"/>
    <w:tmpl w:val="A050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6591B0D"/>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6766D7D"/>
    <w:multiLevelType w:val="multilevel"/>
    <w:tmpl w:val="1E2CC5B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1682415C"/>
    <w:multiLevelType w:val="multilevel"/>
    <w:tmpl w:val="56FA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6C40DEA"/>
    <w:multiLevelType w:val="multilevel"/>
    <w:tmpl w:val="01823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6CA75C8"/>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6CB2867"/>
    <w:multiLevelType w:val="multilevel"/>
    <w:tmpl w:val="8952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733281A"/>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767062E"/>
    <w:multiLevelType w:val="multilevel"/>
    <w:tmpl w:val="8F26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77231C3"/>
    <w:multiLevelType w:val="multilevel"/>
    <w:tmpl w:val="923C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7A82BCA"/>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7B66689"/>
    <w:multiLevelType w:val="multilevel"/>
    <w:tmpl w:val="EA72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7CA53F6"/>
    <w:multiLevelType w:val="multilevel"/>
    <w:tmpl w:val="98F2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8191C1C"/>
    <w:multiLevelType w:val="multilevel"/>
    <w:tmpl w:val="19C0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88A22A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8F522F8"/>
    <w:multiLevelType w:val="hybridMultilevel"/>
    <w:tmpl w:val="06E27CFA"/>
    <w:lvl w:ilvl="0" w:tplc="FD22CD50">
      <w:start w:val="1"/>
      <w:numFmt w:val="lowerLetter"/>
      <w:lvlText w:val="%1."/>
      <w:lvlJc w:val="left"/>
      <w:pPr>
        <w:ind w:left="720" w:hanging="360"/>
      </w:pPr>
      <w:rPr>
        <w:sz w:val="22"/>
        <w:szCs w:val="22"/>
      </w:rPr>
    </w:lvl>
    <w:lvl w:ilvl="1" w:tplc="0ADCDEA6" w:tentative="1">
      <w:start w:val="1"/>
      <w:numFmt w:val="lowerLetter"/>
      <w:lvlText w:val="%2."/>
      <w:lvlJc w:val="left"/>
      <w:pPr>
        <w:ind w:left="1440" w:hanging="360"/>
      </w:pPr>
    </w:lvl>
    <w:lvl w:ilvl="2" w:tplc="423E9A60" w:tentative="1">
      <w:start w:val="1"/>
      <w:numFmt w:val="lowerRoman"/>
      <w:lvlText w:val="%3."/>
      <w:lvlJc w:val="right"/>
      <w:pPr>
        <w:ind w:left="2160" w:hanging="180"/>
      </w:pPr>
    </w:lvl>
    <w:lvl w:ilvl="3" w:tplc="CDF498D2" w:tentative="1">
      <w:start w:val="1"/>
      <w:numFmt w:val="decimal"/>
      <w:lvlText w:val="%4."/>
      <w:lvlJc w:val="left"/>
      <w:pPr>
        <w:ind w:left="2880" w:hanging="360"/>
      </w:pPr>
    </w:lvl>
    <w:lvl w:ilvl="4" w:tplc="21EE152C" w:tentative="1">
      <w:start w:val="1"/>
      <w:numFmt w:val="lowerLetter"/>
      <w:lvlText w:val="%5."/>
      <w:lvlJc w:val="left"/>
      <w:pPr>
        <w:ind w:left="3600" w:hanging="360"/>
      </w:pPr>
    </w:lvl>
    <w:lvl w:ilvl="5" w:tplc="8FCE673A" w:tentative="1">
      <w:start w:val="1"/>
      <w:numFmt w:val="lowerRoman"/>
      <w:lvlText w:val="%6."/>
      <w:lvlJc w:val="right"/>
      <w:pPr>
        <w:ind w:left="4320" w:hanging="180"/>
      </w:pPr>
    </w:lvl>
    <w:lvl w:ilvl="6" w:tplc="822EB9EA" w:tentative="1">
      <w:start w:val="1"/>
      <w:numFmt w:val="decimal"/>
      <w:lvlText w:val="%7."/>
      <w:lvlJc w:val="left"/>
      <w:pPr>
        <w:ind w:left="5040" w:hanging="360"/>
      </w:pPr>
    </w:lvl>
    <w:lvl w:ilvl="7" w:tplc="ED0C8BFC" w:tentative="1">
      <w:start w:val="1"/>
      <w:numFmt w:val="lowerLetter"/>
      <w:lvlText w:val="%8."/>
      <w:lvlJc w:val="left"/>
      <w:pPr>
        <w:ind w:left="5760" w:hanging="360"/>
      </w:pPr>
    </w:lvl>
    <w:lvl w:ilvl="8" w:tplc="D61A3976" w:tentative="1">
      <w:start w:val="1"/>
      <w:numFmt w:val="lowerRoman"/>
      <w:lvlText w:val="%9."/>
      <w:lvlJc w:val="right"/>
      <w:pPr>
        <w:ind w:left="6480" w:hanging="180"/>
      </w:pPr>
    </w:lvl>
  </w:abstractNum>
  <w:abstractNum w:abstractNumId="118" w15:restartNumberingAfterBreak="0">
    <w:nsid w:val="18FF363A"/>
    <w:multiLevelType w:val="multilevel"/>
    <w:tmpl w:val="14D6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92C6DF9"/>
    <w:multiLevelType w:val="multilevel"/>
    <w:tmpl w:val="7CF4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9325647"/>
    <w:multiLevelType w:val="multilevel"/>
    <w:tmpl w:val="4366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94E6FC7"/>
    <w:multiLevelType w:val="multilevel"/>
    <w:tmpl w:val="E8D0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96441D3"/>
    <w:multiLevelType w:val="multilevel"/>
    <w:tmpl w:val="186E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98079C4"/>
    <w:multiLevelType w:val="multilevel"/>
    <w:tmpl w:val="72A0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98531C1"/>
    <w:multiLevelType w:val="multilevel"/>
    <w:tmpl w:val="FC78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9EE7314"/>
    <w:multiLevelType w:val="multilevel"/>
    <w:tmpl w:val="2E5A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9F2142D"/>
    <w:multiLevelType w:val="multilevel"/>
    <w:tmpl w:val="6A78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A1125C4"/>
    <w:multiLevelType w:val="multilevel"/>
    <w:tmpl w:val="1BDC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4336FE"/>
    <w:multiLevelType w:val="multilevel"/>
    <w:tmpl w:val="E92A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A4450C8"/>
    <w:multiLevelType w:val="multilevel"/>
    <w:tmpl w:val="B01C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D33D36"/>
    <w:multiLevelType w:val="multilevel"/>
    <w:tmpl w:val="1C18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AD350B2"/>
    <w:multiLevelType w:val="multilevel"/>
    <w:tmpl w:val="2236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D45CF8"/>
    <w:multiLevelType w:val="multilevel"/>
    <w:tmpl w:val="DCF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B5532B3"/>
    <w:multiLevelType w:val="multilevel"/>
    <w:tmpl w:val="1E2CC5B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1BCB7F4E"/>
    <w:multiLevelType w:val="multilevel"/>
    <w:tmpl w:val="4CE8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C202918"/>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C5B1826"/>
    <w:multiLevelType w:val="multilevel"/>
    <w:tmpl w:val="49B0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C9A00FC"/>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CAB70E6"/>
    <w:multiLevelType w:val="multilevel"/>
    <w:tmpl w:val="D5FE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D56167"/>
    <w:multiLevelType w:val="multilevel"/>
    <w:tmpl w:val="F48E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D841F5"/>
    <w:multiLevelType w:val="multilevel"/>
    <w:tmpl w:val="269A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DF5C14"/>
    <w:multiLevelType w:val="multilevel"/>
    <w:tmpl w:val="4534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D3E1701"/>
    <w:multiLevelType w:val="multilevel"/>
    <w:tmpl w:val="7512D9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1D9640E5"/>
    <w:multiLevelType w:val="multilevel"/>
    <w:tmpl w:val="BD32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DA6EE0"/>
    <w:multiLevelType w:val="multilevel"/>
    <w:tmpl w:val="87C2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DE51D5D"/>
    <w:multiLevelType w:val="multilevel"/>
    <w:tmpl w:val="82C8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DF15D2B"/>
    <w:multiLevelType w:val="multilevel"/>
    <w:tmpl w:val="0F74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DF8577A"/>
    <w:multiLevelType w:val="hybridMultilevel"/>
    <w:tmpl w:val="35961C44"/>
    <w:lvl w:ilvl="0" w:tplc="44EA54AA">
      <w:start w:val="1"/>
      <w:numFmt w:val="bullet"/>
      <w:lvlText w:val=""/>
      <w:lvlJc w:val="left"/>
      <w:pPr>
        <w:ind w:left="720" w:hanging="360"/>
      </w:pPr>
      <w:rPr>
        <w:rFonts w:ascii="Symbol" w:hAnsi="Symbol" w:hint="default"/>
      </w:rPr>
    </w:lvl>
    <w:lvl w:ilvl="1" w:tplc="8438FF44" w:tentative="1">
      <w:start w:val="1"/>
      <w:numFmt w:val="bullet"/>
      <w:lvlText w:val="o"/>
      <w:lvlJc w:val="left"/>
      <w:pPr>
        <w:ind w:left="1440" w:hanging="360"/>
      </w:pPr>
      <w:rPr>
        <w:rFonts w:ascii="Courier New" w:hAnsi="Courier New" w:hint="default"/>
      </w:rPr>
    </w:lvl>
    <w:lvl w:ilvl="2" w:tplc="98A68BDC" w:tentative="1">
      <w:start w:val="1"/>
      <w:numFmt w:val="bullet"/>
      <w:lvlText w:val=""/>
      <w:lvlJc w:val="left"/>
      <w:pPr>
        <w:ind w:left="2160" w:hanging="360"/>
      </w:pPr>
      <w:rPr>
        <w:rFonts w:ascii="Wingdings" w:hAnsi="Wingdings" w:hint="default"/>
      </w:rPr>
    </w:lvl>
    <w:lvl w:ilvl="3" w:tplc="0D80582A" w:tentative="1">
      <w:start w:val="1"/>
      <w:numFmt w:val="bullet"/>
      <w:lvlText w:val=""/>
      <w:lvlJc w:val="left"/>
      <w:pPr>
        <w:ind w:left="2880" w:hanging="360"/>
      </w:pPr>
      <w:rPr>
        <w:rFonts w:ascii="Symbol" w:hAnsi="Symbol" w:hint="default"/>
      </w:rPr>
    </w:lvl>
    <w:lvl w:ilvl="4" w:tplc="A7B687D0" w:tentative="1">
      <w:start w:val="1"/>
      <w:numFmt w:val="bullet"/>
      <w:lvlText w:val="o"/>
      <w:lvlJc w:val="left"/>
      <w:pPr>
        <w:ind w:left="3600" w:hanging="360"/>
      </w:pPr>
      <w:rPr>
        <w:rFonts w:ascii="Courier New" w:hAnsi="Courier New" w:hint="default"/>
      </w:rPr>
    </w:lvl>
    <w:lvl w:ilvl="5" w:tplc="DE8E8AD8" w:tentative="1">
      <w:start w:val="1"/>
      <w:numFmt w:val="bullet"/>
      <w:lvlText w:val=""/>
      <w:lvlJc w:val="left"/>
      <w:pPr>
        <w:ind w:left="4320" w:hanging="360"/>
      </w:pPr>
      <w:rPr>
        <w:rFonts w:ascii="Wingdings" w:hAnsi="Wingdings" w:hint="default"/>
      </w:rPr>
    </w:lvl>
    <w:lvl w:ilvl="6" w:tplc="F85A31AE" w:tentative="1">
      <w:start w:val="1"/>
      <w:numFmt w:val="bullet"/>
      <w:lvlText w:val=""/>
      <w:lvlJc w:val="left"/>
      <w:pPr>
        <w:ind w:left="5040" w:hanging="360"/>
      </w:pPr>
      <w:rPr>
        <w:rFonts w:ascii="Symbol" w:hAnsi="Symbol" w:hint="default"/>
      </w:rPr>
    </w:lvl>
    <w:lvl w:ilvl="7" w:tplc="6FE66778" w:tentative="1">
      <w:start w:val="1"/>
      <w:numFmt w:val="bullet"/>
      <w:lvlText w:val="o"/>
      <w:lvlJc w:val="left"/>
      <w:pPr>
        <w:ind w:left="5760" w:hanging="360"/>
      </w:pPr>
      <w:rPr>
        <w:rFonts w:ascii="Courier New" w:hAnsi="Courier New" w:hint="default"/>
      </w:rPr>
    </w:lvl>
    <w:lvl w:ilvl="8" w:tplc="DAF6A47E" w:tentative="1">
      <w:start w:val="1"/>
      <w:numFmt w:val="bullet"/>
      <w:lvlText w:val=""/>
      <w:lvlJc w:val="left"/>
      <w:pPr>
        <w:ind w:left="6480" w:hanging="360"/>
      </w:pPr>
      <w:rPr>
        <w:rFonts w:ascii="Wingdings" w:hAnsi="Wingdings" w:hint="default"/>
      </w:rPr>
    </w:lvl>
  </w:abstractNum>
  <w:abstractNum w:abstractNumId="148" w15:restartNumberingAfterBreak="0">
    <w:nsid w:val="1E597E12"/>
    <w:multiLevelType w:val="multilevel"/>
    <w:tmpl w:val="7E36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E7D4B80"/>
    <w:multiLevelType w:val="multilevel"/>
    <w:tmpl w:val="63D0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E81744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E84639D"/>
    <w:multiLevelType w:val="multilevel"/>
    <w:tmpl w:val="B8A8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EE90AE5"/>
    <w:multiLevelType w:val="multilevel"/>
    <w:tmpl w:val="6C767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EF132AB"/>
    <w:multiLevelType w:val="multilevel"/>
    <w:tmpl w:val="33BE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EF565C9"/>
    <w:multiLevelType w:val="hybridMultilevel"/>
    <w:tmpl w:val="15A23774"/>
    <w:lvl w:ilvl="0" w:tplc="DD0A817A">
      <w:start w:val="1"/>
      <w:numFmt w:val="bullet"/>
      <w:lvlText w:val=""/>
      <w:lvlJc w:val="left"/>
      <w:pPr>
        <w:ind w:left="720" w:hanging="360"/>
      </w:pPr>
      <w:rPr>
        <w:rFonts w:ascii="Symbol" w:hAnsi="Symbol" w:hint="default"/>
      </w:rPr>
    </w:lvl>
    <w:lvl w:ilvl="1" w:tplc="AA2AB17A" w:tentative="1">
      <w:start w:val="1"/>
      <w:numFmt w:val="bullet"/>
      <w:lvlText w:val="o"/>
      <w:lvlJc w:val="left"/>
      <w:pPr>
        <w:ind w:left="1440" w:hanging="360"/>
      </w:pPr>
      <w:rPr>
        <w:rFonts w:ascii="Courier New" w:hAnsi="Courier New" w:hint="default"/>
      </w:rPr>
    </w:lvl>
    <w:lvl w:ilvl="2" w:tplc="0B02C722" w:tentative="1">
      <w:start w:val="1"/>
      <w:numFmt w:val="bullet"/>
      <w:lvlText w:val=""/>
      <w:lvlJc w:val="left"/>
      <w:pPr>
        <w:ind w:left="2160" w:hanging="360"/>
      </w:pPr>
      <w:rPr>
        <w:rFonts w:ascii="Wingdings" w:hAnsi="Wingdings" w:hint="default"/>
      </w:rPr>
    </w:lvl>
    <w:lvl w:ilvl="3" w:tplc="E0A22FF8" w:tentative="1">
      <w:start w:val="1"/>
      <w:numFmt w:val="bullet"/>
      <w:lvlText w:val=""/>
      <w:lvlJc w:val="left"/>
      <w:pPr>
        <w:ind w:left="2880" w:hanging="360"/>
      </w:pPr>
      <w:rPr>
        <w:rFonts w:ascii="Symbol" w:hAnsi="Symbol" w:hint="default"/>
      </w:rPr>
    </w:lvl>
    <w:lvl w:ilvl="4" w:tplc="A90CBBE6" w:tentative="1">
      <w:start w:val="1"/>
      <w:numFmt w:val="bullet"/>
      <w:lvlText w:val="o"/>
      <w:lvlJc w:val="left"/>
      <w:pPr>
        <w:ind w:left="3600" w:hanging="360"/>
      </w:pPr>
      <w:rPr>
        <w:rFonts w:ascii="Courier New" w:hAnsi="Courier New" w:hint="default"/>
      </w:rPr>
    </w:lvl>
    <w:lvl w:ilvl="5" w:tplc="0A2ECD6E" w:tentative="1">
      <w:start w:val="1"/>
      <w:numFmt w:val="bullet"/>
      <w:lvlText w:val=""/>
      <w:lvlJc w:val="left"/>
      <w:pPr>
        <w:ind w:left="4320" w:hanging="360"/>
      </w:pPr>
      <w:rPr>
        <w:rFonts w:ascii="Wingdings" w:hAnsi="Wingdings" w:hint="default"/>
      </w:rPr>
    </w:lvl>
    <w:lvl w:ilvl="6" w:tplc="8BC6909C" w:tentative="1">
      <w:start w:val="1"/>
      <w:numFmt w:val="bullet"/>
      <w:lvlText w:val=""/>
      <w:lvlJc w:val="left"/>
      <w:pPr>
        <w:ind w:left="5040" w:hanging="360"/>
      </w:pPr>
      <w:rPr>
        <w:rFonts w:ascii="Symbol" w:hAnsi="Symbol" w:hint="default"/>
      </w:rPr>
    </w:lvl>
    <w:lvl w:ilvl="7" w:tplc="2F623588" w:tentative="1">
      <w:start w:val="1"/>
      <w:numFmt w:val="bullet"/>
      <w:lvlText w:val="o"/>
      <w:lvlJc w:val="left"/>
      <w:pPr>
        <w:ind w:left="5760" w:hanging="360"/>
      </w:pPr>
      <w:rPr>
        <w:rFonts w:ascii="Courier New" w:hAnsi="Courier New" w:hint="default"/>
      </w:rPr>
    </w:lvl>
    <w:lvl w:ilvl="8" w:tplc="2C6EFACE" w:tentative="1">
      <w:start w:val="1"/>
      <w:numFmt w:val="bullet"/>
      <w:lvlText w:val=""/>
      <w:lvlJc w:val="left"/>
      <w:pPr>
        <w:ind w:left="6480" w:hanging="360"/>
      </w:pPr>
      <w:rPr>
        <w:rFonts w:ascii="Wingdings" w:hAnsi="Wingdings" w:hint="default"/>
      </w:rPr>
    </w:lvl>
  </w:abstractNum>
  <w:abstractNum w:abstractNumId="155" w15:restartNumberingAfterBreak="0">
    <w:nsid w:val="1F2C2059"/>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F5363FA"/>
    <w:multiLevelType w:val="multilevel"/>
    <w:tmpl w:val="86DA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F6D4DEF"/>
    <w:multiLevelType w:val="multilevel"/>
    <w:tmpl w:val="FBC08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1F95494C"/>
    <w:multiLevelType w:val="multilevel"/>
    <w:tmpl w:val="4A74D36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9" w15:restartNumberingAfterBreak="0">
    <w:nsid w:val="1FDF61CD"/>
    <w:multiLevelType w:val="multilevel"/>
    <w:tmpl w:val="6182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FE43497"/>
    <w:multiLevelType w:val="multilevel"/>
    <w:tmpl w:val="6462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1FEB3212"/>
    <w:multiLevelType w:val="multilevel"/>
    <w:tmpl w:val="4AF8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FFD5F2E"/>
    <w:multiLevelType w:val="multilevel"/>
    <w:tmpl w:val="7C00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04412DC"/>
    <w:multiLevelType w:val="multilevel"/>
    <w:tmpl w:val="7258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0483079"/>
    <w:multiLevelType w:val="multilevel"/>
    <w:tmpl w:val="B644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05D3DE2"/>
    <w:multiLevelType w:val="multilevel"/>
    <w:tmpl w:val="723A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06156AD"/>
    <w:multiLevelType w:val="multilevel"/>
    <w:tmpl w:val="C2B08C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20CD10C3"/>
    <w:multiLevelType w:val="multilevel"/>
    <w:tmpl w:val="796E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182481"/>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232169E"/>
    <w:multiLevelType w:val="multilevel"/>
    <w:tmpl w:val="B080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2486FA5"/>
    <w:multiLevelType w:val="multilevel"/>
    <w:tmpl w:val="D896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2572402"/>
    <w:multiLevelType w:val="multilevel"/>
    <w:tmpl w:val="365E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27A64F1"/>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2886F25"/>
    <w:multiLevelType w:val="multilevel"/>
    <w:tmpl w:val="6B90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30C3A1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1523F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356C89"/>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36C1747"/>
    <w:multiLevelType w:val="multilevel"/>
    <w:tmpl w:val="4BB4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378719D"/>
    <w:multiLevelType w:val="multilevel"/>
    <w:tmpl w:val="D868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3D67656"/>
    <w:multiLevelType w:val="multilevel"/>
    <w:tmpl w:val="0F20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4132D51"/>
    <w:multiLevelType w:val="multilevel"/>
    <w:tmpl w:val="6A6C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43D74BA"/>
    <w:multiLevelType w:val="multilevel"/>
    <w:tmpl w:val="CE36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45458C6"/>
    <w:multiLevelType w:val="multilevel"/>
    <w:tmpl w:val="1E2CC5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3" w15:restartNumberingAfterBreak="0">
    <w:nsid w:val="24691563"/>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4EC37DD"/>
    <w:multiLevelType w:val="multilevel"/>
    <w:tmpl w:val="CDA6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4F21FE6"/>
    <w:multiLevelType w:val="multilevel"/>
    <w:tmpl w:val="E8D8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25100F97"/>
    <w:multiLevelType w:val="multilevel"/>
    <w:tmpl w:val="9BCA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53D4BCF"/>
    <w:multiLevelType w:val="multilevel"/>
    <w:tmpl w:val="33D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55F757D"/>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56B28C7"/>
    <w:multiLevelType w:val="multilevel"/>
    <w:tmpl w:val="43C655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0" w15:restartNumberingAfterBreak="0">
    <w:nsid w:val="25B549B3"/>
    <w:multiLevelType w:val="multilevel"/>
    <w:tmpl w:val="3FCE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5FC6FC6"/>
    <w:multiLevelType w:val="multilevel"/>
    <w:tmpl w:val="BF72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6583D78"/>
    <w:multiLevelType w:val="multilevel"/>
    <w:tmpl w:val="C59C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6670760"/>
    <w:multiLevelType w:val="multilevel"/>
    <w:tmpl w:val="5456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6B5367E"/>
    <w:multiLevelType w:val="multilevel"/>
    <w:tmpl w:val="8410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6C62599"/>
    <w:multiLevelType w:val="hybridMultilevel"/>
    <w:tmpl w:val="1DA22E48"/>
    <w:lvl w:ilvl="0" w:tplc="1D62BF00">
      <w:start w:val="1"/>
      <w:numFmt w:val="bullet"/>
      <w:lvlText w:val=""/>
      <w:lvlJc w:val="left"/>
      <w:pPr>
        <w:ind w:left="720" w:hanging="360"/>
      </w:pPr>
      <w:rPr>
        <w:rFonts w:ascii="Symbol" w:hAnsi="Symbol" w:hint="default"/>
      </w:rPr>
    </w:lvl>
    <w:lvl w:ilvl="1" w:tplc="E90CF6D2" w:tentative="1">
      <w:start w:val="1"/>
      <w:numFmt w:val="bullet"/>
      <w:lvlText w:val="o"/>
      <w:lvlJc w:val="left"/>
      <w:pPr>
        <w:ind w:left="1440" w:hanging="360"/>
      </w:pPr>
      <w:rPr>
        <w:rFonts w:ascii="Courier New" w:hAnsi="Courier New" w:hint="default"/>
      </w:rPr>
    </w:lvl>
    <w:lvl w:ilvl="2" w:tplc="7360CA4C" w:tentative="1">
      <w:start w:val="1"/>
      <w:numFmt w:val="bullet"/>
      <w:lvlText w:val=""/>
      <w:lvlJc w:val="left"/>
      <w:pPr>
        <w:ind w:left="2160" w:hanging="360"/>
      </w:pPr>
      <w:rPr>
        <w:rFonts w:ascii="Wingdings" w:hAnsi="Wingdings" w:hint="default"/>
      </w:rPr>
    </w:lvl>
    <w:lvl w:ilvl="3" w:tplc="6732625C" w:tentative="1">
      <w:start w:val="1"/>
      <w:numFmt w:val="bullet"/>
      <w:lvlText w:val=""/>
      <w:lvlJc w:val="left"/>
      <w:pPr>
        <w:ind w:left="2880" w:hanging="360"/>
      </w:pPr>
      <w:rPr>
        <w:rFonts w:ascii="Symbol" w:hAnsi="Symbol" w:hint="default"/>
      </w:rPr>
    </w:lvl>
    <w:lvl w:ilvl="4" w:tplc="F8428910" w:tentative="1">
      <w:start w:val="1"/>
      <w:numFmt w:val="bullet"/>
      <w:lvlText w:val="o"/>
      <w:lvlJc w:val="left"/>
      <w:pPr>
        <w:ind w:left="3600" w:hanging="360"/>
      </w:pPr>
      <w:rPr>
        <w:rFonts w:ascii="Courier New" w:hAnsi="Courier New" w:hint="default"/>
      </w:rPr>
    </w:lvl>
    <w:lvl w:ilvl="5" w:tplc="C9624CFC" w:tentative="1">
      <w:start w:val="1"/>
      <w:numFmt w:val="bullet"/>
      <w:lvlText w:val=""/>
      <w:lvlJc w:val="left"/>
      <w:pPr>
        <w:ind w:left="4320" w:hanging="360"/>
      </w:pPr>
      <w:rPr>
        <w:rFonts w:ascii="Wingdings" w:hAnsi="Wingdings" w:hint="default"/>
      </w:rPr>
    </w:lvl>
    <w:lvl w:ilvl="6" w:tplc="ED4CFF0A" w:tentative="1">
      <w:start w:val="1"/>
      <w:numFmt w:val="bullet"/>
      <w:lvlText w:val=""/>
      <w:lvlJc w:val="left"/>
      <w:pPr>
        <w:ind w:left="5040" w:hanging="360"/>
      </w:pPr>
      <w:rPr>
        <w:rFonts w:ascii="Symbol" w:hAnsi="Symbol" w:hint="default"/>
      </w:rPr>
    </w:lvl>
    <w:lvl w:ilvl="7" w:tplc="C84CA1F2" w:tentative="1">
      <w:start w:val="1"/>
      <w:numFmt w:val="bullet"/>
      <w:lvlText w:val="o"/>
      <w:lvlJc w:val="left"/>
      <w:pPr>
        <w:ind w:left="5760" w:hanging="360"/>
      </w:pPr>
      <w:rPr>
        <w:rFonts w:ascii="Courier New" w:hAnsi="Courier New" w:hint="default"/>
      </w:rPr>
    </w:lvl>
    <w:lvl w:ilvl="8" w:tplc="55C4D024" w:tentative="1">
      <w:start w:val="1"/>
      <w:numFmt w:val="bullet"/>
      <w:lvlText w:val=""/>
      <w:lvlJc w:val="left"/>
      <w:pPr>
        <w:ind w:left="6480" w:hanging="360"/>
      </w:pPr>
      <w:rPr>
        <w:rFonts w:ascii="Wingdings" w:hAnsi="Wingdings" w:hint="default"/>
      </w:rPr>
    </w:lvl>
  </w:abstractNum>
  <w:abstractNum w:abstractNumId="196" w15:restartNumberingAfterBreak="0">
    <w:nsid w:val="275A6166"/>
    <w:multiLevelType w:val="multilevel"/>
    <w:tmpl w:val="82D4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7826C3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78D7AE1"/>
    <w:multiLevelType w:val="multilevel"/>
    <w:tmpl w:val="DED4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7AD51EA"/>
    <w:multiLevelType w:val="multilevel"/>
    <w:tmpl w:val="99F2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7E953C6"/>
    <w:multiLevelType w:val="multilevel"/>
    <w:tmpl w:val="459A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91E2B2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930446F"/>
    <w:multiLevelType w:val="multilevel"/>
    <w:tmpl w:val="2970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9764AB4"/>
    <w:multiLevelType w:val="multilevel"/>
    <w:tmpl w:val="5214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97B0A19"/>
    <w:multiLevelType w:val="multilevel"/>
    <w:tmpl w:val="302A0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29AE45C4"/>
    <w:multiLevelType w:val="multilevel"/>
    <w:tmpl w:val="4DE6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9B12278"/>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A3A320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A5A01BE"/>
    <w:multiLevelType w:val="multilevel"/>
    <w:tmpl w:val="FEB878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2AC577B9"/>
    <w:multiLevelType w:val="multilevel"/>
    <w:tmpl w:val="8C58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B493C9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B6E4977"/>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B8D7743"/>
    <w:multiLevelType w:val="multilevel"/>
    <w:tmpl w:val="454CEDD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3" w15:restartNumberingAfterBreak="0">
    <w:nsid w:val="2BA17636"/>
    <w:multiLevelType w:val="multilevel"/>
    <w:tmpl w:val="9E2A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BEF3636"/>
    <w:multiLevelType w:val="multilevel"/>
    <w:tmpl w:val="EDD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2C197FB9"/>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C476B8D"/>
    <w:multiLevelType w:val="multilevel"/>
    <w:tmpl w:val="7B20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C882199"/>
    <w:multiLevelType w:val="hybridMultilevel"/>
    <w:tmpl w:val="BC940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2CB95DCE"/>
    <w:multiLevelType w:val="multilevel"/>
    <w:tmpl w:val="1E2CC5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9" w15:restartNumberingAfterBreak="0">
    <w:nsid w:val="2CBC6DE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E244903"/>
    <w:multiLevelType w:val="multilevel"/>
    <w:tmpl w:val="8B7A53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2E261D26"/>
    <w:multiLevelType w:val="multilevel"/>
    <w:tmpl w:val="FEF0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E4F5003"/>
    <w:multiLevelType w:val="multilevel"/>
    <w:tmpl w:val="76D6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E785E91"/>
    <w:multiLevelType w:val="multilevel"/>
    <w:tmpl w:val="69F0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EB64872"/>
    <w:multiLevelType w:val="multilevel"/>
    <w:tmpl w:val="F4E6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EF47862"/>
    <w:multiLevelType w:val="multilevel"/>
    <w:tmpl w:val="1232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F9E0CCF"/>
    <w:multiLevelType w:val="multilevel"/>
    <w:tmpl w:val="320C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FA042B1"/>
    <w:multiLevelType w:val="multilevel"/>
    <w:tmpl w:val="75F2486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8" w15:restartNumberingAfterBreak="0">
    <w:nsid w:val="2FBE4408"/>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2FDA7A89"/>
    <w:multiLevelType w:val="multilevel"/>
    <w:tmpl w:val="5080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FFB6A13"/>
    <w:multiLevelType w:val="multilevel"/>
    <w:tmpl w:val="5298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0240AD9"/>
    <w:multiLevelType w:val="multilevel"/>
    <w:tmpl w:val="B1B6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07234B2"/>
    <w:multiLevelType w:val="multilevel"/>
    <w:tmpl w:val="8390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07530C0"/>
    <w:multiLevelType w:val="multilevel"/>
    <w:tmpl w:val="E852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09039DF"/>
    <w:multiLevelType w:val="multilevel"/>
    <w:tmpl w:val="ABD4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0B60392"/>
    <w:multiLevelType w:val="multilevel"/>
    <w:tmpl w:val="6690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0CA636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0F316AA"/>
    <w:multiLevelType w:val="multilevel"/>
    <w:tmpl w:val="4296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31012FB0"/>
    <w:multiLevelType w:val="multilevel"/>
    <w:tmpl w:val="6CAEB6B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9" w15:restartNumberingAfterBreak="0">
    <w:nsid w:val="31193BA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15C4930"/>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16C28AA"/>
    <w:multiLevelType w:val="multilevel"/>
    <w:tmpl w:val="5A36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1A253FC"/>
    <w:multiLevelType w:val="multilevel"/>
    <w:tmpl w:val="87D6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1B817FA"/>
    <w:multiLevelType w:val="multilevel"/>
    <w:tmpl w:val="29BA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2226D89"/>
    <w:multiLevelType w:val="multilevel"/>
    <w:tmpl w:val="D0AE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237381D"/>
    <w:multiLevelType w:val="multilevel"/>
    <w:tmpl w:val="D4FA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25E0AC5"/>
    <w:multiLevelType w:val="multilevel"/>
    <w:tmpl w:val="C920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2C141BB"/>
    <w:multiLevelType w:val="multilevel"/>
    <w:tmpl w:val="D77668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33393E82"/>
    <w:multiLevelType w:val="multilevel"/>
    <w:tmpl w:val="8152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3882F3D"/>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3A329CC"/>
    <w:multiLevelType w:val="multilevel"/>
    <w:tmpl w:val="5B72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20656C"/>
    <w:multiLevelType w:val="multilevel"/>
    <w:tmpl w:val="3824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5011457"/>
    <w:multiLevelType w:val="multilevel"/>
    <w:tmpl w:val="EC78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5333330"/>
    <w:multiLevelType w:val="multilevel"/>
    <w:tmpl w:val="F754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54C6C9A"/>
    <w:multiLevelType w:val="multilevel"/>
    <w:tmpl w:val="63A2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5636669"/>
    <w:multiLevelType w:val="multilevel"/>
    <w:tmpl w:val="2CE2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5A258BE"/>
    <w:multiLevelType w:val="multilevel"/>
    <w:tmpl w:val="4DA2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5A95DA8"/>
    <w:multiLevelType w:val="multilevel"/>
    <w:tmpl w:val="6276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5B51D2C"/>
    <w:multiLevelType w:val="multilevel"/>
    <w:tmpl w:val="B0F4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5BD5581"/>
    <w:multiLevelType w:val="multilevel"/>
    <w:tmpl w:val="2012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5BF40D4"/>
    <w:multiLevelType w:val="hybridMultilevel"/>
    <w:tmpl w:val="0E702B5A"/>
    <w:lvl w:ilvl="0" w:tplc="A40CD6C0">
      <w:start w:val="1"/>
      <w:numFmt w:val="lowerLetter"/>
      <w:lvlText w:val="%1."/>
      <w:lvlJc w:val="left"/>
      <w:pPr>
        <w:ind w:left="720" w:hanging="360"/>
      </w:pPr>
    </w:lvl>
    <w:lvl w:ilvl="1" w:tplc="1ABC0B7A">
      <w:start w:val="1"/>
      <w:numFmt w:val="lowerLetter"/>
      <w:lvlText w:val="%2."/>
      <w:lvlJc w:val="left"/>
      <w:pPr>
        <w:ind w:left="1440" w:hanging="360"/>
      </w:pPr>
    </w:lvl>
    <w:lvl w:ilvl="2" w:tplc="9E84DEE6">
      <w:start w:val="1"/>
      <w:numFmt w:val="lowerRoman"/>
      <w:lvlText w:val="%3."/>
      <w:lvlJc w:val="right"/>
      <w:pPr>
        <w:ind w:left="2160" w:hanging="180"/>
      </w:pPr>
    </w:lvl>
    <w:lvl w:ilvl="3" w:tplc="AC826BC0">
      <w:start w:val="1"/>
      <w:numFmt w:val="decimal"/>
      <w:lvlText w:val="%4."/>
      <w:lvlJc w:val="left"/>
      <w:pPr>
        <w:ind w:left="2880" w:hanging="360"/>
      </w:pPr>
    </w:lvl>
    <w:lvl w:ilvl="4" w:tplc="1B3419D6">
      <w:start w:val="1"/>
      <w:numFmt w:val="lowerLetter"/>
      <w:lvlText w:val="%5."/>
      <w:lvlJc w:val="left"/>
      <w:pPr>
        <w:ind w:left="3600" w:hanging="360"/>
      </w:pPr>
    </w:lvl>
    <w:lvl w:ilvl="5" w:tplc="ADA4EA98">
      <w:start w:val="1"/>
      <w:numFmt w:val="lowerRoman"/>
      <w:lvlText w:val="%6."/>
      <w:lvlJc w:val="right"/>
      <w:pPr>
        <w:ind w:left="4320" w:hanging="180"/>
      </w:pPr>
    </w:lvl>
    <w:lvl w:ilvl="6" w:tplc="7C182900">
      <w:start w:val="1"/>
      <w:numFmt w:val="decimal"/>
      <w:lvlText w:val="%7."/>
      <w:lvlJc w:val="left"/>
      <w:pPr>
        <w:ind w:left="5040" w:hanging="360"/>
      </w:pPr>
    </w:lvl>
    <w:lvl w:ilvl="7" w:tplc="49C80298">
      <w:start w:val="1"/>
      <w:numFmt w:val="lowerLetter"/>
      <w:lvlText w:val="%8."/>
      <w:lvlJc w:val="left"/>
      <w:pPr>
        <w:ind w:left="5760" w:hanging="360"/>
      </w:pPr>
    </w:lvl>
    <w:lvl w:ilvl="8" w:tplc="C23C2888">
      <w:start w:val="1"/>
      <w:numFmt w:val="lowerRoman"/>
      <w:lvlText w:val="%9."/>
      <w:lvlJc w:val="right"/>
      <w:pPr>
        <w:ind w:left="6480" w:hanging="180"/>
      </w:pPr>
    </w:lvl>
  </w:abstractNum>
  <w:abstractNum w:abstractNumId="261" w15:restartNumberingAfterBreak="0">
    <w:nsid w:val="35ED0334"/>
    <w:multiLevelType w:val="multilevel"/>
    <w:tmpl w:val="07C8F0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36301CF9"/>
    <w:multiLevelType w:val="multilevel"/>
    <w:tmpl w:val="549096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366C0B93"/>
    <w:multiLevelType w:val="multilevel"/>
    <w:tmpl w:val="74CE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6701898"/>
    <w:multiLevelType w:val="multilevel"/>
    <w:tmpl w:val="66B4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6D376F7"/>
    <w:multiLevelType w:val="multilevel"/>
    <w:tmpl w:val="86C4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77373F7"/>
    <w:multiLevelType w:val="multilevel"/>
    <w:tmpl w:val="530C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81776A4"/>
    <w:multiLevelType w:val="multilevel"/>
    <w:tmpl w:val="696C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83B5F89"/>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84D29D5"/>
    <w:multiLevelType w:val="multilevel"/>
    <w:tmpl w:val="069A967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0" w15:restartNumberingAfterBreak="0">
    <w:nsid w:val="3858528C"/>
    <w:multiLevelType w:val="multilevel"/>
    <w:tmpl w:val="17CE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8B64D04"/>
    <w:multiLevelType w:val="multilevel"/>
    <w:tmpl w:val="AABA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92F71BB"/>
    <w:multiLevelType w:val="multilevel"/>
    <w:tmpl w:val="AB10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98D0432"/>
    <w:multiLevelType w:val="multilevel"/>
    <w:tmpl w:val="6286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9FE15F0"/>
    <w:multiLevelType w:val="multilevel"/>
    <w:tmpl w:val="A434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A035118"/>
    <w:multiLevelType w:val="multilevel"/>
    <w:tmpl w:val="8178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A1621D2"/>
    <w:multiLevelType w:val="multilevel"/>
    <w:tmpl w:val="7252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A5F1B46"/>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ABA340B"/>
    <w:multiLevelType w:val="multilevel"/>
    <w:tmpl w:val="72C8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AC71230"/>
    <w:multiLevelType w:val="multilevel"/>
    <w:tmpl w:val="C24A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C670809"/>
    <w:multiLevelType w:val="multilevel"/>
    <w:tmpl w:val="F720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C9B3E9D"/>
    <w:multiLevelType w:val="multilevel"/>
    <w:tmpl w:val="8728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CBF1FBD"/>
    <w:multiLevelType w:val="multilevel"/>
    <w:tmpl w:val="A1C2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CC8058C"/>
    <w:multiLevelType w:val="multilevel"/>
    <w:tmpl w:val="036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CDD1BA8"/>
    <w:multiLevelType w:val="multilevel"/>
    <w:tmpl w:val="5172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F1366D"/>
    <w:multiLevelType w:val="multilevel"/>
    <w:tmpl w:val="84B0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D0535DE"/>
    <w:multiLevelType w:val="multilevel"/>
    <w:tmpl w:val="6C10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D077167"/>
    <w:multiLevelType w:val="multilevel"/>
    <w:tmpl w:val="A064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D757752"/>
    <w:multiLevelType w:val="multilevel"/>
    <w:tmpl w:val="919813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3DD851B5"/>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E160B73"/>
    <w:multiLevelType w:val="multilevel"/>
    <w:tmpl w:val="F26C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E697EB0"/>
    <w:multiLevelType w:val="multilevel"/>
    <w:tmpl w:val="E604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EDE0375"/>
    <w:multiLevelType w:val="multilevel"/>
    <w:tmpl w:val="7BC6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F0D19DC"/>
    <w:multiLevelType w:val="multilevel"/>
    <w:tmpl w:val="8DD6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F431D31"/>
    <w:multiLevelType w:val="multilevel"/>
    <w:tmpl w:val="0D2A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40345F01"/>
    <w:multiLevelType w:val="multilevel"/>
    <w:tmpl w:val="FC4C97E2"/>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6" w15:restartNumberingAfterBreak="0">
    <w:nsid w:val="40426ECD"/>
    <w:multiLevelType w:val="multilevel"/>
    <w:tmpl w:val="D642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406E761B"/>
    <w:multiLevelType w:val="multilevel"/>
    <w:tmpl w:val="602CD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07A541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40EF6438"/>
    <w:multiLevelType w:val="multilevel"/>
    <w:tmpl w:val="F1BEC5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40F8247E"/>
    <w:multiLevelType w:val="multilevel"/>
    <w:tmpl w:val="664A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420907FD"/>
    <w:multiLevelType w:val="multilevel"/>
    <w:tmpl w:val="6CC2C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42B67F0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42CD7114"/>
    <w:multiLevelType w:val="multilevel"/>
    <w:tmpl w:val="93E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42D5371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43654838"/>
    <w:multiLevelType w:val="multilevel"/>
    <w:tmpl w:val="9C68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3C51973"/>
    <w:multiLevelType w:val="multilevel"/>
    <w:tmpl w:val="EB02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3EF5DB1"/>
    <w:multiLevelType w:val="multilevel"/>
    <w:tmpl w:val="3488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448B5AD0"/>
    <w:multiLevelType w:val="multilevel"/>
    <w:tmpl w:val="588C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44E65CC2"/>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504750A"/>
    <w:multiLevelType w:val="multilevel"/>
    <w:tmpl w:val="8BC0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5192538"/>
    <w:multiLevelType w:val="multilevel"/>
    <w:tmpl w:val="1E7C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5690953"/>
    <w:multiLevelType w:val="multilevel"/>
    <w:tmpl w:val="E16E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62A05DE"/>
    <w:multiLevelType w:val="multilevel"/>
    <w:tmpl w:val="1E2CC5B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4" w15:restartNumberingAfterBreak="0">
    <w:nsid w:val="46432AC8"/>
    <w:multiLevelType w:val="multilevel"/>
    <w:tmpl w:val="0D34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72D5EA8"/>
    <w:multiLevelType w:val="multilevel"/>
    <w:tmpl w:val="3E24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76D5B0B"/>
    <w:multiLevelType w:val="multilevel"/>
    <w:tmpl w:val="DA0A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7B36098"/>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7B7717B"/>
    <w:multiLevelType w:val="multilevel"/>
    <w:tmpl w:val="B144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7D34853"/>
    <w:multiLevelType w:val="hybridMultilevel"/>
    <w:tmpl w:val="FFFFFFFF"/>
    <w:lvl w:ilvl="0" w:tplc="4C70BAA4">
      <w:start w:val="1"/>
      <w:numFmt w:val="bullet"/>
      <w:lvlText w:val=""/>
      <w:lvlJc w:val="left"/>
      <w:pPr>
        <w:ind w:left="720" w:hanging="360"/>
      </w:pPr>
      <w:rPr>
        <w:rFonts w:ascii="Symbol" w:hAnsi="Symbol" w:hint="default"/>
      </w:rPr>
    </w:lvl>
    <w:lvl w:ilvl="1" w:tplc="BE08D9D2">
      <w:start w:val="1"/>
      <w:numFmt w:val="bullet"/>
      <w:lvlText w:val="o"/>
      <w:lvlJc w:val="left"/>
      <w:pPr>
        <w:ind w:left="1440" w:hanging="360"/>
      </w:pPr>
      <w:rPr>
        <w:rFonts w:ascii="Courier New" w:hAnsi="Courier New" w:hint="default"/>
      </w:rPr>
    </w:lvl>
    <w:lvl w:ilvl="2" w:tplc="025A98D0">
      <w:start w:val="1"/>
      <w:numFmt w:val="bullet"/>
      <w:lvlText w:val=""/>
      <w:lvlJc w:val="left"/>
      <w:pPr>
        <w:ind w:left="2160" w:hanging="360"/>
      </w:pPr>
      <w:rPr>
        <w:rFonts w:ascii="Wingdings" w:hAnsi="Wingdings" w:hint="default"/>
      </w:rPr>
    </w:lvl>
    <w:lvl w:ilvl="3" w:tplc="F77CF8CE">
      <w:start w:val="1"/>
      <w:numFmt w:val="bullet"/>
      <w:lvlText w:val=""/>
      <w:lvlJc w:val="left"/>
      <w:pPr>
        <w:ind w:left="2880" w:hanging="360"/>
      </w:pPr>
      <w:rPr>
        <w:rFonts w:ascii="Symbol" w:hAnsi="Symbol" w:hint="default"/>
      </w:rPr>
    </w:lvl>
    <w:lvl w:ilvl="4" w:tplc="9E221322">
      <w:start w:val="1"/>
      <w:numFmt w:val="bullet"/>
      <w:lvlText w:val="o"/>
      <w:lvlJc w:val="left"/>
      <w:pPr>
        <w:ind w:left="3600" w:hanging="360"/>
      </w:pPr>
      <w:rPr>
        <w:rFonts w:ascii="Courier New" w:hAnsi="Courier New" w:hint="default"/>
      </w:rPr>
    </w:lvl>
    <w:lvl w:ilvl="5" w:tplc="5EA8CA3C">
      <w:start w:val="1"/>
      <w:numFmt w:val="bullet"/>
      <w:lvlText w:val=""/>
      <w:lvlJc w:val="left"/>
      <w:pPr>
        <w:ind w:left="4320" w:hanging="360"/>
      </w:pPr>
      <w:rPr>
        <w:rFonts w:ascii="Wingdings" w:hAnsi="Wingdings" w:hint="default"/>
      </w:rPr>
    </w:lvl>
    <w:lvl w:ilvl="6" w:tplc="FF4CC4B6">
      <w:start w:val="1"/>
      <w:numFmt w:val="bullet"/>
      <w:lvlText w:val=""/>
      <w:lvlJc w:val="left"/>
      <w:pPr>
        <w:ind w:left="5040" w:hanging="360"/>
      </w:pPr>
      <w:rPr>
        <w:rFonts w:ascii="Symbol" w:hAnsi="Symbol" w:hint="default"/>
      </w:rPr>
    </w:lvl>
    <w:lvl w:ilvl="7" w:tplc="FEE42AA4">
      <w:start w:val="1"/>
      <w:numFmt w:val="bullet"/>
      <w:lvlText w:val="o"/>
      <w:lvlJc w:val="left"/>
      <w:pPr>
        <w:ind w:left="5760" w:hanging="360"/>
      </w:pPr>
      <w:rPr>
        <w:rFonts w:ascii="Courier New" w:hAnsi="Courier New" w:hint="default"/>
      </w:rPr>
    </w:lvl>
    <w:lvl w:ilvl="8" w:tplc="289C47A2">
      <w:start w:val="1"/>
      <w:numFmt w:val="bullet"/>
      <w:lvlText w:val=""/>
      <w:lvlJc w:val="left"/>
      <w:pPr>
        <w:ind w:left="6480" w:hanging="360"/>
      </w:pPr>
      <w:rPr>
        <w:rFonts w:ascii="Wingdings" w:hAnsi="Wingdings" w:hint="default"/>
      </w:rPr>
    </w:lvl>
  </w:abstractNum>
  <w:abstractNum w:abstractNumId="320" w15:restartNumberingAfterBreak="0">
    <w:nsid w:val="47DB71A0"/>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7DE5C3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8400DF4"/>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88146DB"/>
    <w:multiLevelType w:val="multilevel"/>
    <w:tmpl w:val="0622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48A811E3"/>
    <w:multiLevelType w:val="multilevel"/>
    <w:tmpl w:val="C4D8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8F75CD9"/>
    <w:multiLevelType w:val="multilevel"/>
    <w:tmpl w:val="965A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91A3C95"/>
    <w:multiLevelType w:val="multilevel"/>
    <w:tmpl w:val="B782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95B6A68"/>
    <w:multiLevelType w:val="multilevel"/>
    <w:tmpl w:val="DD9A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99341D8"/>
    <w:multiLevelType w:val="multilevel"/>
    <w:tmpl w:val="94F4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A19647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A392E98"/>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AD510EF"/>
    <w:multiLevelType w:val="multilevel"/>
    <w:tmpl w:val="BE34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AEA2B48"/>
    <w:multiLevelType w:val="multilevel"/>
    <w:tmpl w:val="2A1A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AED367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B6C37DD"/>
    <w:multiLevelType w:val="multilevel"/>
    <w:tmpl w:val="968C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B6D5602"/>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BE4341E"/>
    <w:multiLevelType w:val="multilevel"/>
    <w:tmpl w:val="5DF4D8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4C5B05EA"/>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C9E154B"/>
    <w:multiLevelType w:val="multilevel"/>
    <w:tmpl w:val="1116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CC61C86"/>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D2C5786"/>
    <w:multiLevelType w:val="multilevel"/>
    <w:tmpl w:val="0664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D50389F"/>
    <w:multiLevelType w:val="multilevel"/>
    <w:tmpl w:val="F2542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4D586CFE"/>
    <w:multiLevelType w:val="multilevel"/>
    <w:tmpl w:val="444E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D672F04"/>
    <w:multiLevelType w:val="multilevel"/>
    <w:tmpl w:val="B162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D6B5088"/>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DE342ED"/>
    <w:multiLevelType w:val="multilevel"/>
    <w:tmpl w:val="68E6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E625780"/>
    <w:multiLevelType w:val="multilevel"/>
    <w:tmpl w:val="4394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EB37409"/>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EF5554D"/>
    <w:multiLevelType w:val="hybridMultilevel"/>
    <w:tmpl w:val="845669A4"/>
    <w:lvl w:ilvl="0" w:tplc="A9A4683C">
      <w:start w:val="1"/>
      <w:numFmt w:val="bullet"/>
      <w:lvlText w:val=""/>
      <w:lvlJc w:val="left"/>
      <w:pPr>
        <w:ind w:left="720" w:hanging="360"/>
      </w:pPr>
      <w:rPr>
        <w:rFonts w:ascii="Symbol" w:hAnsi="Symbol" w:hint="default"/>
      </w:rPr>
    </w:lvl>
    <w:lvl w:ilvl="1" w:tplc="5BA64FB4" w:tentative="1">
      <w:start w:val="1"/>
      <w:numFmt w:val="bullet"/>
      <w:lvlText w:val="o"/>
      <w:lvlJc w:val="left"/>
      <w:pPr>
        <w:ind w:left="1440" w:hanging="360"/>
      </w:pPr>
      <w:rPr>
        <w:rFonts w:ascii="Courier New" w:hAnsi="Courier New" w:hint="default"/>
      </w:rPr>
    </w:lvl>
    <w:lvl w:ilvl="2" w:tplc="2E444C56" w:tentative="1">
      <w:start w:val="1"/>
      <w:numFmt w:val="bullet"/>
      <w:lvlText w:val=""/>
      <w:lvlJc w:val="left"/>
      <w:pPr>
        <w:ind w:left="2160" w:hanging="360"/>
      </w:pPr>
      <w:rPr>
        <w:rFonts w:ascii="Wingdings" w:hAnsi="Wingdings" w:hint="default"/>
      </w:rPr>
    </w:lvl>
    <w:lvl w:ilvl="3" w:tplc="014AF2C6" w:tentative="1">
      <w:start w:val="1"/>
      <w:numFmt w:val="bullet"/>
      <w:lvlText w:val=""/>
      <w:lvlJc w:val="left"/>
      <w:pPr>
        <w:ind w:left="2880" w:hanging="360"/>
      </w:pPr>
      <w:rPr>
        <w:rFonts w:ascii="Symbol" w:hAnsi="Symbol" w:hint="default"/>
      </w:rPr>
    </w:lvl>
    <w:lvl w:ilvl="4" w:tplc="281618F4" w:tentative="1">
      <w:start w:val="1"/>
      <w:numFmt w:val="bullet"/>
      <w:lvlText w:val="o"/>
      <w:lvlJc w:val="left"/>
      <w:pPr>
        <w:ind w:left="3600" w:hanging="360"/>
      </w:pPr>
      <w:rPr>
        <w:rFonts w:ascii="Courier New" w:hAnsi="Courier New" w:hint="default"/>
      </w:rPr>
    </w:lvl>
    <w:lvl w:ilvl="5" w:tplc="956E46DA" w:tentative="1">
      <w:start w:val="1"/>
      <w:numFmt w:val="bullet"/>
      <w:lvlText w:val=""/>
      <w:lvlJc w:val="left"/>
      <w:pPr>
        <w:ind w:left="4320" w:hanging="360"/>
      </w:pPr>
      <w:rPr>
        <w:rFonts w:ascii="Wingdings" w:hAnsi="Wingdings" w:hint="default"/>
      </w:rPr>
    </w:lvl>
    <w:lvl w:ilvl="6" w:tplc="7CC4D05C" w:tentative="1">
      <w:start w:val="1"/>
      <w:numFmt w:val="bullet"/>
      <w:lvlText w:val=""/>
      <w:lvlJc w:val="left"/>
      <w:pPr>
        <w:ind w:left="5040" w:hanging="360"/>
      </w:pPr>
      <w:rPr>
        <w:rFonts w:ascii="Symbol" w:hAnsi="Symbol" w:hint="default"/>
      </w:rPr>
    </w:lvl>
    <w:lvl w:ilvl="7" w:tplc="D38897BC" w:tentative="1">
      <w:start w:val="1"/>
      <w:numFmt w:val="bullet"/>
      <w:lvlText w:val="o"/>
      <w:lvlJc w:val="left"/>
      <w:pPr>
        <w:ind w:left="5760" w:hanging="360"/>
      </w:pPr>
      <w:rPr>
        <w:rFonts w:ascii="Courier New" w:hAnsi="Courier New" w:hint="default"/>
      </w:rPr>
    </w:lvl>
    <w:lvl w:ilvl="8" w:tplc="98CA23D4" w:tentative="1">
      <w:start w:val="1"/>
      <w:numFmt w:val="bullet"/>
      <w:lvlText w:val=""/>
      <w:lvlJc w:val="left"/>
      <w:pPr>
        <w:ind w:left="6480" w:hanging="360"/>
      </w:pPr>
      <w:rPr>
        <w:rFonts w:ascii="Wingdings" w:hAnsi="Wingdings" w:hint="default"/>
      </w:rPr>
    </w:lvl>
  </w:abstractNum>
  <w:abstractNum w:abstractNumId="349" w15:restartNumberingAfterBreak="0">
    <w:nsid w:val="4F234044"/>
    <w:multiLevelType w:val="multilevel"/>
    <w:tmpl w:val="6FD6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F280163"/>
    <w:multiLevelType w:val="multilevel"/>
    <w:tmpl w:val="C0AE5DDE"/>
    <w:lvl w:ilvl="0">
      <w:start w:val="1"/>
      <w:numFmt w:val="decimal"/>
      <w:lvlText w:val="%1."/>
      <w:lvlJc w:val="left"/>
      <w:pPr>
        <w:ind w:left="720" w:hanging="360"/>
      </w:pPr>
    </w:lvl>
    <w:lvl w:ilvl="1">
      <w:start w:val="3"/>
      <w:numFmt w:val="decimal"/>
      <w:pStyle w:val="Style1"/>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1" w15:restartNumberingAfterBreak="0">
    <w:nsid w:val="4F4A20CC"/>
    <w:multiLevelType w:val="multilevel"/>
    <w:tmpl w:val="B516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F860CEC"/>
    <w:multiLevelType w:val="multilevel"/>
    <w:tmpl w:val="CC66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F8A31A8"/>
    <w:multiLevelType w:val="multilevel"/>
    <w:tmpl w:val="4906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F8C709F"/>
    <w:multiLevelType w:val="multilevel"/>
    <w:tmpl w:val="8B44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F971A96"/>
    <w:multiLevelType w:val="multilevel"/>
    <w:tmpl w:val="2902A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4FAD7128"/>
    <w:multiLevelType w:val="multilevel"/>
    <w:tmpl w:val="BC5C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FC6260E"/>
    <w:multiLevelType w:val="multilevel"/>
    <w:tmpl w:val="20DA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FC746D3"/>
    <w:multiLevelType w:val="multilevel"/>
    <w:tmpl w:val="1E2CC5B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9" w15:restartNumberingAfterBreak="0">
    <w:nsid w:val="4FD27492"/>
    <w:multiLevelType w:val="multilevel"/>
    <w:tmpl w:val="C3D41B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0" w15:restartNumberingAfterBreak="0">
    <w:nsid w:val="50871E2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50CD1727"/>
    <w:multiLevelType w:val="multilevel"/>
    <w:tmpl w:val="B9F47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51DC39F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51E15F3E"/>
    <w:multiLevelType w:val="multilevel"/>
    <w:tmpl w:val="53AE93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52097C11"/>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520D7AE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52316762"/>
    <w:multiLevelType w:val="multilevel"/>
    <w:tmpl w:val="B10C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524C64EF"/>
    <w:multiLevelType w:val="multilevel"/>
    <w:tmpl w:val="D1B2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525A1B54"/>
    <w:multiLevelType w:val="multilevel"/>
    <w:tmpl w:val="28A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52683856"/>
    <w:multiLevelType w:val="multilevel"/>
    <w:tmpl w:val="D946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28D3D3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52B076BC"/>
    <w:multiLevelType w:val="multilevel"/>
    <w:tmpl w:val="B004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52FA193D"/>
    <w:multiLevelType w:val="hybridMultilevel"/>
    <w:tmpl w:val="C74C33DE"/>
    <w:lvl w:ilvl="0" w:tplc="13F05B24">
      <w:start w:val="1"/>
      <w:numFmt w:val="bullet"/>
      <w:lvlText w:val=""/>
      <w:lvlJc w:val="left"/>
      <w:pPr>
        <w:ind w:left="720" w:hanging="360"/>
      </w:pPr>
      <w:rPr>
        <w:rFonts w:ascii="Symbol" w:hAnsi="Symbol" w:hint="default"/>
      </w:rPr>
    </w:lvl>
    <w:lvl w:ilvl="1" w:tplc="D4B4AE98" w:tentative="1">
      <w:start w:val="1"/>
      <w:numFmt w:val="bullet"/>
      <w:lvlText w:val="o"/>
      <w:lvlJc w:val="left"/>
      <w:pPr>
        <w:ind w:left="1440" w:hanging="360"/>
      </w:pPr>
      <w:rPr>
        <w:rFonts w:ascii="Courier New" w:hAnsi="Courier New" w:hint="default"/>
      </w:rPr>
    </w:lvl>
    <w:lvl w:ilvl="2" w:tplc="76868FCC" w:tentative="1">
      <w:start w:val="1"/>
      <w:numFmt w:val="bullet"/>
      <w:lvlText w:val=""/>
      <w:lvlJc w:val="left"/>
      <w:pPr>
        <w:ind w:left="2160" w:hanging="360"/>
      </w:pPr>
      <w:rPr>
        <w:rFonts w:ascii="Wingdings" w:hAnsi="Wingdings" w:hint="default"/>
      </w:rPr>
    </w:lvl>
    <w:lvl w:ilvl="3" w:tplc="EDBE14FC" w:tentative="1">
      <w:start w:val="1"/>
      <w:numFmt w:val="bullet"/>
      <w:lvlText w:val=""/>
      <w:lvlJc w:val="left"/>
      <w:pPr>
        <w:ind w:left="2880" w:hanging="360"/>
      </w:pPr>
      <w:rPr>
        <w:rFonts w:ascii="Symbol" w:hAnsi="Symbol" w:hint="default"/>
      </w:rPr>
    </w:lvl>
    <w:lvl w:ilvl="4" w:tplc="52726652" w:tentative="1">
      <w:start w:val="1"/>
      <w:numFmt w:val="bullet"/>
      <w:lvlText w:val="o"/>
      <w:lvlJc w:val="left"/>
      <w:pPr>
        <w:ind w:left="3600" w:hanging="360"/>
      </w:pPr>
      <w:rPr>
        <w:rFonts w:ascii="Courier New" w:hAnsi="Courier New" w:hint="default"/>
      </w:rPr>
    </w:lvl>
    <w:lvl w:ilvl="5" w:tplc="D66C8DB6" w:tentative="1">
      <w:start w:val="1"/>
      <w:numFmt w:val="bullet"/>
      <w:lvlText w:val=""/>
      <w:lvlJc w:val="left"/>
      <w:pPr>
        <w:ind w:left="4320" w:hanging="360"/>
      </w:pPr>
      <w:rPr>
        <w:rFonts w:ascii="Wingdings" w:hAnsi="Wingdings" w:hint="default"/>
      </w:rPr>
    </w:lvl>
    <w:lvl w:ilvl="6" w:tplc="E1A899D6" w:tentative="1">
      <w:start w:val="1"/>
      <w:numFmt w:val="bullet"/>
      <w:lvlText w:val=""/>
      <w:lvlJc w:val="left"/>
      <w:pPr>
        <w:ind w:left="5040" w:hanging="360"/>
      </w:pPr>
      <w:rPr>
        <w:rFonts w:ascii="Symbol" w:hAnsi="Symbol" w:hint="default"/>
      </w:rPr>
    </w:lvl>
    <w:lvl w:ilvl="7" w:tplc="494A3168" w:tentative="1">
      <w:start w:val="1"/>
      <w:numFmt w:val="bullet"/>
      <w:lvlText w:val="o"/>
      <w:lvlJc w:val="left"/>
      <w:pPr>
        <w:ind w:left="5760" w:hanging="360"/>
      </w:pPr>
      <w:rPr>
        <w:rFonts w:ascii="Courier New" w:hAnsi="Courier New" w:hint="default"/>
      </w:rPr>
    </w:lvl>
    <w:lvl w:ilvl="8" w:tplc="B9801BCE" w:tentative="1">
      <w:start w:val="1"/>
      <w:numFmt w:val="bullet"/>
      <w:lvlText w:val=""/>
      <w:lvlJc w:val="left"/>
      <w:pPr>
        <w:ind w:left="6480" w:hanging="360"/>
      </w:pPr>
      <w:rPr>
        <w:rFonts w:ascii="Wingdings" w:hAnsi="Wingdings" w:hint="default"/>
      </w:rPr>
    </w:lvl>
  </w:abstractNum>
  <w:abstractNum w:abstractNumId="373" w15:restartNumberingAfterBreak="0">
    <w:nsid w:val="53261F9C"/>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54063BDF"/>
    <w:multiLevelType w:val="multilevel"/>
    <w:tmpl w:val="4CBA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54754E89"/>
    <w:multiLevelType w:val="multilevel"/>
    <w:tmpl w:val="64B878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6" w15:restartNumberingAfterBreak="0">
    <w:nsid w:val="54D540B1"/>
    <w:multiLevelType w:val="multilevel"/>
    <w:tmpl w:val="2F04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55196FE4"/>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55352CD6"/>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55752F9B"/>
    <w:multiLevelType w:val="multilevel"/>
    <w:tmpl w:val="38E6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557A76E3"/>
    <w:multiLevelType w:val="multilevel"/>
    <w:tmpl w:val="4B6C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55B00BF7"/>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564A2492"/>
    <w:multiLevelType w:val="multilevel"/>
    <w:tmpl w:val="61F2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56554E9B"/>
    <w:multiLevelType w:val="hybridMultilevel"/>
    <w:tmpl w:val="69683D2E"/>
    <w:lvl w:ilvl="0" w:tplc="9DA6963E">
      <w:start w:val="1"/>
      <w:numFmt w:val="upperLetter"/>
      <w:lvlText w:val="%1."/>
      <w:lvlJc w:val="left"/>
      <w:pPr>
        <w:ind w:left="360" w:hanging="360"/>
      </w:pPr>
    </w:lvl>
    <w:lvl w:ilvl="1" w:tplc="2EA612D0" w:tentative="1">
      <w:start w:val="1"/>
      <w:numFmt w:val="lowerLetter"/>
      <w:lvlText w:val="%2."/>
      <w:lvlJc w:val="left"/>
      <w:pPr>
        <w:ind w:left="1080" w:hanging="360"/>
      </w:pPr>
    </w:lvl>
    <w:lvl w:ilvl="2" w:tplc="0F046112" w:tentative="1">
      <w:start w:val="1"/>
      <w:numFmt w:val="lowerRoman"/>
      <w:lvlText w:val="%3."/>
      <w:lvlJc w:val="right"/>
      <w:pPr>
        <w:ind w:left="1800" w:hanging="180"/>
      </w:pPr>
    </w:lvl>
    <w:lvl w:ilvl="3" w:tplc="593CBFB4" w:tentative="1">
      <w:start w:val="1"/>
      <w:numFmt w:val="decimal"/>
      <w:lvlText w:val="%4."/>
      <w:lvlJc w:val="left"/>
      <w:pPr>
        <w:ind w:left="2520" w:hanging="360"/>
      </w:pPr>
    </w:lvl>
    <w:lvl w:ilvl="4" w:tplc="0802ACF6" w:tentative="1">
      <w:start w:val="1"/>
      <w:numFmt w:val="lowerLetter"/>
      <w:lvlText w:val="%5."/>
      <w:lvlJc w:val="left"/>
      <w:pPr>
        <w:ind w:left="3240" w:hanging="360"/>
      </w:pPr>
    </w:lvl>
    <w:lvl w:ilvl="5" w:tplc="E2349D80" w:tentative="1">
      <w:start w:val="1"/>
      <w:numFmt w:val="lowerRoman"/>
      <w:lvlText w:val="%6."/>
      <w:lvlJc w:val="right"/>
      <w:pPr>
        <w:ind w:left="3960" w:hanging="180"/>
      </w:pPr>
    </w:lvl>
    <w:lvl w:ilvl="6" w:tplc="E18EADFA" w:tentative="1">
      <w:start w:val="1"/>
      <w:numFmt w:val="decimal"/>
      <w:lvlText w:val="%7."/>
      <w:lvlJc w:val="left"/>
      <w:pPr>
        <w:ind w:left="4680" w:hanging="360"/>
      </w:pPr>
    </w:lvl>
    <w:lvl w:ilvl="7" w:tplc="FC947A64" w:tentative="1">
      <w:start w:val="1"/>
      <w:numFmt w:val="lowerLetter"/>
      <w:lvlText w:val="%8."/>
      <w:lvlJc w:val="left"/>
      <w:pPr>
        <w:ind w:left="5400" w:hanging="360"/>
      </w:pPr>
    </w:lvl>
    <w:lvl w:ilvl="8" w:tplc="B0E83FEA" w:tentative="1">
      <w:start w:val="1"/>
      <w:numFmt w:val="lowerRoman"/>
      <w:lvlText w:val="%9."/>
      <w:lvlJc w:val="right"/>
      <w:pPr>
        <w:ind w:left="6120" w:hanging="180"/>
      </w:pPr>
    </w:lvl>
  </w:abstractNum>
  <w:abstractNum w:abstractNumId="384" w15:restartNumberingAfterBreak="0">
    <w:nsid w:val="566F1E43"/>
    <w:multiLevelType w:val="multilevel"/>
    <w:tmpl w:val="42D0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569A097D"/>
    <w:multiLevelType w:val="multilevel"/>
    <w:tmpl w:val="87B0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56D85ED3"/>
    <w:multiLevelType w:val="multilevel"/>
    <w:tmpl w:val="1E92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573C6A09"/>
    <w:multiLevelType w:val="multilevel"/>
    <w:tmpl w:val="517C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575E707E"/>
    <w:multiLevelType w:val="multilevel"/>
    <w:tmpl w:val="B0F8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575F1C66"/>
    <w:multiLevelType w:val="multilevel"/>
    <w:tmpl w:val="63B0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78A05B1"/>
    <w:multiLevelType w:val="multilevel"/>
    <w:tmpl w:val="0EDE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78F60ED"/>
    <w:multiLevelType w:val="multilevel"/>
    <w:tmpl w:val="3E2EF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57924505"/>
    <w:multiLevelType w:val="multilevel"/>
    <w:tmpl w:val="4106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7D71F3D"/>
    <w:multiLevelType w:val="multilevel"/>
    <w:tmpl w:val="3B04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80635FC"/>
    <w:multiLevelType w:val="multilevel"/>
    <w:tmpl w:val="A7B0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82C531D"/>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8376B9F"/>
    <w:multiLevelType w:val="multilevel"/>
    <w:tmpl w:val="24EC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8D772A1"/>
    <w:multiLevelType w:val="multilevel"/>
    <w:tmpl w:val="CB7A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8DA7DA1"/>
    <w:multiLevelType w:val="multilevel"/>
    <w:tmpl w:val="1E2CC5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9" w15:restartNumberingAfterBreak="0">
    <w:nsid w:val="59177F90"/>
    <w:multiLevelType w:val="multilevel"/>
    <w:tmpl w:val="F8DA80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596F426D"/>
    <w:multiLevelType w:val="multilevel"/>
    <w:tmpl w:val="2EEA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9956735"/>
    <w:multiLevelType w:val="multilevel"/>
    <w:tmpl w:val="6626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9C7645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A62238C"/>
    <w:multiLevelType w:val="multilevel"/>
    <w:tmpl w:val="CDD8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AA35F77"/>
    <w:multiLevelType w:val="multilevel"/>
    <w:tmpl w:val="20C2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AC57215"/>
    <w:multiLevelType w:val="multilevel"/>
    <w:tmpl w:val="C9CA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AE834D4"/>
    <w:multiLevelType w:val="multilevel"/>
    <w:tmpl w:val="BA08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B674DFD"/>
    <w:multiLevelType w:val="multilevel"/>
    <w:tmpl w:val="3F5AE9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8" w15:restartNumberingAfterBreak="0">
    <w:nsid w:val="5BA63034"/>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BB16733"/>
    <w:multiLevelType w:val="multilevel"/>
    <w:tmpl w:val="A8A0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C310A45"/>
    <w:multiLevelType w:val="multilevel"/>
    <w:tmpl w:val="4D92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C4E6AA9"/>
    <w:multiLevelType w:val="multilevel"/>
    <w:tmpl w:val="3A24E2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2" w15:restartNumberingAfterBreak="0">
    <w:nsid w:val="5C7B1FCB"/>
    <w:multiLevelType w:val="multilevel"/>
    <w:tmpl w:val="D716E44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3" w15:restartNumberingAfterBreak="0">
    <w:nsid w:val="5CBE29AF"/>
    <w:multiLevelType w:val="multilevel"/>
    <w:tmpl w:val="9BF450D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4" w15:restartNumberingAfterBreak="0">
    <w:nsid w:val="5E287C29"/>
    <w:multiLevelType w:val="multilevel"/>
    <w:tmpl w:val="26341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5E79079A"/>
    <w:multiLevelType w:val="multilevel"/>
    <w:tmpl w:val="7DD0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F2A12A5"/>
    <w:multiLevelType w:val="hybridMultilevel"/>
    <w:tmpl w:val="0E985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7" w15:restartNumberingAfterBreak="0">
    <w:nsid w:val="600206F5"/>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603641C9"/>
    <w:multiLevelType w:val="multilevel"/>
    <w:tmpl w:val="FA22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604F131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60B37D36"/>
    <w:multiLevelType w:val="multilevel"/>
    <w:tmpl w:val="9230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61985E15"/>
    <w:multiLevelType w:val="multilevel"/>
    <w:tmpl w:val="17D8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61CA4FEE"/>
    <w:multiLevelType w:val="multilevel"/>
    <w:tmpl w:val="3DCC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61F13814"/>
    <w:multiLevelType w:val="multilevel"/>
    <w:tmpl w:val="06C8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625824D0"/>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62F10E54"/>
    <w:multiLevelType w:val="multilevel"/>
    <w:tmpl w:val="D6E2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636D29FA"/>
    <w:multiLevelType w:val="multilevel"/>
    <w:tmpl w:val="140C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63BD1152"/>
    <w:multiLevelType w:val="multilevel"/>
    <w:tmpl w:val="656C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63E1046D"/>
    <w:multiLevelType w:val="multilevel"/>
    <w:tmpl w:val="1E2CC5B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9" w15:restartNumberingAfterBreak="0">
    <w:nsid w:val="63E511FA"/>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645F511B"/>
    <w:multiLevelType w:val="multilevel"/>
    <w:tmpl w:val="9F9A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64A0161C"/>
    <w:multiLevelType w:val="multilevel"/>
    <w:tmpl w:val="B270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6504158E"/>
    <w:multiLevelType w:val="multilevel"/>
    <w:tmpl w:val="2E22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652A42A4"/>
    <w:multiLevelType w:val="hybridMultilevel"/>
    <w:tmpl w:val="F3607494"/>
    <w:lvl w:ilvl="0" w:tplc="F34C738E">
      <w:start w:val="1"/>
      <w:numFmt w:val="bullet"/>
      <w:pStyle w:val="Style3"/>
      <w:lvlText w:val=""/>
      <w:lvlJc w:val="left"/>
      <w:pPr>
        <w:ind w:left="720" w:hanging="360"/>
      </w:pPr>
      <w:rPr>
        <w:rFonts w:ascii="Symbol" w:hAnsi="Symbol" w:hint="default"/>
      </w:rPr>
    </w:lvl>
    <w:lvl w:ilvl="1" w:tplc="ECE261AC" w:tentative="1">
      <w:start w:val="1"/>
      <w:numFmt w:val="bullet"/>
      <w:lvlText w:val="o"/>
      <w:lvlJc w:val="left"/>
      <w:pPr>
        <w:ind w:left="1440" w:hanging="360"/>
      </w:pPr>
      <w:rPr>
        <w:rFonts w:ascii="Courier New" w:hAnsi="Courier New" w:hint="default"/>
      </w:rPr>
    </w:lvl>
    <w:lvl w:ilvl="2" w:tplc="68749234" w:tentative="1">
      <w:start w:val="1"/>
      <w:numFmt w:val="bullet"/>
      <w:lvlText w:val=""/>
      <w:lvlJc w:val="left"/>
      <w:pPr>
        <w:ind w:left="2160" w:hanging="360"/>
      </w:pPr>
      <w:rPr>
        <w:rFonts w:ascii="Wingdings" w:hAnsi="Wingdings" w:hint="default"/>
      </w:rPr>
    </w:lvl>
    <w:lvl w:ilvl="3" w:tplc="6A584FD8" w:tentative="1">
      <w:start w:val="1"/>
      <w:numFmt w:val="bullet"/>
      <w:lvlText w:val=""/>
      <w:lvlJc w:val="left"/>
      <w:pPr>
        <w:ind w:left="2880" w:hanging="360"/>
      </w:pPr>
      <w:rPr>
        <w:rFonts w:ascii="Symbol" w:hAnsi="Symbol" w:hint="default"/>
      </w:rPr>
    </w:lvl>
    <w:lvl w:ilvl="4" w:tplc="A7E22C8E" w:tentative="1">
      <w:start w:val="1"/>
      <w:numFmt w:val="bullet"/>
      <w:lvlText w:val="o"/>
      <w:lvlJc w:val="left"/>
      <w:pPr>
        <w:ind w:left="3600" w:hanging="360"/>
      </w:pPr>
      <w:rPr>
        <w:rFonts w:ascii="Courier New" w:hAnsi="Courier New" w:hint="default"/>
      </w:rPr>
    </w:lvl>
    <w:lvl w:ilvl="5" w:tplc="A6627E92" w:tentative="1">
      <w:start w:val="1"/>
      <w:numFmt w:val="bullet"/>
      <w:lvlText w:val=""/>
      <w:lvlJc w:val="left"/>
      <w:pPr>
        <w:ind w:left="4320" w:hanging="360"/>
      </w:pPr>
      <w:rPr>
        <w:rFonts w:ascii="Wingdings" w:hAnsi="Wingdings" w:hint="default"/>
      </w:rPr>
    </w:lvl>
    <w:lvl w:ilvl="6" w:tplc="17662420" w:tentative="1">
      <w:start w:val="1"/>
      <w:numFmt w:val="bullet"/>
      <w:lvlText w:val=""/>
      <w:lvlJc w:val="left"/>
      <w:pPr>
        <w:ind w:left="5040" w:hanging="360"/>
      </w:pPr>
      <w:rPr>
        <w:rFonts w:ascii="Symbol" w:hAnsi="Symbol" w:hint="default"/>
      </w:rPr>
    </w:lvl>
    <w:lvl w:ilvl="7" w:tplc="2536CB70" w:tentative="1">
      <w:start w:val="1"/>
      <w:numFmt w:val="bullet"/>
      <w:lvlText w:val="o"/>
      <w:lvlJc w:val="left"/>
      <w:pPr>
        <w:ind w:left="5760" w:hanging="360"/>
      </w:pPr>
      <w:rPr>
        <w:rFonts w:ascii="Courier New" w:hAnsi="Courier New" w:hint="default"/>
      </w:rPr>
    </w:lvl>
    <w:lvl w:ilvl="8" w:tplc="165083B6" w:tentative="1">
      <w:start w:val="1"/>
      <w:numFmt w:val="bullet"/>
      <w:lvlText w:val=""/>
      <w:lvlJc w:val="left"/>
      <w:pPr>
        <w:ind w:left="6480" w:hanging="360"/>
      </w:pPr>
      <w:rPr>
        <w:rFonts w:ascii="Wingdings" w:hAnsi="Wingdings" w:hint="default"/>
      </w:rPr>
    </w:lvl>
  </w:abstractNum>
  <w:abstractNum w:abstractNumId="434" w15:restartNumberingAfterBreak="0">
    <w:nsid w:val="652B7D18"/>
    <w:multiLevelType w:val="multilevel"/>
    <w:tmpl w:val="AF88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5A52E10"/>
    <w:multiLevelType w:val="multilevel"/>
    <w:tmpl w:val="9762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662D18BA"/>
    <w:multiLevelType w:val="multilevel"/>
    <w:tmpl w:val="998C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66744CC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66DE20B3"/>
    <w:multiLevelType w:val="multilevel"/>
    <w:tmpl w:val="318A0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66F21820"/>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66F22C2F"/>
    <w:multiLevelType w:val="multilevel"/>
    <w:tmpl w:val="7DA241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68705202"/>
    <w:multiLevelType w:val="multilevel"/>
    <w:tmpl w:val="A580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68BB0F06"/>
    <w:multiLevelType w:val="multilevel"/>
    <w:tmpl w:val="1FDE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68FF3B2A"/>
    <w:multiLevelType w:val="multilevel"/>
    <w:tmpl w:val="DCBA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698A3270"/>
    <w:multiLevelType w:val="multilevel"/>
    <w:tmpl w:val="3E0C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69D5701C"/>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6A963E58"/>
    <w:multiLevelType w:val="multilevel"/>
    <w:tmpl w:val="03D2FD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6AC673AE"/>
    <w:multiLevelType w:val="multilevel"/>
    <w:tmpl w:val="5B92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6B1C4CF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6B8B0E50"/>
    <w:multiLevelType w:val="multilevel"/>
    <w:tmpl w:val="957A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6BD46E77"/>
    <w:multiLevelType w:val="multilevel"/>
    <w:tmpl w:val="4BA4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6BF849AB"/>
    <w:multiLevelType w:val="multilevel"/>
    <w:tmpl w:val="D496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6C5B3FA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6C960297"/>
    <w:multiLevelType w:val="multilevel"/>
    <w:tmpl w:val="39E2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6CC20A81"/>
    <w:multiLevelType w:val="multilevel"/>
    <w:tmpl w:val="4368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6CE60268"/>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6CF53AED"/>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6D22070B"/>
    <w:multiLevelType w:val="multilevel"/>
    <w:tmpl w:val="CED6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6E557279"/>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6EAB0178"/>
    <w:multiLevelType w:val="hybridMultilevel"/>
    <w:tmpl w:val="760C35AC"/>
    <w:lvl w:ilvl="0" w:tplc="5FC6C6E0">
      <w:start w:val="1"/>
      <w:numFmt w:val="bullet"/>
      <w:lvlText w:val=""/>
      <w:lvlJc w:val="left"/>
      <w:pPr>
        <w:ind w:left="644" w:hanging="360"/>
      </w:pPr>
      <w:rPr>
        <w:rFonts w:ascii="Symbol" w:hAnsi="Symbol" w:hint="default"/>
      </w:rPr>
    </w:lvl>
    <w:lvl w:ilvl="1" w:tplc="F6301576">
      <w:start w:val="1"/>
      <w:numFmt w:val="bullet"/>
      <w:lvlText w:val="o"/>
      <w:lvlJc w:val="left"/>
      <w:pPr>
        <w:ind w:left="1364" w:hanging="360"/>
      </w:pPr>
      <w:rPr>
        <w:rFonts w:ascii="Courier New" w:hAnsi="Courier New" w:hint="default"/>
      </w:rPr>
    </w:lvl>
    <w:lvl w:ilvl="2" w:tplc="9ABCB184">
      <w:start w:val="1"/>
      <w:numFmt w:val="bullet"/>
      <w:lvlText w:val=""/>
      <w:lvlJc w:val="left"/>
      <w:pPr>
        <w:ind w:left="2084" w:hanging="360"/>
      </w:pPr>
      <w:rPr>
        <w:rFonts w:ascii="Wingdings" w:hAnsi="Wingdings" w:hint="default"/>
      </w:rPr>
    </w:lvl>
    <w:lvl w:ilvl="3" w:tplc="B0820664">
      <w:start w:val="1"/>
      <w:numFmt w:val="bullet"/>
      <w:lvlText w:val=""/>
      <w:lvlJc w:val="left"/>
      <w:pPr>
        <w:ind w:left="2804" w:hanging="360"/>
      </w:pPr>
      <w:rPr>
        <w:rFonts w:ascii="Symbol" w:hAnsi="Symbol" w:hint="default"/>
      </w:rPr>
    </w:lvl>
    <w:lvl w:ilvl="4" w:tplc="9EE2F584">
      <w:start w:val="1"/>
      <w:numFmt w:val="bullet"/>
      <w:lvlText w:val="o"/>
      <w:lvlJc w:val="left"/>
      <w:pPr>
        <w:ind w:left="3524" w:hanging="360"/>
      </w:pPr>
      <w:rPr>
        <w:rFonts w:ascii="Courier New" w:hAnsi="Courier New" w:hint="default"/>
      </w:rPr>
    </w:lvl>
    <w:lvl w:ilvl="5" w:tplc="5D96CD4A">
      <w:start w:val="1"/>
      <w:numFmt w:val="bullet"/>
      <w:lvlText w:val=""/>
      <w:lvlJc w:val="left"/>
      <w:pPr>
        <w:ind w:left="4244" w:hanging="360"/>
      </w:pPr>
      <w:rPr>
        <w:rFonts w:ascii="Wingdings" w:hAnsi="Wingdings" w:hint="default"/>
      </w:rPr>
    </w:lvl>
    <w:lvl w:ilvl="6" w:tplc="3DCAE426">
      <w:start w:val="1"/>
      <w:numFmt w:val="bullet"/>
      <w:lvlText w:val=""/>
      <w:lvlJc w:val="left"/>
      <w:pPr>
        <w:ind w:left="4964" w:hanging="360"/>
      </w:pPr>
      <w:rPr>
        <w:rFonts w:ascii="Symbol" w:hAnsi="Symbol" w:hint="default"/>
      </w:rPr>
    </w:lvl>
    <w:lvl w:ilvl="7" w:tplc="15780956">
      <w:start w:val="1"/>
      <w:numFmt w:val="bullet"/>
      <w:lvlText w:val="o"/>
      <w:lvlJc w:val="left"/>
      <w:pPr>
        <w:ind w:left="5684" w:hanging="360"/>
      </w:pPr>
      <w:rPr>
        <w:rFonts w:ascii="Courier New" w:hAnsi="Courier New" w:hint="default"/>
      </w:rPr>
    </w:lvl>
    <w:lvl w:ilvl="8" w:tplc="80BC409A">
      <w:start w:val="1"/>
      <w:numFmt w:val="bullet"/>
      <w:lvlText w:val=""/>
      <w:lvlJc w:val="left"/>
      <w:pPr>
        <w:ind w:left="6404" w:hanging="360"/>
      </w:pPr>
      <w:rPr>
        <w:rFonts w:ascii="Wingdings" w:hAnsi="Wingdings" w:hint="default"/>
      </w:rPr>
    </w:lvl>
  </w:abstractNum>
  <w:abstractNum w:abstractNumId="460" w15:restartNumberingAfterBreak="0">
    <w:nsid w:val="6ED95118"/>
    <w:multiLevelType w:val="multilevel"/>
    <w:tmpl w:val="A4AC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6EE75C4F"/>
    <w:multiLevelType w:val="multilevel"/>
    <w:tmpl w:val="19542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6F112F27"/>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6F612047"/>
    <w:multiLevelType w:val="multilevel"/>
    <w:tmpl w:val="159C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6F887D1D"/>
    <w:multiLevelType w:val="multilevel"/>
    <w:tmpl w:val="1E2CC5B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5" w15:restartNumberingAfterBreak="0">
    <w:nsid w:val="709D0A6F"/>
    <w:multiLevelType w:val="multilevel"/>
    <w:tmpl w:val="E864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70D30E8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70E015D3"/>
    <w:multiLevelType w:val="multilevel"/>
    <w:tmpl w:val="E0407A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711E5167"/>
    <w:multiLevelType w:val="multilevel"/>
    <w:tmpl w:val="23AA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718A1530"/>
    <w:multiLevelType w:val="multilevel"/>
    <w:tmpl w:val="045A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71D1370A"/>
    <w:multiLevelType w:val="multilevel"/>
    <w:tmpl w:val="4FAC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71DC5164"/>
    <w:multiLevelType w:val="multilevel"/>
    <w:tmpl w:val="6220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721D11C4"/>
    <w:multiLevelType w:val="hybridMultilevel"/>
    <w:tmpl w:val="8A20912A"/>
    <w:lvl w:ilvl="0" w:tplc="0A4C79FC">
      <w:start w:val="1"/>
      <w:numFmt w:val="bullet"/>
      <w:lvlText w:val=""/>
      <w:lvlJc w:val="left"/>
      <w:pPr>
        <w:ind w:left="720" w:hanging="360"/>
      </w:pPr>
      <w:rPr>
        <w:rFonts w:ascii="Symbol" w:hAnsi="Symbol" w:hint="default"/>
      </w:rPr>
    </w:lvl>
    <w:lvl w:ilvl="1" w:tplc="29DEA2A4" w:tentative="1">
      <w:start w:val="1"/>
      <w:numFmt w:val="bullet"/>
      <w:lvlText w:val="o"/>
      <w:lvlJc w:val="left"/>
      <w:pPr>
        <w:ind w:left="1440" w:hanging="360"/>
      </w:pPr>
      <w:rPr>
        <w:rFonts w:ascii="Courier New" w:hAnsi="Courier New" w:hint="default"/>
      </w:rPr>
    </w:lvl>
    <w:lvl w:ilvl="2" w:tplc="FEDAB472" w:tentative="1">
      <w:start w:val="1"/>
      <w:numFmt w:val="bullet"/>
      <w:lvlText w:val=""/>
      <w:lvlJc w:val="left"/>
      <w:pPr>
        <w:ind w:left="2160" w:hanging="360"/>
      </w:pPr>
      <w:rPr>
        <w:rFonts w:ascii="Wingdings" w:hAnsi="Wingdings" w:hint="default"/>
      </w:rPr>
    </w:lvl>
    <w:lvl w:ilvl="3" w:tplc="F82E9FD4" w:tentative="1">
      <w:start w:val="1"/>
      <w:numFmt w:val="bullet"/>
      <w:lvlText w:val=""/>
      <w:lvlJc w:val="left"/>
      <w:pPr>
        <w:ind w:left="2880" w:hanging="360"/>
      </w:pPr>
      <w:rPr>
        <w:rFonts w:ascii="Symbol" w:hAnsi="Symbol" w:hint="default"/>
      </w:rPr>
    </w:lvl>
    <w:lvl w:ilvl="4" w:tplc="187EDCAA" w:tentative="1">
      <w:start w:val="1"/>
      <w:numFmt w:val="bullet"/>
      <w:lvlText w:val="o"/>
      <w:lvlJc w:val="left"/>
      <w:pPr>
        <w:ind w:left="3600" w:hanging="360"/>
      </w:pPr>
      <w:rPr>
        <w:rFonts w:ascii="Courier New" w:hAnsi="Courier New" w:hint="default"/>
      </w:rPr>
    </w:lvl>
    <w:lvl w:ilvl="5" w:tplc="E970F370" w:tentative="1">
      <w:start w:val="1"/>
      <w:numFmt w:val="bullet"/>
      <w:lvlText w:val=""/>
      <w:lvlJc w:val="left"/>
      <w:pPr>
        <w:ind w:left="4320" w:hanging="360"/>
      </w:pPr>
      <w:rPr>
        <w:rFonts w:ascii="Wingdings" w:hAnsi="Wingdings" w:hint="default"/>
      </w:rPr>
    </w:lvl>
    <w:lvl w:ilvl="6" w:tplc="B41874C2" w:tentative="1">
      <w:start w:val="1"/>
      <w:numFmt w:val="bullet"/>
      <w:lvlText w:val=""/>
      <w:lvlJc w:val="left"/>
      <w:pPr>
        <w:ind w:left="5040" w:hanging="360"/>
      </w:pPr>
      <w:rPr>
        <w:rFonts w:ascii="Symbol" w:hAnsi="Symbol" w:hint="default"/>
      </w:rPr>
    </w:lvl>
    <w:lvl w:ilvl="7" w:tplc="96EA38F2" w:tentative="1">
      <w:start w:val="1"/>
      <w:numFmt w:val="bullet"/>
      <w:lvlText w:val="o"/>
      <w:lvlJc w:val="left"/>
      <w:pPr>
        <w:ind w:left="5760" w:hanging="360"/>
      </w:pPr>
      <w:rPr>
        <w:rFonts w:ascii="Courier New" w:hAnsi="Courier New" w:hint="default"/>
      </w:rPr>
    </w:lvl>
    <w:lvl w:ilvl="8" w:tplc="08C0E79A" w:tentative="1">
      <w:start w:val="1"/>
      <w:numFmt w:val="bullet"/>
      <w:lvlText w:val=""/>
      <w:lvlJc w:val="left"/>
      <w:pPr>
        <w:ind w:left="6480" w:hanging="360"/>
      </w:pPr>
      <w:rPr>
        <w:rFonts w:ascii="Wingdings" w:hAnsi="Wingdings" w:hint="default"/>
      </w:rPr>
    </w:lvl>
  </w:abstractNum>
  <w:abstractNum w:abstractNumId="473" w15:restartNumberingAfterBreak="0">
    <w:nsid w:val="725D27AC"/>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72835D3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728769D9"/>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72F90DD4"/>
    <w:multiLevelType w:val="multilevel"/>
    <w:tmpl w:val="768C6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73902D8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7450756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746D3FCC"/>
    <w:multiLevelType w:val="multilevel"/>
    <w:tmpl w:val="8FA8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74884A0E"/>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749712B2"/>
    <w:multiLevelType w:val="multilevel"/>
    <w:tmpl w:val="C382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749A7B35"/>
    <w:multiLevelType w:val="multilevel"/>
    <w:tmpl w:val="07E6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74BD4CFB"/>
    <w:multiLevelType w:val="multilevel"/>
    <w:tmpl w:val="0716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74CA486F"/>
    <w:multiLevelType w:val="multilevel"/>
    <w:tmpl w:val="134C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752019DE"/>
    <w:multiLevelType w:val="multilevel"/>
    <w:tmpl w:val="1B04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753F4E4B"/>
    <w:multiLevelType w:val="multilevel"/>
    <w:tmpl w:val="8F30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75645C4B"/>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75980AD8"/>
    <w:multiLevelType w:val="multilevel"/>
    <w:tmpl w:val="66D67A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9" w15:restartNumberingAfterBreak="0">
    <w:nsid w:val="75CA0C7F"/>
    <w:multiLevelType w:val="multilevel"/>
    <w:tmpl w:val="19D8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75D23AC4"/>
    <w:multiLevelType w:val="multilevel"/>
    <w:tmpl w:val="5A76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76044876"/>
    <w:multiLevelType w:val="multilevel"/>
    <w:tmpl w:val="472E2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762945B3"/>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763C3E88"/>
    <w:multiLevelType w:val="multilevel"/>
    <w:tmpl w:val="40D203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4" w15:restartNumberingAfterBreak="0">
    <w:nsid w:val="765A2DDC"/>
    <w:multiLevelType w:val="multilevel"/>
    <w:tmpl w:val="33A6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76AC7960"/>
    <w:multiLevelType w:val="multilevel"/>
    <w:tmpl w:val="1E2CC5B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6" w15:restartNumberingAfterBreak="0">
    <w:nsid w:val="76CB115D"/>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76D17DCD"/>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76D6433B"/>
    <w:multiLevelType w:val="hybridMultilevel"/>
    <w:tmpl w:val="EB62BC34"/>
    <w:lvl w:ilvl="0" w:tplc="88B8A0CA">
      <w:start w:val="1"/>
      <w:numFmt w:val="bullet"/>
      <w:lvlText w:val=""/>
      <w:lvlJc w:val="left"/>
      <w:pPr>
        <w:ind w:left="1080" w:hanging="360"/>
      </w:pPr>
      <w:rPr>
        <w:rFonts w:ascii="Symbol" w:hAnsi="Symbol" w:hint="default"/>
      </w:rPr>
    </w:lvl>
    <w:lvl w:ilvl="1" w:tplc="FF34356A" w:tentative="1">
      <w:start w:val="1"/>
      <w:numFmt w:val="bullet"/>
      <w:lvlText w:val="o"/>
      <w:lvlJc w:val="left"/>
      <w:pPr>
        <w:ind w:left="1800" w:hanging="360"/>
      </w:pPr>
      <w:rPr>
        <w:rFonts w:ascii="Courier New" w:hAnsi="Courier New" w:hint="default"/>
      </w:rPr>
    </w:lvl>
    <w:lvl w:ilvl="2" w:tplc="922AEE44" w:tentative="1">
      <w:start w:val="1"/>
      <w:numFmt w:val="bullet"/>
      <w:lvlText w:val=""/>
      <w:lvlJc w:val="left"/>
      <w:pPr>
        <w:ind w:left="2520" w:hanging="360"/>
      </w:pPr>
      <w:rPr>
        <w:rFonts w:ascii="Wingdings" w:hAnsi="Wingdings" w:hint="default"/>
      </w:rPr>
    </w:lvl>
    <w:lvl w:ilvl="3" w:tplc="48CC4CDE" w:tentative="1">
      <w:start w:val="1"/>
      <w:numFmt w:val="bullet"/>
      <w:lvlText w:val=""/>
      <w:lvlJc w:val="left"/>
      <w:pPr>
        <w:ind w:left="3240" w:hanging="360"/>
      </w:pPr>
      <w:rPr>
        <w:rFonts w:ascii="Symbol" w:hAnsi="Symbol" w:hint="default"/>
      </w:rPr>
    </w:lvl>
    <w:lvl w:ilvl="4" w:tplc="31420A86" w:tentative="1">
      <w:start w:val="1"/>
      <w:numFmt w:val="bullet"/>
      <w:lvlText w:val="o"/>
      <w:lvlJc w:val="left"/>
      <w:pPr>
        <w:ind w:left="3960" w:hanging="360"/>
      </w:pPr>
      <w:rPr>
        <w:rFonts w:ascii="Courier New" w:hAnsi="Courier New" w:hint="default"/>
      </w:rPr>
    </w:lvl>
    <w:lvl w:ilvl="5" w:tplc="30EE8942" w:tentative="1">
      <w:start w:val="1"/>
      <w:numFmt w:val="bullet"/>
      <w:lvlText w:val=""/>
      <w:lvlJc w:val="left"/>
      <w:pPr>
        <w:ind w:left="4680" w:hanging="360"/>
      </w:pPr>
      <w:rPr>
        <w:rFonts w:ascii="Wingdings" w:hAnsi="Wingdings" w:hint="default"/>
      </w:rPr>
    </w:lvl>
    <w:lvl w:ilvl="6" w:tplc="0D84CBC6" w:tentative="1">
      <w:start w:val="1"/>
      <w:numFmt w:val="bullet"/>
      <w:lvlText w:val=""/>
      <w:lvlJc w:val="left"/>
      <w:pPr>
        <w:ind w:left="5400" w:hanging="360"/>
      </w:pPr>
      <w:rPr>
        <w:rFonts w:ascii="Symbol" w:hAnsi="Symbol" w:hint="default"/>
      </w:rPr>
    </w:lvl>
    <w:lvl w:ilvl="7" w:tplc="23E097C8" w:tentative="1">
      <w:start w:val="1"/>
      <w:numFmt w:val="bullet"/>
      <w:lvlText w:val="o"/>
      <w:lvlJc w:val="left"/>
      <w:pPr>
        <w:ind w:left="6120" w:hanging="360"/>
      </w:pPr>
      <w:rPr>
        <w:rFonts w:ascii="Courier New" w:hAnsi="Courier New" w:hint="default"/>
      </w:rPr>
    </w:lvl>
    <w:lvl w:ilvl="8" w:tplc="3F62FB26" w:tentative="1">
      <w:start w:val="1"/>
      <w:numFmt w:val="bullet"/>
      <w:lvlText w:val=""/>
      <w:lvlJc w:val="left"/>
      <w:pPr>
        <w:ind w:left="6840" w:hanging="360"/>
      </w:pPr>
      <w:rPr>
        <w:rFonts w:ascii="Wingdings" w:hAnsi="Wingdings" w:hint="default"/>
      </w:rPr>
    </w:lvl>
  </w:abstractNum>
  <w:abstractNum w:abstractNumId="499" w15:restartNumberingAfterBreak="0">
    <w:nsid w:val="77E322A7"/>
    <w:multiLevelType w:val="multilevel"/>
    <w:tmpl w:val="17A4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780D56C8"/>
    <w:multiLevelType w:val="multilevel"/>
    <w:tmpl w:val="1656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785A75A6"/>
    <w:multiLevelType w:val="multilevel"/>
    <w:tmpl w:val="5DA2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78610016"/>
    <w:multiLevelType w:val="multilevel"/>
    <w:tmpl w:val="DEF6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78D97FFC"/>
    <w:multiLevelType w:val="multilevel"/>
    <w:tmpl w:val="5C26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792419A8"/>
    <w:multiLevelType w:val="multilevel"/>
    <w:tmpl w:val="0060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79296FFF"/>
    <w:multiLevelType w:val="multilevel"/>
    <w:tmpl w:val="A52C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794511E3"/>
    <w:multiLevelType w:val="multilevel"/>
    <w:tmpl w:val="E9785D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15:restartNumberingAfterBreak="0">
    <w:nsid w:val="79B97BCF"/>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79EF12CD"/>
    <w:multiLevelType w:val="multilevel"/>
    <w:tmpl w:val="F44A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79FA3BF4"/>
    <w:multiLevelType w:val="multilevel"/>
    <w:tmpl w:val="6686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7A543D6E"/>
    <w:multiLevelType w:val="multilevel"/>
    <w:tmpl w:val="D3D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7A8469F3"/>
    <w:multiLevelType w:val="multilevel"/>
    <w:tmpl w:val="C81C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7B0F354B"/>
    <w:multiLevelType w:val="multilevel"/>
    <w:tmpl w:val="1E2CC5B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3" w15:restartNumberingAfterBreak="0">
    <w:nsid w:val="7B4E2E8F"/>
    <w:multiLevelType w:val="multilevel"/>
    <w:tmpl w:val="C7CC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7C2311DC"/>
    <w:multiLevelType w:val="multilevel"/>
    <w:tmpl w:val="924E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7C3F4BBD"/>
    <w:multiLevelType w:val="multilevel"/>
    <w:tmpl w:val="B9403E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6" w15:restartNumberingAfterBreak="0">
    <w:nsid w:val="7C54031C"/>
    <w:multiLevelType w:val="multilevel"/>
    <w:tmpl w:val="DDEC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7C6A3BAB"/>
    <w:multiLevelType w:val="multilevel"/>
    <w:tmpl w:val="1E2CC5B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8" w15:restartNumberingAfterBreak="0">
    <w:nsid w:val="7CAD4A41"/>
    <w:multiLevelType w:val="multilevel"/>
    <w:tmpl w:val="C194E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7CB03B7B"/>
    <w:multiLevelType w:val="multilevel"/>
    <w:tmpl w:val="5B10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7CD42951"/>
    <w:multiLevelType w:val="multilevel"/>
    <w:tmpl w:val="763E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7CE35A0B"/>
    <w:multiLevelType w:val="multilevel"/>
    <w:tmpl w:val="2BE2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7D9D4DED"/>
    <w:multiLevelType w:val="multilevel"/>
    <w:tmpl w:val="628E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7EF556F8"/>
    <w:multiLevelType w:val="multilevel"/>
    <w:tmpl w:val="61289C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15:restartNumberingAfterBreak="0">
    <w:nsid w:val="7F1E7C25"/>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7F813AD0"/>
    <w:multiLevelType w:val="multilevel"/>
    <w:tmpl w:val="7D56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7FBC13DB"/>
    <w:multiLevelType w:val="multilevel"/>
    <w:tmpl w:val="E172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7FBF0E9B"/>
    <w:multiLevelType w:val="multilevel"/>
    <w:tmpl w:val="F6A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7FDF727B"/>
    <w:multiLevelType w:val="multilevel"/>
    <w:tmpl w:val="690A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4134066">
    <w:abstractNumId w:val="260"/>
  </w:num>
  <w:num w:numId="2" w16cid:durableId="1026753777">
    <w:abstractNumId w:val="319"/>
  </w:num>
  <w:num w:numId="3" w16cid:durableId="730033526">
    <w:abstractNumId w:val="350"/>
  </w:num>
  <w:num w:numId="4" w16cid:durableId="1382174715">
    <w:abstractNumId w:val="20"/>
  </w:num>
  <w:num w:numId="5" w16cid:durableId="215973800">
    <w:abstractNumId w:val="383"/>
  </w:num>
  <w:num w:numId="6" w16cid:durableId="615597886">
    <w:abstractNumId w:val="359"/>
  </w:num>
  <w:num w:numId="7" w16cid:durableId="1158761811">
    <w:abstractNumId w:val="411"/>
  </w:num>
  <w:num w:numId="8" w16cid:durableId="1953903347">
    <w:abstractNumId w:val="269"/>
  </w:num>
  <w:num w:numId="9" w16cid:durableId="825974329">
    <w:abstractNumId w:val="375"/>
  </w:num>
  <w:num w:numId="10" w16cid:durableId="1575165045">
    <w:abstractNumId w:val="27"/>
  </w:num>
  <w:num w:numId="11" w16cid:durableId="1821189320">
    <w:abstractNumId w:val="413"/>
  </w:num>
  <w:num w:numId="12" w16cid:durableId="1492601456">
    <w:abstractNumId w:val="166"/>
  </w:num>
  <w:num w:numId="13" w16cid:durableId="1113283083">
    <w:abstractNumId w:val="493"/>
  </w:num>
  <w:num w:numId="14" w16cid:durableId="1770849363">
    <w:abstractNumId w:val="158"/>
  </w:num>
  <w:num w:numId="15" w16cid:durableId="1785231224">
    <w:abstractNumId w:val="407"/>
  </w:num>
  <w:num w:numId="16" w16cid:durableId="864640535">
    <w:abstractNumId w:val="488"/>
  </w:num>
  <w:num w:numId="17" w16cid:durableId="204484513">
    <w:abstractNumId w:val="412"/>
  </w:num>
  <w:num w:numId="18" w16cid:durableId="1188252214">
    <w:abstractNumId w:val="515"/>
  </w:num>
  <w:num w:numId="19" w16cid:durableId="798570160">
    <w:abstractNumId w:val="326"/>
  </w:num>
  <w:num w:numId="20" w16cid:durableId="1439331395">
    <w:abstractNumId w:val="263"/>
  </w:num>
  <w:num w:numId="21" w16cid:durableId="1132867726">
    <w:abstractNumId w:val="73"/>
  </w:num>
  <w:num w:numId="22" w16cid:durableId="404839360">
    <w:abstractNumId w:val="1"/>
  </w:num>
  <w:num w:numId="23" w16cid:durableId="1700929250">
    <w:abstractNumId w:val="238"/>
  </w:num>
  <w:num w:numId="24" w16cid:durableId="1668748145">
    <w:abstractNumId w:val="28"/>
  </w:num>
  <w:num w:numId="25" w16cid:durableId="270211115">
    <w:abstractNumId w:val="92"/>
  </w:num>
  <w:num w:numId="26" w16cid:durableId="1723942180">
    <w:abstractNumId w:val="406"/>
  </w:num>
  <w:num w:numId="27" w16cid:durableId="1146629199">
    <w:abstractNumId w:val="227"/>
  </w:num>
  <w:num w:numId="28" w16cid:durableId="259069958">
    <w:abstractNumId w:val="156"/>
  </w:num>
  <w:num w:numId="29" w16cid:durableId="12657874">
    <w:abstractNumId w:val="351"/>
  </w:num>
  <w:num w:numId="30" w16cid:durableId="797801317">
    <w:abstractNumId w:val="295"/>
  </w:num>
  <w:num w:numId="31" w16cid:durableId="92631907">
    <w:abstractNumId w:val="181"/>
  </w:num>
  <w:num w:numId="32" w16cid:durableId="92089060">
    <w:abstractNumId w:val="436"/>
  </w:num>
  <w:num w:numId="33" w16cid:durableId="1426808910">
    <w:abstractNumId w:val="138"/>
  </w:num>
  <w:num w:numId="34" w16cid:durableId="439377295">
    <w:abstractNumId w:val="400"/>
  </w:num>
  <w:num w:numId="35" w16cid:durableId="1590429485">
    <w:abstractNumId w:val="65"/>
  </w:num>
  <w:num w:numId="36" w16cid:durableId="2088960881">
    <w:abstractNumId w:val="43"/>
  </w:num>
  <w:num w:numId="37" w16cid:durableId="413406133">
    <w:abstractNumId w:val="284"/>
  </w:num>
  <w:num w:numId="38" w16cid:durableId="1063912908">
    <w:abstractNumId w:val="46"/>
  </w:num>
  <w:num w:numId="39" w16cid:durableId="300043591">
    <w:abstractNumId w:val="433"/>
  </w:num>
  <w:num w:numId="40" w16cid:durableId="1914076213">
    <w:abstractNumId w:val="372"/>
  </w:num>
  <w:num w:numId="41" w16cid:durableId="164326656">
    <w:abstractNumId w:val="472"/>
  </w:num>
  <w:num w:numId="42" w16cid:durableId="1344743413">
    <w:abstractNumId w:val="87"/>
  </w:num>
  <w:num w:numId="43" w16cid:durableId="482939225">
    <w:abstractNumId w:val="195"/>
  </w:num>
  <w:num w:numId="44" w16cid:durableId="247037479">
    <w:abstractNumId w:val="498"/>
  </w:num>
  <w:num w:numId="45" w16cid:durableId="2031831360">
    <w:abstractNumId w:val="393"/>
  </w:num>
  <w:num w:numId="46" w16cid:durableId="643437111">
    <w:abstractNumId w:val="500"/>
  </w:num>
  <w:num w:numId="47" w16cid:durableId="2060977760">
    <w:abstractNumId w:val="470"/>
  </w:num>
  <w:num w:numId="48" w16cid:durableId="1602371341">
    <w:abstractNumId w:val="282"/>
  </w:num>
  <w:num w:numId="49" w16cid:durableId="1099563204">
    <w:abstractNumId w:val="120"/>
  </w:num>
  <w:num w:numId="50" w16cid:durableId="1262252889">
    <w:abstractNumId w:val="45"/>
  </w:num>
  <w:num w:numId="51" w16cid:durableId="1252739067">
    <w:abstractNumId w:val="511"/>
  </w:num>
  <w:num w:numId="52" w16cid:durableId="195316033">
    <w:abstractNumId w:val="193"/>
  </w:num>
  <w:num w:numId="53" w16cid:durableId="1809005017">
    <w:abstractNumId w:val="520"/>
  </w:num>
  <w:num w:numId="54" w16cid:durableId="131752411">
    <w:abstractNumId w:val="48"/>
  </w:num>
  <w:num w:numId="55" w16cid:durableId="974409608">
    <w:abstractNumId w:val="352"/>
  </w:num>
  <w:num w:numId="56" w16cid:durableId="49310836">
    <w:abstractNumId w:val="324"/>
  </w:num>
  <w:num w:numId="57" w16cid:durableId="982198142">
    <w:abstractNumId w:val="504"/>
  </w:num>
  <w:num w:numId="58" w16cid:durableId="169101504">
    <w:abstractNumId w:val="290"/>
  </w:num>
  <w:num w:numId="59" w16cid:durableId="1116800637">
    <w:abstractNumId w:val="198"/>
  </w:num>
  <w:num w:numId="60" w16cid:durableId="1538271255">
    <w:abstractNumId w:val="200"/>
  </w:num>
  <w:num w:numId="61" w16cid:durableId="1179662898">
    <w:abstractNumId w:val="306"/>
  </w:num>
  <w:num w:numId="62" w16cid:durableId="1247493238">
    <w:abstractNumId w:val="312"/>
  </w:num>
  <w:num w:numId="63" w16cid:durableId="1337884661">
    <w:abstractNumId w:val="327"/>
  </w:num>
  <w:num w:numId="64" w16cid:durableId="317345297">
    <w:abstractNumId w:val="241"/>
  </w:num>
  <w:num w:numId="65" w16cid:durableId="177622542">
    <w:abstractNumId w:val="229"/>
  </w:num>
  <w:num w:numId="66" w16cid:durableId="1633630684">
    <w:abstractNumId w:val="293"/>
  </w:num>
  <w:num w:numId="67" w16cid:durableId="2042051124">
    <w:abstractNumId w:val="404"/>
  </w:num>
  <w:num w:numId="68" w16cid:durableId="1543326127">
    <w:abstractNumId w:val="53"/>
  </w:num>
  <w:num w:numId="69" w16cid:durableId="1044989527">
    <w:abstractNumId w:val="95"/>
  </w:num>
  <w:num w:numId="70" w16cid:durableId="1007440288">
    <w:abstractNumId w:val="214"/>
  </w:num>
  <w:num w:numId="71" w16cid:durableId="1655139970">
    <w:abstractNumId w:val="216"/>
  </w:num>
  <w:num w:numId="72" w16cid:durableId="668866271">
    <w:abstractNumId w:val="270"/>
  </w:num>
  <w:num w:numId="73" w16cid:durableId="1678922721">
    <w:abstractNumId w:val="189"/>
  </w:num>
  <w:num w:numId="74" w16cid:durableId="1026519538">
    <w:abstractNumId w:val="142"/>
  </w:num>
  <w:num w:numId="75" w16cid:durableId="1493713073">
    <w:abstractNumId w:val="212"/>
  </w:num>
  <w:num w:numId="76" w16cid:durableId="901914852">
    <w:abstractNumId w:val="491"/>
  </w:num>
  <w:num w:numId="77" w16cid:durableId="1642687869">
    <w:abstractNumId w:val="68"/>
  </w:num>
  <w:num w:numId="78" w16cid:durableId="758253779">
    <w:abstractNumId w:val="261"/>
  </w:num>
  <w:num w:numId="79" w16cid:durableId="978076142">
    <w:abstractNumId w:val="220"/>
  </w:num>
  <w:num w:numId="80" w16cid:durableId="117768302">
    <w:abstractNumId w:val="101"/>
  </w:num>
  <w:num w:numId="81" w16cid:durableId="76294832">
    <w:abstractNumId w:val="288"/>
  </w:num>
  <w:num w:numId="82" w16cid:durableId="185602417">
    <w:abstractNumId w:val="459"/>
  </w:num>
  <w:num w:numId="83" w16cid:durableId="978607992">
    <w:abstractNumId w:val="348"/>
  </w:num>
  <w:num w:numId="84" w16cid:durableId="1898123918">
    <w:abstractNumId w:val="91"/>
  </w:num>
  <w:num w:numId="85" w16cid:durableId="1915509746">
    <w:abstractNumId w:val="117"/>
  </w:num>
  <w:num w:numId="86" w16cid:durableId="2050645661">
    <w:abstractNumId w:val="61"/>
  </w:num>
  <w:num w:numId="87" w16cid:durableId="738138800">
    <w:abstractNumId w:val="369"/>
  </w:num>
  <w:num w:numId="88" w16cid:durableId="1156186305">
    <w:abstractNumId w:val="44"/>
  </w:num>
  <w:num w:numId="89" w16cid:durableId="1740251155">
    <w:abstractNumId w:val="147"/>
  </w:num>
  <w:num w:numId="90" w16cid:durableId="2041733621">
    <w:abstractNumId w:val="434"/>
  </w:num>
  <w:num w:numId="91" w16cid:durableId="485587011">
    <w:abstractNumId w:val="0"/>
  </w:num>
  <w:num w:numId="92" w16cid:durableId="1990864162">
    <w:abstractNumId w:val="154"/>
  </w:num>
  <w:num w:numId="93" w16cid:durableId="167840272">
    <w:abstractNumId w:val="15"/>
  </w:num>
  <w:num w:numId="94" w16cid:durableId="1302467717">
    <w:abstractNumId w:val="98"/>
  </w:num>
  <w:num w:numId="95" w16cid:durableId="44377665">
    <w:abstractNumId w:val="494"/>
  </w:num>
  <w:num w:numId="96" w16cid:durableId="1845709342">
    <w:abstractNumId w:val="217"/>
  </w:num>
  <w:num w:numId="97" w16cid:durableId="558711657">
    <w:abstractNumId w:val="416"/>
  </w:num>
  <w:num w:numId="98" w16cid:durableId="315958182">
    <w:abstractNumId w:val="283"/>
  </w:num>
  <w:num w:numId="99" w16cid:durableId="971324139">
    <w:abstractNumId w:val="376"/>
  </w:num>
  <w:num w:numId="100" w16cid:durableId="472866961">
    <w:abstractNumId w:val="2"/>
  </w:num>
  <w:num w:numId="101" w16cid:durableId="1948737158">
    <w:abstractNumId w:val="427"/>
  </w:num>
  <w:num w:numId="102" w16cid:durableId="149447714">
    <w:abstractNumId w:val="518"/>
  </w:num>
  <w:num w:numId="103" w16cid:durableId="1032800403">
    <w:abstractNumId w:val="303"/>
  </w:num>
  <w:num w:numId="104" w16cid:durableId="1896315851">
    <w:abstractNumId w:val="21"/>
  </w:num>
  <w:num w:numId="105" w16cid:durableId="84764429">
    <w:abstractNumId w:val="503"/>
  </w:num>
  <w:num w:numId="106" w16cid:durableId="1268272484">
    <w:abstractNumId w:val="124"/>
  </w:num>
  <w:num w:numId="107" w16cid:durableId="226570170">
    <w:abstractNumId w:val="334"/>
  </w:num>
  <w:num w:numId="108" w16cid:durableId="205680937">
    <w:abstractNumId w:val="203"/>
  </w:num>
  <w:num w:numId="109" w16cid:durableId="1357921149">
    <w:abstractNumId w:val="94"/>
  </w:num>
  <w:num w:numId="110" w16cid:durableId="425468336">
    <w:abstractNumId w:val="405"/>
  </w:num>
  <w:num w:numId="111" w16cid:durableId="72092080">
    <w:abstractNumId w:val="22"/>
  </w:num>
  <w:num w:numId="112" w16cid:durableId="270356385">
    <w:abstractNumId w:val="356"/>
  </w:num>
  <w:num w:numId="113" w16cid:durableId="203636682">
    <w:abstractNumId w:val="185"/>
  </w:num>
  <w:num w:numId="114" w16cid:durableId="368260031">
    <w:abstractNumId w:val="435"/>
  </w:num>
  <w:num w:numId="115" w16cid:durableId="1589775568">
    <w:abstractNumId w:val="398"/>
  </w:num>
  <w:num w:numId="116" w16cid:durableId="1283421505">
    <w:abstractNumId w:val="313"/>
  </w:num>
  <w:num w:numId="117" w16cid:durableId="1910341581">
    <w:abstractNumId w:val="60"/>
  </w:num>
  <w:num w:numId="118" w16cid:durableId="178979664">
    <w:abstractNumId w:val="254"/>
  </w:num>
  <w:num w:numId="119" w16cid:durableId="1426802321">
    <w:abstractNumId w:val="354"/>
  </w:num>
  <w:num w:numId="120" w16cid:durableId="329064969">
    <w:abstractNumId w:val="463"/>
  </w:num>
  <w:num w:numId="121" w16cid:durableId="726294699">
    <w:abstractNumId w:val="420"/>
  </w:num>
  <w:num w:numId="122" w16cid:durableId="1948807101">
    <w:abstractNumId w:val="397"/>
  </w:num>
  <w:num w:numId="123" w16cid:durableId="1841500245">
    <w:abstractNumId w:val="430"/>
  </w:num>
  <w:num w:numId="124" w16cid:durableId="1959943363">
    <w:abstractNumId w:val="225"/>
  </w:num>
  <w:num w:numId="125" w16cid:durableId="1478915561">
    <w:abstractNumId w:val="426"/>
  </w:num>
  <w:num w:numId="126" w16cid:durableId="1147284440">
    <w:abstractNumId w:val="131"/>
  </w:num>
  <w:num w:numId="127" w16cid:durableId="1815832417">
    <w:abstractNumId w:val="244"/>
  </w:num>
  <w:num w:numId="128" w16cid:durableId="769392916">
    <w:abstractNumId w:val="259"/>
  </w:num>
  <w:num w:numId="129" w16cid:durableId="57021765">
    <w:abstractNumId w:val="89"/>
  </w:num>
  <w:num w:numId="130" w16cid:durableId="1500078333">
    <w:abstractNumId w:val="246"/>
  </w:num>
  <w:num w:numId="131" w16cid:durableId="1568418982">
    <w:abstractNumId w:val="196"/>
  </w:num>
  <w:num w:numId="132" w16cid:durableId="821116657">
    <w:abstractNumId w:val="72"/>
  </w:num>
  <w:num w:numId="133" w16cid:durableId="1947079877">
    <w:abstractNumId w:val="450"/>
  </w:num>
  <w:num w:numId="134" w16cid:durableId="1011878538">
    <w:abstractNumId w:val="505"/>
  </w:num>
  <w:num w:numId="135" w16cid:durableId="115952874">
    <w:abstractNumId w:val="11"/>
  </w:num>
  <w:num w:numId="136" w16cid:durableId="1028409854">
    <w:abstractNumId w:val="526"/>
  </w:num>
  <w:num w:numId="137" w16cid:durableId="841625887">
    <w:abstractNumId w:val="385"/>
  </w:num>
  <w:num w:numId="138" w16cid:durableId="1818842506">
    <w:abstractNumId w:val="287"/>
  </w:num>
  <w:num w:numId="139" w16cid:durableId="1422026581">
    <w:abstractNumId w:val="346"/>
  </w:num>
  <w:num w:numId="140" w16cid:durableId="2134591722">
    <w:abstractNumId w:val="423"/>
  </w:num>
  <w:num w:numId="141" w16cid:durableId="520122072">
    <w:abstractNumId w:val="42"/>
  </w:num>
  <w:num w:numId="142" w16cid:durableId="1026177855">
    <w:abstractNumId w:val="186"/>
  </w:num>
  <w:num w:numId="143" w16cid:durableId="746804975">
    <w:abstractNumId w:val="310"/>
  </w:num>
  <w:num w:numId="144" w16cid:durableId="702824921">
    <w:abstractNumId w:val="349"/>
  </w:num>
  <w:num w:numId="145" w16cid:durableId="1216546381">
    <w:abstractNumId w:val="482"/>
  </w:num>
  <w:num w:numId="146" w16cid:durableId="1120994128">
    <w:abstractNumId w:val="441"/>
  </w:num>
  <w:num w:numId="147" w16cid:durableId="2099518585">
    <w:abstractNumId w:val="231"/>
  </w:num>
  <w:num w:numId="148" w16cid:durableId="643193685">
    <w:abstractNumId w:val="51"/>
  </w:num>
  <w:num w:numId="149" w16cid:durableId="202209657">
    <w:abstractNumId w:val="54"/>
  </w:num>
  <w:num w:numId="150" w16cid:durableId="111293914">
    <w:abstractNumId w:val="387"/>
  </w:num>
  <w:num w:numId="151" w16cid:durableId="1719668730">
    <w:abstractNumId w:val="141"/>
  </w:num>
  <w:num w:numId="152" w16cid:durableId="1202981198">
    <w:abstractNumId w:val="204"/>
  </w:num>
  <w:num w:numId="153" w16cid:durableId="769155910">
    <w:abstractNumId w:val="208"/>
  </w:num>
  <w:num w:numId="154" w16cid:durableId="1000935280">
    <w:abstractNumId w:val="299"/>
  </w:num>
  <w:num w:numId="155" w16cid:durableId="277372505">
    <w:abstractNumId w:val="523"/>
  </w:num>
  <w:num w:numId="156" w16cid:durableId="1006637766">
    <w:abstractNumId w:val="361"/>
  </w:num>
  <w:num w:numId="157" w16cid:durableId="1332483482">
    <w:abstractNumId w:val="414"/>
  </w:num>
  <w:num w:numId="158" w16cid:durableId="794062155">
    <w:abstractNumId w:val="476"/>
  </w:num>
  <w:num w:numId="159" w16cid:durableId="1885288217">
    <w:abstractNumId w:val="157"/>
  </w:num>
  <w:num w:numId="160" w16cid:durableId="630475663">
    <w:abstractNumId w:val="40"/>
  </w:num>
  <w:num w:numId="161" w16cid:durableId="245265551">
    <w:abstractNumId w:val="4"/>
  </w:num>
  <w:num w:numId="162" w16cid:durableId="619337020">
    <w:abstractNumId w:val="363"/>
  </w:num>
  <w:num w:numId="163" w16cid:durableId="728454206">
    <w:abstractNumId w:val="247"/>
  </w:num>
  <w:num w:numId="164" w16cid:durableId="602347765">
    <w:abstractNumId w:val="79"/>
  </w:num>
  <w:num w:numId="165" w16cid:durableId="1325402176">
    <w:abstractNumId w:val="237"/>
  </w:num>
  <w:num w:numId="166" w16cid:durableId="1468821275">
    <w:abstractNumId w:val="205"/>
  </w:num>
  <w:num w:numId="167" w16cid:durableId="18824830">
    <w:abstractNumId w:val="140"/>
  </w:num>
  <w:num w:numId="168" w16cid:durableId="573665789">
    <w:abstractNumId w:val="279"/>
  </w:num>
  <w:num w:numId="169" w16cid:durableId="2090883140">
    <w:abstractNumId w:val="341"/>
  </w:num>
  <w:num w:numId="170" w16cid:durableId="1265965183">
    <w:abstractNumId w:val="467"/>
  </w:num>
  <w:num w:numId="171" w16cid:durableId="1295066823">
    <w:abstractNumId w:val="506"/>
  </w:num>
  <w:num w:numId="172" w16cid:durableId="1279793629">
    <w:abstractNumId w:val="399"/>
  </w:num>
  <w:num w:numId="173" w16cid:durableId="1517574642">
    <w:abstractNumId w:val="440"/>
  </w:num>
  <w:num w:numId="174" w16cid:durableId="1463576323">
    <w:abstractNumId w:val="446"/>
  </w:num>
  <w:num w:numId="175" w16cid:durableId="1877353664">
    <w:abstractNumId w:val="386"/>
  </w:num>
  <w:num w:numId="176" w16cid:durableId="477304945">
    <w:abstractNumId w:val="187"/>
  </w:num>
  <w:num w:numId="177" w16cid:durableId="269122881">
    <w:abstractNumId w:val="410"/>
  </w:num>
  <w:num w:numId="178" w16cid:durableId="150172647">
    <w:abstractNumId w:val="7"/>
  </w:num>
  <w:num w:numId="179" w16cid:durableId="571309648">
    <w:abstractNumId w:val="224"/>
  </w:num>
  <w:num w:numId="180" w16cid:durableId="948395948">
    <w:abstractNumId w:val="34"/>
  </w:num>
  <w:num w:numId="181" w16cid:durableId="2057271498">
    <w:abstractNumId w:val="162"/>
  </w:num>
  <w:num w:numId="182" w16cid:durableId="495615548">
    <w:abstractNumId w:val="280"/>
  </w:num>
  <w:num w:numId="183" w16cid:durableId="658074126">
    <w:abstractNumId w:val="69"/>
  </w:num>
  <w:num w:numId="184" w16cid:durableId="1331328441">
    <w:abstractNumId w:val="454"/>
  </w:num>
  <w:num w:numId="185" w16cid:durableId="1420520440">
    <w:abstractNumId w:val="97"/>
  </w:num>
  <w:num w:numId="186" w16cid:durableId="398014398">
    <w:abstractNumId w:val="308"/>
  </w:num>
  <w:num w:numId="187" w16cid:durableId="354574295">
    <w:abstractNumId w:val="226"/>
  </w:num>
  <w:num w:numId="188" w16cid:durableId="1967156154">
    <w:abstractNumId w:val="50"/>
  </w:num>
  <w:num w:numId="189" w16cid:durableId="520246658">
    <w:abstractNumId w:val="76"/>
  </w:num>
  <w:num w:numId="190" w16cid:durableId="1284311838">
    <w:abstractNumId w:val="194"/>
  </w:num>
  <w:num w:numId="191" w16cid:durableId="1932589">
    <w:abstractNumId w:val="170"/>
  </w:num>
  <w:num w:numId="192" w16cid:durableId="745229369">
    <w:abstractNumId w:val="516"/>
  </w:num>
  <w:num w:numId="193" w16cid:durableId="557087081">
    <w:abstractNumId w:val="502"/>
  </w:num>
  <w:num w:numId="194" w16cid:durableId="1030565445">
    <w:abstractNumId w:val="59"/>
  </w:num>
  <w:num w:numId="195" w16cid:durableId="654190297">
    <w:abstractNumId w:val="294"/>
  </w:num>
  <w:num w:numId="196" w16cid:durableId="123886746">
    <w:abstractNumId w:val="32"/>
  </w:num>
  <w:num w:numId="197" w16cid:durableId="980889708">
    <w:abstractNumId w:val="265"/>
  </w:num>
  <w:num w:numId="198" w16cid:durableId="1469349710">
    <w:abstractNumId w:val="421"/>
  </w:num>
  <w:num w:numId="199" w16cid:durableId="1700859836">
    <w:abstractNumId w:val="132"/>
  </w:num>
  <w:num w:numId="200" w16cid:durableId="1097483576">
    <w:abstractNumId w:val="314"/>
  </w:num>
  <w:num w:numId="201" w16cid:durableId="480123747">
    <w:abstractNumId w:val="307"/>
  </w:num>
  <w:num w:numId="202" w16cid:durableId="628821463">
    <w:abstractNumId w:val="389"/>
  </w:num>
  <w:num w:numId="203" w16cid:durableId="2050642386">
    <w:abstractNumId w:val="256"/>
  </w:num>
  <w:num w:numId="204" w16cid:durableId="1105541491">
    <w:abstractNumId w:val="164"/>
  </w:num>
  <w:num w:numId="205" w16cid:durableId="2105569618">
    <w:abstractNumId w:val="221"/>
  </w:num>
  <w:num w:numId="206" w16cid:durableId="1116175848">
    <w:abstractNumId w:val="273"/>
  </w:num>
  <w:num w:numId="207" w16cid:durableId="80100639">
    <w:abstractNumId w:val="522"/>
  </w:num>
  <w:num w:numId="208" w16cid:durableId="1907688180">
    <w:abstractNumId w:val="119"/>
  </w:num>
  <w:num w:numId="209" w16cid:durableId="1523594172">
    <w:abstractNumId w:val="528"/>
  </w:num>
  <w:num w:numId="210" w16cid:durableId="1050882737">
    <w:abstractNumId w:val="431"/>
  </w:num>
  <w:num w:numId="211" w16cid:durableId="534657674">
    <w:abstractNumId w:val="443"/>
  </w:num>
  <w:num w:numId="212" w16cid:durableId="1623878947">
    <w:abstractNumId w:val="57"/>
  </w:num>
  <w:num w:numId="213" w16cid:durableId="742026080">
    <w:abstractNumId w:val="252"/>
  </w:num>
  <w:num w:numId="214" w16cid:durableId="569197946">
    <w:abstractNumId w:val="99"/>
  </w:num>
  <w:num w:numId="215" w16cid:durableId="742261780">
    <w:abstractNumId w:val="36"/>
  </w:num>
  <w:num w:numId="216" w16cid:durableId="1211726848">
    <w:abstractNumId w:val="153"/>
  </w:num>
  <w:num w:numId="217" w16cid:durableId="1976912741">
    <w:abstractNumId w:val="396"/>
  </w:num>
  <w:num w:numId="218" w16cid:durableId="1740319906">
    <w:abstractNumId w:val="148"/>
  </w:num>
  <w:num w:numId="219" w16cid:durableId="134296942">
    <w:abstractNumId w:val="29"/>
  </w:num>
  <w:num w:numId="220" w16cid:durableId="1776972834">
    <w:abstractNumId w:val="469"/>
  </w:num>
  <w:num w:numId="221" w16cid:durableId="727604691">
    <w:abstractNumId w:val="160"/>
  </w:num>
  <w:num w:numId="222" w16cid:durableId="1417900980">
    <w:abstractNumId w:val="230"/>
  </w:num>
  <w:num w:numId="223" w16cid:durableId="1835946981">
    <w:abstractNumId w:val="180"/>
  </w:num>
  <w:num w:numId="224" w16cid:durableId="1187593853">
    <w:abstractNumId w:val="323"/>
  </w:num>
  <w:num w:numId="225" w16cid:durableId="3672915">
    <w:abstractNumId w:val="465"/>
  </w:num>
  <w:num w:numId="226" w16cid:durableId="420833404">
    <w:abstractNumId w:val="102"/>
  </w:num>
  <w:num w:numId="227" w16cid:durableId="304119517">
    <w:abstractNumId w:val="146"/>
  </w:num>
  <w:num w:numId="228" w16cid:durableId="234512261">
    <w:abstractNumId w:val="255"/>
  </w:num>
  <w:num w:numId="229" w16cid:durableId="1276476181">
    <w:abstractNumId w:val="223"/>
  </w:num>
  <w:num w:numId="230" w16cid:durableId="127675816">
    <w:abstractNumId w:val="232"/>
  </w:num>
  <w:num w:numId="231" w16cid:durableId="1965187434">
    <w:abstractNumId w:val="340"/>
  </w:num>
  <w:num w:numId="232" w16cid:durableId="414395907">
    <w:abstractNumId w:val="519"/>
  </w:num>
  <w:num w:numId="233" w16cid:durableId="1662007446">
    <w:abstractNumId w:val="418"/>
  </w:num>
  <w:num w:numId="234" w16cid:durableId="1492601969">
    <w:abstractNumId w:val="145"/>
  </w:num>
  <w:num w:numId="235" w16cid:durableId="1564481676">
    <w:abstractNumId w:val="415"/>
  </w:num>
  <w:num w:numId="236" w16cid:durableId="642395155">
    <w:abstractNumId w:val="422"/>
  </w:num>
  <w:num w:numId="237" w16cid:durableId="1020862600">
    <w:abstractNumId w:val="171"/>
  </w:num>
  <w:num w:numId="238" w16cid:durableId="693311366">
    <w:abstractNumId w:val="245"/>
  </w:num>
  <w:num w:numId="239" w16cid:durableId="409933126">
    <w:abstractNumId w:val="143"/>
  </w:num>
  <w:num w:numId="240" w16cid:durableId="774449213">
    <w:abstractNumId w:val="315"/>
  </w:num>
  <w:num w:numId="241" w16cid:durableId="1606114053">
    <w:abstractNumId w:val="388"/>
  </w:num>
  <w:num w:numId="242" w16cid:durableId="260115642">
    <w:abstractNumId w:val="70"/>
  </w:num>
  <w:num w:numId="243" w16cid:durableId="992875737">
    <w:abstractNumId w:val="510"/>
  </w:num>
  <w:num w:numId="244" w16cid:durableId="479688677">
    <w:abstractNumId w:val="484"/>
  </w:num>
  <w:num w:numId="245" w16cid:durableId="523591478">
    <w:abstractNumId w:val="382"/>
  </w:num>
  <w:num w:numId="246" w16cid:durableId="1495606407">
    <w:abstractNumId w:val="499"/>
  </w:num>
  <w:num w:numId="247" w16cid:durableId="985284139">
    <w:abstractNumId w:val="113"/>
  </w:num>
  <w:num w:numId="248" w16cid:durableId="1020397974">
    <w:abstractNumId w:val="84"/>
  </w:num>
  <w:num w:numId="249" w16cid:durableId="846212497">
    <w:abstractNumId w:val="489"/>
  </w:num>
  <w:num w:numId="250" w16cid:durableId="443958306">
    <w:abstractNumId w:val="409"/>
  </w:num>
  <w:num w:numId="251" w16cid:durableId="591668975">
    <w:abstractNumId w:val="167"/>
  </w:num>
  <w:num w:numId="252" w16cid:durableId="1004237336">
    <w:abstractNumId w:val="342"/>
  </w:num>
  <w:num w:numId="253" w16cid:durableId="1659528738">
    <w:abstractNumId w:val="311"/>
  </w:num>
  <w:num w:numId="254" w16cid:durableId="2124768774">
    <w:abstractNumId w:val="513"/>
  </w:num>
  <w:num w:numId="255" w16cid:durableId="115879815">
    <w:abstractNumId w:val="235"/>
  </w:num>
  <w:num w:numId="256" w16cid:durableId="556016901">
    <w:abstractNumId w:val="115"/>
  </w:num>
  <w:num w:numId="257" w16cid:durableId="895438063">
    <w:abstractNumId w:val="301"/>
  </w:num>
  <w:num w:numId="258" w16cid:durableId="1753237107">
    <w:abstractNumId w:val="191"/>
  </w:num>
  <w:num w:numId="259" w16cid:durableId="1936471370">
    <w:abstractNumId w:val="460"/>
  </w:num>
  <w:num w:numId="260" w16cid:durableId="1389453703">
    <w:abstractNumId w:val="81"/>
  </w:num>
  <w:num w:numId="261" w16cid:durableId="1443500087">
    <w:abstractNumId w:val="374"/>
  </w:num>
  <w:num w:numId="262" w16cid:durableId="1297837339">
    <w:abstractNumId w:val="297"/>
  </w:num>
  <w:num w:numId="263" w16cid:durableId="930699891">
    <w:abstractNumId w:val="490"/>
  </w:num>
  <w:num w:numId="264" w16cid:durableId="1013996702">
    <w:abstractNumId w:val="184"/>
  </w:num>
  <w:num w:numId="265" w16cid:durableId="281424134">
    <w:abstractNumId w:val="392"/>
  </w:num>
  <w:num w:numId="266" w16cid:durableId="606620237">
    <w:abstractNumId w:val="461"/>
  </w:num>
  <w:num w:numId="267" w16cid:durableId="1708870082">
    <w:abstractNumId w:val="258"/>
  </w:num>
  <w:num w:numId="268" w16cid:durableId="1606495680">
    <w:abstractNumId w:val="390"/>
  </w:num>
  <w:num w:numId="269" w16cid:durableId="2063364247">
    <w:abstractNumId w:val="336"/>
  </w:num>
  <w:num w:numId="270" w16cid:durableId="248778160">
    <w:abstractNumId w:val="108"/>
  </w:num>
  <w:num w:numId="271" w16cid:durableId="997466932">
    <w:abstractNumId w:val="325"/>
  </w:num>
  <w:num w:numId="272" w16cid:durableId="2098015605">
    <w:abstractNumId w:val="267"/>
  </w:num>
  <w:num w:numId="273" w16cid:durableId="1028793342">
    <w:abstractNumId w:val="127"/>
  </w:num>
  <w:num w:numId="274" w16cid:durableId="2066097315">
    <w:abstractNumId w:val="62"/>
  </w:num>
  <w:num w:numId="275" w16cid:durableId="1398091002">
    <w:abstractNumId w:val="257"/>
  </w:num>
  <w:num w:numId="276" w16cid:durableId="703674927">
    <w:abstractNumId w:val="152"/>
  </w:num>
  <w:num w:numId="277" w16cid:durableId="1402437585">
    <w:abstractNumId w:val="264"/>
  </w:num>
  <w:num w:numId="278" w16cid:durableId="589119442">
    <w:abstractNumId w:val="300"/>
  </w:num>
  <w:num w:numId="279" w16cid:durableId="461075443">
    <w:abstractNumId w:val="144"/>
  </w:num>
  <w:num w:numId="280" w16cid:durableId="149178726">
    <w:abstractNumId w:val="508"/>
  </w:num>
  <w:num w:numId="281" w16cid:durableId="62728448">
    <w:abstractNumId w:val="77"/>
  </w:num>
  <w:num w:numId="282" w16cid:durableId="425879643">
    <w:abstractNumId w:val="55"/>
  </w:num>
  <w:num w:numId="283" w16cid:durableId="1014654768">
    <w:abstractNumId w:val="243"/>
  </w:num>
  <w:num w:numId="284" w16cid:durableId="1673988124">
    <w:abstractNumId w:val="501"/>
  </w:num>
  <w:num w:numId="285" w16cid:durableId="779300594">
    <w:abstractNumId w:val="394"/>
  </w:num>
  <w:num w:numId="286" w16cid:durableId="144901646">
    <w:abstractNumId w:val="253"/>
  </w:num>
  <w:num w:numId="287" w16cid:durableId="475687002">
    <w:abstractNumId w:val="23"/>
  </w:num>
  <w:num w:numId="288" w16cid:durableId="80371476">
    <w:abstractNumId w:val="14"/>
  </w:num>
  <w:num w:numId="289" w16cid:durableId="1665401289">
    <w:abstractNumId w:val="355"/>
  </w:num>
  <w:num w:numId="290" w16cid:durableId="1965966927">
    <w:abstractNumId w:val="218"/>
  </w:num>
  <w:num w:numId="291" w16cid:durableId="844324236">
    <w:abstractNumId w:val="52"/>
  </w:num>
  <w:num w:numId="292" w16cid:durableId="1145318578">
    <w:abstractNumId w:val="512"/>
  </w:num>
  <w:num w:numId="293" w16cid:durableId="254827859">
    <w:abstractNumId w:val="464"/>
  </w:num>
  <w:num w:numId="294" w16cid:durableId="826096979">
    <w:abstractNumId w:val="104"/>
  </w:num>
  <w:num w:numId="295" w16cid:durableId="73213432">
    <w:abstractNumId w:val="428"/>
  </w:num>
  <w:num w:numId="296" w16cid:durableId="1552309020">
    <w:abstractNumId w:val="391"/>
  </w:num>
  <w:num w:numId="297" w16cid:durableId="1358122375">
    <w:abstractNumId w:val="37"/>
  </w:num>
  <w:num w:numId="298" w16cid:durableId="627198817">
    <w:abstractNumId w:val="26"/>
  </w:num>
  <w:num w:numId="299" w16cid:durableId="608901439">
    <w:abstractNumId w:val="106"/>
  </w:num>
  <w:num w:numId="300" w16cid:durableId="315185310">
    <w:abstractNumId w:val="262"/>
  </w:num>
  <w:num w:numId="301" w16cid:durableId="11228377">
    <w:abstractNumId w:val="3"/>
  </w:num>
  <w:num w:numId="302" w16cid:durableId="2110856106">
    <w:abstractNumId w:val="182"/>
  </w:num>
  <w:num w:numId="303" w16cid:durableId="539510930">
    <w:abstractNumId w:val="495"/>
  </w:num>
  <w:num w:numId="304" w16cid:durableId="1293514156">
    <w:abstractNumId w:val="358"/>
  </w:num>
  <w:num w:numId="305" w16cid:durableId="1199973164">
    <w:abstractNumId w:val="133"/>
  </w:num>
  <w:num w:numId="306" w16cid:durableId="1303004509">
    <w:abstractNumId w:val="517"/>
  </w:num>
  <w:num w:numId="307" w16cid:durableId="649097362">
    <w:abstractNumId w:val="266"/>
  </w:num>
  <w:num w:numId="308" w16cid:durableId="393286187">
    <w:abstractNumId w:val="451"/>
  </w:num>
  <w:num w:numId="309" w16cid:durableId="930237258">
    <w:abstractNumId w:val="242"/>
  </w:num>
  <w:num w:numId="310" w16cid:durableId="1625578805">
    <w:abstractNumId w:val="75"/>
  </w:num>
  <w:num w:numId="311" w16cid:durableId="658728946">
    <w:abstractNumId w:val="485"/>
  </w:num>
  <w:num w:numId="312" w16cid:durableId="69543195">
    <w:abstractNumId w:val="457"/>
  </w:num>
  <w:num w:numId="313" w16cid:durableId="209542190">
    <w:abstractNumId w:val="316"/>
  </w:num>
  <w:num w:numId="314" w16cid:durableId="2048023836">
    <w:abstractNumId w:val="173"/>
  </w:num>
  <w:num w:numId="315" w16cid:durableId="292056692">
    <w:abstractNumId w:val="380"/>
  </w:num>
  <w:num w:numId="316" w16cid:durableId="1956251668">
    <w:abstractNumId w:val="276"/>
  </w:num>
  <w:num w:numId="317" w16cid:durableId="2116830286">
    <w:abstractNumId w:val="177"/>
  </w:num>
  <w:num w:numId="318" w16cid:durableId="150148591">
    <w:abstractNumId w:val="126"/>
  </w:num>
  <w:num w:numId="319" w16cid:durableId="283462502">
    <w:abstractNumId w:val="179"/>
  </w:num>
  <w:num w:numId="320" w16cid:durableId="1477380933">
    <w:abstractNumId w:val="403"/>
  </w:num>
  <w:num w:numId="321" w16cid:durableId="1633317920">
    <w:abstractNumId w:val="111"/>
  </w:num>
  <w:num w:numId="322" w16cid:durableId="1663964625">
    <w:abstractNumId w:val="331"/>
  </w:num>
  <w:num w:numId="323" w16cid:durableId="1434397250">
    <w:abstractNumId w:val="159"/>
  </w:num>
  <w:num w:numId="324" w16cid:durableId="702243987">
    <w:abstractNumId w:val="357"/>
  </w:num>
  <w:num w:numId="325" w16cid:durableId="1543325200">
    <w:abstractNumId w:val="136"/>
  </w:num>
  <w:num w:numId="326" w16cid:durableId="1057243673">
    <w:abstractNumId w:val="190"/>
  </w:num>
  <w:num w:numId="327" w16cid:durableId="31686044">
    <w:abstractNumId w:val="18"/>
  </w:num>
  <w:num w:numId="328" w16cid:durableId="77795282">
    <w:abstractNumId w:val="123"/>
  </w:num>
  <w:num w:numId="329" w16cid:durableId="377321686">
    <w:abstractNumId w:val="384"/>
  </w:num>
  <w:num w:numId="330" w16cid:durableId="1039820354">
    <w:abstractNumId w:val="19"/>
  </w:num>
  <w:num w:numId="331" w16cid:durableId="1779830077">
    <w:abstractNumId w:val="271"/>
  </w:num>
  <w:num w:numId="332" w16cid:durableId="1361932443">
    <w:abstractNumId w:val="66"/>
  </w:num>
  <w:num w:numId="333" w16cid:durableId="990014004">
    <w:abstractNumId w:val="209"/>
  </w:num>
  <w:num w:numId="334" w16cid:durableId="1912426783">
    <w:abstractNumId w:val="110"/>
  </w:num>
  <w:num w:numId="335" w16cid:durableId="66611275">
    <w:abstractNumId w:val="318"/>
  </w:num>
  <w:num w:numId="336" w16cid:durableId="118232142">
    <w:abstractNumId w:val="338"/>
  </w:num>
  <w:num w:numId="337" w16cid:durableId="332731563">
    <w:abstractNumId w:val="199"/>
  </w:num>
  <w:num w:numId="338" w16cid:durableId="1753089967">
    <w:abstractNumId w:val="165"/>
  </w:num>
  <w:num w:numId="339" w16cid:durableId="832185741">
    <w:abstractNumId w:val="527"/>
  </w:num>
  <w:num w:numId="340" w16cid:durableId="1740592571">
    <w:abstractNumId w:val="296"/>
  </w:num>
  <w:num w:numId="341" w16cid:durableId="1188639257">
    <w:abstractNumId w:val="202"/>
  </w:num>
  <w:num w:numId="342" w16cid:durableId="1018965585">
    <w:abstractNumId w:val="163"/>
  </w:num>
  <w:num w:numId="343" w16cid:durableId="1206430">
    <w:abstractNumId w:val="80"/>
  </w:num>
  <w:num w:numId="344" w16cid:durableId="1810054797">
    <w:abstractNumId w:val="233"/>
  </w:num>
  <w:num w:numId="345" w16cid:durableId="565798843">
    <w:abstractNumId w:val="486"/>
  </w:num>
  <w:num w:numId="346" w16cid:durableId="380591717">
    <w:abstractNumId w:val="234"/>
  </w:num>
  <w:num w:numId="347" w16cid:durableId="474026803">
    <w:abstractNumId w:val="85"/>
  </w:num>
  <w:num w:numId="348" w16cid:durableId="683744984">
    <w:abstractNumId w:val="278"/>
  </w:num>
  <w:num w:numId="349" w16cid:durableId="403723376">
    <w:abstractNumId w:val="292"/>
  </w:num>
  <w:num w:numId="350" w16cid:durableId="659501369">
    <w:abstractNumId w:val="56"/>
  </w:num>
  <w:num w:numId="351" w16cid:durableId="1813793912">
    <w:abstractNumId w:val="64"/>
  </w:num>
  <w:num w:numId="352" w16cid:durableId="1999384808">
    <w:abstractNumId w:val="332"/>
  </w:num>
  <w:num w:numId="353" w16cid:durableId="678896863">
    <w:abstractNumId w:val="13"/>
  </w:num>
  <w:num w:numId="354" w16cid:durableId="758218468">
    <w:abstractNumId w:val="286"/>
  </w:num>
  <w:num w:numId="355" w16cid:durableId="1129202552">
    <w:abstractNumId w:val="251"/>
  </w:num>
  <w:num w:numId="356" w16cid:durableId="733309047">
    <w:abstractNumId w:val="134"/>
  </w:num>
  <w:num w:numId="357" w16cid:durableId="1943489821">
    <w:abstractNumId w:val="514"/>
  </w:num>
  <w:num w:numId="358" w16cid:durableId="236789135">
    <w:abstractNumId w:val="128"/>
  </w:num>
  <w:num w:numId="359" w16cid:durableId="456877989">
    <w:abstractNumId w:val="178"/>
  </w:num>
  <w:num w:numId="360" w16cid:durableId="1931349242">
    <w:abstractNumId w:val="5"/>
  </w:num>
  <w:num w:numId="361" w16cid:durableId="646085185">
    <w:abstractNumId w:val="479"/>
  </w:num>
  <w:num w:numId="362" w16cid:durableId="970867650">
    <w:abstractNumId w:val="438"/>
  </w:num>
  <w:num w:numId="363" w16cid:durableId="430980594">
    <w:abstractNumId w:val="125"/>
  </w:num>
  <w:num w:numId="364" w16cid:durableId="553583445">
    <w:abstractNumId w:val="275"/>
  </w:num>
  <w:num w:numId="365" w16cid:durableId="1855455261">
    <w:abstractNumId w:val="67"/>
  </w:num>
  <w:num w:numId="366" w16cid:durableId="1063796866">
    <w:abstractNumId w:val="10"/>
  </w:num>
  <w:num w:numId="367" w16cid:durableId="1976711926">
    <w:abstractNumId w:val="25"/>
  </w:num>
  <w:num w:numId="368" w16cid:durableId="639727649">
    <w:abstractNumId w:val="285"/>
  </w:num>
  <w:num w:numId="369" w16cid:durableId="870068236">
    <w:abstractNumId w:val="447"/>
  </w:num>
  <w:num w:numId="370" w16cid:durableId="1295328697">
    <w:abstractNumId w:val="6"/>
  </w:num>
  <w:num w:numId="371" w16cid:durableId="1581676869">
    <w:abstractNumId w:val="401"/>
  </w:num>
  <w:num w:numId="372" w16cid:durableId="769160613">
    <w:abstractNumId w:val="149"/>
  </w:num>
  <w:num w:numId="373" w16cid:durableId="1057780570">
    <w:abstractNumId w:val="521"/>
  </w:num>
  <w:num w:numId="374" w16cid:durableId="431974403">
    <w:abstractNumId w:val="114"/>
  </w:num>
  <w:num w:numId="375" w16cid:durableId="1335189220">
    <w:abstractNumId w:val="35"/>
  </w:num>
  <w:num w:numId="376" w16cid:durableId="952588619">
    <w:abstractNumId w:val="130"/>
  </w:num>
  <w:num w:numId="377" w16cid:durableId="298993494">
    <w:abstractNumId w:val="343"/>
  </w:num>
  <w:num w:numId="378" w16cid:durableId="506479054">
    <w:abstractNumId w:val="444"/>
  </w:num>
  <w:num w:numId="379" w16cid:durableId="687871088">
    <w:abstractNumId w:val="250"/>
  </w:num>
  <w:num w:numId="380" w16cid:durableId="943222193">
    <w:abstractNumId w:val="291"/>
  </w:num>
  <w:num w:numId="381" w16cid:durableId="761032106">
    <w:abstractNumId w:val="439"/>
  </w:num>
  <w:num w:numId="382" w16cid:durableId="118111766">
    <w:abstractNumId w:val="481"/>
  </w:num>
  <w:num w:numId="383" w16cid:durableId="396589878">
    <w:abstractNumId w:val="16"/>
  </w:num>
  <w:num w:numId="384" w16cid:durableId="1864635006">
    <w:abstractNumId w:val="139"/>
  </w:num>
  <w:num w:numId="385" w16cid:durableId="1518735979">
    <w:abstractNumId w:val="192"/>
  </w:num>
  <w:num w:numId="386" w16cid:durableId="86394095">
    <w:abstractNumId w:val="328"/>
  </w:num>
  <w:num w:numId="387" w16cid:durableId="168521266">
    <w:abstractNumId w:val="367"/>
  </w:num>
  <w:num w:numId="388" w16cid:durableId="827214118">
    <w:abstractNumId w:val="366"/>
  </w:num>
  <w:num w:numId="389" w16cid:durableId="544021903">
    <w:abstractNumId w:val="468"/>
  </w:num>
  <w:num w:numId="390" w16cid:durableId="1389456772">
    <w:abstractNumId w:val="222"/>
  </w:num>
  <w:num w:numId="391" w16cid:durableId="1170607159">
    <w:abstractNumId w:val="169"/>
  </w:num>
  <w:num w:numId="392" w16cid:durableId="1496722518">
    <w:abstractNumId w:val="281"/>
  </w:num>
  <w:num w:numId="393" w16cid:durableId="777944966">
    <w:abstractNumId w:val="105"/>
  </w:num>
  <w:num w:numId="394" w16cid:durableId="1358652629">
    <w:abstractNumId w:val="78"/>
  </w:num>
  <w:num w:numId="395" w16cid:durableId="118423963">
    <w:abstractNumId w:val="118"/>
  </w:num>
  <w:num w:numId="396" w16cid:durableId="442454830">
    <w:abstractNumId w:val="379"/>
  </w:num>
  <w:num w:numId="397" w16cid:durableId="2103724972">
    <w:abstractNumId w:val="368"/>
  </w:num>
  <w:num w:numId="398" w16cid:durableId="989212255">
    <w:abstractNumId w:val="371"/>
  </w:num>
  <w:num w:numId="399" w16cid:durableId="1905794443">
    <w:abstractNumId w:val="272"/>
  </w:num>
  <w:num w:numId="400" w16cid:durableId="1805269855">
    <w:abstractNumId w:val="100"/>
  </w:num>
  <w:num w:numId="401" w16cid:durableId="1257208529">
    <w:abstractNumId w:val="449"/>
  </w:num>
  <w:num w:numId="402" w16cid:durableId="781657204">
    <w:abstractNumId w:val="30"/>
  </w:num>
  <w:num w:numId="403" w16cid:durableId="1318462075">
    <w:abstractNumId w:val="274"/>
  </w:num>
  <w:num w:numId="404" w16cid:durableId="2059746017">
    <w:abstractNumId w:val="38"/>
  </w:num>
  <w:num w:numId="405" w16cid:durableId="1536960676">
    <w:abstractNumId w:val="122"/>
  </w:num>
  <w:num w:numId="406" w16cid:durableId="1679851155">
    <w:abstractNumId w:val="432"/>
  </w:num>
  <w:num w:numId="407" w16cid:durableId="13269439">
    <w:abstractNumId w:val="129"/>
  </w:num>
  <w:num w:numId="408" w16cid:durableId="669602336">
    <w:abstractNumId w:val="483"/>
  </w:num>
  <w:num w:numId="409" w16cid:durableId="378748552">
    <w:abstractNumId w:val="345"/>
  </w:num>
  <w:num w:numId="410" w16cid:durableId="822890745">
    <w:abstractNumId w:val="213"/>
  </w:num>
  <w:num w:numId="411" w16cid:durableId="587807671">
    <w:abstractNumId w:val="161"/>
  </w:num>
  <w:num w:numId="412" w16cid:durableId="1106654397">
    <w:abstractNumId w:val="74"/>
  </w:num>
  <w:num w:numId="413" w16cid:durableId="1966812619">
    <w:abstractNumId w:val="425"/>
  </w:num>
  <w:num w:numId="414" w16cid:durableId="1543975044">
    <w:abstractNumId w:val="8"/>
  </w:num>
  <w:num w:numId="415" w16cid:durableId="1475030208">
    <w:abstractNumId w:val="17"/>
  </w:num>
  <w:num w:numId="416" w16cid:durableId="1588339711">
    <w:abstractNumId w:val="509"/>
  </w:num>
  <w:num w:numId="417" w16cid:durableId="948662902">
    <w:abstractNumId w:val="96"/>
  </w:num>
  <w:num w:numId="418" w16cid:durableId="26686004">
    <w:abstractNumId w:val="453"/>
  </w:num>
  <w:num w:numId="419" w16cid:durableId="1515683418">
    <w:abstractNumId w:val="305"/>
  </w:num>
  <w:num w:numId="420" w16cid:durableId="542182208">
    <w:abstractNumId w:val="82"/>
  </w:num>
  <w:num w:numId="421" w16cid:durableId="1790783455">
    <w:abstractNumId w:val="353"/>
  </w:num>
  <w:num w:numId="422" w16cid:durableId="697775137">
    <w:abstractNumId w:val="248"/>
  </w:num>
  <w:num w:numId="423" w16cid:durableId="1323007784">
    <w:abstractNumId w:val="151"/>
  </w:num>
  <w:num w:numId="424" w16cid:durableId="196238301">
    <w:abstractNumId w:val="471"/>
  </w:num>
  <w:num w:numId="425" w16cid:durableId="595359265">
    <w:abstractNumId w:val="442"/>
  </w:num>
  <w:num w:numId="426" w16cid:durableId="1434010454">
    <w:abstractNumId w:val="121"/>
  </w:num>
  <w:num w:numId="427" w16cid:durableId="500195108">
    <w:abstractNumId w:val="168"/>
  </w:num>
  <w:num w:numId="428" w16cid:durableId="216401929">
    <w:abstractNumId w:val="277"/>
  </w:num>
  <w:num w:numId="429" w16cid:durableId="732655206">
    <w:abstractNumId w:val="466"/>
  </w:num>
  <w:num w:numId="430" w16cid:durableId="1880166894">
    <w:abstractNumId w:val="9"/>
  </w:num>
  <w:num w:numId="431" w16cid:durableId="1792287102">
    <w:abstractNumId w:val="31"/>
  </w:num>
  <w:num w:numId="432" w16cid:durableId="1554652403">
    <w:abstractNumId w:val="47"/>
  </w:num>
  <w:num w:numId="433" w16cid:durableId="1338733465">
    <w:abstractNumId w:val="395"/>
  </w:num>
  <w:num w:numId="434" w16cid:durableId="1123959382">
    <w:abstractNumId w:val="107"/>
  </w:num>
  <w:num w:numId="435" w16cid:durableId="1580096147">
    <w:abstractNumId w:val="174"/>
  </w:num>
  <w:num w:numId="436" w16cid:durableId="1043138491">
    <w:abstractNumId w:val="49"/>
  </w:num>
  <w:num w:numId="437" w16cid:durableId="1358628187">
    <w:abstractNumId w:val="236"/>
  </w:num>
  <w:num w:numId="438" w16cid:durableId="1880699906">
    <w:abstractNumId w:val="103"/>
  </w:num>
  <w:num w:numId="439" w16cid:durableId="805051179">
    <w:abstractNumId w:val="492"/>
  </w:num>
  <w:num w:numId="440" w16cid:durableId="794300378">
    <w:abstractNumId w:val="437"/>
  </w:num>
  <w:num w:numId="441" w16cid:durableId="1398355608">
    <w:abstractNumId w:val="347"/>
  </w:num>
  <w:num w:numId="442" w16cid:durableId="1834636047">
    <w:abstractNumId w:val="137"/>
  </w:num>
  <w:num w:numId="443" w16cid:durableId="1002973776">
    <w:abstractNumId w:val="172"/>
  </w:num>
  <w:num w:numId="444" w16cid:durableId="125047315">
    <w:abstractNumId w:val="39"/>
  </w:num>
  <w:num w:numId="445" w16cid:durableId="1148127248">
    <w:abstractNumId w:val="83"/>
  </w:num>
  <w:num w:numId="446" w16cid:durableId="2084525938">
    <w:abstractNumId w:val="455"/>
  </w:num>
  <w:num w:numId="447" w16cid:durableId="154348280">
    <w:abstractNumId w:val="475"/>
  </w:num>
  <w:num w:numId="448" w16cid:durableId="459566775">
    <w:abstractNumId w:val="116"/>
  </w:num>
  <w:num w:numId="449" w16cid:durableId="552621102">
    <w:abstractNumId w:val="188"/>
  </w:num>
  <w:num w:numId="450" w16cid:durableId="101655239">
    <w:abstractNumId w:val="206"/>
  </w:num>
  <w:num w:numId="451" w16cid:durableId="1134373091">
    <w:abstractNumId w:val="445"/>
  </w:num>
  <w:num w:numId="452" w16cid:durableId="2118865266">
    <w:abstractNumId w:val="329"/>
  </w:num>
  <w:num w:numId="453" w16cid:durableId="1995721435">
    <w:abstractNumId w:val="317"/>
  </w:num>
  <w:num w:numId="454" w16cid:durableId="719019870">
    <w:abstractNumId w:val="473"/>
  </w:num>
  <w:num w:numId="455" w16cid:durableId="1606503267">
    <w:abstractNumId w:val="429"/>
  </w:num>
  <w:num w:numId="456" w16cid:durableId="1858419904">
    <w:abstractNumId w:val="339"/>
  </w:num>
  <w:num w:numId="457" w16cid:durableId="32315524">
    <w:abstractNumId w:val="424"/>
  </w:num>
  <w:num w:numId="458" w16cid:durableId="350228205">
    <w:abstractNumId w:val="321"/>
  </w:num>
  <w:num w:numId="459" w16cid:durableId="747767326">
    <w:abstractNumId w:val="304"/>
  </w:num>
  <w:num w:numId="460" w16cid:durableId="1786002283">
    <w:abstractNumId w:val="364"/>
  </w:num>
  <w:num w:numId="461" w16cid:durableId="707216536">
    <w:abstractNumId w:val="215"/>
  </w:num>
  <w:num w:numId="462" w16cid:durableId="1884828838">
    <w:abstractNumId w:val="322"/>
  </w:num>
  <w:num w:numId="463" w16cid:durableId="753480989">
    <w:abstractNumId w:val="63"/>
  </w:num>
  <w:num w:numId="464" w16cid:durableId="568803398">
    <w:abstractNumId w:val="337"/>
  </w:num>
  <w:num w:numId="465" w16cid:durableId="380859991">
    <w:abstractNumId w:val="41"/>
  </w:num>
  <w:num w:numId="466" w16cid:durableId="1025864611">
    <w:abstractNumId w:val="210"/>
  </w:num>
  <w:num w:numId="467" w16cid:durableId="64031092">
    <w:abstractNumId w:val="507"/>
  </w:num>
  <w:num w:numId="468" w16cid:durableId="1174688547">
    <w:abstractNumId w:val="320"/>
  </w:num>
  <w:num w:numId="469" w16cid:durableId="733505437">
    <w:abstractNumId w:val="155"/>
  </w:num>
  <w:num w:numId="470" w16cid:durableId="1504315071">
    <w:abstractNumId w:val="335"/>
  </w:num>
  <w:num w:numId="471" w16cid:durableId="2043049148">
    <w:abstractNumId w:val="477"/>
  </w:num>
  <w:num w:numId="472" w16cid:durableId="71390356">
    <w:abstractNumId w:val="487"/>
  </w:num>
  <w:num w:numId="473" w16cid:durableId="884219483">
    <w:abstractNumId w:val="480"/>
  </w:num>
  <w:num w:numId="474" w16cid:durableId="1101685479">
    <w:abstractNumId w:val="330"/>
  </w:num>
  <w:num w:numId="475" w16cid:durableId="1725636443">
    <w:abstractNumId w:val="58"/>
  </w:num>
  <w:num w:numId="476" w16cid:durableId="654069153">
    <w:abstractNumId w:val="135"/>
  </w:num>
  <w:num w:numId="477" w16cid:durableId="2082409283">
    <w:abstractNumId w:val="360"/>
  </w:num>
  <w:num w:numId="478" w16cid:durableId="459881444">
    <w:abstractNumId w:val="211"/>
  </w:num>
  <w:num w:numId="479" w16cid:durableId="1510558772">
    <w:abstractNumId w:val="452"/>
  </w:num>
  <w:num w:numId="480" w16cid:durableId="728725412">
    <w:abstractNumId w:val="219"/>
  </w:num>
  <w:num w:numId="481" w16cid:durableId="545336760">
    <w:abstractNumId w:val="176"/>
  </w:num>
  <w:num w:numId="482" w16cid:durableId="1580403082">
    <w:abstractNumId w:val="268"/>
  </w:num>
  <w:num w:numId="483" w16cid:durableId="576524549">
    <w:abstractNumId w:val="183"/>
  </w:num>
  <w:num w:numId="484" w16cid:durableId="618494599">
    <w:abstractNumId w:val="175"/>
  </w:num>
  <w:num w:numId="485" w16cid:durableId="907685809">
    <w:abstractNumId w:val="462"/>
  </w:num>
  <w:num w:numId="486" w16cid:durableId="1374040616">
    <w:abstractNumId w:val="333"/>
  </w:num>
  <w:num w:numId="487" w16cid:durableId="2083987014">
    <w:abstractNumId w:val="448"/>
  </w:num>
  <w:num w:numId="488" w16cid:durableId="980691320">
    <w:abstractNumId w:val="71"/>
  </w:num>
  <w:num w:numId="489" w16cid:durableId="920213020">
    <w:abstractNumId w:val="109"/>
  </w:num>
  <w:num w:numId="490" w16cid:durableId="1979190913">
    <w:abstractNumId w:val="239"/>
  </w:num>
  <w:num w:numId="491" w16cid:durableId="1386830522">
    <w:abstractNumId w:val="86"/>
  </w:num>
  <w:num w:numId="492" w16cid:durableId="677852652">
    <w:abstractNumId w:val="417"/>
  </w:num>
  <w:num w:numId="493" w16cid:durableId="1273243494">
    <w:abstractNumId w:val="377"/>
  </w:num>
  <w:num w:numId="494" w16cid:durableId="1589923902">
    <w:abstractNumId w:val="298"/>
  </w:num>
  <w:num w:numId="495" w16cid:durableId="336075096">
    <w:abstractNumId w:val="112"/>
  </w:num>
  <w:num w:numId="496" w16cid:durableId="190847168">
    <w:abstractNumId w:val="474"/>
  </w:num>
  <w:num w:numId="497" w16cid:durableId="1826161109">
    <w:abstractNumId w:val="240"/>
  </w:num>
  <w:num w:numId="498" w16cid:durableId="1758557556">
    <w:abstractNumId w:val="458"/>
  </w:num>
  <w:num w:numId="499" w16cid:durableId="1399282192">
    <w:abstractNumId w:val="201"/>
  </w:num>
  <w:num w:numId="500" w16cid:durableId="1614940874">
    <w:abstractNumId w:val="365"/>
  </w:num>
  <w:num w:numId="501" w16cid:durableId="451096390">
    <w:abstractNumId w:val="90"/>
  </w:num>
  <w:num w:numId="502" w16cid:durableId="257954404">
    <w:abstractNumId w:val="302"/>
  </w:num>
  <w:num w:numId="503" w16cid:durableId="1495955813">
    <w:abstractNumId w:val="289"/>
  </w:num>
  <w:num w:numId="504" w16cid:durableId="625477161">
    <w:abstractNumId w:val="402"/>
  </w:num>
  <w:num w:numId="505" w16cid:durableId="729109576">
    <w:abstractNumId w:val="88"/>
  </w:num>
  <w:num w:numId="506" w16cid:durableId="1188565826">
    <w:abstractNumId w:val="33"/>
  </w:num>
  <w:num w:numId="507" w16cid:durableId="1910920747">
    <w:abstractNumId w:val="12"/>
  </w:num>
  <w:num w:numId="508" w16cid:durableId="1187449545">
    <w:abstractNumId w:val="93"/>
  </w:num>
  <w:num w:numId="509" w16cid:durableId="1373991935">
    <w:abstractNumId w:val="24"/>
  </w:num>
  <w:num w:numId="510" w16cid:durableId="1389526366">
    <w:abstractNumId w:val="373"/>
  </w:num>
  <w:num w:numId="511" w16cid:durableId="915750888">
    <w:abstractNumId w:val="381"/>
  </w:num>
  <w:num w:numId="512" w16cid:durableId="1730692309">
    <w:abstractNumId w:val="456"/>
  </w:num>
  <w:num w:numId="513" w16cid:durableId="583563470">
    <w:abstractNumId w:val="362"/>
  </w:num>
  <w:num w:numId="514" w16cid:durableId="1135832552">
    <w:abstractNumId w:val="378"/>
  </w:num>
  <w:num w:numId="515" w16cid:durableId="651132073">
    <w:abstractNumId w:val="150"/>
  </w:num>
  <w:num w:numId="516" w16cid:durableId="2100325892">
    <w:abstractNumId w:val="249"/>
  </w:num>
  <w:num w:numId="517" w16cid:durableId="1039934790">
    <w:abstractNumId w:val="370"/>
  </w:num>
  <w:num w:numId="518" w16cid:durableId="715547366">
    <w:abstractNumId w:val="228"/>
  </w:num>
  <w:num w:numId="519" w16cid:durableId="1048917535">
    <w:abstractNumId w:val="344"/>
  </w:num>
  <w:num w:numId="520" w16cid:durableId="1367952456">
    <w:abstractNumId w:val="496"/>
  </w:num>
  <w:num w:numId="521" w16cid:durableId="1945721784">
    <w:abstractNumId w:val="207"/>
  </w:num>
  <w:num w:numId="522" w16cid:durableId="82068938">
    <w:abstractNumId w:val="478"/>
  </w:num>
  <w:num w:numId="523" w16cid:durableId="1754816946">
    <w:abstractNumId w:val="197"/>
  </w:num>
  <w:num w:numId="524" w16cid:durableId="1337029449">
    <w:abstractNumId w:val="309"/>
  </w:num>
  <w:num w:numId="525" w16cid:durableId="117184912">
    <w:abstractNumId w:val="497"/>
  </w:num>
  <w:num w:numId="526" w16cid:durableId="2006130159">
    <w:abstractNumId w:val="408"/>
  </w:num>
  <w:num w:numId="527" w16cid:durableId="1625692390">
    <w:abstractNumId w:val="524"/>
  </w:num>
  <w:num w:numId="528" w16cid:durableId="1088649630">
    <w:abstractNumId w:val="419"/>
  </w:num>
  <w:num w:numId="529" w16cid:durableId="216018099">
    <w:abstractNumId w:val="52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9A"/>
    <w:rsid w:val="00000224"/>
    <w:rsid w:val="000006ED"/>
    <w:rsid w:val="00000C16"/>
    <w:rsid w:val="000012BB"/>
    <w:rsid w:val="0000134D"/>
    <w:rsid w:val="0000154A"/>
    <w:rsid w:val="00001BF5"/>
    <w:rsid w:val="00001E64"/>
    <w:rsid w:val="000024F0"/>
    <w:rsid w:val="00002B9D"/>
    <w:rsid w:val="00002F58"/>
    <w:rsid w:val="00003C51"/>
    <w:rsid w:val="00004470"/>
    <w:rsid w:val="0000472F"/>
    <w:rsid w:val="000049F9"/>
    <w:rsid w:val="00004E0A"/>
    <w:rsid w:val="00004E83"/>
    <w:rsid w:val="000050C4"/>
    <w:rsid w:val="000051E4"/>
    <w:rsid w:val="00005A38"/>
    <w:rsid w:val="00006120"/>
    <w:rsid w:val="00006DE5"/>
    <w:rsid w:val="00006F85"/>
    <w:rsid w:val="00010143"/>
    <w:rsid w:val="00010A6F"/>
    <w:rsid w:val="000111B3"/>
    <w:rsid w:val="00011629"/>
    <w:rsid w:val="00011673"/>
    <w:rsid w:val="00011749"/>
    <w:rsid w:val="00011996"/>
    <w:rsid w:val="00012056"/>
    <w:rsid w:val="000124B2"/>
    <w:rsid w:val="000126E0"/>
    <w:rsid w:val="00012BD2"/>
    <w:rsid w:val="00014FC7"/>
    <w:rsid w:val="000151A2"/>
    <w:rsid w:val="00015478"/>
    <w:rsid w:val="00015971"/>
    <w:rsid w:val="00015A11"/>
    <w:rsid w:val="00015B32"/>
    <w:rsid w:val="00015FBC"/>
    <w:rsid w:val="000160FD"/>
    <w:rsid w:val="000162FA"/>
    <w:rsid w:val="0001644D"/>
    <w:rsid w:val="00017364"/>
    <w:rsid w:val="00017A2C"/>
    <w:rsid w:val="00017CA2"/>
    <w:rsid w:val="00017DBE"/>
    <w:rsid w:val="00017E10"/>
    <w:rsid w:val="000204B3"/>
    <w:rsid w:val="00020936"/>
    <w:rsid w:val="000209C0"/>
    <w:rsid w:val="0002132C"/>
    <w:rsid w:val="00021881"/>
    <w:rsid w:val="000219BD"/>
    <w:rsid w:val="000221A0"/>
    <w:rsid w:val="000221B0"/>
    <w:rsid w:val="000222C1"/>
    <w:rsid w:val="000223B3"/>
    <w:rsid w:val="00022CB9"/>
    <w:rsid w:val="00022CBB"/>
    <w:rsid w:val="00022D4D"/>
    <w:rsid w:val="00022E1E"/>
    <w:rsid w:val="00022E82"/>
    <w:rsid w:val="00023039"/>
    <w:rsid w:val="00023F30"/>
    <w:rsid w:val="000240C3"/>
    <w:rsid w:val="0002434D"/>
    <w:rsid w:val="00024381"/>
    <w:rsid w:val="00024705"/>
    <w:rsid w:val="00024B09"/>
    <w:rsid w:val="00025523"/>
    <w:rsid w:val="0002568B"/>
    <w:rsid w:val="00025691"/>
    <w:rsid w:val="000258A2"/>
    <w:rsid w:val="00025908"/>
    <w:rsid w:val="00025F43"/>
    <w:rsid w:val="00026002"/>
    <w:rsid w:val="0002614E"/>
    <w:rsid w:val="00026B51"/>
    <w:rsid w:val="00026C11"/>
    <w:rsid w:val="00026ED5"/>
    <w:rsid w:val="00027261"/>
    <w:rsid w:val="000272A5"/>
    <w:rsid w:val="0002738E"/>
    <w:rsid w:val="000273A4"/>
    <w:rsid w:val="0002797D"/>
    <w:rsid w:val="00027996"/>
    <w:rsid w:val="00027C2C"/>
    <w:rsid w:val="0003035E"/>
    <w:rsid w:val="00030704"/>
    <w:rsid w:val="0003074C"/>
    <w:rsid w:val="00030C04"/>
    <w:rsid w:val="00031397"/>
    <w:rsid w:val="000315EE"/>
    <w:rsid w:val="00031750"/>
    <w:rsid w:val="0003182E"/>
    <w:rsid w:val="00031AED"/>
    <w:rsid w:val="0003257F"/>
    <w:rsid w:val="00032A47"/>
    <w:rsid w:val="00032AD0"/>
    <w:rsid w:val="00032EC2"/>
    <w:rsid w:val="00033E0E"/>
    <w:rsid w:val="00034560"/>
    <w:rsid w:val="00034BC8"/>
    <w:rsid w:val="0003530F"/>
    <w:rsid w:val="00035B49"/>
    <w:rsid w:val="00035D31"/>
    <w:rsid w:val="00036033"/>
    <w:rsid w:val="000365F1"/>
    <w:rsid w:val="00036951"/>
    <w:rsid w:val="00036E6F"/>
    <w:rsid w:val="00037734"/>
    <w:rsid w:val="00037751"/>
    <w:rsid w:val="00037988"/>
    <w:rsid w:val="00037A1A"/>
    <w:rsid w:val="00037A54"/>
    <w:rsid w:val="00037A6F"/>
    <w:rsid w:val="00037D5F"/>
    <w:rsid w:val="00037ED5"/>
    <w:rsid w:val="00040133"/>
    <w:rsid w:val="000401FC"/>
    <w:rsid w:val="00040896"/>
    <w:rsid w:val="00040B92"/>
    <w:rsid w:val="00040DD0"/>
    <w:rsid w:val="00041987"/>
    <w:rsid w:val="000419B0"/>
    <w:rsid w:val="00041ABC"/>
    <w:rsid w:val="00041CBE"/>
    <w:rsid w:val="00041F58"/>
    <w:rsid w:val="00042037"/>
    <w:rsid w:val="000435E6"/>
    <w:rsid w:val="00043BFC"/>
    <w:rsid w:val="00044754"/>
    <w:rsid w:val="00044759"/>
    <w:rsid w:val="0004482F"/>
    <w:rsid w:val="000448F8"/>
    <w:rsid w:val="00044994"/>
    <w:rsid w:val="000449E9"/>
    <w:rsid w:val="00044D03"/>
    <w:rsid w:val="00045D5D"/>
    <w:rsid w:val="00045F09"/>
    <w:rsid w:val="00046F62"/>
    <w:rsid w:val="000470FF"/>
    <w:rsid w:val="00047EE3"/>
    <w:rsid w:val="0005026E"/>
    <w:rsid w:val="00050364"/>
    <w:rsid w:val="0005040E"/>
    <w:rsid w:val="00051A23"/>
    <w:rsid w:val="00051D56"/>
    <w:rsid w:val="00051DF0"/>
    <w:rsid w:val="00051FC9"/>
    <w:rsid w:val="0005211D"/>
    <w:rsid w:val="0005218F"/>
    <w:rsid w:val="000521F7"/>
    <w:rsid w:val="0005234E"/>
    <w:rsid w:val="00052706"/>
    <w:rsid w:val="00052CCF"/>
    <w:rsid w:val="000530C3"/>
    <w:rsid w:val="0005320B"/>
    <w:rsid w:val="0005330A"/>
    <w:rsid w:val="00053A50"/>
    <w:rsid w:val="00053CFE"/>
    <w:rsid w:val="00053F5D"/>
    <w:rsid w:val="00054228"/>
    <w:rsid w:val="0005426A"/>
    <w:rsid w:val="000545CD"/>
    <w:rsid w:val="000546F9"/>
    <w:rsid w:val="00054B6C"/>
    <w:rsid w:val="00055862"/>
    <w:rsid w:val="00055CDE"/>
    <w:rsid w:val="00056358"/>
    <w:rsid w:val="0005638C"/>
    <w:rsid w:val="0005674D"/>
    <w:rsid w:val="000569B9"/>
    <w:rsid w:val="00056A1B"/>
    <w:rsid w:val="00056A52"/>
    <w:rsid w:val="0005744C"/>
    <w:rsid w:val="0005775E"/>
    <w:rsid w:val="00057BD7"/>
    <w:rsid w:val="00057E3E"/>
    <w:rsid w:val="000605E2"/>
    <w:rsid w:val="00060652"/>
    <w:rsid w:val="000615B7"/>
    <w:rsid w:val="00061E8B"/>
    <w:rsid w:val="00062406"/>
    <w:rsid w:val="00062AED"/>
    <w:rsid w:val="00062D34"/>
    <w:rsid w:val="00062D73"/>
    <w:rsid w:val="0006321F"/>
    <w:rsid w:val="000632B1"/>
    <w:rsid w:val="000633E0"/>
    <w:rsid w:val="000634B0"/>
    <w:rsid w:val="0006359B"/>
    <w:rsid w:val="0006362E"/>
    <w:rsid w:val="00063FE0"/>
    <w:rsid w:val="00064459"/>
    <w:rsid w:val="000654DF"/>
    <w:rsid w:val="00065C5E"/>
    <w:rsid w:val="00065CD8"/>
    <w:rsid w:val="000663DE"/>
    <w:rsid w:val="0006663F"/>
    <w:rsid w:val="000667AB"/>
    <w:rsid w:val="00066929"/>
    <w:rsid w:val="00066959"/>
    <w:rsid w:val="00066BFA"/>
    <w:rsid w:val="00066EFB"/>
    <w:rsid w:val="0006726F"/>
    <w:rsid w:val="00067790"/>
    <w:rsid w:val="00070B37"/>
    <w:rsid w:val="00071913"/>
    <w:rsid w:val="00071AE1"/>
    <w:rsid w:val="00071F45"/>
    <w:rsid w:val="00071F51"/>
    <w:rsid w:val="000724DD"/>
    <w:rsid w:val="000731E5"/>
    <w:rsid w:val="000735F3"/>
    <w:rsid w:val="00073793"/>
    <w:rsid w:val="00073954"/>
    <w:rsid w:val="00073BE4"/>
    <w:rsid w:val="00073DCA"/>
    <w:rsid w:val="00073EF4"/>
    <w:rsid w:val="0007403C"/>
    <w:rsid w:val="00074828"/>
    <w:rsid w:val="00074BB3"/>
    <w:rsid w:val="00074CE0"/>
    <w:rsid w:val="00074EDA"/>
    <w:rsid w:val="00074FC5"/>
    <w:rsid w:val="00075857"/>
    <w:rsid w:val="00075DDC"/>
    <w:rsid w:val="000762FD"/>
    <w:rsid w:val="00076350"/>
    <w:rsid w:val="00076587"/>
    <w:rsid w:val="00076648"/>
    <w:rsid w:val="00076790"/>
    <w:rsid w:val="000767C3"/>
    <w:rsid w:val="00077348"/>
    <w:rsid w:val="000778C5"/>
    <w:rsid w:val="00077A10"/>
    <w:rsid w:val="00077D55"/>
    <w:rsid w:val="0008024A"/>
    <w:rsid w:val="00080550"/>
    <w:rsid w:val="00080653"/>
    <w:rsid w:val="00080970"/>
    <w:rsid w:val="00080A36"/>
    <w:rsid w:val="00081D14"/>
    <w:rsid w:val="0008217E"/>
    <w:rsid w:val="0008253D"/>
    <w:rsid w:val="00082A07"/>
    <w:rsid w:val="00082AF8"/>
    <w:rsid w:val="00082C1A"/>
    <w:rsid w:val="00082E28"/>
    <w:rsid w:val="0008324D"/>
    <w:rsid w:val="00083373"/>
    <w:rsid w:val="000833BD"/>
    <w:rsid w:val="0008391E"/>
    <w:rsid w:val="00083AE6"/>
    <w:rsid w:val="00083D17"/>
    <w:rsid w:val="00084053"/>
    <w:rsid w:val="000841FA"/>
    <w:rsid w:val="00084460"/>
    <w:rsid w:val="00084721"/>
    <w:rsid w:val="000847A5"/>
    <w:rsid w:val="000847C1"/>
    <w:rsid w:val="00085094"/>
    <w:rsid w:val="00085399"/>
    <w:rsid w:val="0008583F"/>
    <w:rsid w:val="00085A79"/>
    <w:rsid w:val="00085AB6"/>
    <w:rsid w:val="000863FB"/>
    <w:rsid w:val="00086856"/>
    <w:rsid w:val="00086968"/>
    <w:rsid w:val="000869A6"/>
    <w:rsid w:val="000872E9"/>
    <w:rsid w:val="00087330"/>
    <w:rsid w:val="00087E18"/>
    <w:rsid w:val="000900EA"/>
    <w:rsid w:val="000902DD"/>
    <w:rsid w:val="000903D3"/>
    <w:rsid w:val="0009042F"/>
    <w:rsid w:val="00090BED"/>
    <w:rsid w:val="000910AE"/>
    <w:rsid w:val="000917B3"/>
    <w:rsid w:val="00091A7F"/>
    <w:rsid w:val="00091BEA"/>
    <w:rsid w:val="000921A4"/>
    <w:rsid w:val="0009273F"/>
    <w:rsid w:val="0009274E"/>
    <w:rsid w:val="00092963"/>
    <w:rsid w:val="00092D6F"/>
    <w:rsid w:val="0009310B"/>
    <w:rsid w:val="00093E87"/>
    <w:rsid w:val="0009438F"/>
    <w:rsid w:val="00094428"/>
    <w:rsid w:val="000944EF"/>
    <w:rsid w:val="0009490E"/>
    <w:rsid w:val="00094A7E"/>
    <w:rsid w:val="00094CEF"/>
    <w:rsid w:val="000953C0"/>
    <w:rsid w:val="00095D37"/>
    <w:rsid w:val="00095E44"/>
    <w:rsid w:val="0009623D"/>
    <w:rsid w:val="000964A4"/>
    <w:rsid w:val="0009673C"/>
    <w:rsid w:val="00096B2B"/>
    <w:rsid w:val="00097467"/>
    <w:rsid w:val="00097694"/>
    <w:rsid w:val="00097A81"/>
    <w:rsid w:val="00097B7B"/>
    <w:rsid w:val="00097D0A"/>
    <w:rsid w:val="000A00BC"/>
    <w:rsid w:val="000A05BB"/>
    <w:rsid w:val="000A0734"/>
    <w:rsid w:val="000A1094"/>
    <w:rsid w:val="000A1164"/>
    <w:rsid w:val="000A14B6"/>
    <w:rsid w:val="000A14E0"/>
    <w:rsid w:val="000A183A"/>
    <w:rsid w:val="000A184B"/>
    <w:rsid w:val="000A1AD2"/>
    <w:rsid w:val="000A1BB7"/>
    <w:rsid w:val="000A2011"/>
    <w:rsid w:val="000A2023"/>
    <w:rsid w:val="000A23AE"/>
    <w:rsid w:val="000A2441"/>
    <w:rsid w:val="000A2A66"/>
    <w:rsid w:val="000A2D9B"/>
    <w:rsid w:val="000A36EC"/>
    <w:rsid w:val="000A381B"/>
    <w:rsid w:val="000A3BD8"/>
    <w:rsid w:val="000A3D83"/>
    <w:rsid w:val="000A3DD0"/>
    <w:rsid w:val="000A44A3"/>
    <w:rsid w:val="000A4D2B"/>
    <w:rsid w:val="000A55F8"/>
    <w:rsid w:val="000A595E"/>
    <w:rsid w:val="000A5A06"/>
    <w:rsid w:val="000A5B42"/>
    <w:rsid w:val="000A5D81"/>
    <w:rsid w:val="000A60A4"/>
    <w:rsid w:val="000A60F8"/>
    <w:rsid w:val="000A6601"/>
    <w:rsid w:val="000A6832"/>
    <w:rsid w:val="000A6EED"/>
    <w:rsid w:val="000A7081"/>
    <w:rsid w:val="000A71D3"/>
    <w:rsid w:val="000A72FC"/>
    <w:rsid w:val="000A739B"/>
    <w:rsid w:val="000A7966"/>
    <w:rsid w:val="000A7C4F"/>
    <w:rsid w:val="000A7D5F"/>
    <w:rsid w:val="000A7F2F"/>
    <w:rsid w:val="000B0543"/>
    <w:rsid w:val="000B0639"/>
    <w:rsid w:val="000B0E80"/>
    <w:rsid w:val="000B103D"/>
    <w:rsid w:val="000B104B"/>
    <w:rsid w:val="000B10A3"/>
    <w:rsid w:val="000B18A1"/>
    <w:rsid w:val="000B18AF"/>
    <w:rsid w:val="000B1B23"/>
    <w:rsid w:val="000B1BE0"/>
    <w:rsid w:val="000B1C4B"/>
    <w:rsid w:val="000B252F"/>
    <w:rsid w:val="000B2706"/>
    <w:rsid w:val="000B28FE"/>
    <w:rsid w:val="000B2D12"/>
    <w:rsid w:val="000B367A"/>
    <w:rsid w:val="000B3E2E"/>
    <w:rsid w:val="000B4150"/>
    <w:rsid w:val="000B41D0"/>
    <w:rsid w:val="000B4647"/>
    <w:rsid w:val="000B4912"/>
    <w:rsid w:val="000B4B87"/>
    <w:rsid w:val="000B4FED"/>
    <w:rsid w:val="000B518A"/>
    <w:rsid w:val="000B5440"/>
    <w:rsid w:val="000B55DC"/>
    <w:rsid w:val="000B581F"/>
    <w:rsid w:val="000B58FF"/>
    <w:rsid w:val="000B5E83"/>
    <w:rsid w:val="000B5EC5"/>
    <w:rsid w:val="000B60B3"/>
    <w:rsid w:val="000B6C9B"/>
    <w:rsid w:val="000B7000"/>
    <w:rsid w:val="000B7271"/>
    <w:rsid w:val="000B7AB3"/>
    <w:rsid w:val="000C0B0A"/>
    <w:rsid w:val="000C0B4D"/>
    <w:rsid w:val="000C0EAF"/>
    <w:rsid w:val="000C1475"/>
    <w:rsid w:val="000C1495"/>
    <w:rsid w:val="000C172D"/>
    <w:rsid w:val="000C1AC0"/>
    <w:rsid w:val="000C1C4D"/>
    <w:rsid w:val="000C1D8F"/>
    <w:rsid w:val="000C201A"/>
    <w:rsid w:val="000C21B5"/>
    <w:rsid w:val="000C2305"/>
    <w:rsid w:val="000C26C2"/>
    <w:rsid w:val="000C27B6"/>
    <w:rsid w:val="000C2C39"/>
    <w:rsid w:val="000C2EEE"/>
    <w:rsid w:val="000C36B8"/>
    <w:rsid w:val="000C3712"/>
    <w:rsid w:val="000C380C"/>
    <w:rsid w:val="000C3CE2"/>
    <w:rsid w:val="000C3D7E"/>
    <w:rsid w:val="000C43DD"/>
    <w:rsid w:val="000C4928"/>
    <w:rsid w:val="000C4D19"/>
    <w:rsid w:val="000C4D2D"/>
    <w:rsid w:val="000C4E33"/>
    <w:rsid w:val="000C604D"/>
    <w:rsid w:val="000C6072"/>
    <w:rsid w:val="000C615F"/>
    <w:rsid w:val="000C61BF"/>
    <w:rsid w:val="000C658C"/>
    <w:rsid w:val="000C6B2A"/>
    <w:rsid w:val="000C7055"/>
    <w:rsid w:val="000C7AF6"/>
    <w:rsid w:val="000C7E22"/>
    <w:rsid w:val="000D005D"/>
    <w:rsid w:val="000D008E"/>
    <w:rsid w:val="000D03D2"/>
    <w:rsid w:val="000D067E"/>
    <w:rsid w:val="000D0804"/>
    <w:rsid w:val="000D11FE"/>
    <w:rsid w:val="000D1446"/>
    <w:rsid w:val="000D1600"/>
    <w:rsid w:val="000D21FB"/>
    <w:rsid w:val="000D2320"/>
    <w:rsid w:val="000D2401"/>
    <w:rsid w:val="000D2F33"/>
    <w:rsid w:val="000D328C"/>
    <w:rsid w:val="000D3F57"/>
    <w:rsid w:val="000D4100"/>
    <w:rsid w:val="000D4257"/>
    <w:rsid w:val="000D4401"/>
    <w:rsid w:val="000D4689"/>
    <w:rsid w:val="000D4EAB"/>
    <w:rsid w:val="000D56A3"/>
    <w:rsid w:val="000D5727"/>
    <w:rsid w:val="000D603D"/>
    <w:rsid w:val="000D6C85"/>
    <w:rsid w:val="000D6E58"/>
    <w:rsid w:val="000D705F"/>
    <w:rsid w:val="000D718A"/>
    <w:rsid w:val="000D728D"/>
    <w:rsid w:val="000D773E"/>
    <w:rsid w:val="000D793E"/>
    <w:rsid w:val="000D7A4E"/>
    <w:rsid w:val="000D7FA8"/>
    <w:rsid w:val="000E002A"/>
    <w:rsid w:val="000E0876"/>
    <w:rsid w:val="000E0905"/>
    <w:rsid w:val="000E0A01"/>
    <w:rsid w:val="000E0ACC"/>
    <w:rsid w:val="000E0B66"/>
    <w:rsid w:val="000E0D30"/>
    <w:rsid w:val="000E0FAB"/>
    <w:rsid w:val="000E107D"/>
    <w:rsid w:val="000E1273"/>
    <w:rsid w:val="000E15A9"/>
    <w:rsid w:val="000E1866"/>
    <w:rsid w:val="000E1A46"/>
    <w:rsid w:val="000E1BD7"/>
    <w:rsid w:val="000E1DA5"/>
    <w:rsid w:val="000E1F32"/>
    <w:rsid w:val="000E1FC7"/>
    <w:rsid w:val="000E2410"/>
    <w:rsid w:val="000E284B"/>
    <w:rsid w:val="000E2ADD"/>
    <w:rsid w:val="000E2FD5"/>
    <w:rsid w:val="000E3A6D"/>
    <w:rsid w:val="000E3AB4"/>
    <w:rsid w:val="000E3B9F"/>
    <w:rsid w:val="000E3C8F"/>
    <w:rsid w:val="000E408D"/>
    <w:rsid w:val="000E454E"/>
    <w:rsid w:val="000E4749"/>
    <w:rsid w:val="000E4D33"/>
    <w:rsid w:val="000E4D55"/>
    <w:rsid w:val="000E515A"/>
    <w:rsid w:val="000E5A29"/>
    <w:rsid w:val="000E5C7E"/>
    <w:rsid w:val="000E6017"/>
    <w:rsid w:val="000E657B"/>
    <w:rsid w:val="000E6626"/>
    <w:rsid w:val="000E6B30"/>
    <w:rsid w:val="000E6D82"/>
    <w:rsid w:val="000E6F13"/>
    <w:rsid w:val="000E7205"/>
    <w:rsid w:val="000E766C"/>
    <w:rsid w:val="000E7CF4"/>
    <w:rsid w:val="000E7D9C"/>
    <w:rsid w:val="000E7FD2"/>
    <w:rsid w:val="000F0051"/>
    <w:rsid w:val="000F05D0"/>
    <w:rsid w:val="000F0CE5"/>
    <w:rsid w:val="000F0E3A"/>
    <w:rsid w:val="000F1363"/>
    <w:rsid w:val="000F13C5"/>
    <w:rsid w:val="000F1599"/>
    <w:rsid w:val="000F1714"/>
    <w:rsid w:val="000F1AE7"/>
    <w:rsid w:val="000F2526"/>
    <w:rsid w:val="000F314E"/>
    <w:rsid w:val="000F3743"/>
    <w:rsid w:val="000F3A6F"/>
    <w:rsid w:val="000F3B19"/>
    <w:rsid w:val="000F416D"/>
    <w:rsid w:val="000F436D"/>
    <w:rsid w:val="000F479B"/>
    <w:rsid w:val="000F4D3E"/>
    <w:rsid w:val="000F5148"/>
    <w:rsid w:val="000F5225"/>
    <w:rsid w:val="000F5A58"/>
    <w:rsid w:val="000F5D64"/>
    <w:rsid w:val="000F6078"/>
    <w:rsid w:val="000F60F3"/>
    <w:rsid w:val="000F6312"/>
    <w:rsid w:val="000F6482"/>
    <w:rsid w:val="000F6528"/>
    <w:rsid w:val="000F66B4"/>
    <w:rsid w:val="000F6A49"/>
    <w:rsid w:val="000F6D04"/>
    <w:rsid w:val="000F72D2"/>
    <w:rsid w:val="000F7B81"/>
    <w:rsid w:val="001004A3"/>
    <w:rsid w:val="001019B6"/>
    <w:rsid w:val="00101C40"/>
    <w:rsid w:val="00101C4A"/>
    <w:rsid w:val="00101D2B"/>
    <w:rsid w:val="00102154"/>
    <w:rsid w:val="001027FA"/>
    <w:rsid w:val="0010288A"/>
    <w:rsid w:val="00102903"/>
    <w:rsid w:val="00102C08"/>
    <w:rsid w:val="00103116"/>
    <w:rsid w:val="00103194"/>
    <w:rsid w:val="0010355D"/>
    <w:rsid w:val="00103BE8"/>
    <w:rsid w:val="001043BB"/>
    <w:rsid w:val="001043FB"/>
    <w:rsid w:val="00104997"/>
    <w:rsid w:val="00104B97"/>
    <w:rsid w:val="00104D3F"/>
    <w:rsid w:val="00104D46"/>
    <w:rsid w:val="00104F89"/>
    <w:rsid w:val="001050E5"/>
    <w:rsid w:val="00105772"/>
    <w:rsid w:val="0010590E"/>
    <w:rsid w:val="0010652D"/>
    <w:rsid w:val="0010677C"/>
    <w:rsid w:val="00106810"/>
    <w:rsid w:val="0010762D"/>
    <w:rsid w:val="00107F79"/>
    <w:rsid w:val="00110022"/>
    <w:rsid w:val="0011022F"/>
    <w:rsid w:val="0011056B"/>
    <w:rsid w:val="001106F5"/>
    <w:rsid w:val="00111557"/>
    <w:rsid w:val="00111FF4"/>
    <w:rsid w:val="00112105"/>
    <w:rsid w:val="00112842"/>
    <w:rsid w:val="001128AD"/>
    <w:rsid w:val="00112A81"/>
    <w:rsid w:val="00112C8D"/>
    <w:rsid w:val="0011381A"/>
    <w:rsid w:val="00113AE0"/>
    <w:rsid w:val="00113CA3"/>
    <w:rsid w:val="001142A2"/>
    <w:rsid w:val="001152CC"/>
    <w:rsid w:val="0011564E"/>
    <w:rsid w:val="0011567E"/>
    <w:rsid w:val="00115A17"/>
    <w:rsid w:val="00115AD5"/>
    <w:rsid w:val="00115E88"/>
    <w:rsid w:val="001163CC"/>
    <w:rsid w:val="00116526"/>
    <w:rsid w:val="00116C05"/>
    <w:rsid w:val="00116DA5"/>
    <w:rsid w:val="00117132"/>
    <w:rsid w:val="00117463"/>
    <w:rsid w:val="0011772D"/>
    <w:rsid w:val="0011774E"/>
    <w:rsid w:val="00117BF5"/>
    <w:rsid w:val="00120002"/>
    <w:rsid w:val="0012049F"/>
    <w:rsid w:val="001205A5"/>
    <w:rsid w:val="00120858"/>
    <w:rsid w:val="00120A59"/>
    <w:rsid w:val="001210B5"/>
    <w:rsid w:val="00121C0A"/>
    <w:rsid w:val="001225F6"/>
    <w:rsid w:val="0012281D"/>
    <w:rsid w:val="001229F1"/>
    <w:rsid w:val="00122EB2"/>
    <w:rsid w:val="00122EB8"/>
    <w:rsid w:val="00123F50"/>
    <w:rsid w:val="00123F5F"/>
    <w:rsid w:val="00123F69"/>
    <w:rsid w:val="001252DD"/>
    <w:rsid w:val="0012539B"/>
    <w:rsid w:val="0012540B"/>
    <w:rsid w:val="00125BCC"/>
    <w:rsid w:val="0012633C"/>
    <w:rsid w:val="001265DC"/>
    <w:rsid w:val="001267F4"/>
    <w:rsid w:val="00126D8F"/>
    <w:rsid w:val="00126F7D"/>
    <w:rsid w:val="001272F5"/>
    <w:rsid w:val="0012753D"/>
    <w:rsid w:val="001276B6"/>
    <w:rsid w:val="001277E0"/>
    <w:rsid w:val="00127CAD"/>
    <w:rsid w:val="00127CFC"/>
    <w:rsid w:val="00127F58"/>
    <w:rsid w:val="001300AB"/>
    <w:rsid w:val="001305E8"/>
    <w:rsid w:val="00130CF1"/>
    <w:rsid w:val="00130CF5"/>
    <w:rsid w:val="001314B9"/>
    <w:rsid w:val="00131597"/>
    <w:rsid w:val="00132881"/>
    <w:rsid w:val="00132D53"/>
    <w:rsid w:val="0013323E"/>
    <w:rsid w:val="00133377"/>
    <w:rsid w:val="001334A5"/>
    <w:rsid w:val="001339F2"/>
    <w:rsid w:val="00134027"/>
    <w:rsid w:val="0013426B"/>
    <w:rsid w:val="001343E7"/>
    <w:rsid w:val="001344E5"/>
    <w:rsid w:val="00134597"/>
    <w:rsid w:val="00134701"/>
    <w:rsid w:val="00134A7F"/>
    <w:rsid w:val="00134D7D"/>
    <w:rsid w:val="00134E16"/>
    <w:rsid w:val="00135078"/>
    <w:rsid w:val="001350B8"/>
    <w:rsid w:val="00135361"/>
    <w:rsid w:val="00135D24"/>
    <w:rsid w:val="001364B8"/>
    <w:rsid w:val="0013733F"/>
    <w:rsid w:val="00137951"/>
    <w:rsid w:val="00137A32"/>
    <w:rsid w:val="00140080"/>
    <w:rsid w:val="0014081B"/>
    <w:rsid w:val="00140926"/>
    <w:rsid w:val="00140E01"/>
    <w:rsid w:val="00140E03"/>
    <w:rsid w:val="00140E80"/>
    <w:rsid w:val="00140FFC"/>
    <w:rsid w:val="00141121"/>
    <w:rsid w:val="0014116C"/>
    <w:rsid w:val="00141489"/>
    <w:rsid w:val="00141779"/>
    <w:rsid w:val="001418BB"/>
    <w:rsid w:val="00141B38"/>
    <w:rsid w:val="00141E11"/>
    <w:rsid w:val="00142045"/>
    <w:rsid w:val="001422F2"/>
    <w:rsid w:val="00142357"/>
    <w:rsid w:val="00142A31"/>
    <w:rsid w:val="00142CAC"/>
    <w:rsid w:val="001431DE"/>
    <w:rsid w:val="00143333"/>
    <w:rsid w:val="001433B7"/>
    <w:rsid w:val="00143947"/>
    <w:rsid w:val="00143A48"/>
    <w:rsid w:val="00143A78"/>
    <w:rsid w:val="001442B0"/>
    <w:rsid w:val="0014458F"/>
    <w:rsid w:val="00144A2F"/>
    <w:rsid w:val="00144C58"/>
    <w:rsid w:val="001457E0"/>
    <w:rsid w:val="00145881"/>
    <w:rsid w:val="00145B0C"/>
    <w:rsid w:val="00145CC4"/>
    <w:rsid w:val="00146121"/>
    <w:rsid w:val="001463CF"/>
    <w:rsid w:val="001465BF"/>
    <w:rsid w:val="00146ABA"/>
    <w:rsid w:val="00146D97"/>
    <w:rsid w:val="00146FE2"/>
    <w:rsid w:val="0014770A"/>
    <w:rsid w:val="00147746"/>
    <w:rsid w:val="00147759"/>
    <w:rsid w:val="00147EEB"/>
    <w:rsid w:val="00150009"/>
    <w:rsid w:val="00150FD3"/>
    <w:rsid w:val="00150FE9"/>
    <w:rsid w:val="00151005"/>
    <w:rsid w:val="0015115C"/>
    <w:rsid w:val="00151253"/>
    <w:rsid w:val="0015151E"/>
    <w:rsid w:val="001518C8"/>
    <w:rsid w:val="00151CF6"/>
    <w:rsid w:val="0015206C"/>
    <w:rsid w:val="001528EA"/>
    <w:rsid w:val="00152D1D"/>
    <w:rsid w:val="0015303E"/>
    <w:rsid w:val="001530E2"/>
    <w:rsid w:val="001530F5"/>
    <w:rsid w:val="0015320B"/>
    <w:rsid w:val="001533A5"/>
    <w:rsid w:val="00153624"/>
    <w:rsid w:val="0015379D"/>
    <w:rsid w:val="001537FE"/>
    <w:rsid w:val="001538BC"/>
    <w:rsid w:val="001541CE"/>
    <w:rsid w:val="0015446B"/>
    <w:rsid w:val="00154647"/>
    <w:rsid w:val="001547B6"/>
    <w:rsid w:val="00155659"/>
    <w:rsid w:val="00155B25"/>
    <w:rsid w:val="00155B27"/>
    <w:rsid w:val="0015604B"/>
    <w:rsid w:val="00156206"/>
    <w:rsid w:val="001562A4"/>
    <w:rsid w:val="00156CC4"/>
    <w:rsid w:val="00156F2B"/>
    <w:rsid w:val="00157035"/>
    <w:rsid w:val="0015769A"/>
    <w:rsid w:val="00157803"/>
    <w:rsid w:val="001602E0"/>
    <w:rsid w:val="00160595"/>
    <w:rsid w:val="001609A7"/>
    <w:rsid w:val="00160D3C"/>
    <w:rsid w:val="00160DF6"/>
    <w:rsid w:val="00161187"/>
    <w:rsid w:val="00161303"/>
    <w:rsid w:val="001613E2"/>
    <w:rsid w:val="00161D5E"/>
    <w:rsid w:val="001621BC"/>
    <w:rsid w:val="00162226"/>
    <w:rsid w:val="001627E5"/>
    <w:rsid w:val="001636A6"/>
    <w:rsid w:val="0016371B"/>
    <w:rsid w:val="001639E6"/>
    <w:rsid w:val="00163DD6"/>
    <w:rsid w:val="001640FA"/>
    <w:rsid w:val="0016482F"/>
    <w:rsid w:val="00164AC6"/>
    <w:rsid w:val="00164CD1"/>
    <w:rsid w:val="00164E86"/>
    <w:rsid w:val="00165280"/>
    <w:rsid w:val="0016534B"/>
    <w:rsid w:val="00165705"/>
    <w:rsid w:val="001657A4"/>
    <w:rsid w:val="001658B3"/>
    <w:rsid w:val="00165908"/>
    <w:rsid w:val="00166123"/>
    <w:rsid w:val="00166165"/>
    <w:rsid w:val="0016625A"/>
    <w:rsid w:val="00166A9D"/>
    <w:rsid w:val="00166E3F"/>
    <w:rsid w:val="001671F1"/>
    <w:rsid w:val="00170461"/>
    <w:rsid w:val="001704D6"/>
    <w:rsid w:val="001706CF"/>
    <w:rsid w:val="001708A0"/>
    <w:rsid w:val="00170BF8"/>
    <w:rsid w:val="00170F7F"/>
    <w:rsid w:val="00171B6C"/>
    <w:rsid w:val="00171E47"/>
    <w:rsid w:val="00172829"/>
    <w:rsid w:val="00172A6C"/>
    <w:rsid w:val="00172C39"/>
    <w:rsid w:val="001730C7"/>
    <w:rsid w:val="001731E7"/>
    <w:rsid w:val="00173351"/>
    <w:rsid w:val="001734B5"/>
    <w:rsid w:val="0017357C"/>
    <w:rsid w:val="0017365D"/>
    <w:rsid w:val="001737FA"/>
    <w:rsid w:val="00173BD0"/>
    <w:rsid w:val="00173D5F"/>
    <w:rsid w:val="001741AB"/>
    <w:rsid w:val="001741FB"/>
    <w:rsid w:val="00174232"/>
    <w:rsid w:val="00174884"/>
    <w:rsid w:val="00174CB2"/>
    <w:rsid w:val="00174CF7"/>
    <w:rsid w:val="00174D9F"/>
    <w:rsid w:val="001753FD"/>
    <w:rsid w:val="00175EA4"/>
    <w:rsid w:val="00176204"/>
    <w:rsid w:val="00176218"/>
    <w:rsid w:val="00176895"/>
    <w:rsid w:val="00176933"/>
    <w:rsid w:val="00176C4F"/>
    <w:rsid w:val="00177863"/>
    <w:rsid w:val="001778D0"/>
    <w:rsid w:val="00177CCC"/>
    <w:rsid w:val="00177D2F"/>
    <w:rsid w:val="00180089"/>
    <w:rsid w:val="001802BC"/>
    <w:rsid w:val="001805BE"/>
    <w:rsid w:val="001807CF"/>
    <w:rsid w:val="001808D5"/>
    <w:rsid w:val="00180CEF"/>
    <w:rsid w:val="001811D1"/>
    <w:rsid w:val="0018137D"/>
    <w:rsid w:val="00181710"/>
    <w:rsid w:val="001818FA"/>
    <w:rsid w:val="00181B82"/>
    <w:rsid w:val="00182084"/>
    <w:rsid w:val="001821D2"/>
    <w:rsid w:val="00182611"/>
    <w:rsid w:val="00182760"/>
    <w:rsid w:val="00182787"/>
    <w:rsid w:val="00182855"/>
    <w:rsid w:val="00182A83"/>
    <w:rsid w:val="00182DEB"/>
    <w:rsid w:val="001836CB"/>
    <w:rsid w:val="001837E2"/>
    <w:rsid w:val="00184E1E"/>
    <w:rsid w:val="00185506"/>
    <w:rsid w:val="00185937"/>
    <w:rsid w:val="00185F46"/>
    <w:rsid w:val="0018637B"/>
    <w:rsid w:val="00186804"/>
    <w:rsid w:val="00186C46"/>
    <w:rsid w:val="00186E44"/>
    <w:rsid w:val="00186ECE"/>
    <w:rsid w:val="001878C5"/>
    <w:rsid w:val="00187B44"/>
    <w:rsid w:val="00187B4F"/>
    <w:rsid w:val="00187E5C"/>
    <w:rsid w:val="001900B5"/>
    <w:rsid w:val="00190233"/>
    <w:rsid w:val="00190345"/>
    <w:rsid w:val="0019089A"/>
    <w:rsid w:val="001910FF"/>
    <w:rsid w:val="001911C8"/>
    <w:rsid w:val="00191392"/>
    <w:rsid w:val="001913D7"/>
    <w:rsid w:val="00191437"/>
    <w:rsid w:val="0019151C"/>
    <w:rsid w:val="00191554"/>
    <w:rsid w:val="0019191F"/>
    <w:rsid w:val="0019242D"/>
    <w:rsid w:val="001924DF"/>
    <w:rsid w:val="00192A75"/>
    <w:rsid w:val="001932B2"/>
    <w:rsid w:val="001935E8"/>
    <w:rsid w:val="0019417A"/>
    <w:rsid w:val="00194416"/>
    <w:rsid w:val="001944EB"/>
    <w:rsid w:val="00194ACB"/>
    <w:rsid w:val="00194FC6"/>
    <w:rsid w:val="001957BC"/>
    <w:rsid w:val="00195AD1"/>
    <w:rsid w:val="00195B91"/>
    <w:rsid w:val="00195F4D"/>
    <w:rsid w:val="00195F94"/>
    <w:rsid w:val="001963F4"/>
    <w:rsid w:val="00196FCF"/>
    <w:rsid w:val="001978EC"/>
    <w:rsid w:val="00197E6B"/>
    <w:rsid w:val="00197F95"/>
    <w:rsid w:val="0019BBCF"/>
    <w:rsid w:val="001A01DC"/>
    <w:rsid w:val="001A0A30"/>
    <w:rsid w:val="001A0BAE"/>
    <w:rsid w:val="001A0DFA"/>
    <w:rsid w:val="001A0F22"/>
    <w:rsid w:val="001A1143"/>
    <w:rsid w:val="001A2658"/>
    <w:rsid w:val="001A2946"/>
    <w:rsid w:val="001A2A91"/>
    <w:rsid w:val="001A2C3D"/>
    <w:rsid w:val="001A2CEE"/>
    <w:rsid w:val="001A3116"/>
    <w:rsid w:val="001A353F"/>
    <w:rsid w:val="001A43D3"/>
    <w:rsid w:val="001A4C4A"/>
    <w:rsid w:val="001A4E6A"/>
    <w:rsid w:val="001A4F86"/>
    <w:rsid w:val="001A53D4"/>
    <w:rsid w:val="001A58BD"/>
    <w:rsid w:val="001A5A2A"/>
    <w:rsid w:val="001A5C04"/>
    <w:rsid w:val="001A5D5D"/>
    <w:rsid w:val="001A5EFB"/>
    <w:rsid w:val="001A6125"/>
    <w:rsid w:val="001A621B"/>
    <w:rsid w:val="001A6367"/>
    <w:rsid w:val="001A63B9"/>
    <w:rsid w:val="001A65C3"/>
    <w:rsid w:val="001A695E"/>
    <w:rsid w:val="001A69DC"/>
    <w:rsid w:val="001A74C5"/>
    <w:rsid w:val="001A7917"/>
    <w:rsid w:val="001B0101"/>
    <w:rsid w:val="001B0335"/>
    <w:rsid w:val="001B0547"/>
    <w:rsid w:val="001B064E"/>
    <w:rsid w:val="001B093F"/>
    <w:rsid w:val="001B0C57"/>
    <w:rsid w:val="001B157E"/>
    <w:rsid w:val="001B187C"/>
    <w:rsid w:val="001B1B8D"/>
    <w:rsid w:val="001B1CAC"/>
    <w:rsid w:val="001B1D14"/>
    <w:rsid w:val="001B1D70"/>
    <w:rsid w:val="001B1F76"/>
    <w:rsid w:val="001B2908"/>
    <w:rsid w:val="001B2FD6"/>
    <w:rsid w:val="001B2FE4"/>
    <w:rsid w:val="001B3018"/>
    <w:rsid w:val="001B3040"/>
    <w:rsid w:val="001B32C5"/>
    <w:rsid w:val="001B40F6"/>
    <w:rsid w:val="001B412B"/>
    <w:rsid w:val="001B4444"/>
    <w:rsid w:val="001B4752"/>
    <w:rsid w:val="001B490F"/>
    <w:rsid w:val="001B4DAB"/>
    <w:rsid w:val="001B4EC1"/>
    <w:rsid w:val="001B5138"/>
    <w:rsid w:val="001B5580"/>
    <w:rsid w:val="001B559E"/>
    <w:rsid w:val="001B568A"/>
    <w:rsid w:val="001B58D9"/>
    <w:rsid w:val="001B58FB"/>
    <w:rsid w:val="001B5DD1"/>
    <w:rsid w:val="001B5EF0"/>
    <w:rsid w:val="001B606E"/>
    <w:rsid w:val="001B6233"/>
    <w:rsid w:val="001B6A3C"/>
    <w:rsid w:val="001B6F9B"/>
    <w:rsid w:val="001B70D6"/>
    <w:rsid w:val="001B7553"/>
    <w:rsid w:val="001B7659"/>
    <w:rsid w:val="001B7DF9"/>
    <w:rsid w:val="001B7E02"/>
    <w:rsid w:val="001C0185"/>
    <w:rsid w:val="001C0307"/>
    <w:rsid w:val="001C0320"/>
    <w:rsid w:val="001C0568"/>
    <w:rsid w:val="001C072F"/>
    <w:rsid w:val="001C0D40"/>
    <w:rsid w:val="001C10A5"/>
    <w:rsid w:val="001C11BD"/>
    <w:rsid w:val="001C15CB"/>
    <w:rsid w:val="001C15E3"/>
    <w:rsid w:val="001C172A"/>
    <w:rsid w:val="001C185B"/>
    <w:rsid w:val="001C1940"/>
    <w:rsid w:val="001C2102"/>
    <w:rsid w:val="001C23FF"/>
    <w:rsid w:val="001C24BD"/>
    <w:rsid w:val="001C25AE"/>
    <w:rsid w:val="001C25CC"/>
    <w:rsid w:val="001C2B5C"/>
    <w:rsid w:val="001C2D24"/>
    <w:rsid w:val="001C349D"/>
    <w:rsid w:val="001C399B"/>
    <w:rsid w:val="001C3F05"/>
    <w:rsid w:val="001C4180"/>
    <w:rsid w:val="001C436B"/>
    <w:rsid w:val="001C4501"/>
    <w:rsid w:val="001C454B"/>
    <w:rsid w:val="001C47B3"/>
    <w:rsid w:val="001C4ABB"/>
    <w:rsid w:val="001C4AD0"/>
    <w:rsid w:val="001C4D2E"/>
    <w:rsid w:val="001C50D1"/>
    <w:rsid w:val="001C525A"/>
    <w:rsid w:val="001C582A"/>
    <w:rsid w:val="001C5A78"/>
    <w:rsid w:val="001C5D61"/>
    <w:rsid w:val="001C5F74"/>
    <w:rsid w:val="001C6626"/>
    <w:rsid w:val="001C696B"/>
    <w:rsid w:val="001C6B05"/>
    <w:rsid w:val="001C6E1D"/>
    <w:rsid w:val="001C723A"/>
    <w:rsid w:val="001C737E"/>
    <w:rsid w:val="001C75A2"/>
    <w:rsid w:val="001C75C5"/>
    <w:rsid w:val="001C7680"/>
    <w:rsid w:val="001C797C"/>
    <w:rsid w:val="001C7F86"/>
    <w:rsid w:val="001D01F7"/>
    <w:rsid w:val="001D040F"/>
    <w:rsid w:val="001D0D32"/>
    <w:rsid w:val="001D1158"/>
    <w:rsid w:val="001D122B"/>
    <w:rsid w:val="001D133C"/>
    <w:rsid w:val="001D1E29"/>
    <w:rsid w:val="001D214B"/>
    <w:rsid w:val="001D26FA"/>
    <w:rsid w:val="001D2B21"/>
    <w:rsid w:val="001D2BE1"/>
    <w:rsid w:val="001D3D78"/>
    <w:rsid w:val="001D4163"/>
    <w:rsid w:val="001D4641"/>
    <w:rsid w:val="001D49A5"/>
    <w:rsid w:val="001D4B41"/>
    <w:rsid w:val="001D54E2"/>
    <w:rsid w:val="001D54F0"/>
    <w:rsid w:val="001D584D"/>
    <w:rsid w:val="001D5E94"/>
    <w:rsid w:val="001D6259"/>
    <w:rsid w:val="001D654E"/>
    <w:rsid w:val="001D712F"/>
    <w:rsid w:val="001D72DE"/>
    <w:rsid w:val="001D78CE"/>
    <w:rsid w:val="001D79F2"/>
    <w:rsid w:val="001D7D96"/>
    <w:rsid w:val="001E00F9"/>
    <w:rsid w:val="001E0204"/>
    <w:rsid w:val="001E02EA"/>
    <w:rsid w:val="001E0610"/>
    <w:rsid w:val="001E0D96"/>
    <w:rsid w:val="001E12CE"/>
    <w:rsid w:val="001E1328"/>
    <w:rsid w:val="001E16C4"/>
    <w:rsid w:val="001E1D9B"/>
    <w:rsid w:val="001E1FDD"/>
    <w:rsid w:val="001E2256"/>
    <w:rsid w:val="001E2556"/>
    <w:rsid w:val="001E2895"/>
    <w:rsid w:val="001E2A15"/>
    <w:rsid w:val="001E3B4A"/>
    <w:rsid w:val="001E3D2A"/>
    <w:rsid w:val="001E3D2B"/>
    <w:rsid w:val="001E3D9B"/>
    <w:rsid w:val="001E41A7"/>
    <w:rsid w:val="001E509F"/>
    <w:rsid w:val="001E5543"/>
    <w:rsid w:val="001E586D"/>
    <w:rsid w:val="001E5E3A"/>
    <w:rsid w:val="001E5F8F"/>
    <w:rsid w:val="001E6050"/>
    <w:rsid w:val="001E6479"/>
    <w:rsid w:val="001E6565"/>
    <w:rsid w:val="001E65AE"/>
    <w:rsid w:val="001E66A1"/>
    <w:rsid w:val="001E68A1"/>
    <w:rsid w:val="001E6977"/>
    <w:rsid w:val="001E6997"/>
    <w:rsid w:val="001E6ED3"/>
    <w:rsid w:val="001E6F0D"/>
    <w:rsid w:val="001E7467"/>
    <w:rsid w:val="001E7678"/>
    <w:rsid w:val="001E7CC0"/>
    <w:rsid w:val="001E7D6F"/>
    <w:rsid w:val="001E7F27"/>
    <w:rsid w:val="001F01F1"/>
    <w:rsid w:val="001F01F7"/>
    <w:rsid w:val="001F0526"/>
    <w:rsid w:val="001F14EC"/>
    <w:rsid w:val="001F19B2"/>
    <w:rsid w:val="001F1E52"/>
    <w:rsid w:val="001F1EC1"/>
    <w:rsid w:val="001F226B"/>
    <w:rsid w:val="001F26E6"/>
    <w:rsid w:val="001F283F"/>
    <w:rsid w:val="001F29C1"/>
    <w:rsid w:val="001F2D14"/>
    <w:rsid w:val="001F3892"/>
    <w:rsid w:val="001F3A29"/>
    <w:rsid w:val="001F4301"/>
    <w:rsid w:val="001F4471"/>
    <w:rsid w:val="001F45B5"/>
    <w:rsid w:val="001F46CC"/>
    <w:rsid w:val="001F4811"/>
    <w:rsid w:val="001F4F5F"/>
    <w:rsid w:val="001F65B7"/>
    <w:rsid w:val="001F6868"/>
    <w:rsid w:val="001F6958"/>
    <w:rsid w:val="001F6A6A"/>
    <w:rsid w:val="001F6DA5"/>
    <w:rsid w:val="001F727C"/>
    <w:rsid w:val="001F730B"/>
    <w:rsid w:val="001F79CD"/>
    <w:rsid w:val="00200092"/>
    <w:rsid w:val="0020058C"/>
    <w:rsid w:val="00200818"/>
    <w:rsid w:val="00200E8F"/>
    <w:rsid w:val="00200FDD"/>
    <w:rsid w:val="0020163E"/>
    <w:rsid w:val="00201B91"/>
    <w:rsid w:val="00201D71"/>
    <w:rsid w:val="0020237C"/>
    <w:rsid w:val="00202D90"/>
    <w:rsid w:val="00202F85"/>
    <w:rsid w:val="00203058"/>
    <w:rsid w:val="002033E8"/>
    <w:rsid w:val="00203B40"/>
    <w:rsid w:val="00203B7A"/>
    <w:rsid w:val="00203CE1"/>
    <w:rsid w:val="0020423B"/>
    <w:rsid w:val="0020436E"/>
    <w:rsid w:val="002043C2"/>
    <w:rsid w:val="0020447C"/>
    <w:rsid w:val="0020480F"/>
    <w:rsid w:val="00204E0B"/>
    <w:rsid w:val="002050E3"/>
    <w:rsid w:val="0020533E"/>
    <w:rsid w:val="00205599"/>
    <w:rsid w:val="002055F6"/>
    <w:rsid w:val="00205746"/>
    <w:rsid w:val="00206058"/>
    <w:rsid w:val="00206134"/>
    <w:rsid w:val="0020657F"/>
    <w:rsid w:val="0020665D"/>
    <w:rsid w:val="002066CD"/>
    <w:rsid w:val="00206941"/>
    <w:rsid w:val="002069A2"/>
    <w:rsid w:val="002077BD"/>
    <w:rsid w:val="00207BCC"/>
    <w:rsid w:val="00207D26"/>
    <w:rsid w:val="00207D95"/>
    <w:rsid w:val="0021031B"/>
    <w:rsid w:val="00210513"/>
    <w:rsid w:val="002105D7"/>
    <w:rsid w:val="002105FB"/>
    <w:rsid w:val="002109DD"/>
    <w:rsid w:val="00210E1E"/>
    <w:rsid w:val="00210F29"/>
    <w:rsid w:val="0021148E"/>
    <w:rsid w:val="00211610"/>
    <w:rsid w:val="00212144"/>
    <w:rsid w:val="00212650"/>
    <w:rsid w:val="00212759"/>
    <w:rsid w:val="00212A36"/>
    <w:rsid w:val="00212C08"/>
    <w:rsid w:val="00212C5F"/>
    <w:rsid w:val="00212D05"/>
    <w:rsid w:val="00213252"/>
    <w:rsid w:val="002137EE"/>
    <w:rsid w:val="00213A5A"/>
    <w:rsid w:val="00214079"/>
    <w:rsid w:val="002143CC"/>
    <w:rsid w:val="002144D1"/>
    <w:rsid w:val="002144D4"/>
    <w:rsid w:val="002149AD"/>
    <w:rsid w:val="002149CF"/>
    <w:rsid w:val="0021506D"/>
    <w:rsid w:val="00215B76"/>
    <w:rsid w:val="00215F9B"/>
    <w:rsid w:val="002160E9"/>
    <w:rsid w:val="002163B6"/>
    <w:rsid w:val="002166A4"/>
    <w:rsid w:val="002175BB"/>
    <w:rsid w:val="00217775"/>
    <w:rsid w:val="00217856"/>
    <w:rsid w:val="0021788A"/>
    <w:rsid w:val="00217F37"/>
    <w:rsid w:val="00220069"/>
    <w:rsid w:val="00220440"/>
    <w:rsid w:val="00220976"/>
    <w:rsid w:val="00220A9B"/>
    <w:rsid w:val="00220DF2"/>
    <w:rsid w:val="00221616"/>
    <w:rsid w:val="00221896"/>
    <w:rsid w:val="00221BC0"/>
    <w:rsid w:val="00221D39"/>
    <w:rsid w:val="00222D2D"/>
    <w:rsid w:val="00224C9E"/>
    <w:rsid w:val="00224F2F"/>
    <w:rsid w:val="00224F45"/>
    <w:rsid w:val="002255BE"/>
    <w:rsid w:val="0022585B"/>
    <w:rsid w:val="002259F0"/>
    <w:rsid w:val="00226146"/>
    <w:rsid w:val="002261E1"/>
    <w:rsid w:val="00226472"/>
    <w:rsid w:val="002266B2"/>
    <w:rsid w:val="00226CE6"/>
    <w:rsid w:val="0022732C"/>
    <w:rsid w:val="002277B7"/>
    <w:rsid w:val="00227B38"/>
    <w:rsid w:val="002304F6"/>
    <w:rsid w:val="0023062C"/>
    <w:rsid w:val="002308BB"/>
    <w:rsid w:val="0023097C"/>
    <w:rsid w:val="00230C6E"/>
    <w:rsid w:val="00231E50"/>
    <w:rsid w:val="00231EDC"/>
    <w:rsid w:val="0023200E"/>
    <w:rsid w:val="0023237F"/>
    <w:rsid w:val="002323EE"/>
    <w:rsid w:val="0023240E"/>
    <w:rsid w:val="00232597"/>
    <w:rsid w:val="00232679"/>
    <w:rsid w:val="002327F0"/>
    <w:rsid w:val="00233046"/>
    <w:rsid w:val="00233056"/>
    <w:rsid w:val="002332F4"/>
    <w:rsid w:val="00233428"/>
    <w:rsid w:val="00233F97"/>
    <w:rsid w:val="00234058"/>
    <w:rsid w:val="0023427B"/>
    <w:rsid w:val="0023447F"/>
    <w:rsid w:val="00234611"/>
    <w:rsid w:val="00234676"/>
    <w:rsid w:val="002347DF"/>
    <w:rsid w:val="00234816"/>
    <w:rsid w:val="00234B08"/>
    <w:rsid w:val="002352F0"/>
    <w:rsid w:val="00235855"/>
    <w:rsid w:val="002359C1"/>
    <w:rsid w:val="00235C1C"/>
    <w:rsid w:val="00235C92"/>
    <w:rsid w:val="0023691D"/>
    <w:rsid w:val="00236980"/>
    <w:rsid w:val="00236F3D"/>
    <w:rsid w:val="002376FC"/>
    <w:rsid w:val="00237750"/>
    <w:rsid w:val="00237865"/>
    <w:rsid w:val="00237EBF"/>
    <w:rsid w:val="00237EFC"/>
    <w:rsid w:val="00237FF2"/>
    <w:rsid w:val="0024080A"/>
    <w:rsid w:val="00240D31"/>
    <w:rsid w:val="00240DA4"/>
    <w:rsid w:val="00240DED"/>
    <w:rsid w:val="00240E74"/>
    <w:rsid w:val="00241076"/>
    <w:rsid w:val="002410D6"/>
    <w:rsid w:val="0024166F"/>
    <w:rsid w:val="002419EE"/>
    <w:rsid w:val="00241B5F"/>
    <w:rsid w:val="002421C4"/>
    <w:rsid w:val="0024237F"/>
    <w:rsid w:val="002428B6"/>
    <w:rsid w:val="002428D1"/>
    <w:rsid w:val="002430B7"/>
    <w:rsid w:val="0024312A"/>
    <w:rsid w:val="0024323C"/>
    <w:rsid w:val="00243966"/>
    <w:rsid w:val="00243EA7"/>
    <w:rsid w:val="00244204"/>
    <w:rsid w:val="0024424B"/>
    <w:rsid w:val="00244E5A"/>
    <w:rsid w:val="00244FE3"/>
    <w:rsid w:val="0024561D"/>
    <w:rsid w:val="00245C13"/>
    <w:rsid w:val="00245C34"/>
    <w:rsid w:val="00245E27"/>
    <w:rsid w:val="00246560"/>
    <w:rsid w:val="00246845"/>
    <w:rsid w:val="00246DA9"/>
    <w:rsid w:val="00246FB1"/>
    <w:rsid w:val="0024723A"/>
    <w:rsid w:val="00247391"/>
    <w:rsid w:val="00247674"/>
    <w:rsid w:val="00247777"/>
    <w:rsid w:val="00247A36"/>
    <w:rsid w:val="00247E31"/>
    <w:rsid w:val="00250199"/>
    <w:rsid w:val="002501AD"/>
    <w:rsid w:val="002504BF"/>
    <w:rsid w:val="002508EB"/>
    <w:rsid w:val="00250B60"/>
    <w:rsid w:val="00250E1D"/>
    <w:rsid w:val="00250F9C"/>
    <w:rsid w:val="002514A8"/>
    <w:rsid w:val="00251634"/>
    <w:rsid w:val="0025182B"/>
    <w:rsid w:val="00251968"/>
    <w:rsid w:val="00251EFF"/>
    <w:rsid w:val="0025216F"/>
    <w:rsid w:val="00252239"/>
    <w:rsid w:val="00252301"/>
    <w:rsid w:val="00252548"/>
    <w:rsid w:val="002527D4"/>
    <w:rsid w:val="002528EA"/>
    <w:rsid w:val="002529C3"/>
    <w:rsid w:val="00253A24"/>
    <w:rsid w:val="00253A50"/>
    <w:rsid w:val="00253A77"/>
    <w:rsid w:val="00254509"/>
    <w:rsid w:val="00254ABB"/>
    <w:rsid w:val="00254B3C"/>
    <w:rsid w:val="00254E71"/>
    <w:rsid w:val="002554D7"/>
    <w:rsid w:val="002564EC"/>
    <w:rsid w:val="002569C6"/>
    <w:rsid w:val="00256C02"/>
    <w:rsid w:val="002573B6"/>
    <w:rsid w:val="0025757F"/>
    <w:rsid w:val="00257671"/>
    <w:rsid w:val="00257872"/>
    <w:rsid w:val="00257AF9"/>
    <w:rsid w:val="00257B99"/>
    <w:rsid w:val="002601F6"/>
    <w:rsid w:val="00260960"/>
    <w:rsid w:val="00260E04"/>
    <w:rsid w:val="0026101D"/>
    <w:rsid w:val="0026160F"/>
    <w:rsid w:val="00261C9A"/>
    <w:rsid w:val="00261FBC"/>
    <w:rsid w:val="00261FF4"/>
    <w:rsid w:val="0026296A"/>
    <w:rsid w:val="00262AF4"/>
    <w:rsid w:val="00262DCB"/>
    <w:rsid w:val="00262E21"/>
    <w:rsid w:val="00263394"/>
    <w:rsid w:val="00263CF9"/>
    <w:rsid w:val="00264116"/>
    <w:rsid w:val="00264BCF"/>
    <w:rsid w:val="00264C9B"/>
    <w:rsid w:val="00265DFF"/>
    <w:rsid w:val="00266120"/>
    <w:rsid w:val="00266F76"/>
    <w:rsid w:val="002673E1"/>
    <w:rsid w:val="00267754"/>
    <w:rsid w:val="00267C1C"/>
    <w:rsid w:val="0027037D"/>
    <w:rsid w:val="0027047C"/>
    <w:rsid w:val="00271978"/>
    <w:rsid w:val="002728C6"/>
    <w:rsid w:val="00272BD2"/>
    <w:rsid w:val="00272D0D"/>
    <w:rsid w:val="0027322A"/>
    <w:rsid w:val="00273346"/>
    <w:rsid w:val="00273607"/>
    <w:rsid w:val="002738F4"/>
    <w:rsid w:val="00273D8C"/>
    <w:rsid w:val="0027415A"/>
    <w:rsid w:val="00274678"/>
    <w:rsid w:val="002747D0"/>
    <w:rsid w:val="0027484C"/>
    <w:rsid w:val="00274917"/>
    <w:rsid w:val="00274D02"/>
    <w:rsid w:val="00275324"/>
    <w:rsid w:val="002756C1"/>
    <w:rsid w:val="002760AA"/>
    <w:rsid w:val="002761BD"/>
    <w:rsid w:val="00276C04"/>
    <w:rsid w:val="00277639"/>
    <w:rsid w:val="00277E70"/>
    <w:rsid w:val="002801A1"/>
    <w:rsid w:val="00280621"/>
    <w:rsid w:val="002806BB"/>
    <w:rsid w:val="00280998"/>
    <w:rsid w:val="00280A33"/>
    <w:rsid w:val="00281153"/>
    <w:rsid w:val="00281528"/>
    <w:rsid w:val="0028191F"/>
    <w:rsid w:val="00281DB6"/>
    <w:rsid w:val="00281E16"/>
    <w:rsid w:val="00281EF4"/>
    <w:rsid w:val="00282489"/>
    <w:rsid w:val="00282989"/>
    <w:rsid w:val="002831DB"/>
    <w:rsid w:val="002832D8"/>
    <w:rsid w:val="002834F2"/>
    <w:rsid w:val="00283955"/>
    <w:rsid w:val="002839B9"/>
    <w:rsid w:val="00283C9B"/>
    <w:rsid w:val="00283E32"/>
    <w:rsid w:val="00283EA5"/>
    <w:rsid w:val="002846F6"/>
    <w:rsid w:val="0028476A"/>
    <w:rsid w:val="002848B6"/>
    <w:rsid w:val="002850BF"/>
    <w:rsid w:val="002852BF"/>
    <w:rsid w:val="0028589B"/>
    <w:rsid w:val="00285AC8"/>
    <w:rsid w:val="00285D4A"/>
    <w:rsid w:val="002862D4"/>
    <w:rsid w:val="00286928"/>
    <w:rsid w:val="00286B52"/>
    <w:rsid w:val="00286EFD"/>
    <w:rsid w:val="00287132"/>
    <w:rsid w:val="00287574"/>
    <w:rsid w:val="00287720"/>
    <w:rsid w:val="00287780"/>
    <w:rsid w:val="00287BD6"/>
    <w:rsid w:val="00290105"/>
    <w:rsid w:val="00290253"/>
    <w:rsid w:val="002903C4"/>
    <w:rsid w:val="00290406"/>
    <w:rsid w:val="002905AF"/>
    <w:rsid w:val="00290851"/>
    <w:rsid w:val="00291EAD"/>
    <w:rsid w:val="00292710"/>
    <w:rsid w:val="002928DD"/>
    <w:rsid w:val="00292A63"/>
    <w:rsid w:val="00292B16"/>
    <w:rsid w:val="0029335A"/>
    <w:rsid w:val="00293385"/>
    <w:rsid w:val="002935C5"/>
    <w:rsid w:val="00293794"/>
    <w:rsid w:val="00293A0C"/>
    <w:rsid w:val="00293E8C"/>
    <w:rsid w:val="00294114"/>
    <w:rsid w:val="002942B7"/>
    <w:rsid w:val="002945C7"/>
    <w:rsid w:val="00294741"/>
    <w:rsid w:val="002948A2"/>
    <w:rsid w:val="00294F2B"/>
    <w:rsid w:val="00295B52"/>
    <w:rsid w:val="00296490"/>
    <w:rsid w:val="002965D2"/>
    <w:rsid w:val="002965EA"/>
    <w:rsid w:val="00296907"/>
    <w:rsid w:val="002971E2"/>
    <w:rsid w:val="00297433"/>
    <w:rsid w:val="00297582"/>
    <w:rsid w:val="002A236E"/>
    <w:rsid w:val="002A2A3F"/>
    <w:rsid w:val="002A2E11"/>
    <w:rsid w:val="002A31BC"/>
    <w:rsid w:val="002A34F6"/>
    <w:rsid w:val="002A404F"/>
    <w:rsid w:val="002A4143"/>
    <w:rsid w:val="002A43E1"/>
    <w:rsid w:val="002A43E2"/>
    <w:rsid w:val="002A513B"/>
    <w:rsid w:val="002A51F8"/>
    <w:rsid w:val="002A569C"/>
    <w:rsid w:val="002A579C"/>
    <w:rsid w:val="002A57DE"/>
    <w:rsid w:val="002A5846"/>
    <w:rsid w:val="002A5EF2"/>
    <w:rsid w:val="002A5EFA"/>
    <w:rsid w:val="002A5FEC"/>
    <w:rsid w:val="002A68E0"/>
    <w:rsid w:val="002A6C10"/>
    <w:rsid w:val="002A7576"/>
    <w:rsid w:val="002A7AC7"/>
    <w:rsid w:val="002A7C4A"/>
    <w:rsid w:val="002A7DFC"/>
    <w:rsid w:val="002B006F"/>
    <w:rsid w:val="002B04A9"/>
    <w:rsid w:val="002B06A7"/>
    <w:rsid w:val="002B0B5A"/>
    <w:rsid w:val="002B0D9E"/>
    <w:rsid w:val="002B0E87"/>
    <w:rsid w:val="002B0EE1"/>
    <w:rsid w:val="002B0F9D"/>
    <w:rsid w:val="002B149F"/>
    <w:rsid w:val="002B184C"/>
    <w:rsid w:val="002B1AF0"/>
    <w:rsid w:val="002B1B64"/>
    <w:rsid w:val="002B1B68"/>
    <w:rsid w:val="002B1BEB"/>
    <w:rsid w:val="002B232F"/>
    <w:rsid w:val="002B2466"/>
    <w:rsid w:val="002B269C"/>
    <w:rsid w:val="002B26B1"/>
    <w:rsid w:val="002B2AB8"/>
    <w:rsid w:val="002B2B4B"/>
    <w:rsid w:val="002B2DBB"/>
    <w:rsid w:val="002B2F32"/>
    <w:rsid w:val="002B2F56"/>
    <w:rsid w:val="002B324C"/>
    <w:rsid w:val="002B32D6"/>
    <w:rsid w:val="002B384B"/>
    <w:rsid w:val="002B3AD0"/>
    <w:rsid w:val="002B3BF8"/>
    <w:rsid w:val="002B3C47"/>
    <w:rsid w:val="002B3CE4"/>
    <w:rsid w:val="002B3D01"/>
    <w:rsid w:val="002B4F7C"/>
    <w:rsid w:val="002B5223"/>
    <w:rsid w:val="002B536B"/>
    <w:rsid w:val="002B5FE0"/>
    <w:rsid w:val="002B6251"/>
    <w:rsid w:val="002B6742"/>
    <w:rsid w:val="002B6B1E"/>
    <w:rsid w:val="002B70D2"/>
    <w:rsid w:val="002B7C1E"/>
    <w:rsid w:val="002B7D72"/>
    <w:rsid w:val="002C0071"/>
    <w:rsid w:val="002C0315"/>
    <w:rsid w:val="002C0510"/>
    <w:rsid w:val="002C05A5"/>
    <w:rsid w:val="002C06C0"/>
    <w:rsid w:val="002C0ED2"/>
    <w:rsid w:val="002C15D7"/>
    <w:rsid w:val="002C17E7"/>
    <w:rsid w:val="002C19CA"/>
    <w:rsid w:val="002C1ACA"/>
    <w:rsid w:val="002C1B7F"/>
    <w:rsid w:val="002C29EA"/>
    <w:rsid w:val="002C2E4C"/>
    <w:rsid w:val="002C34C6"/>
    <w:rsid w:val="002C36BE"/>
    <w:rsid w:val="002C483E"/>
    <w:rsid w:val="002C51F4"/>
    <w:rsid w:val="002C5812"/>
    <w:rsid w:val="002C59C6"/>
    <w:rsid w:val="002C59E1"/>
    <w:rsid w:val="002C59F5"/>
    <w:rsid w:val="002C5E81"/>
    <w:rsid w:val="002C63B2"/>
    <w:rsid w:val="002C673F"/>
    <w:rsid w:val="002C6A36"/>
    <w:rsid w:val="002C6EA9"/>
    <w:rsid w:val="002C6FCC"/>
    <w:rsid w:val="002C741A"/>
    <w:rsid w:val="002C7B10"/>
    <w:rsid w:val="002C7B5D"/>
    <w:rsid w:val="002C7CBB"/>
    <w:rsid w:val="002D0407"/>
    <w:rsid w:val="002D0454"/>
    <w:rsid w:val="002D097A"/>
    <w:rsid w:val="002D0B80"/>
    <w:rsid w:val="002D140D"/>
    <w:rsid w:val="002D1675"/>
    <w:rsid w:val="002D1991"/>
    <w:rsid w:val="002D21B6"/>
    <w:rsid w:val="002D23F1"/>
    <w:rsid w:val="002D2440"/>
    <w:rsid w:val="002D28DA"/>
    <w:rsid w:val="002D2B56"/>
    <w:rsid w:val="002D2C1C"/>
    <w:rsid w:val="002D2C7A"/>
    <w:rsid w:val="002D2DF7"/>
    <w:rsid w:val="002D2ED7"/>
    <w:rsid w:val="002D342D"/>
    <w:rsid w:val="002D3F2B"/>
    <w:rsid w:val="002D47CD"/>
    <w:rsid w:val="002D4961"/>
    <w:rsid w:val="002D4BFA"/>
    <w:rsid w:val="002D52A6"/>
    <w:rsid w:val="002D5361"/>
    <w:rsid w:val="002D59D0"/>
    <w:rsid w:val="002D66D7"/>
    <w:rsid w:val="002D67B2"/>
    <w:rsid w:val="002D67ED"/>
    <w:rsid w:val="002D6E1B"/>
    <w:rsid w:val="002D7764"/>
    <w:rsid w:val="002D7991"/>
    <w:rsid w:val="002D7A1E"/>
    <w:rsid w:val="002D7B40"/>
    <w:rsid w:val="002D7CD8"/>
    <w:rsid w:val="002D7DBA"/>
    <w:rsid w:val="002D7DC5"/>
    <w:rsid w:val="002E001F"/>
    <w:rsid w:val="002E0689"/>
    <w:rsid w:val="002E12A6"/>
    <w:rsid w:val="002E17FB"/>
    <w:rsid w:val="002E1A61"/>
    <w:rsid w:val="002E1C60"/>
    <w:rsid w:val="002E2B41"/>
    <w:rsid w:val="002E355B"/>
    <w:rsid w:val="002E3881"/>
    <w:rsid w:val="002E4216"/>
    <w:rsid w:val="002E4420"/>
    <w:rsid w:val="002E4421"/>
    <w:rsid w:val="002E4937"/>
    <w:rsid w:val="002E50D1"/>
    <w:rsid w:val="002E543D"/>
    <w:rsid w:val="002E579F"/>
    <w:rsid w:val="002E5A15"/>
    <w:rsid w:val="002E6214"/>
    <w:rsid w:val="002E657B"/>
    <w:rsid w:val="002E6802"/>
    <w:rsid w:val="002E69F5"/>
    <w:rsid w:val="002E6B49"/>
    <w:rsid w:val="002E75FF"/>
    <w:rsid w:val="002F0383"/>
    <w:rsid w:val="002F0574"/>
    <w:rsid w:val="002F0862"/>
    <w:rsid w:val="002F08FD"/>
    <w:rsid w:val="002F093B"/>
    <w:rsid w:val="002F0999"/>
    <w:rsid w:val="002F0CFF"/>
    <w:rsid w:val="002F0F7E"/>
    <w:rsid w:val="002F0FF6"/>
    <w:rsid w:val="002F16E4"/>
    <w:rsid w:val="002F1950"/>
    <w:rsid w:val="002F197E"/>
    <w:rsid w:val="002F1D4D"/>
    <w:rsid w:val="002F1DAA"/>
    <w:rsid w:val="002F21E2"/>
    <w:rsid w:val="002F226C"/>
    <w:rsid w:val="002F2831"/>
    <w:rsid w:val="002F2DBA"/>
    <w:rsid w:val="002F2FC7"/>
    <w:rsid w:val="002F328B"/>
    <w:rsid w:val="002F3B5B"/>
    <w:rsid w:val="002F3BD0"/>
    <w:rsid w:val="002F3D3B"/>
    <w:rsid w:val="002F3D4D"/>
    <w:rsid w:val="002F3F53"/>
    <w:rsid w:val="002F41D3"/>
    <w:rsid w:val="002F496B"/>
    <w:rsid w:val="002F4B26"/>
    <w:rsid w:val="002F4F24"/>
    <w:rsid w:val="002F5509"/>
    <w:rsid w:val="002F60DA"/>
    <w:rsid w:val="002F62AD"/>
    <w:rsid w:val="002F65BD"/>
    <w:rsid w:val="002F689A"/>
    <w:rsid w:val="002F68E5"/>
    <w:rsid w:val="002F6B05"/>
    <w:rsid w:val="002F6DCA"/>
    <w:rsid w:val="002F6E7E"/>
    <w:rsid w:val="002F7459"/>
    <w:rsid w:val="002F7833"/>
    <w:rsid w:val="002F7848"/>
    <w:rsid w:val="002F7CEC"/>
    <w:rsid w:val="0030086F"/>
    <w:rsid w:val="00300AE1"/>
    <w:rsid w:val="00301159"/>
    <w:rsid w:val="003013B1"/>
    <w:rsid w:val="0030149C"/>
    <w:rsid w:val="00301E36"/>
    <w:rsid w:val="0030272E"/>
    <w:rsid w:val="00302878"/>
    <w:rsid w:val="00302929"/>
    <w:rsid w:val="003031AC"/>
    <w:rsid w:val="0030360C"/>
    <w:rsid w:val="003036A3"/>
    <w:rsid w:val="0030374E"/>
    <w:rsid w:val="00303A78"/>
    <w:rsid w:val="00303EC3"/>
    <w:rsid w:val="00304372"/>
    <w:rsid w:val="003045B0"/>
    <w:rsid w:val="00304AAD"/>
    <w:rsid w:val="00304CB4"/>
    <w:rsid w:val="0030501A"/>
    <w:rsid w:val="0030539D"/>
    <w:rsid w:val="003060E5"/>
    <w:rsid w:val="003064D7"/>
    <w:rsid w:val="00307107"/>
    <w:rsid w:val="003072A3"/>
    <w:rsid w:val="003074CD"/>
    <w:rsid w:val="00307749"/>
    <w:rsid w:val="00307E96"/>
    <w:rsid w:val="00307E98"/>
    <w:rsid w:val="00307F10"/>
    <w:rsid w:val="00310081"/>
    <w:rsid w:val="0031029B"/>
    <w:rsid w:val="00310328"/>
    <w:rsid w:val="00310A06"/>
    <w:rsid w:val="00310A80"/>
    <w:rsid w:val="00310FCA"/>
    <w:rsid w:val="0031127C"/>
    <w:rsid w:val="00311433"/>
    <w:rsid w:val="00311809"/>
    <w:rsid w:val="00311ABA"/>
    <w:rsid w:val="00311DD4"/>
    <w:rsid w:val="003121B3"/>
    <w:rsid w:val="003121D9"/>
    <w:rsid w:val="003122A4"/>
    <w:rsid w:val="003124F0"/>
    <w:rsid w:val="00312707"/>
    <w:rsid w:val="0031278B"/>
    <w:rsid w:val="00312A6F"/>
    <w:rsid w:val="00312A88"/>
    <w:rsid w:val="00312A9A"/>
    <w:rsid w:val="00312F5A"/>
    <w:rsid w:val="00313406"/>
    <w:rsid w:val="003134E2"/>
    <w:rsid w:val="00313C0C"/>
    <w:rsid w:val="00313D36"/>
    <w:rsid w:val="00314151"/>
    <w:rsid w:val="003146F5"/>
    <w:rsid w:val="00314829"/>
    <w:rsid w:val="00314B28"/>
    <w:rsid w:val="00314C68"/>
    <w:rsid w:val="00314D25"/>
    <w:rsid w:val="00314E18"/>
    <w:rsid w:val="00314FC3"/>
    <w:rsid w:val="00315437"/>
    <w:rsid w:val="00315767"/>
    <w:rsid w:val="00315A7C"/>
    <w:rsid w:val="00315DE3"/>
    <w:rsid w:val="00315EF7"/>
    <w:rsid w:val="00316179"/>
    <w:rsid w:val="0031631F"/>
    <w:rsid w:val="003167BC"/>
    <w:rsid w:val="003169FA"/>
    <w:rsid w:val="00316ACF"/>
    <w:rsid w:val="00316CD9"/>
    <w:rsid w:val="0031773B"/>
    <w:rsid w:val="00317957"/>
    <w:rsid w:val="00317998"/>
    <w:rsid w:val="00317FF6"/>
    <w:rsid w:val="003200B2"/>
    <w:rsid w:val="003204C0"/>
    <w:rsid w:val="0032098B"/>
    <w:rsid w:val="00320ED9"/>
    <w:rsid w:val="00320FC7"/>
    <w:rsid w:val="00321852"/>
    <w:rsid w:val="00321A87"/>
    <w:rsid w:val="00321AD7"/>
    <w:rsid w:val="00321AFD"/>
    <w:rsid w:val="00321E75"/>
    <w:rsid w:val="00321EBB"/>
    <w:rsid w:val="00321EBD"/>
    <w:rsid w:val="0032225A"/>
    <w:rsid w:val="003223B8"/>
    <w:rsid w:val="0032287E"/>
    <w:rsid w:val="00323042"/>
    <w:rsid w:val="003239A2"/>
    <w:rsid w:val="00323C51"/>
    <w:rsid w:val="00323DA1"/>
    <w:rsid w:val="00323F85"/>
    <w:rsid w:val="0032414B"/>
    <w:rsid w:val="0032447D"/>
    <w:rsid w:val="00324DB0"/>
    <w:rsid w:val="00325023"/>
    <w:rsid w:val="0032514E"/>
    <w:rsid w:val="003252A2"/>
    <w:rsid w:val="003255C6"/>
    <w:rsid w:val="00325D6A"/>
    <w:rsid w:val="003260D0"/>
    <w:rsid w:val="00326144"/>
    <w:rsid w:val="0032662A"/>
    <w:rsid w:val="00326AB7"/>
    <w:rsid w:val="003301DC"/>
    <w:rsid w:val="003303A9"/>
    <w:rsid w:val="00330A0B"/>
    <w:rsid w:val="00330F1C"/>
    <w:rsid w:val="003315B0"/>
    <w:rsid w:val="0033167B"/>
    <w:rsid w:val="003321B9"/>
    <w:rsid w:val="00332366"/>
    <w:rsid w:val="003324FA"/>
    <w:rsid w:val="003325B3"/>
    <w:rsid w:val="003328AE"/>
    <w:rsid w:val="003335FD"/>
    <w:rsid w:val="00333690"/>
    <w:rsid w:val="00333B1F"/>
    <w:rsid w:val="00334361"/>
    <w:rsid w:val="00334C6E"/>
    <w:rsid w:val="00335E89"/>
    <w:rsid w:val="00335EA5"/>
    <w:rsid w:val="00335EB9"/>
    <w:rsid w:val="0033605F"/>
    <w:rsid w:val="00336378"/>
    <w:rsid w:val="0033649D"/>
    <w:rsid w:val="00336DA9"/>
    <w:rsid w:val="003374A8"/>
    <w:rsid w:val="0033761B"/>
    <w:rsid w:val="00337D4F"/>
    <w:rsid w:val="00340062"/>
    <w:rsid w:val="003400E3"/>
    <w:rsid w:val="0034074F"/>
    <w:rsid w:val="003409C8"/>
    <w:rsid w:val="00340E76"/>
    <w:rsid w:val="00341878"/>
    <w:rsid w:val="00341D26"/>
    <w:rsid w:val="00342845"/>
    <w:rsid w:val="00342FE8"/>
    <w:rsid w:val="00343024"/>
    <w:rsid w:val="0034326A"/>
    <w:rsid w:val="00343311"/>
    <w:rsid w:val="00343AC2"/>
    <w:rsid w:val="00343B74"/>
    <w:rsid w:val="00343D21"/>
    <w:rsid w:val="00343D81"/>
    <w:rsid w:val="00343F29"/>
    <w:rsid w:val="0034407C"/>
    <w:rsid w:val="003444C1"/>
    <w:rsid w:val="00344E44"/>
    <w:rsid w:val="00345662"/>
    <w:rsid w:val="003457F8"/>
    <w:rsid w:val="00345B13"/>
    <w:rsid w:val="003461C8"/>
    <w:rsid w:val="00346707"/>
    <w:rsid w:val="00346991"/>
    <w:rsid w:val="003469B8"/>
    <w:rsid w:val="00346A50"/>
    <w:rsid w:val="00346B61"/>
    <w:rsid w:val="00346CDE"/>
    <w:rsid w:val="003472C3"/>
    <w:rsid w:val="0034735F"/>
    <w:rsid w:val="00347530"/>
    <w:rsid w:val="00347B0C"/>
    <w:rsid w:val="00350121"/>
    <w:rsid w:val="003501B4"/>
    <w:rsid w:val="00350522"/>
    <w:rsid w:val="00350854"/>
    <w:rsid w:val="00350967"/>
    <w:rsid w:val="00350B6F"/>
    <w:rsid w:val="003513DD"/>
    <w:rsid w:val="00351A63"/>
    <w:rsid w:val="00351CC7"/>
    <w:rsid w:val="0035238C"/>
    <w:rsid w:val="0035240C"/>
    <w:rsid w:val="0035257F"/>
    <w:rsid w:val="00352C72"/>
    <w:rsid w:val="00352DFB"/>
    <w:rsid w:val="00353204"/>
    <w:rsid w:val="00353475"/>
    <w:rsid w:val="0035350A"/>
    <w:rsid w:val="00353658"/>
    <w:rsid w:val="00353B27"/>
    <w:rsid w:val="0035405A"/>
    <w:rsid w:val="00354385"/>
    <w:rsid w:val="00354399"/>
    <w:rsid w:val="00354664"/>
    <w:rsid w:val="0035501F"/>
    <w:rsid w:val="00355132"/>
    <w:rsid w:val="00355422"/>
    <w:rsid w:val="003555E8"/>
    <w:rsid w:val="003566CF"/>
    <w:rsid w:val="00356782"/>
    <w:rsid w:val="0035764F"/>
    <w:rsid w:val="00357722"/>
    <w:rsid w:val="0035792E"/>
    <w:rsid w:val="00357A63"/>
    <w:rsid w:val="00357E1E"/>
    <w:rsid w:val="00360032"/>
    <w:rsid w:val="0036093A"/>
    <w:rsid w:val="00360F27"/>
    <w:rsid w:val="00361146"/>
    <w:rsid w:val="0036131B"/>
    <w:rsid w:val="0036158A"/>
    <w:rsid w:val="00362005"/>
    <w:rsid w:val="00362166"/>
    <w:rsid w:val="003626D3"/>
    <w:rsid w:val="00362721"/>
    <w:rsid w:val="00362C14"/>
    <w:rsid w:val="00362D9E"/>
    <w:rsid w:val="00362EAF"/>
    <w:rsid w:val="00363122"/>
    <w:rsid w:val="0036356F"/>
    <w:rsid w:val="00363EC1"/>
    <w:rsid w:val="003642EA"/>
    <w:rsid w:val="00364569"/>
    <w:rsid w:val="003645D7"/>
    <w:rsid w:val="00364AD2"/>
    <w:rsid w:val="00364B14"/>
    <w:rsid w:val="003650EF"/>
    <w:rsid w:val="00365295"/>
    <w:rsid w:val="0036558F"/>
    <w:rsid w:val="0036577D"/>
    <w:rsid w:val="00365878"/>
    <w:rsid w:val="0036590E"/>
    <w:rsid w:val="00365CCB"/>
    <w:rsid w:val="00365D08"/>
    <w:rsid w:val="003665AB"/>
    <w:rsid w:val="00366FA2"/>
    <w:rsid w:val="003670F0"/>
    <w:rsid w:val="0036773C"/>
    <w:rsid w:val="0037051A"/>
    <w:rsid w:val="00370817"/>
    <w:rsid w:val="00370FD7"/>
    <w:rsid w:val="003713EC"/>
    <w:rsid w:val="003718F2"/>
    <w:rsid w:val="003720A6"/>
    <w:rsid w:val="003725B9"/>
    <w:rsid w:val="0037275E"/>
    <w:rsid w:val="00373486"/>
    <w:rsid w:val="00373614"/>
    <w:rsid w:val="00373ACC"/>
    <w:rsid w:val="0037409F"/>
    <w:rsid w:val="003740A2"/>
    <w:rsid w:val="00374609"/>
    <w:rsid w:val="00374D68"/>
    <w:rsid w:val="00374F4E"/>
    <w:rsid w:val="003752DC"/>
    <w:rsid w:val="00375D04"/>
    <w:rsid w:val="00375F32"/>
    <w:rsid w:val="00376467"/>
    <w:rsid w:val="003766DE"/>
    <w:rsid w:val="0037708D"/>
    <w:rsid w:val="00377BDB"/>
    <w:rsid w:val="00380226"/>
    <w:rsid w:val="00380429"/>
    <w:rsid w:val="00380463"/>
    <w:rsid w:val="0038067E"/>
    <w:rsid w:val="0038085B"/>
    <w:rsid w:val="00380E27"/>
    <w:rsid w:val="0038147B"/>
    <w:rsid w:val="003827B7"/>
    <w:rsid w:val="00382817"/>
    <w:rsid w:val="00382A6A"/>
    <w:rsid w:val="00382B2A"/>
    <w:rsid w:val="00382D0E"/>
    <w:rsid w:val="0038305E"/>
    <w:rsid w:val="003833CB"/>
    <w:rsid w:val="00383522"/>
    <w:rsid w:val="00383890"/>
    <w:rsid w:val="00383BD1"/>
    <w:rsid w:val="00383ECB"/>
    <w:rsid w:val="00384075"/>
    <w:rsid w:val="00384A23"/>
    <w:rsid w:val="00384A31"/>
    <w:rsid w:val="00385162"/>
    <w:rsid w:val="00385239"/>
    <w:rsid w:val="00385771"/>
    <w:rsid w:val="00385772"/>
    <w:rsid w:val="00385798"/>
    <w:rsid w:val="00385BE6"/>
    <w:rsid w:val="003861CC"/>
    <w:rsid w:val="0038632D"/>
    <w:rsid w:val="003863C7"/>
    <w:rsid w:val="0038646B"/>
    <w:rsid w:val="003865EB"/>
    <w:rsid w:val="00386689"/>
    <w:rsid w:val="00386D16"/>
    <w:rsid w:val="0038748E"/>
    <w:rsid w:val="0039016E"/>
    <w:rsid w:val="0039040B"/>
    <w:rsid w:val="00390494"/>
    <w:rsid w:val="003906EA"/>
    <w:rsid w:val="003908E7"/>
    <w:rsid w:val="003908E8"/>
    <w:rsid w:val="00390FB3"/>
    <w:rsid w:val="00391226"/>
    <w:rsid w:val="003912C1"/>
    <w:rsid w:val="003913DB"/>
    <w:rsid w:val="00391479"/>
    <w:rsid w:val="00391A65"/>
    <w:rsid w:val="00391F80"/>
    <w:rsid w:val="0039230C"/>
    <w:rsid w:val="00392C82"/>
    <w:rsid w:val="00392DB4"/>
    <w:rsid w:val="0039397E"/>
    <w:rsid w:val="00393CFF"/>
    <w:rsid w:val="00393F91"/>
    <w:rsid w:val="003943D3"/>
    <w:rsid w:val="00394EE2"/>
    <w:rsid w:val="00395558"/>
    <w:rsid w:val="003955E2"/>
    <w:rsid w:val="00395625"/>
    <w:rsid w:val="003956BE"/>
    <w:rsid w:val="00395E92"/>
    <w:rsid w:val="00396002"/>
    <w:rsid w:val="003960FE"/>
    <w:rsid w:val="0039664D"/>
    <w:rsid w:val="00396DA2"/>
    <w:rsid w:val="00397170"/>
    <w:rsid w:val="00397934"/>
    <w:rsid w:val="00397DC1"/>
    <w:rsid w:val="003A0303"/>
    <w:rsid w:val="003A09F2"/>
    <w:rsid w:val="003A0D0E"/>
    <w:rsid w:val="003A0D4B"/>
    <w:rsid w:val="003A0E78"/>
    <w:rsid w:val="003A0F1F"/>
    <w:rsid w:val="003A12CB"/>
    <w:rsid w:val="003A1587"/>
    <w:rsid w:val="003A1D7B"/>
    <w:rsid w:val="003A2243"/>
    <w:rsid w:val="003A399A"/>
    <w:rsid w:val="003A3BC5"/>
    <w:rsid w:val="003A3D0B"/>
    <w:rsid w:val="003A3D1E"/>
    <w:rsid w:val="003A401B"/>
    <w:rsid w:val="003A40AC"/>
    <w:rsid w:val="003A479A"/>
    <w:rsid w:val="003A47C0"/>
    <w:rsid w:val="003A4C57"/>
    <w:rsid w:val="003A4F78"/>
    <w:rsid w:val="003A50FD"/>
    <w:rsid w:val="003A5305"/>
    <w:rsid w:val="003A5D22"/>
    <w:rsid w:val="003A5EFA"/>
    <w:rsid w:val="003A60F0"/>
    <w:rsid w:val="003A6308"/>
    <w:rsid w:val="003A633F"/>
    <w:rsid w:val="003A659F"/>
    <w:rsid w:val="003A6723"/>
    <w:rsid w:val="003A67A4"/>
    <w:rsid w:val="003A69C1"/>
    <w:rsid w:val="003A6D5C"/>
    <w:rsid w:val="003A71DE"/>
    <w:rsid w:val="003A7387"/>
    <w:rsid w:val="003A744A"/>
    <w:rsid w:val="003A77BB"/>
    <w:rsid w:val="003A7C3D"/>
    <w:rsid w:val="003A7EB2"/>
    <w:rsid w:val="003A7FEB"/>
    <w:rsid w:val="003B0309"/>
    <w:rsid w:val="003B0972"/>
    <w:rsid w:val="003B10D3"/>
    <w:rsid w:val="003B118A"/>
    <w:rsid w:val="003B12CE"/>
    <w:rsid w:val="003B1910"/>
    <w:rsid w:val="003B1FE6"/>
    <w:rsid w:val="003B206A"/>
    <w:rsid w:val="003B243C"/>
    <w:rsid w:val="003B3608"/>
    <w:rsid w:val="003B3772"/>
    <w:rsid w:val="003B38DE"/>
    <w:rsid w:val="003B3FBA"/>
    <w:rsid w:val="003B432F"/>
    <w:rsid w:val="003B4532"/>
    <w:rsid w:val="003B461C"/>
    <w:rsid w:val="003B47B5"/>
    <w:rsid w:val="003B4A74"/>
    <w:rsid w:val="003B4ADF"/>
    <w:rsid w:val="003B5682"/>
    <w:rsid w:val="003B5844"/>
    <w:rsid w:val="003B5B34"/>
    <w:rsid w:val="003B5DBB"/>
    <w:rsid w:val="003B64BC"/>
    <w:rsid w:val="003B67BB"/>
    <w:rsid w:val="003B7561"/>
    <w:rsid w:val="003B77B8"/>
    <w:rsid w:val="003B7C82"/>
    <w:rsid w:val="003C00F1"/>
    <w:rsid w:val="003C052D"/>
    <w:rsid w:val="003C077E"/>
    <w:rsid w:val="003C090A"/>
    <w:rsid w:val="003C0F2E"/>
    <w:rsid w:val="003C0FE4"/>
    <w:rsid w:val="003C10FA"/>
    <w:rsid w:val="003C13DE"/>
    <w:rsid w:val="003C15AF"/>
    <w:rsid w:val="003C1703"/>
    <w:rsid w:val="003C1772"/>
    <w:rsid w:val="003C1CBF"/>
    <w:rsid w:val="003C24B2"/>
    <w:rsid w:val="003C27DC"/>
    <w:rsid w:val="003C2C4C"/>
    <w:rsid w:val="003C2E24"/>
    <w:rsid w:val="003C320D"/>
    <w:rsid w:val="003C3A6A"/>
    <w:rsid w:val="003C3A97"/>
    <w:rsid w:val="003C3C41"/>
    <w:rsid w:val="003C4630"/>
    <w:rsid w:val="003C491A"/>
    <w:rsid w:val="003C4BEB"/>
    <w:rsid w:val="003C524B"/>
    <w:rsid w:val="003C54D6"/>
    <w:rsid w:val="003C56E8"/>
    <w:rsid w:val="003C5DF4"/>
    <w:rsid w:val="003C5E2C"/>
    <w:rsid w:val="003C6438"/>
    <w:rsid w:val="003C661B"/>
    <w:rsid w:val="003C6757"/>
    <w:rsid w:val="003C6981"/>
    <w:rsid w:val="003C723A"/>
    <w:rsid w:val="003C7840"/>
    <w:rsid w:val="003C7966"/>
    <w:rsid w:val="003C7C57"/>
    <w:rsid w:val="003C7C8A"/>
    <w:rsid w:val="003C7D04"/>
    <w:rsid w:val="003C7EC3"/>
    <w:rsid w:val="003C7ED1"/>
    <w:rsid w:val="003C7F8A"/>
    <w:rsid w:val="003D02B2"/>
    <w:rsid w:val="003D0391"/>
    <w:rsid w:val="003D07F0"/>
    <w:rsid w:val="003D0B12"/>
    <w:rsid w:val="003D0FC3"/>
    <w:rsid w:val="003D157A"/>
    <w:rsid w:val="003D15D7"/>
    <w:rsid w:val="003D16DB"/>
    <w:rsid w:val="003D18B8"/>
    <w:rsid w:val="003D19A6"/>
    <w:rsid w:val="003D1A53"/>
    <w:rsid w:val="003D1B88"/>
    <w:rsid w:val="003D2052"/>
    <w:rsid w:val="003D2356"/>
    <w:rsid w:val="003D235A"/>
    <w:rsid w:val="003D23AB"/>
    <w:rsid w:val="003D2550"/>
    <w:rsid w:val="003D291A"/>
    <w:rsid w:val="003D2A81"/>
    <w:rsid w:val="003D2CD6"/>
    <w:rsid w:val="003D34D3"/>
    <w:rsid w:val="003D379E"/>
    <w:rsid w:val="003D39C4"/>
    <w:rsid w:val="003D3D74"/>
    <w:rsid w:val="003D4111"/>
    <w:rsid w:val="003D42F5"/>
    <w:rsid w:val="003D5062"/>
    <w:rsid w:val="003D510B"/>
    <w:rsid w:val="003D562B"/>
    <w:rsid w:val="003D56FC"/>
    <w:rsid w:val="003D57CF"/>
    <w:rsid w:val="003D5B68"/>
    <w:rsid w:val="003D61FC"/>
    <w:rsid w:val="003D663A"/>
    <w:rsid w:val="003D7018"/>
    <w:rsid w:val="003D7786"/>
    <w:rsid w:val="003D79AB"/>
    <w:rsid w:val="003D7A5F"/>
    <w:rsid w:val="003D7D16"/>
    <w:rsid w:val="003E010D"/>
    <w:rsid w:val="003E01B3"/>
    <w:rsid w:val="003E032F"/>
    <w:rsid w:val="003E0854"/>
    <w:rsid w:val="003E0937"/>
    <w:rsid w:val="003E0CEF"/>
    <w:rsid w:val="003E0ED6"/>
    <w:rsid w:val="003E0F61"/>
    <w:rsid w:val="003E1197"/>
    <w:rsid w:val="003E1500"/>
    <w:rsid w:val="003E15C2"/>
    <w:rsid w:val="003E1925"/>
    <w:rsid w:val="003E2185"/>
    <w:rsid w:val="003E220F"/>
    <w:rsid w:val="003E2A5F"/>
    <w:rsid w:val="003E3272"/>
    <w:rsid w:val="003E330A"/>
    <w:rsid w:val="003E3679"/>
    <w:rsid w:val="003E4076"/>
    <w:rsid w:val="003E4940"/>
    <w:rsid w:val="003E4C46"/>
    <w:rsid w:val="003E4D3B"/>
    <w:rsid w:val="003E5066"/>
    <w:rsid w:val="003E510D"/>
    <w:rsid w:val="003E54D9"/>
    <w:rsid w:val="003E5A19"/>
    <w:rsid w:val="003E5DBE"/>
    <w:rsid w:val="003E5EDB"/>
    <w:rsid w:val="003E68AC"/>
    <w:rsid w:val="003E6D01"/>
    <w:rsid w:val="003E7156"/>
    <w:rsid w:val="003E71F4"/>
    <w:rsid w:val="003E79F8"/>
    <w:rsid w:val="003E7B95"/>
    <w:rsid w:val="003E7C1C"/>
    <w:rsid w:val="003E7E85"/>
    <w:rsid w:val="003F01C9"/>
    <w:rsid w:val="003F0496"/>
    <w:rsid w:val="003F0A44"/>
    <w:rsid w:val="003F0EBD"/>
    <w:rsid w:val="003F13BB"/>
    <w:rsid w:val="003F1A04"/>
    <w:rsid w:val="003F1A22"/>
    <w:rsid w:val="003F1B07"/>
    <w:rsid w:val="003F1F0B"/>
    <w:rsid w:val="003F2069"/>
    <w:rsid w:val="003F20D5"/>
    <w:rsid w:val="003F225A"/>
    <w:rsid w:val="003F29C6"/>
    <w:rsid w:val="003F2BDC"/>
    <w:rsid w:val="003F2F9C"/>
    <w:rsid w:val="003F3061"/>
    <w:rsid w:val="003F31DE"/>
    <w:rsid w:val="003F388F"/>
    <w:rsid w:val="003F3D80"/>
    <w:rsid w:val="003F3FCB"/>
    <w:rsid w:val="003F4351"/>
    <w:rsid w:val="003F5AD7"/>
    <w:rsid w:val="003F5D91"/>
    <w:rsid w:val="003F627C"/>
    <w:rsid w:val="003F631C"/>
    <w:rsid w:val="003F6A95"/>
    <w:rsid w:val="003F7088"/>
    <w:rsid w:val="003F7275"/>
    <w:rsid w:val="003F72E8"/>
    <w:rsid w:val="003F74AE"/>
    <w:rsid w:val="003F74FA"/>
    <w:rsid w:val="003F75C4"/>
    <w:rsid w:val="003F78C1"/>
    <w:rsid w:val="004001B8"/>
    <w:rsid w:val="00400755"/>
    <w:rsid w:val="00400827"/>
    <w:rsid w:val="00400FCF"/>
    <w:rsid w:val="0040116C"/>
    <w:rsid w:val="00401547"/>
    <w:rsid w:val="00401822"/>
    <w:rsid w:val="004018E8"/>
    <w:rsid w:val="00401B3B"/>
    <w:rsid w:val="00401CE8"/>
    <w:rsid w:val="0040211F"/>
    <w:rsid w:val="0040233A"/>
    <w:rsid w:val="00402B7A"/>
    <w:rsid w:val="00402CEB"/>
    <w:rsid w:val="00403366"/>
    <w:rsid w:val="00403659"/>
    <w:rsid w:val="00403A64"/>
    <w:rsid w:val="00403B0F"/>
    <w:rsid w:val="00403B10"/>
    <w:rsid w:val="00403C2D"/>
    <w:rsid w:val="00403CB4"/>
    <w:rsid w:val="004043FB"/>
    <w:rsid w:val="004044B6"/>
    <w:rsid w:val="00404AA2"/>
    <w:rsid w:val="004053C8"/>
    <w:rsid w:val="0040555E"/>
    <w:rsid w:val="00405673"/>
    <w:rsid w:val="00405C9F"/>
    <w:rsid w:val="00406237"/>
    <w:rsid w:val="00406257"/>
    <w:rsid w:val="004065E5"/>
    <w:rsid w:val="00406630"/>
    <w:rsid w:val="00406D70"/>
    <w:rsid w:val="0040707E"/>
    <w:rsid w:val="00407320"/>
    <w:rsid w:val="00407ECC"/>
    <w:rsid w:val="0041070D"/>
    <w:rsid w:val="004109D1"/>
    <w:rsid w:val="00410DBD"/>
    <w:rsid w:val="004110D6"/>
    <w:rsid w:val="004111C9"/>
    <w:rsid w:val="00411264"/>
    <w:rsid w:val="004114C2"/>
    <w:rsid w:val="004115B0"/>
    <w:rsid w:val="00411B0E"/>
    <w:rsid w:val="00411FBC"/>
    <w:rsid w:val="00412274"/>
    <w:rsid w:val="004122DE"/>
    <w:rsid w:val="004126E8"/>
    <w:rsid w:val="00412788"/>
    <w:rsid w:val="0041284B"/>
    <w:rsid w:val="00412D76"/>
    <w:rsid w:val="00412E3D"/>
    <w:rsid w:val="0041327D"/>
    <w:rsid w:val="0041351F"/>
    <w:rsid w:val="00414105"/>
    <w:rsid w:val="0041412D"/>
    <w:rsid w:val="00414444"/>
    <w:rsid w:val="004146BE"/>
    <w:rsid w:val="004148CC"/>
    <w:rsid w:val="00414C62"/>
    <w:rsid w:val="00414E06"/>
    <w:rsid w:val="0041541D"/>
    <w:rsid w:val="004158D5"/>
    <w:rsid w:val="00415D2D"/>
    <w:rsid w:val="00415F7A"/>
    <w:rsid w:val="00415FF7"/>
    <w:rsid w:val="00416DD1"/>
    <w:rsid w:val="00417272"/>
    <w:rsid w:val="00417F03"/>
    <w:rsid w:val="00420018"/>
    <w:rsid w:val="004201AC"/>
    <w:rsid w:val="00420395"/>
    <w:rsid w:val="0042071F"/>
    <w:rsid w:val="00420864"/>
    <w:rsid w:val="004208CE"/>
    <w:rsid w:val="00420AF2"/>
    <w:rsid w:val="0042108E"/>
    <w:rsid w:val="00421203"/>
    <w:rsid w:val="00421513"/>
    <w:rsid w:val="0042183E"/>
    <w:rsid w:val="0042266F"/>
    <w:rsid w:val="004227DD"/>
    <w:rsid w:val="00422AFC"/>
    <w:rsid w:val="004234D0"/>
    <w:rsid w:val="00423661"/>
    <w:rsid w:val="004239FF"/>
    <w:rsid w:val="00423B21"/>
    <w:rsid w:val="00423BBE"/>
    <w:rsid w:val="004241D8"/>
    <w:rsid w:val="0042457E"/>
    <w:rsid w:val="004246C5"/>
    <w:rsid w:val="00424832"/>
    <w:rsid w:val="004255EB"/>
    <w:rsid w:val="004258E7"/>
    <w:rsid w:val="004259CE"/>
    <w:rsid w:val="00425B99"/>
    <w:rsid w:val="0042604C"/>
    <w:rsid w:val="00426135"/>
    <w:rsid w:val="004268A7"/>
    <w:rsid w:val="00426C45"/>
    <w:rsid w:val="00426DFF"/>
    <w:rsid w:val="00426F46"/>
    <w:rsid w:val="004270BD"/>
    <w:rsid w:val="004271B5"/>
    <w:rsid w:val="00427514"/>
    <w:rsid w:val="0042771C"/>
    <w:rsid w:val="004278A6"/>
    <w:rsid w:val="0043002C"/>
    <w:rsid w:val="004304AB"/>
    <w:rsid w:val="004308B7"/>
    <w:rsid w:val="00430E78"/>
    <w:rsid w:val="0043137A"/>
    <w:rsid w:val="00431609"/>
    <w:rsid w:val="00432016"/>
    <w:rsid w:val="004320C2"/>
    <w:rsid w:val="004322B1"/>
    <w:rsid w:val="0043286D"/>
    <w:rsid w:val="00432E3F"/>
    <w:rsid w:val="00433346"/>
    <w:rsid w:val="004334DF"/>
    <w:rsid w:val="00433544"/>
    <w:rsid w:val="0043371E"/>
    <w:rsid w:val="00433766"/>
    <w:rsid w:val="00433CAC"/>
    <w:rsid w:val="004340F3"/>
    <w:rsid w:val="004345AF"/>
    <w:rsid w:val="00434899"/>
    <w:rsid w:val="0043492A"/>
    <w:rsid w:val="00434B21"/>
    <w:rsid w:val="00434C43"/>
    <w:rsid w:val="0043505B"/>
    <w:rsid w:val="004360A4"/>
    <w:rsid w:val="0043662E"/>
    <w:rsid w:val="00436834"/>
    <w:rsid w:val="0043692E"/>
    <w:rsid w:val="0043772C"/>
    <w:rsid w:val="00437EF8"/>
    <w:rsid w:val="00440364"/>
    <w:rsid w:val="00440518"/>
    <w:rsid w:val="00440A5E"/>
    <w:rsid w:val="00440B1E"/>
    <w:rsid w:val="00442104"/>
    <w:rsid w:val="00442156"/>
    <w:rsid w:val="004422EA"/>
    <w:rsid w:val="00443117"/>
    <w:rsid w:val="00443460"/>
    <w:rsid w:val="004438A2"/>
    <w:rsid w:val="004438AC"/>
    <w:rsid w:val="00443E28"/>
    <w:rsid w:val="00443F4B"/>
    <w:rsid w:val="004443CA"/>
    <w:rsid w:val="004451AA"/>
    <w:rsid w:val="00445220"/>
    <w:rsid w:val="004456CE"/>
    <w:rsid w:val="00445719"/>
    <w:rsid w:val="0044587D"/>
    <w:rsid w:val="00445B43"/>
    <w:rsid w:val="00445ED3"/>
    <w:rsid w:val="004462C6"/>
    <w:rsid w:val="0044630A"/>
    <w:rsid w:val="004463D3"/>
    <w:rsid w:val="00446781"/>
    <w:rsid w:val="004467E8"/>
    <w:rsid w:val="00446917"/>
    <w:rsid w:val="00446EB5"/>
    <w:rsid w:val="00447015"/>
    <w:rsid w:val="004474E1"/>
    <w:rsid w:val="00447699"/>
    <w:rsid w:val="0044784C"/>
    <w:rsid w:val="00447C37"/>
    <w:rsid w:val="00450671"/>
    <w:rsid w:val="00450ABE"/>
    <w:rsid w:val="00451319"/>
    <w:rsid w:val="00451A01"/>
    <w:rsid w:val="00451A84"/>
    <w:rsid w:val="00451E63"/>
    <w:rsid w:val="00451F46"/>
    <w:rsid w:val="004521B6"/>
    <w:rsid w:val="0045263C"/>
    <w:rsid w:val="00452FB7"/>
    <w:rsid w:val="00453075"/>
    <w:rsid w:val="00453A77"/>
    <w:rsid w:val="00453B51"/>
    <w:rsid w:val="00453E7B"/>
    <w:rsid w:val="00454734"/>
    <w:rsid w:val="00454742"/>
    <w:rsid w:val="00454915"/>
    <w:rsid w:val="00454A13"/>
    <w:rsid w:val="00454CDC"/>
    <w:rsid w:val="00454FAA"/>
    <w:rsid w:val="00455142"/>
    <w:rsid w:val="00455922"/>
    <w:rsid w:val="00455AF1"/>
    <w:rsid w:val="00455FB8"/>
    <w:rsid w:val="00456214"/>
    <w:rsid w:val="004564C7"/>
    <w:rsid w:val="00456D1C"/>
    <w:rsid w:val="004574D8"/>
    <w:rsid w:val="0045755A"/>
    <w:rsid w:val="00457BDD"/>
    <w:rsid w:val="00457C18"/>
    <w:rsid w:val="00457C34"/>
    <w:rsid w:val="0046097B"/>
    <w:rsid w:val="00460B9F"/>
    <w:rsid w:val="0046103A"/>
    <w:rsid w:val="00461128"/>
    <w:rsid w:val="004612D1"/>
    <w:rsid w:val="004615A9"/>
    <w:rsid w:val="004622DE"/>
    <w:rsid w:val="004623A8"/>
    <w:rsid w:val="00462C77"/>
    <w:rsid w:val="00462D60"/>
    <w:rsid w:val="0046309A"/>
    <w:rsid w:val="004636B6"/>
    <w:rsid w:val="00463846"/>
    <w:rsid w:val="00463A9A"/>
    <w:rsid w:val="00463EA4"/>
    <w:rsid w:val="00464AFC"/>
    <w:rsid w:val="00464C8C"/>
    <w:rsid w:val="00464D03"/>
    <w:rsid w:val="004659DB"/>
    <w:rsid w:val="00465AE3"/>
    <w:rsid w:val="00465BBA"/>
    <w:rsid w:val="00465EAE"/>
    <w:rsid w:val="00465FC0"/>
    <w:rsid w:val="00466260"/>
    <w:rsid w:val="00466602"/>
    <w:rsid w:val="00466E7C"/>
    <w:rsid w:val="00466EF3"/>
    <w:rsid w:val="004679BD"/>
    <w:rsid w:val="00467B4F"/>
    <w:rsid w:val="00467C21"/>
    <w:rsid w:val="00467E4B"/>
    <w:rsid w:val="00467ED7"/>
    <w:rsid w:val="004701DF"/>
    <w:rsid w:val="0047030E"/>
    <w:rsid w:val="004703B1"/>
    <w:rsid w:val="004705B3"/>
    <w:rsid w:val="004707B9"/>
    <w:rsid w:val="00471453"/>
    <w:rsid w:val="0047161E"/>
    <w:rsid w:val="00471710"/>
    <w:rsid w:val="00471970"/>
    <w:rsid w:val="00471D84"/>
    <w:rsid w:val="00471F7E"/>
    <w:rsid w:val="00472F91"/>
    <w:rsid w:val="0047351D"/>
    <w:rsid w:val="00473538"/>
    <w:rsid w:val="0047399E"/>
    <w:rsid w:val="00473BDD"/>
    <w:rsid w:val="00473D72"/>
    <w:rsid w:val="00474458"/>
    <w:rsid w:val="004748FE"/>
    <w:rsid w:val="00474AFE"/>
    <w:rsid w:val="00474F77"/>
    <w:rsid w:val="00475495"/>
    <w:rsid w:val="00475B2E"/>
    <w:rsid w:val="00476A4F"/>
    <w:rsid w:val="00477047"/>
    <w:rsid w:val="004770B2"/>
    <w:rsid w:val="00477FBE"/>
    <w:rsid w:val="00477FF8"/>
    <w:rsid w:val="004806DB"/>
    <w:rsid w:val="00480BCF"/>
    <w:rsid w:val="00480EA8"/>
    <w:rsid w:val="00481C13"/>
    <w:rsid w:val="004822EF"/>
    <w:rsid w:val="00483DB6"/>
    <w:rsid w:val="00483FA4"/>
    <w:rsid w:val="00483FC6"/>
    <w:rsid w:val="004842E9"/>
    <w:rsid w:val="004844ED"/>
    <w:rsid w:val="00484784"/>
    <w:rsid w:val="00484B8D"/>
    <w:rsid w:val="00484D47"/>
    <w:rsid w:val="00484FB9"/>
    <w:rsid w:val="0048506B"/>
    <w:rsid w:val="0048528E"/>
    <w:rsid w:val="00485348"/>
    <w:rsid w:val="00485F29"/>
    <w:rsid w:val="00485F5F"/>
    <w:rsid w:val="00486168"/>
    <w:rsid w:val="0048624C"/>
    <w:rsid w:val="00486288"/>
    <w:rsid w:val="004864D1"/>
    <w:rsid w:val="00486568"/>
    <w:rsid w:val="004867C0"/>
    <w:rsid w:val="004867EF"/>
    <w:rsid w:val="00486D33"/>
    <w:rsid w:val="0048712A"/>
    <w:rsid w:val="00487403"/>
    <w:rsid w:val="00487419"/>
    <w:rsid w:val="004874AE"/>
    <w:rsid w:val="0048798B"/>
    <w:rsid w:val="004901FC"/>
    <w:rsid w:val="0049027B"/>
    <w:rsid w:val="004902DA"/>
    <w:rsid w:val="00490D33"/>
    <w:rsid w:val="00490D9D"/>
    <w:rsid w:val="00490FB6"/>
    <w:rsid w:val="0049114E"/>
    <w:rsid w:val="004919C9"/>
    <w:rsid w:val="00491C71"/>
    <w:rsid w:val="004921B6"/>
    <w:rsid w:val="00492925"/>
    <w:rsid w:val="00492BFD"/>
    <w:rsid w:val="00492E2B"/>
    <w:rsid w:val="004931F2"/>
    <w:rsid w:val="0049384E"/>
    <w:rsid w:val="00493DCB"/>
    <w:rsid w:val="00493E57"/>
    <w:rsid w:val="004942B2"/>
    <w:rsid w:val="00494364"/>
    <w:rsid w:val="00494419"/>
    <w:rsid w:val="0049481F"/>
    <w:rsid w:val="00494A12"/>
    <w:rsid w:val="00494C08"/>
    <w:rsid w:val="0049511B"/>
    <w:rsid w:val="004952B0"/>
    <w:rsid w:val="004958E9"/>
    <w:rsid w:val="00495C6D"/>
    <w:rsid w:val="00495FC5"/>
    <w:rsid w:val="00496188"/>
    <w:rsid w:val="00496791"/>
    <w:rsid w:val="00496B40"/>
    <w:rsid w:val="00496C04"/>
    <w:rsid w:val="00496D2F"/>
    <w:rsid w:val="00496FAC"/>
    <w:rsid w:val="0049728B"/>
    <w:rsid w:val="00497444"/>
    <w:rsid w:val="0049781E"/>
    <w:rsid w:val="00497A10"/>
    <w:rsid w:val="00497C67"/>
    <w:rsid w:val="004A02E9"/>
    <w:rsid w:val="004A03F6"/>
    <w:rsid w:val="004A05AD"/>
    <w:rsid w:val="004A0B07"/>
    <w:rsid w:val="004A0EB8"/>
    <w:rsid w:val="004A0F1D"/>
    <w:rsid w:val="004A126D"/>
    <w:rsid w:val="004A1274"/>
    <w:rsid w:val="004A12EE"/>
    <w:rsid w:val="004A188B"/>
    <w:rsid w:val="004A20BE"/>
    <w:rsid w:val="004A21FD"/>
    <w:rsid w:val="004A269F"/>
    <w:rsid w:val="004A2ABD"/>
    <w:rsid w:val="004A2BA1"/>
    <w:rsid w:val="004A2CDA"/>
    <w:rsid w:val="004A356F"/>
    <w:rsid w:val="004A389A"/>
    <w:rsid w:val="004A3F8B"/>
    <w:rsid w:val="004A4784"/>
    <w:rsid w:val="004A47F7"/>
    <w:rsid w:val="004A493E"/>
    <w:rsid w:val="004A5008"/>
    <w:rsid w:val="004A5090"/>
    <w:rsid w:val="004A523A"/>
    <w:rsid w:val="004A53A0"/>
    <w:rsid w:val="004A553E"/>
    <w:rsid w:val="004A56DF"/>
    <w:rsid w:val="004A5759"/>
    <w:rsid w:val="004A5833"/>
    <w:rsid w:val="004A5BC7"/>
    <w:rsid w:val="004A6094"/>
    <w:rsid w:val="004A6382"/>
    <w:rsid w:val="004A6519"/>
    <w:rsid w:val="004A6724"/>
    <w:rsid w:val="004A6947"/>
    <w:rsid w:val="004A6D97"/>
    <w:rsid w:val="004A74E2"/>
    <w:rsid w:val="004A79AF"/>
    <w:rsid w:val="004A7CD3"/>
    <w:rsid w:val="004A7D01"/>
    <w:rsid w:val="004A7D84"/>
    <w:rsid w:val="004B060C"/>
    <w:rsid w:val="004B060F"/>
    <w:rsid w:val="004B0681"/>
    <w:rsid w:val="004B090E"/>
    <w:rsid w:val="004B0AF4"/>
    <w:rsid w:val="004B0B25"/>
    <w:rsid w:val="004B0CE2"/>
    <w:rsid w:val="004B10F4"/>
    <w:rsid w:val="004B1144"/>
    <w:rsid w:val="004B11A4"/>
    <w:rsid w:val="004B12E2"/>
    <w:rsid w:val="004B1320"/>
    <w:rsid w:val="004B19D9"/>
    <w:rsid w:val="004B1A17"/>
    <w:rsid w:val="004B1E1F"/>
    <w:rsid w:val="004B2132"/>
    <w:rsid w:val="004B22B3"/>
    <w:rsid w:val="004B23AD"/>
    <w:rsid w:val="004B3C00"/>
    <w:rsid w:val="004B405D"/>
    <w:rsid w:val="004B40D4"/>
    <w:rsid w:val="004B4445"/>
    <w:rsid w:val="004B4497"/>
    <w:rsid w:val="004B4BFD"/>
    <w:rsid w:val="004B507A"/>
    <w:rsid w:val="004B57BA"/>
    <w:rsid w:val="004B5CB7"/>
    <w:rsid w:val="004B5CF2"/>
    <w:rsid w:val="004B669F"/>
    <w:rsid w:val="004B6C28"/>
    <w:rsid w:val="004B71C9"/>
    <w:rsid w:val="004B736B"/>
    <w:rsid w:val="004B768F"/>
    <w:rsid w:val="004C0135"/>
    <w:rsid w:val="004C067D"/>
    <w:rsid w:val="004C07D4"/>
    <w:rsid w:val="004C0B98"/>
    <w:rsid w:val="004C0CC5"/>
    <w:rsid w:val="004C0ECD"/>
    <w:rsid w:val="004C1035"/>
    <w:rsid w:val="004C1222"/>
    <w:rsid w:val="004C12B4"/>
    <w:rsid w:val="004C1300"/>
    <w:rsid w:val="004C1346"/>
    <w:rsid w:val="004C17EB"/>
    <w:rsid w:val="004C18F3"/>
    <w:rsid w:val="004C244E"/>
    <w:rsid w:val="004C27EB"/>
    <w:rsid w:val="004C2C75"/>
    <w:rsid w:val="004C2FE7"/>
    <w:rsid w:val="004C342B"/>
    <w:rsid w:val="004C38FA"/>
    <w:rsid w:val="004C3B9D"/>
    <w:rsid w:val="004C3BE2"/>
    <w:rsid w:val="004C3C69"/>
    <w:rsid w:val="004C40C5"/>
    <w:rsid w:val="004C4134"/>
    <w:rsid w:val="004C56EB"/>
    <w:rsid w:val="004C5A99"/>
    <w:rsid w:val="004C5CA0"/>
    <w:rsid w:val="004C5E38"/>
    <w:rsid w:val="004C5F3E"/>
    <w:rsid w:val="004C5FD0"/>
    <w:rsid w:val="004C67B8"/>
    <w:rsid w:val="004C67E4"/>
    <w:rsid w:val="004C6AAD"/>
    <w:rsid w:val="004C7119"/>
    <w:rsid w:val="004C71BA"/>
    <w:rsid w:val="004C734F"/>
    <w:rsid w:val="004C784A"/>
    <w:rsid w:val="004C7A27"/>
    <w:rsid w:val="004C7C87"/>
    <w:rsid w:val="004C7F4A"/>
    <w:rsid w:val="004C7F9A"/>
    <w:rsid w:val="004D0131"/>
    <w:rsid w:val="004D0534"/>
    <w:rsid w:val="004D09DD"/>
    <w:rsid w:val="004D118C"/>
    <w:rsid w:val="004D27A7"/>
    <w:rsid w:val="004D27AC"/>
    <w:rsid w:val="004D2825"/>
    <w:rsid w:val="004D2987"/>
    <w:rsid w:val="004D2B97"/>
    <w:rsid w:val="004D3A8A"/>
    <w:rsid w:val="004D4005"/>
    <w:rsid w:val="004D4353"/>
    <w:rsid w:val="004D45C6"/>
    <w:rsid w:val="004D47A2"/>
    <w:rsid w:val="004D4868"/>
    <w:rsid w:val="004D49D0"/>
    <w:rsid w:val="004D4D45"/>
    <w:rsid w:val="004D4DD6"/>
    <w:rsid w:val="004D54DF"/>
    <w:rsid w:val="004D5527"/>
    <w:rsid w:val="004D5892"/>
    <w:rsid w:val="004D58A9"/>
    <w:rsid w:val="004D5A92"/>
    <w:rsid w:val="004D5DC1"/>
    <w:rsid w:val="004D5E34"/>
    <w:rsid w:val="004D6245"/>
    <w:rsid w:val="004D68E5"/>
    <w:rsid w:val="004D69F3"/>
    <w:rsid w:val="004D7225"/>
    <w:rsid w:val="004D7593"/>
    <w:rsid w:val="004D7D05"/>
    <w:rsid w:val="004D7DC6"/>
    <w:rsid w:val="004E031A"/>
    <w:rsid w:val="004E04C0"/>
    <w:rsid w:val="004E04DD"/>
    <w:rsid w:val="004E0597"/>
    <w:rsid w:val="004E0C5E"/>
    <w:rsid w:val="004E0D63"/>
    <w:rsid w:val="004E0FC2"/>
    <w:rsid w:val="004E1332"/>
    <w:rsid w:val="004E182C"/>
    <w:rsid w:val="004E1931"/>
    <w:rsid w:val="004E1AD6"/>
    <w:rsid w:val="004E1C93"/>
    <w:rsid w:val="004E2899"/>
    <w:rsid w:val="004E2CA9"/>
    <w:rsid w:val="004E3190"/>
    <w:rsid w:val="004E3458"/>
    <w:rsid w:val="004E3625"/>
    <w:rsid w:val="004E37C6"/>
    <w:rsid w:val="004E44A6"/>
    <w:rsid w:val="004E4728"/>
    <w:rsid w:val="004E4978"/>
    <w:rsid w:val="004E49AC"/>
    <w:rsid w:val="004E4C19"/>
    <w:rsid w:val="004E4C9D"/>
    <w:rsid w:val="004E4D8E"/>
    <w:rsid w:val="004E556D"/>
    <w:rsid w:val="004E58FE"/>
    <w:rsid w:val="004E5B25"/>
    <w:rsid w:val="004E60B4"/>
    <w:rsid w:val="004E6171"/>
    <w:rsid w:val="004E7843"/>
    <w:rsid w:val="004E7B99"/>
    <w:rsid w:val="004F00D9"/>
    <w:rsid w:val="004F0B14"/>
    <w:rsid w:val="004F1211"/>
    <w:rsid w:val="004F151F"/>
    <w:rsid w:val="004F19A3"/>
    <w:rsid w:val="004F1F9D"/>
    <w:rsid w:val="004F21CD"/>
    <w:rsid w:val="004F2239"/>
    <w:rsid w:val="004F24A7"/>
    <w:rsid w:val="004F2637"/>
    <w:rsid w:val="004F3018"/>
    <w:rsid w:val="004F30E5"/>
    <w:rsid w:val="004F402A"/>
    <w:rsid w:val="004F4812"/>
    <w:rsid w:val="004F4983"/>
    <w:rsid w:val="004F4CB4"/>
    <w:rsid w:val="004F4EC0"/>
    <w:rsid w:val="004F5324"/>
    <w:rsid w:val="004F5589"/>
    <w:rsid w:val="004F5697"/>
    <w:rsid w:val="004F5B00"/>
    <w:rsid w:val="004F5CBC"/>
    <w:rsid w:val="004F6080"/>
    <w:rsid w:val="004F65E8"/>
    <w:rsid w:val="004F6785"/>
    <w:rsid w:val="004F6979"/>
    <w:rsid w:val="004F6B19"/>
    <w:rsid w:val="004F6F2B"/>
    <w:rsid w:val="004F6FD8"/>
    <w:rsid w:val="004F7230"/>
    <w:rsid w:val="004F7C69"/>
    <w:rsid w:val="004F7ED8"/>
    <w:rsid w:val="00500077"/>
    <w:rsid w:val="005003F5"/>
    <w:rsid w:val="005005B3"/>
    <w:rsid w:val="005009CB"/>
    <w:rsid w:val="00500A27"/>
    <w:rsid w:val="00501195"/>
    <w:rsid w:val="005011DE"/>
    <w:rsid w:val="00501706"/>
    <w:rsid w:val="005017C1"/>
    <w:rsid w:val="00501838"/>
    <w:rsid w:val="00501A5C"/>
    <w:rsid w:val="00501D9B"/>
    <w:rsid w:val="00502171"/>
    <w:rsid w:val="005021D3"/>
    <w:rsid w:val="005028EE"/>
    <w:rsid w:val="00502BA3"/>
    <w:rsid w:val="00502C13"/>
    <w:rsid w:val="00502C8D"/>
    <w:rsid w:val="00502D95"/>
    <w:rsid w:val="0050311F"/>
    <w:rsid w:val="00504103"/>
    <w:rsid w:val="00504195"/>
    <w:rsid w:val="005044E3"/>
    <w:rsid w:val="0050478C"/>
    <w:rsid w:val="00504BBD"/>
    <w:rsid w:val="00504C33"/>
    <w:rsid w:val="00504CB5"/>
    <w:rsid w:val="00504E18"/>
    <w:rsid w:val="00504EB6"/>
    <w:rsid w:val="0050536B"/>
    <w:rsid w:val="00505612"/>
    <w:rsid w:val="00505A4A"/>
    <w:rsid w:val="00505C09"/>
    <w:rsid w:val="00505EAC"/>
    <w:rsid w:val="00505FD1"/>
    <w:rsid w:val="0050630B"/>
    <w:rsid w:val="0050688D"/>
    <w:rsid w:val="00506959"/>
    <w:rsid w:val="00506983"/>
    <w:rsid w:val="00506B1A"/>
    <w:rsid w:val="00506BD5"/>
    <w:rsid w:val="00506BFF"/>
    <w:rsid w:val="00506DB0"/>
    <w:rsid w:val="00506E5C"/>
    <w:rsid w:val="00507388"/>
    <w:rsid w:val="0050746C"/>
    <w:rsid w:val="0050753E"/>
    <w:rsid w:val="00507853"/>
    <w:rsid w:val="00510561"/>
    <w:rsid w:val="005111D4"/>
    <w:rsid w:val="00511289"/>
    <w:rsid w:val="0051167F"/>
    <w:rsid w:val="005116F6"/>
    <w:rsid w:val="0051171A"/>
    <w:rsid w:val="00511C72"/>
    <w:rsid w:val="00512623"/>
    <w:rsid w:val="00512AAB"/>
    <w:rsid w:val="00512C1D"/>
    <w:rsid w:val="0051318C"/>
    <w:rsid w:val="0051342B"/>
    <w:rsid w:val="00513738"/>
    <w:rsid w:val="00513CC5"/>
    <w:rsid w:val="00514812"/>
    <w:rsid w:val="00514CDA"/>
    <w:rsid w:val="00514E22"/>
    <w:rsid w:val="00514EDF"/>
    <w:rsid w:val="00514F67"/>
    <w:rsid w:val="0051579E"/>
    <w:rsid w:val="005159C6"/>
    <w:rsid w:val="00515D2B"/>
    <w:rsid w:val="00516258"/>
    <w:rsid w:val="005166E7"/>
    <w:rsid w:val="00516B5B"/>
    <w:rsid w:val="0051708B"/>
    <w:rsid w:val="00517514"/>
    <w:rsid w:val="005176E3"/>
    <w:rsid w:val="005177B2"/>
    <w:rsid w:val="0051791E"/>
    <w:rsid w:val="00517AA0"/>
    <w:rsid w:val="00517BF5"/>
    <w:rsid w:val="00520134"/>
    <w:rsid w:val="00520455"/>
    <w:rsid w:val="00520A13"/>
    <w:rsid w:val="00520E7D"/>
    <w:rsid w:val="00521049"/>
    <w:rsid w:val="00521737"/>
    <w:rsid w:val="00521CBA"/>
    <w:rsid w:val="00521EB8"/>
    <w:rsid w:val="00521F0A"/>
    <w:rsid w:val="005229FD"/>
    <w:rsid w:val="00522BFF"/>
    <w:rsid w:val="00522FAA"/>
    <w:rsid w:val="005231B8"/>
    <w:rsid w:val="005233B8"/>
    <w:rsid w:val="00523C99"/>
    <w:rsid w:val="00523D83"/>
    <w:rsid w:val="005246AC"/>
    <w:rsid w:val="00524D04"/>
    <w:rsid w:val="00524DB8"/>
    <w:rsid w:val="0052520B"/>
    <w:rsid w:val="005252E0"/>
    <w:rsid w:val="00525470"/>
    <w:rsid w:val="00525535"/>
    <w:rsid w:val="005255B6"/>
    <w:rsid w:val="005258A6"/>
    <w:rsid w:val="00525BAE"/>
    <w:rsid w:val="00525D1D"/>
    <w:rsid w:val="00525D54"/>
    <w:rsid w:val="00526282"/>
    <w:rsid w:val="00526A3C"/>
    <w:rsid w:val="00526B88"/>
    <w:rsid w:val="00526D84"/>
    <w:rsid w:val="0052744D"/>
    <w:rsid w:val="005279C4"/>
    <w:rsid w:val="00527A23"/>
    <w:rsid w:val="00527AD7"/>
    <w:rsid w:val="00527BA1"/>
    <w:rsid w:val="00527F90"/>
    <w:rsid w:val="00527FDF"/>
    <w:rsid w:val="00530535"/>
    <w:rsid w:val="0053058D"/>
    <w:rsid w:val="005309D5"/>
    <w:rsid w:val="00530BF4"/>
    <w:rsid w:val="00530D5C"/>
    <w:rsid w:val="005310F3"/>
    <w:rsid w:val="00531269"/>
    <w:rsid w:val="005312D4"/>
    <w:rsid w:val="00531687"/>
    <w:rsid w:val="005319C3"/>
    <w:rsid w:val="00531AF8"/>
    <w:rsid w:val="00531D6E"/>
    <w:rsid w:val="00531DFC"/>
    <w:rsid w:val="00532095"/>
    <w:rsid w:val="005320E8"/>
    <w:rsid w:val="005320FB"/>
    <w:rsid w:val="00532B37"/>
    <w:rsid w:val="0053327D"/>
    <w:rsid w:val="00533752"/>
    <w:rsid w:val="00533A7B"/>
    <w:rsid w:val="00533B46"/>
    <w:rsid w:val="00533BDA"/>
    <w:rsid w:val="00533E83"/>
    <w:rsid w:val="00534629"/>
    <w:rsid w:val="00534936"/>
    <w:rsid w:val="00534C68"/>
    <w:rsid w:val="00534D6E"/>
    <w:rsid w:val="00534E41"/>
    <w:rsid w:val="00534E73"/>
    <w:rsid w:val="005355A3"/>
    <w:rsid w:val="00535CC3"/>
    <w:rsid w:val="00536721"/>
    <w:rsid w:val="00537F45"/>
    <w:rsid w:val="0054016C"/>
    <w:rsid w:val="0054026F"/>
    <w:rsid w:val="0054081E"/>
    <w:rsid w:val="00540BBA"/>
    <w:rsid w:val="00540BF1"/>
    <w:rsid w:val="005413E3"/>
    <w:rsid w:val="00541B58"/>
    <w:rsid w:val="00541CA1"/>
    <w:rsid w:val="0054242B"/>
    <w:rsid w:val="005426B0"/>
    <w:rsid w:val="00542D2D"/>
    <w:rsid w:val="00543403"/>
    <w:rsid w:val="0054371E"/>
    <w:rsid w:val="00543787"/>
    <w:rsid w:val="00543E62"/>
    <w:rsid w:val="0054411C"/>
    <w:rsid w:val="005441DE"/>
    <w:rsid w:val="00544206"/>
    <w:rsid w:val="00544332"/>
    <w:rsid w:val="00544ED7"/>
    <w:rsid w:val="00545195"/>
    <w:rsid w:val="005457FC"/>
    <w:rsid w:val="00545E12"/>
    <w:rsid w:val="00546631"/>
    <w:rsid w:val="00546AB8"/>
    <w:rsid w:val="00546BAC"/>
    <w:rsid w:val="00546F99"/>
    <w:rsid w:val="00547365"/>
    <w:rsid w:val="00547370"/>
    <w:rsid w:val="0054765A"/>
    <w:rsid w:val="00547D98"/>
    <w:rsid w:val="00550689"/>
    <w:rsid w:val="00551109"/>
    <w:rsid w:val="00551156"/>
    <w:rsid w:val="00551A31"/>
    <w:rsid w:val="00551EE7"/>
    <w:rsid w:val="0055217E"/>
    <w:rsid w:val="0055264D"/>
    <w:rsid w:val="005526F6"/>
    <w:rsid w:val="00552DE8"/>
    <w:rsid w:val="0055300B"/>
    <w:rsid w:val="00553946"/>
    <w:rsid w:val="00553F40"/>
    <w:rsid w:val="00554480"/>
    <w:rsid w:val="0055485B"/>
    <w:rsid w:val="00554A80"/>
    <w:rsid w:val="00554AAA"/>
    <w:rsid w:val="00554C1C"/>
    <w:rsid w:val="00555318"/>
    <w:rsid w:val="005554FE"/>
    <w:rsid w:val="005557F3"/>
    <w:rsid w:val="00555B6D"/>
    <w:rsid w:val="00555BDC"/>
    <w:rsid w:val="00555CD3"/>
    <w:rsid w:val="00555FF1"/>
    <w:rsid w:val="00556294"/>
    <w:rsid w:val="00556A6F"/>
    <w:rsid w:val="0055705A"/>
    <w:rsid w:val="00557574"/>
    <w:rsid w:val="00560119"/>
    <w:rsid w:val="0056034E"/>
    <w:rsid w:val="00560493"/>
    <w:rsid w:val="00560C66"/>
    <w:rsid w:val="00560CA1"/>
    <w:rsid w:val="00560F2A"/>
    <w:rsid w:val="00560F33"/>
    <w:rsid w:val="00561A2B"/>
    <w:rsid w:val="00561EB6"/>
    <w:rsid w:val="00562A8F"/>
    <w:rsid w:val="00562AFD"/>
    <w:rsid w:val="00562E39"/>
    <w:rsid w:val="00562FA9"/>
    <w:rsid w:val="005631A9"/>
    <w:rsid w:val="00563437"/>
    <w:rsid w:val="00563A4A"/>
    <w:rsid w:val="005643E8"/>
    <w:rsid w:val="0056441A"/>
    <w:rsid w:val="00564694"/>
    <w:rsid w:val="0056493B"/>
    <w:rsid w:val="00564BA2"/>
    <w:rsid w:val="00565008"/>
    <w:rsid w:val="00565B2A"/>
    <w:rsid w:val="00565B76"/>
    <w:rsid w:val="005660B6"/>
    <w:rsid w:val="005664FA"/>
    <w:rsid w:val="00566AF5"/>
    <w:rsid w:val="00566F9E"/>
    <w:rsid w:val="0056726F"/>
    <w:rsid w:val="0056797F"/>
    <w:rsid w:val="00570151"/>
    <w:rsid w:val="00570409"/>
    <w:rsid w:val="00570611"/>
    <w:rsid w:val="005706B6"/>
    <w:rsid w:val="00570DFA"/>
    <w:rsid w:val="00570EFE"/>
    <w:rsid w:val="0057188B"/>
    <w:rsid w:val="00572388"/>
    <w:rsid w:val="005723A3"/>
    <w:rsid w:val="00572483"/>
    <w:rsid w:val="005725F4"/>
    <w:rsid w:val="0057396A"/>
    <w:rsid w:val="00573A8F"/>
    <w:rsid w:val="00574130"/>
    <w:rsid w:val="00574F0E"/>
    <w:rsid w:val="0057504A"/>
    <w:rsid w:val="00575656"/>
    <w:rsid w:val="0057565D"/>
    <w:rsid w:val="00575C5C"/>
    <w:rsid w:val="00575CF0"/>
    <w:rsid w:val="00575E55"/>
    <w:rsid w:val="00575E9F"/>
    <w:rsid w:val="00576003"/>
    <w:rsid w:val="00576344"/>
    <w:rsid w:val="005765D4"/>
    <w:rsid w:val="00576692"/>
    <w:rsid w:val="0057679D"/>
    <w:rsid w:val="005767FC"/>
    <w:rsid w:val="005768EF"/>
    <w:rsid w:val="00576BED"/>
    <w:rsid w:val="005770D9"/>
    <w:rsid w:val="0057716A"/>
    <w:rsid w:val="00577388"/>
    <w:rsid w:val="005778A1"/>
    <w:rsid w:val="00577991"/>
    <w:rsid w:val="00577BD7"/>
    <w:rsid w:val="005807F0"/>
    <w:rsid w:val="0058096B"/>
    <w:rsid w:val="00580E81"/>
    <w:rsid w:val="00581191"/>
    <w:rsid w:val="00581412"/>
    <w:rsid w:val="0058142B"/>
    <w:rsid w:val="00581575"/>
    <w:rsid w:val="0058187C"/>
    <w:rsid w:val="00581B0A"/>
    <w:rsid w:val="00581EFB"/>
    <w:rsid w:val="0058255E"/>
    <w:rsid w:val="00582EF1"/>
    <w:rsid w:val="00582F12"/>
    <w:rsid w:val="00582F65"/>
    <w:rsid w:val="005835F1"/>
    <w:rsid w:val="00583E29"/>
    <w:rsid w:val="00583FB8"/>
    <w:rsid w:val="005841CF"/>
    <w:rsid w:val="00584793"/>
    <w:rsid w:val="00584992"/>
    <w:rsid w:val="0058524C"/>
    <w:rsid w:val="00585488"/>
    <w:rsid w:val="00585B42"/>
    <w:rsid w:val="0058652C"/>
    <w:rsid w:val="00586B39"/>
    <w:rsid w:val="00586DFB"/>
    <w:rsid w:val="00586EB2"/>
    <w:rsid w:val="0058738B"/>
    <w:rsid w:val="0058791A"/>
    <w:rsid w:val="00587C3F"/>
    <w:rsid w:val="00587C97"/>
    <w:rsid w:val="00590049"/>
    <w:rsid w:val="005905FB"/>
    <w:rsid w:val="00590610"/>
    <w:rsid w:val="00591580"/>
    <w:rsid w:val="00591658"/>
    <w:rsid w:val="0059236E"/>
    <w:rsid w:val="0059251E"/>
    <w:rsid w:val="0059343C"/>
    <w:rsid w:val="005934F9"/>
    <w:rsid w:val="00593952"/>
    <w:rsid w:val="00593FF3"/>
    <w:rsid w:val="0059410B"/>
    <w:rsid w:val="00594507"/>
    <w:rsid w:val="00594A7C"/>
    <w:rsid w:val="00594C3B"/>
    <w:rsid w:val="00594E4E"/>
    <w:rsid w:val="005953D7"/>
    <w:rsid w:val="005954E2"/>
    <w:rsid w:val="00595674"/>
    <w:rsid w:val="0059579F"/>
    <w:rsid w:val="00595992"/>
    <w:rsid w:val="00595B01"/>
    <w:rsid w:val="00595D85"/>
    <w:rsid w:val="005960B1"/>
    <w:rsid w:val="0059626D"/>
    <w:rsid w:val="00596C65"/>
    <w:rsid w:val="00597114"/>
    <w:rsid w:val="00597163"/>
    <w:rsid w:val="005972F0"/>
    <w:rsid w:val="005974D4"/>
    <w:rsid w:val="0059762C"/>
    <w:rsid w:val="00597F4F"/>
    <w:rsid w:val="005A0015"/>
    <w:rsid w:val="005A0C7F"/>
    <w:rsid w:val="005A1202"/>
    <w:rsid w:val="005A1703"/>
    <w:rsid w:val="005A1F63"/>
    <w:rsid w:val="005A2403"/>
    <w:rsid w:val="005A2B86"/>
    <w:rsid w:val="005A2C79"/>
    <w:rsid w:val="005A360E"/>
    <w:rsid w:val="005A3B43"/>
    <w:rsid w:val="005A3B8D"/>
    <w:rsid w:val="005A3D3F"/>
    <w:rsid w:val="005A4246"/>
    <w:rsid w:val="005A426F"/>
    <w:rsid w:val="005A42E1"/>
    <w:rsid w:val="005A4716"/>
    <w:rsid w:val="005A50CB"/>
    <w:rsid w:val="005A595A"/>
    <w:rsid w:val="005A5AD4"/>
    <w:rsid w:val="005A6116"/>
    <w:rsid w:val="005A617B"/>
    <w:rsid w:val="005A6544"/>
    <w:rsid w:val="005A676E"/>
    <w:rsid w:val="005A6ECA"/>
    <w:rsid w:val="005A6F7C"/>
    <w:rsid w:val="005A70B4"/>
    <w:rsid w:val="005A72C2"/>
    <w:rsid w:val="005A7414"/>
    <w:rsid w:val="005B021C"/>
    <w:rsid w:val="005B0518"/>
    <w:rsid w:val="005B09F5"/>
    <w:rsid w:val="005B0A02"/>
    <w:rsid w:val="005B0F45"/>
    <w:rsid w:val="005B0F5D"/>
    <w:rsid w:val="005B0F87"/>
    <w:rsid w:val="005B17A9"/>
    <w:rsid w:val="005B1D26"/>
    <w:rsid w:val="005B25E1"/>
    <w:rsid w:val="005B2C79"/>
    <w:rsid w:val="005B319B"/>
    <w:rsid w:val="005B31D5"/>
    <w:rsid w:val="005B33C5"/>
    <w:rsid w:val="005B359F"/>
    <w:rsid w:val="005B385A"/>
    <w:rsid w:val="005B387C"/>
    <w:rsid w:val="005B393D"/>
    <w:rsid w:val="005B3A10"/>
    <w:rsid w:val="005B4007"/>
    <w:rsid w:val="005B43AB"/>
    <w:rsid w:val="005B4409"/>
    <w:rsid w:val="005B4B3E"/>
    <w:rsid w:val="005B4CF2"/>
    <w:rsid w:val="005B4EA7"/>
    <w:rsid w:val="005B5262"/>
    <w:rsid w:val="005B59AA"/>
    <w:rsid w:val="005B5A5F"/>
    <w:rsid w:val="005B5DCF"/>
    <w:rsid w:val="005B5FBF"/>
    <w:rsid w:val="005B6730"/>
    <w:rsid w:val="005B681D"/>
    <w:rsid w:val="005B6856"/>
    <w:rsid w:val="005B6AC7"/>
    <w:rsid w:val="005B6CE5"/>
    <w:rsid w:val="005B6EDE"/>
    <w:rsid w:val="005B7113"/>
    <w:rsid w:val="005B711A"/>
    <w:rsid w:val="005C06EB"/>
    <w:rsid w:val="005C070D"/>
    <w:rsid w:val="005C0B27"/>
    <w:rsid w:val="005C0F8D"/>
    <w:rsid w:val="005C11FF"/>
    <w:rsid w:val="005C2162"/>
    <w:rsid w:val="005C245D"/>
    <w:rsid w:val="005C2858"/>
    <w:rsid w:val="005C296F"/>
    <w:rsid w:val="005C2CEA"/>
    <w:rsid w:val="005C2F4A"/>
    <w:rsid w:val="005C313C"/>
    <w:rsid w:val="005C3B20"/>
    <w:rsid w:val="005C3B4C"/>
    <w:rsid w:val="005C3C5A"/>
    <w:rsid w:val="005C42BA"/>
    <w:rsid w:val="005C4495"/>
    <w:rsid w:val="005C5791"/>
    <w:rsid w:val="005C5857"/>
    <w:rsid w:val="005C5DF6"/>
    <w:rsid w:val="005C5E8F"/>
    <w:rsid w:val="005C6033"/>
    <w:rsid w:val="005C637B"/>
    <w:rsid w:val="005C6396"/>
    <w:rsid w:val="005C6478"/>
    <w:rsid w:val="005C64CD"/>
    <w:rsid w:val="005C6656"/>
    <w:rsid w:val="005C667F"/>
    <w:rsid w:val="005C681B"/>
    <w:rsid w:val="005C681D"/>
    <w:rsid w:val="005C7052"/>
    <w:rsid w:val="005C7462"/>
    <w:rsid w:val="005C7CD4"/>
    <w:rsid w:val="005D010D"/>
    <w:rsid w:val="005D0706"/>
    <w:rsid w:val="005D09E1"/>
    <w:rsid w:val="005D0D74"/>
    <w:rsid w:val="005D103E"/>
    <w:rsid w:val="005D10EC"/>
    <w:rsid w:val="005D124A"/>
    <w:rsid w:val="005D12F3"/>
    <w:rsid w:val="005D1555"/>
    <w:rsid w:val="005D17A0"/>
    <w:rsid w:val="005D1E85"/>
    <w:rsid w:val="005D2425"/>
    <w:rsid w:val="005D262E"/>
    <w:rsid w:val="005D28C0"/>
    <w:rsid w:val="005D2BF7"/>
    <w:rsid w:val="005D2DCF"/>
    <w:rsid w:val="005D310D"/>
    <w:rsid w:val="005D3593"/>
    <w:rsid w:val="005D3F03"/>
    <w:rsid w:val="005D3FE8"/>
    <w:rsid w:val="005D403E"/>
    <w:rsid w:val="005D4065"/>
    <w:rsid w:val="005D4140"/>
    <w:rsid w:val="005D4A6C"/>
    <w:rsid w:val="005D4EE5"/>
    <w:rsid w:val="005D527C"/>
    <w:rsid w:val="005D5F92"/>
    <w:rsid w:val="005D67EF"/>
    <w:rsid w:val="005D6AA3"/>
    <w:rsid w:val="005D787D"/>
    <w:rsid w:val="005D7D40"/>
    <w:rsid w:val="005D7DC4"/>
    <w:rsid w:val="005E01A9"/>
    <w:rsid w:val="005E0212"/>
    <w:rsid w:val="005E04CC"/>
    <w:rsid w:val="005E0AF3"/>
    <w:rsid w:val="005E0FA9"/>
    <w:rsid w:val="005E11B9"/>
    <w:rsid w:val="005E201C"/>
    <w:rsid w:val="005E275F"/>
    <w:rsid w:val="005E3187"/>
    <w:rsid w:val="005E3613"/>
    <w:rsid w:val="005E3F33"/>
    <w:rsid w:val="005E41C6"/>
    <w:rsid w:val="005E45DC"/>
    <w:rsid w:val="005E46B7"/>
    <w:rsid w:val="005E4743"/>
    <w:rsid w:val="005E474E"/>
    <w:rsid w:val="005E4D41"/>
    <w:rsid w:val="005E53C0"/>
    <w:rsid w:val="005E55BA"/>
    <w:rsid w:val="005E5B40"/>
    <w:rsid w:val="005E5F14"/>
    <w:rsid w:val="005E5F6D"/>
    <w:rsid w:val="005E6015"/>
    <w:rsid w:val="005E62CB"/>
    <w:rsid w:val="005E6421"/>
    <w:rsid w:val="005E67F5"/>
    <w:rsid w:val="005E69DB"/>
    <w:rsid w:val="005E6B30"/>
    <w:rsid w:val="005E6E4E"/>
    <w:rsid w:val="005E6ECC"/>
    <w:rsid w:val="005E6FF9"/>
    <w:rsid w:val="005E71D8"/>
    <w:rsid w:val="005F0040"/>
    <w:rsid w:val="005F061A"/>
    <w:rsid w:val="005F07A5"/>
    <w:rsid w:val="005F07F9"/>
    <w:rsid w:val="005F0CA1"/>
    <w:rsid w:val="005F1686"/>
    <w:rsid w:val="005F170D"/>
    <w:rsid w:val="005F1FB6"/>
    <w:rsid w:val="005F24AC"/>
    <w:rsid w:val="005F256B"/>
    <w:rsid w:val="005F2752"/>
    <w:rsid w:val="005F2917"/>
    <w:rsid w:val="005F2BDE"/>
    <w:rsid w:val="005F2BEA"/>
    <w:rsid w:val="005F3613"/>
    <w:rsid w:val="005F3EBD"/>
    <w:rsid w:val="005F3F26"/>
    <w:rsid w:val="005F45E5"/>
    <w:rsid w:val="005F464E"/>
    <w:rsid w:val="005F4C64"/>
    <w:rsid w:val="005F4CB1"/>
    <w:rsid w:val="005F4ECE"/>
    <w:rsid w:val="005F5801"/>
    <w:rsid w:val="005F582A"/>
    <w:rsid w:val="005F5976"/>
    <w:rsid w:val="005F6033"/>
    <w:rsid w:val="005F68F6"/>
    <w:rsid w:val="005F6BF3"/>
    <w:rsid w:val="005F6C72"/>
    <w:rsid w:val="005F74C8"/>
    <w:rsid w:val="005F7699"/>
    <w:rsid w:val="005F781B"/>
    <w:rsid w:val="005F7A01"/>
    <w:rsid w:val="0060049D"/>
    <w:rsid w:val="00600509"/>
    <w:rsid w:val="00600747"/>
    <w:rsid w:val="006007CC"/>
    <w:rsid w:val="00600AEE"/>
    <w:rsid w:val="00600FF4"/>
    <w:rsid w:val="006011FC"/>
    <w:rsid w:val="006013A2"/>
    <w:rsid w:val="00601C80"/>
    <w:rsid w:val="00601D23"/>
    <w:rsid w:val="00601D4E"/>
    <w:rsid w:val="00601E55"/>
    <w:rsid w:val="0060224E"/>
    <w:rsid w:val="00602398"/>
    <w:rsid w:val="00602623"/>
    <w:rsid w:val="00602E25"/>
    <w:rsid w:val="006030F3"/>
    <w:rsid w:val="00603351"/>
    <w:rsid w:val="00603488"/>
    <w:rsid w:val="0060393E"/>
    <w:rsid w:val="00603A57"/>
    <w:rsid w:val="00604693"/>
    <w:rsid w:val="00604949"/>
    <w:rsid w:val="00604A8A"/>
    <w:rsid w:val="00604BF5"/>
    <w:rsid w:val="00604CA8"/>
    <w:rsid w:val="0060642F"/>
    <w:rsid w:val="00606460"/>
    <w:rsid w:val="00606497"/>
    <w:rsid w:val="006064CA"/>
    <w:rsid w:val="006067E8"/>
    <w:rsid w:val="006071D6"/>
    <w:rsid w:val="006072E5"/>
    <w:rsid w:val="00607C38"/>
    <w:rsid w:val="00607D8D"/>
    <w:rsid w:val="00607EF1"/>
    <w:rsid w:val="00607F79"/>
    <w:rsid w:val="006109FC"/>
    <w:rsid w:val="00610B35"/>
    <w:rsid w:val="00610D8C"/>
    <w:rsid w:val="00611287"/>
    <w:rsid w:val="006112EF"/>
    <w:rsid w:val="00611691"/>
    <w:rsid w:val="00611787"/>
    <w:rsid w:val="006117D9"/>
    <w:rsid w:val="00611C9A"/>
    <w:rsid w:val="00611F6B"/>
    <w:rsid w:val="006120C5"/>
    <w:rsid w:val="006120F5"/>
    <w:rsid w:val="006121DC"/>
    <w:rsid w:val="00612347"/>
    <w:rsid w:val="0061244E"/>
    <w:rsid w:val="00612B35"/>
    <w:rsid w:val="00612E8D"/>
    <w:rsid w:val="006135C7"/>
    <w:rsid w:val="0061372E"/>
    <w:rsid w:val="006137CA"/>
    <w:rsid w:val="006138F9"/>
    <w:rsid w:val="00613C8B"/>
    <w:rsid w:val="00613E48"/>
    <w:rsid w:val="0061402E"/>
    <w:rsid w:val="006140E4"/>
    <w:rsid w:val="00614249"/>
    <w:rsid w:val="00614559"/>
    <w:rsid w:val="00614EAF"/>
    <w:rsid w:val="00615602"/>
    <w:rsid w:val="0061591D"/>
    <w:rsid w:val="00615E25"/>
    <w:rsid w:val="00615FC5"/>
    <w:rsid w:val="00616687"/>
    <w:rsid w:val="00616942"/>
    <w:rsid w:val="00617353"/>
    <w:rsid w:val="00617B9B"/>
    <w:rsid w:val="00620066"/>
    <w:rsid w:val="0062037F"/>
    <w:rsid w:val="006206F3"/>
    <w:rsid w:val="006207B1"/>
    <w:rsid w:val="00620857"/>
    <w:rsid w:val="006209C4"/>
    <w:rsid w:val="00620A4B"/>
    <w:rsid w:val="00620BF4"/>
    <w:rsid w:val="00620E8A"/>
    <w:rsid w:val="006211E1"/>
    <w:rsid w:val="006211FD"/>
    <w:rsid w:val="00621217"/>
    <w:rsid w:val="00621654"/>
    <w:rsid w:val="0062207A"/>
    <w:rsid w:val="0062269B"/>
    <w:rsid w:val="00622D3B"/>
    <w:rsid w:val="00622D8C"/>
    <w:rsid w:val="006232A9"/>
    <w:rsid w:val="006237FA"/>
    <w:rsid w:val="006247BA"/>
    <w:rsid w:val="00624865"/>
    <w:rsid w:val="00624973"/>
    <w:rsid w:val="0062542B"/>
    <w:rsid w:val="006255BE"/>
    <w:rsid w:val="0062587C"/>
    <w:rsid w:val="00625EF0"/>
    <w:rsid w:val="0062657D"/>
    <w:rsid w:val="00626B48"/>
    <w:rsid w:val="0062735A"/>
    <w:rsid w:val="00627587"/>
    <w:rsid w:val="00627833"/>
    <w:rsid w:val="006278B7"/>
    <w:rsid w:val="00627A25"/>
    <w:rsid w:val="00627A70"/>
    <w:rsid w:val="00627CDE"/>
    <w:rsid w:val="00627F09"/>
    <w:rsid w:val="00630001"/>
    <w:rsid w:val="0063024B"/>
    <w:rsid w:val="00630479"/>
    <w:rsid w:val="006304D7"/>
    <w:rsid w:val="0063056E"/>
    <w:rsid w:val="006306CA"/>
    <w:rsid w:val="006306FA"/>
    <w:rsid w:val="00630C07"/>
    <w:rsid w:val="00630E8A"/>
    <w:rsid w:val="006310C3"/>
    <w:rsid w:val="00631D29"/>
    <w:rsid w:val="00631FEF"/>
    <w:rsid w:val="006322AC"/>
    <w:rsid w:val="00632377"/>
    <w:rsid w:val="00632A4B"/>
    <w:rsid w:val="00632AD5"/>
    <w:rsid w:val="00632B21"/>
    <w:rsid w:val="00632CEB"/>
    <w:rsid w:val="00632FA9"/>
    <w:rsid w:val="0063329A"/>
    <w:rsid w:val="00633670"/>
    <w:rsid w:val="00633D7B"/>
    <w:rsid w:val="00633E29"/>
    <w:rsid w:val="006349E2"/>
    <w:rsid w:val="00634F41"/>
    <w:rsid w:val="0063582F"/>
    <w:rsid w:val="00635B99"/>
    <w:rsid w:val="00635ECE"/>
    <w:rsid w:val="006363A8"/>
    <w:rsid w:val="006363BE"/>
    <w:rsid w:val="006363C8"/>
    <w:rsid w:val="00636BD0"/>
    <w:rsid w:val="00636C8C"/>
    <w:rsid w:val="00636D61"/>
    <w:rsid w:val="00637675"/>
    <w:rsid w:val="00637AFB"/>
    <w:rsid w:val="00637B3B"/>
    <w:rsid w:val="00637C20"/>
    <w:rsid w:val="00637E25"/>
    <w:rsid w:val="00640225"/>
    <w:rsid w:val="0064024C"/>
    <w:rsid w:val="00640B3F"/>
    <w:rsid w:val="00640B86"/>
    <w:rsid w:val="00640CBE"/>
    <w:rsid w:val="00640F52"/>
    <w:rsid w:val="006413FA"/>
    <w:rsid w:val="00641714"/>
    <w:rsid w:val="00641AC5"/>
    <w:rsid w:val="00641C84"/>
    <w:rsid w:val="00641C88"/>
    <w:rsid w:val="00641E97"/>
    <w:rsid w:val="00641FFF"/>
    <w:rsid w:val="0064200F"/>
    <w:rsid w:val="00642386"/>
    <w:rsid w:val="00642A40"/>
    <w:rsid w:val="00643218"/>
    <w:rsid w:val="00643327"/>
    <w:rsid w:val="0064339B"/>
    <w:rsid w:val="00644282"/>
    <w:rsid w:val="00644707"/>
    <w:rsid w:val="00644989"/>
    <w:rsid w:val="00644A7C"/>
    <w:rsid w:val="00644BEC"/>
    <w:rsid w:val="00644C15"/>
    <w:rsid w:val="00644E42"/>
    <w:rsid w:val="006455CE"/>
    <w:rsid w:val="006462E9"/>
    <w:rsid w:val="006465F8"/>
    <w:rsid w:val="00646A46"/>
    <w:rsid w:val="00646BD4"/>
    <w:rsid w:val="00646CEF"/>
    <w:rsid w:val="00646FDA"/>
    <w:rsid w:val="006470B6"/>
    <w:rsid w:val="00647662"/>
    <w:rsid w:val="006477CF"/>
    <w:rsid w:val="0064784D"/>
    <w:rsid w:val="00647914"/>
    <w:rsid w:val="00647B9B"/>
    <w:rsid w:val="00647BFE"/>
    <w:rsid w:val="00647E73"/>
    <w:rsid w:val="006500B1"/>
    <w:rsid w:val="006502FC"/>
    <w:rsid w:val="00650610"/>
    <w:rsid w:val="00650954"/>
    <w:rsid w:val="00650B42"/>
    <w:rsid w:val="00650E02"/>
    <w:rsid w:val="0065107B"/>
    <w:rsid w:val="00651979"/>
    <w:rsid w:val="006519F4"/>
    <w:rsid w:val="00651C29"/>
    <w:rsid w:val="00651FAC"/>
    <w:rsid w:val="00651FED"/>
    <w:rsid w:val="0065205C"/>
    <w:rsid w:val="0065215F"/>
    <w:rsid w:val="00652666"/>
    <w:rsid w:val="006529AC"/>
    <w:rsid w:val="00652A1F"/>
    <w:rsid w:val="0065306A"/>
    <w:rsid w:val="00653407"/>
    <w:rsid w:val="0065357A"/>
    <w:rsid w:val="00653CAF"/>
    <w:rsid w:val="00654B17"/>
    <w:rsid w:val="00654E0E"/>
    <w:rsid w:val="00654EFF"/>
    <w:rsid w:val="00655663"/>
    <w:rsid w:val="0065593B"/>
    <w:rsid w:val="00655B6C"/>
    <w:rsid w:val="0065620D"/>
    <w:rsid w:val="006563EF"/>
    <w:rsid w:val="0065665A"/>
    <w:rsid w:val="00656680"/>
    <w:rsid w:val="00656820"/>
    <w:rsid w:val="006570CD"/>
    <w:rsid w:val="006574FD"/>
    <w:rsid w:val="00657C2B"/>
    <w:rsid w:val="006601FF"/>
    <w:rsid w:val="006607FF"/>
    <w:rsid w:val="0066084C"/>
    <w:rsid w:val="006608E7"/>
    <w:rsid w:val="006608EF"/>
    <w:rsid w:val="006609E5"/>
    <w:rsid w:val="00660CF8"/>
    <w:rsid w:val="00660D08"/>
    <w:rsid w:val="006610A0"/>
    <w:rsid w:val="006610D4"/>
    <w:rsid w:val="00661353"/>
    <w:rsid w:val="0066164D"/>
    <w:rsid w:val="00661657"/>
    <w:rsid w:val="006619F9"/>
    <w:rsid w:val="00662035"/>
    <w:rsid w:val="00662761"/>
    <w:rsid w:val="00662E2B"/>
    <w:rsid w:val="006635E6"/>
    <w:rsid w:val="00664663"/>
    <w:rsid w:val="00664D10"/>
    <w:rsid w:val="00664DB9"/>
    <w:rsid w:val="00664EF5"/>
    <w:rsid w:val="006653B3"/>
    <w:rsid w:val="006655B4"/>
    <w:rsid w:val="00665B72"/>
    <w:rsid w:val="00665CB8"/>
    <w:rsid w:val="00665CFC"/>
    <w:rsid w:val="00665DCC"/>
    <w:rsid w:val="00666046"/>
    <w:rsid w:val="006660BF"/>
    <w:rsid w:val="00666A2D"/>
    <w:rsid w:val="00667199"/>
    <w:rsid w:val="00667312"/>
    <w:rsid w:val="00667479"/>
    <w:rsid w:val="00667A81"/>
    <w:rsid w:val="00667F2F"/>
    <w:rsid w:val="00667FBD"/>
    <w:rsid w:val="0067097D"/>
    <w:rsid w:val="006709D8"/>
    <w:rsid w:val="006711E4"/>
    <w:rsid w:val="0067170F"/>
    <w:rsid w:val="006717A4"/>
    <w:rsid w:val="0067209D"/>
    <w:rsid w:val="006721CA"/>
    <w:rsid w:val="006726AB"/>
    <w:rsid w:val="006727F0"/>
    <w:rsid w:val="0067284C"/>
    <w:rsid w:val="00672E53"/>
    <w:rsid w:val="00673081"/>
    <w:rsid w:val="0067313E"/>
    <w:rsid w:val="0067334C"/>
    <w:rsid w:val="00673888"/>
    <w:rsid w:val="006741EF"/>
    <w:rsid w:val="006744BA"/>
    <w:rsid w:val="006747A3"/>
    <w:rsid w:val="006748AB"/>
    <w:rsid w:val="00674936"/>
    <w:rsid w:val="00674BE5"/>
    <w:rsid w:val="00675DA9"/>
    <w:rsid w:val="00676254"/>
    <w:rsid w:val="006764FB"/>
    <w:rsid w:val="0067665E"/>
    <w:rsid w:val="00677055"/>
    <w:rsid w:val="00677584"/>
    <w:rsid w:val="00677DCA"/>
    <w:rsid w:val="006802D8"/>
    <w:rsid w:val="0068058A"/>
    <w:rsid w:val="006805C2"/>
    <w:rsid w:val="00680960"/>
    <w:rsid w:val="006809E5"/>
    <w:rsid w:val="00680CDA"/>
    <w:rsid w:val="00680DBE"/>
    <w:rsid w:val="00680E31"/>
    <w:rsid w:val="00680E75"/>
    <w:rsid w:val="006814C7"/>
    <w:rsid w:val="00681FF7"/>
    <w:rsid w:val="00682276"/>
    <w:rsid w:val="00682566"/>
    <w:rsid w:val="00682F63"/>
    <w:rsid w:val="00683008"/>
    <w:rsid w:val="00683E28"/>
    <w:rsid w:val="006840DB"/>
    <w:rsid w:val="006842AD"/>
    <w:rsid w:val="00685C98"/>
    <w:rsid w:val="00686877"/>
    <w:rsid w:val="00686887"/>
    <w:rsid w:val="00686A32"/>
    <w:rsid w:val="00686B92"/>
    <w:rsid w:val="00687E4F"/>
    <w:rsid w:val="0069059E"/>
    <w:rsid w:val="006907B2"/>
    <w:rsid w:val="006907FB"/>
    <w:rsid w:val="006916E1"/>
    <w:rsid w:val="0069235C"/>
    <w:rsid w:val="006923B9"/>
    <w:rsid w:val="00692A91"/>
    <w:rsid w:val="00692ABB"/>
    <w:rsid w:val="00692BB2"/>
    <w:rsid w:val="00692DB4"/>
    <w:rsid w:val="00692E87"/>
    <w:rsid w:val="00692EE5"/>
    <w:rsid w:val="00693034"/>
    <w:rsid w:val="0069308B"/>
    <w:rsid w:val="00693452"/>
    <w:rsid w:val="00693A94"/>
    <w:rsid w:val="00693D72"/>
    <w:rsid w:val="00694AB2"/>
    <w:rsid w:val="00694C27"/>
    <w:rsid w:val="00694C8B"/>
    <w:rsid w:val="0069530A"/>
    <w:rsid w:val="00695451"/>
    <w:rsid w:val="00695A28"/>
    <w:rsid w:val="00695FF1"/>
    <w:rsid w:val="00696018"/>
    <w:rsid w:val="00696724"/>
    <w:rsid w:val="0069697C"/>
    <w:rsid w:val="00696A5F"/>
    <w:rsid w:val="00696B5A"/>
    <w:rsid w:val="00696CA5"/>
    <w:rsid w:val="00696FF9"/>
    <w:rsid w:val="006971EB"/>
    <w:rsid w:val="0069772B"/>
    <w:rsid w:val="00697733"/>
    <w:rsid w:val="00697E38"/>
    <w:rsid w:val="006A01BE"/>
    <w:rsid w:val="006A029D"/>
    <w:rsid w:val="006A0A6C"/>
    <w:rsid w:val="006A0C41"/>
    <w:rsid w:val="006A0D1F"/>
    <w:rsid w:val="006A0F0F"/>
    <w:rsid w:val="006A0FE3"/>
    <w:rsid w:val="006A1370"/>
    <w:rsid w:val="006A18FE"/>
    <w:rsid w:val="006A1AF6"/>
    <w:rsid w:val="006A1B37"/>
    <w:rsid w:val="006A1D57"/>
    <w:rsid w:val="006A1E61"/>
    <w:rsid w:val="006A2200"/>
    <w:rsid w:val="006A249F"/>
    <w:rsid w:val="006A24EF"/>
    <w:rsid w:val="006A2736"/>
    <w:rsid w:val="006A2E84"/>
    <w:rsid w:val="006A37B8"/>
    <w:rsid w:val="006A3A55"/>
    <w:rsid w:val="006A3BA9"/>
    <w:rsid w:val="006A4397"/>
    <w:rsid w:val="006A43FC"/>
    <w:rsid w:val="006A4A9A"/>
    <w:rsid w:val="006A50F2"/>
    <w:rsid w:val="006A59C1"/>
    <w:rsid w:val="006A5BCB"/>
    <w:rsid w:val="006A6350"/>
    <w:rsid w:val="006A65C6"/>
    <w:rsid w:val="006A69D7"/>
    <w:rsid w:val="006A6ACF"/>
    <w:rsid w:val="006A6FE6"/>
    <w:rsid w:val="006A71BD"/>
    <w:rsid w:val="006A7353"/>
    <w:rsid w:val="006A75B9"/>
    <w:rsid w:val="006A7752"/>
    <w:rsid w:val="006A7FB3"/>
    <w:rsid w:val="006B000B"/>
    <w:rsid w:val="006B099E"/>
    <w:rsid w:val="006B1147"/>
    <w:rsid w:val="006B18B9"/>
    <w:rsid w:val="006B1AD9"/>
    <w:rsid w:val="006B249E"/>
    <w:rsid w:val="006B24AD"/>
    <w:rsid w:val="006B27FD"/>
    <w:rsid w:val="006B284A"/>
    <w:rsid w:val="006B2D63"/>
    <w:rsid w:val="006B2EA2"/>
    <w:rsid w:val="006B347B"/>
    <w:rsid w:val="006B390B"/>
    <w:rsid w:val="006B3A7F"/>
    <w:rsid w:val="006B3F51"/>
    <w:rsid w:val="006B42DE"/>
    <w:rsid w:val="006B4348"/>
    <w:rsid w:val="006B4526"/>
    <w:rsid w:val="006B4C12"/>
    <w:rsid w:val="006B5056"/>
    <w:rsid w:val="006B5391"/>
    <w:rsid w:val="006B59B1"/>
    <w:rsid w:val="006B5D93"/>
    <w:rsid w:val="006B5E4C"/>
    <w:rsid w:val="006B628B"/>
    <w:rsid w:val="006B63F2"/>
    <w:rsid w:val="006B672D"/>
    <w:rsid w:val="006B6A27"/>
    <w:rsid w:val="006B6E23"/>
    <w:rsid w:val="006B6ECE"/>
    <w:rsid w:val="006B70C5"/>
    <w:rsid w:val="006B73A3"/>
    <w:rsid w:val="006B745F"/>
    <w:rsid w:val="006B780F"/>
    <w:rsid w:val="006B7C97"/>
    <w:rsid w:val="006C041E"/>
    <w:rsid w:val="006C0474"/>
    <w:rsid w:val="006C070F"/>
    <w:rsid w:val="006C0B05"/>
    <w:rsid w:val="006C0B49"/>
    <w:rsid w:val="006C1013"/>
    <w:rsid w:val="006C16E4"/>
    <w:rsid w:val="006C1C54"/>
    <w:rsid w:val="006C22B7"/>
    <w:rsid w:val="006C2392"/>
    <w:rsid w:val="006C2606"/>
    <w:rsid w:val="006C265A"/>
    <w:rsid w:val="006C26B5"/>
    <w:rsid w:val="006C2791"/>
    <w:rsid w:val="006C28E0"/>
    <w:rsid w:val="006C2B5E"/>
    <w:rsid w:val="006C2BF0"/>
    <w:rsid w:val="006C2DF2"/>
    <w:rsid w:val="006C38AB"/>
    <w:rsid w:val="006C40F1"/>
    <w:rsid w:val="006C4380"/>
    <w:rsid w:val="006C4BC3"/>
    <w:rsid w:val="006C4C3A"/>
    <w:rsid w:val="006C4CFF"/>
    <w:rsid w:val="006C5430"/>
    <w:rsid w:val="006C5E80"/>
    <w:rsid w:val="006C605A"/>
    <w:rsid w:val="006C62D6"/>
    <w:rsid w:val="006C63A3"/>
    <w:rsid w:val="006C712A"/>
    <w:rsid w:val="006C7378"/>
    <w:rsid w:val="006C7980"/>
    <w:rsid w:val="006C7A03"/>
    <w:rsid w:val="006C7D47"/>
    <w:rsid w:val="006D02E3"/>
    <w:rsid w:val="006D08CB"/>
    <w:rsid w:val="006D099B"/>
    <w:rsid w:val="006D0BE2"/>
    <w:rsid w:val="006D0CDE"/>
    <w:rsid w:val="006D0E65"/>
    <w:rsid w:val="006D107C"/>
    <w:rsid w:val="006D10E9"/>
    <w:rsid w:val="006D1503"/>
    <w:rsid w:val="006D1B52"/>
    <w:rsid w:val="006D20F4"/>
    <w:rsid w:val="006D2316"/>
    <w:rsid w:val="006D2518"/>
    <w:rsid w:val="006D28A9"/>
    <w:rsid w:val="006D29D3"/>
    <w:rsid w:val="006D3EF5"/>
    <w:rsid w:val="006D3F62"/>
    <w:rsid w:val="006D47EB"/>
    <w:rsid w:val="006D5092"/>
    <w:rsid w:val="006D579E"/>
    <w:rsid w:val="006D5CD9"/>
    <w:rsid w:val="006D5D5A"/>
    <w:rsid w:val="006D5E4F"/>
    <w:rsid w:val="006D5E7C"/>
    <w:rsid w:val="006D61C7"/>
    <w:rsid w:val="006D6648"/>
    <w:rsid w:val="006D677F"/>
    <w:rsid w:val="006D6A81"/>
    <w:rsid w:val="006D77F1"/>
    <w:rsid w:val="006D7A37"/>
    <w:rsid w:val="006E0040"/>
    <w:rsid w:val="006E0328"/>
    <w:rsid w:val="006E03CB"/>
    <w:rsid w:val="006E0D77"/>
    <w:rsid w:val="006E0D78"/>
    <w:rsid w:val="006E0EF7"/>
    <w:rsid w:val="006E1210"/>
    <w:rsid w:val="006E1262"/>
    <w:rsid w:val="006E1310"/>
    <w:rsid w:val="006E135A"/>
    <w:rsid w:val="006E14F6"/>
    <w:rsid w:val="006E1862"/>
    <w:rsid w:val="006E1965"/>
    <w:rsid w:val="006E1C74"/>
    <w:rsid w:val="006E317A"/>
    <w:rsid w:val="006E3253"/>
    <w:rsid w:val="006E395B"/>
    <w:rsid w:val="006E3AFE"/>
    <w:rsid w:val="006E4098"/>
    <w:rsid w:val="006E4C5D"/>
    <w:rsid w:val="006E4D58"/>
    <w:rsid w:val="006E5390"/>
    <w:rsid w:val="006E546B"/>
    <w:rsid w:val="006E5719"/>
    <w:rsid w:val="006E5964"/>
    <w:rsid w:val="006E5AF3"/>
    <w:rsid w:val="006E5DC3"/>
    <w:rsid w:val="006E6439"/>
    <w:rsid w:val="006E64EE"/>
    <w:rsid w:val="006E65DC"/>
    <w:rsid w:val="006E6A59"/>
    <w:rsid w:val="006E6D06"/>
    <w:rsid w:val="006E6D66"/>
    <w:rsid w:val="006E72C6"/>
    <w:rsid w:val="006E73C8"/>
    <w:rsid w:val="006E74A6"/>
    <w:rsid w:val="006E7899"/>
    <w:rsid w:val="006F0067"/>
    <w:rsid w:val="006F068F"/>
    <w:rsid w:val="006F16B9"/>
    <w:rsid w:val="006F19EE"/>
    <w:rsid w:val="006F1D26"/>
    <w:rsid w:val="006F1DB9"/>
    <w:rsid w:val="006F3492"/>
    <w:rsid w:val="006F357C"/>
    <w:rsid w:val="006F3E08"/>
    <w:rsid w:val="006F432B"/>
    <w:rsid w:val="006F4492"/>
    <w:rsid w:val="006F457C"/>
    <w:rsid w:val="006F5042"/>
    <w:rsid w:val="006F513C"/>
    <w:rsid w:val="006F523D"/>
    <w:rsid w:val="006F5A21"/>
    <w:rsid w:val="006F605C"/>
    <w:rsid w:val="006F61EA"/>
    <w:rsid w:val="006F6740"/>
    <w:rsid w:val="006F6F08"/>
    <w:rsid w:val="006F6F31"/>
    <w:rsid w:val="006F7165"/>
    <w:rsid w:val="006F7393"/>
    <w:rsid w:val="006F7625"/>
    <w:rsid w:val="006F76CC"/>
    <w:rsid w:val="006F793F"/>
    <w:rsid w:val="006F7984"/>
    <w:rsid w:val="006F7E17"/>
    <w:rsid w:val="0070041E"/>
    <w:rsid w:val="00700590"/>
    <w:rsid w:val="007008FF"/>
    <w:rsid w:val="007009ED"/>
    <w:rsid w:val="00700D8F"/>
    <w:rsid w:val="007012E4"/>
    <w:rsid w:val="00701311"/>
    <w:rsid w:val="0070168C"/>
    <w:rsid w:val="007027A3"/>
    <w:rsid w:val="0070283D"/>
    <w:rsid w:val="00702F98"/>
    <w:rsid w:val="00702FB2"/>
    <w:rsid w:val="0070347C"/>
    <w:rsid w:val="007034AC"/>
    <w:rsid w:val="007036D4"/>
    <w:rsid w:val="00703EF8"/>
    <w:rsid w:val="00703FD1"/>
    <w:rsid w:val="007044EB"/>
    <w:rsid w:val="0070454F"/>
    <w:rsid w:val="007048FD"/>
    <w:rsid w:val="00704A3C"/>
    <w:rsid w:val="00704FA6"/>
    <w:rsid w:val="007053D7"/>
    <w:rsid w:val="00705A1E"/>
    <w:rsid w:val="00705B4C"/>
    <w:rsid w:val="00705D5A"/>
    <w:rsid w:val="00705DB9"/>
    <w:rsid w:val="0070607C"/>
    <w:rsid w:val="0070697E"/>
    <w:rsid w:val="00707255"/>
    <w:rsid w:val="00707E82"/>
    <w:rsid w:val="00707FCA"/>
    <w:rsid w:val="00710729"/>
    <w:rsid w:val="0071081C"/>
    <w:rsid w:val="00710BA0"/>
    <w:rsid w:val="007113A8"/>
    <w:rsid w:val="007116C0"/>
    <w:rsid w:val="00711A5D"/>
    <w:rsid w:val="00711ECF"/>
    <w:rsid w:val="00712209"/>
    <w:rsid w:val="00712540"/>
    <w:rsid w:val="007125E1"/>
    <w:rsid w:val="0071261F"/>
    <w:rsid w:val="00712D04"/>
    <w:rsid w:val="00712EC6"/>
    <w:rsid w:val="00712F21"/>
    <w:rsid w:val="007131C5"/>
    <w:rsid w:val="0071336C"/>
    <w:rsid w:val="00713E5B"/>
    <w:rsid w:val="007140DD"/>
    <w:rsid w:val="00714255"/>
    <w:rsid w:val="00714542"/>
    <w:rsid w:val="00714800"/>
    <w:rsid w:val="00714F3A"/>
    <w:rsid w:val="007152FB"/>
    <w:rsid w:val="00715AC0"/>
    <w:rsid w:val="00715DA8"/>
    <w:rsid w:val="00715F0B"/>
    <w:rsid w:val="00716086"/>
    <w:rsid w:val="007160DE"/>
    <w:rsid w:val="0071636B"/>
    <w:rsid w:val="00717E0C"/>
    <w:rsid w:val="00717F94"/>
    <w:rsid w:val="0072090D"/>
    <w:rsid w:val="00720984"/>
    <w:rsid w:val="00720A20"/>
    <w:rsid w:val="0072127D"/>
    <w:rsid w:val="00721323"/>
    <w:rsid w:val="007217E5"/>
    <w:rsid w:val="00721A93"/>
    <w:rsid w:val="00721C8E"/>
    <w:rsid w:val="0072269D"/>
    <w:rsid w:val="00722BE8"/>
    <w:rsid w:val="00722CEA"/>
    <w:rsid w:val="007235FB"/>
    <w:rsid w:val="007236AC"/>
    <w:rsid w:val="0072386D"/>
    <w:rsid w:val="00723AB3"/>
    <w:rsid w:val="00723F2B"/>
    <w:rsid w:val="007247D0"/>
    <w:rsid w:val="00724C5D"/>
    <w:rsid w:val="00724D90"/>
    <w:rsid w:val="007250E2"/>
    <w:rsid w:val="00725246"/>
    <w:rsid w:val="0072547B"/>
    <w:rsid w:val="0072549E"/>
    <w:rsid w:val="00725925"/>
    <w:rsid w:val="00725B81"/>
    <w:rsid w:val="007262CD"/>
    <w:rsid w:val="00726300"/>
    <w:rsid w:val="0072650D"/>
    <w:rsid w:val="007266BB"/>
    <w:rsid w:val="00726E78"/>
    <w:rsid w:val="00727340"/>
    <w:rsid w:val="00727A53"/>
    <w:rsid w:val="00727D3D"/>
    <w:rsid w:val="0072F95B"/>
    <w:rsid w:val="00730515"/>
    <w:rsid w:val="00730564"/>
    <w:rsid w:val="007305D9"/>
    <w:rsid w:val="00730748"/>
    <w:rsid w:val="00730759"/>
    <w:rsid w:val="00730B4B"/>
    <w:rsid w:val="00730E49"/>
    <w:rsid w:val="00731210"/>
    <w:rsid w:val="00731341"/>
    <w:rsid w:val="00731566"/>
    <w:rsid w:val="007316D0"/>
    <w:rsid w:val="00731821"/>
    <w:rsid w:val="00731C09"/>
    <w:rsid w:val="00731C4A"/>
    <w:rsid w:val="0073235B"/>
    <w:rsid w:val="00732680"/>
    <w:rsid w:val="007328A3"/>
    <w:rsid w:val="00732BE8"/>
    <w:rsid w:val="00732D87"/>
    <w:rsid w:val="0073312B"/>
    <w:rsid w:val="00733215"/>
    <w:rsid w:val="007336DF"/>
    <w:rsid w:val="00733E23"/>
    <w:rsid w:val="00734301"/>
    <w:rsid w:val="0073460F"/>
    <w:rsid w:val="007347D1"/>
    <w:rsid w:val="00734A9B"/>
    <w:rsid w:val="00734DEE"/>
    <w:rsid w:val="007358EC"/>
    <w:rsid w:val="00735E9F"/>
    <w:rsid w:val="00736078"/>
    <w:rsid w:val="007360D8"/>
    <w:rsid w:val="007360F5"/>
    <w:rsid w:val="00736394"/>
    <w:rsid w:val="007363A0"/>
    <w:rsid w:val="0073663A"/>
    <w:rsid w:val="00736FD0"/>
    <w:rsid w:val="00736FFD"/>
    <w:rsid w:val="007378B6"/>
    <w:rsid w:val="00737D49"/>
    <w:rsid w:val="007407FA"/>
    <w:rsid w:val="00740AF4"/>
    <w:rsid w:val="00740C75"/>
    <w:rsid w:val="0074123E"/>
    <w:rsid w:val="0074130A"/>
    <w:rsid w:val="007419BD"/>
    <w:rsid w:val="00741A16"/>
    <w:rsid w:val="00742263"/>
    <w:rsid w:val="0074228A"/>
    <w:rsid w:val="00742BF1"/>
    <w:rsid w:val="007430D4"/>
    <w:rsid w:val="0074381B"/>
    <w:rsid w:val="007439EB"/>
    <w:rsid w:val="00743C43"/>
    <w:rsid w:val="007441F7"/>
    <w:rsid w:val="00744613"/>
    <w:rsid w:val="00744D45"/>
    <w:rsid w:val="00744EB8"/>
    <w:rsid w:val="00744F5C"/>
    <w:rsid w:val="00744FF9"/>
    <w:rsid w:val="007450FB"/>
    <w:rsid w:val="007452FA"/>
    <w:rsid w:val="007459F1"/>
    <w:rsid w:val="00745AAF"/>
    <w:rsid w:val="00745C8B"/>
    <w:rsid w:val="00745E9A"/>
    <w:rsid w:val="007462FC"/>
    <w:rsid w:val="00746A31"/>
    <w:rsid w:val="00746C9F"/>
    <w:rsid w:val="007470CF"/>
    <w:rsid w:val="00747389"/>
    <w:rsid w:val="007477B2"/>
    <w:rsid w:val="00747A51"/>
    <w:rsid w:val="00747C06"/>
    <w:rsid w:val="00747DEF"/>
    <w:rsid w:val="00747DF0"/>
    <w:rsid w:val="007504E1"/>
    <w:rsid w:val="00750D6B"/>
    <w:rsid w:val="00751DEC"/>
    <w:rsid w:val="00751F99"/>
    <w:rsid w:val="007521BD"/>
    <w:rsid w:val="007524A7"/>
    <w:rsid w:val="00752942"/>
    <w:rsid w:val="00753160"/>
    <w:rsid w:val="00753A35"/>
    <w:rsid w:val="00753F16"/>
    <w:rsid w:val="007540C4"/>
    <w:rsid w:val="007541E7"/>
    <w:rsid w:val="00754491"/>
    <w:rsid w:val="00754A5D"/>
    <w:rsid w:val="00754E71"/>
    <w:rsid w:val="00755426"/>
    <w:rsid w:val="0075559A"/>
    <w:rsid w:val="00755D6D"/>
    <w:rsid w:val="00756414"/>
    <w:rsid w:val="00756786"/>
    <w:rsid w:val="007568C0"/>
    <w:rsid w:val="00757139"/>
    <w:rsid w:val="0075733C"/>
    <w:rsid w:val="00757B41"/>
    <w:rsid w:val="007601FD"/>
    <w:rsid w:val="007602AD"/>
    <w:rsid w:val="00760377"/>
    <w:rsid w:val="00760555"/>
    <w:rsid w:val="0076084B"/>
    <w:rsid w:val="0076094F"/>
    <w:rsid w:val="00760EC1"/>
    <w:rsid w:val="00761207"/>
    <w:rsid w:val="00761247"/>
    <w:rsid w:val="00761C13"/>
    <w:rsid w:val="00761E52"/>
    <w:rsid w:val="007621C8"/>
    <w:rsid w:val="007622C1"/>
    <w:rsid w:val="00762556"/>
    <w:rsid w:val="00762A7D"/>
    <w:rsid w:val="0076334E"/>
    <w:rsid w:val="00763548"/>
    <w:rsid w:val="00763866"/>
    <w:rsid w:val="00763905"/>
    <w:rsid w:val="00763AB0"/>
    <w:rsid w:val="00763E7C"/>
    <w:rsid w:val="00764A99"/>
    <w:rsid w:val="00764B3B"/>
    <w:rsid w:val="00764C55"/>
    <w:rsid w:val="00764F90"/>
    <w:rsid w:val="00765020"/>
    <w:rsid w:val="0076503A"/>
    <w:rsid w:val="00766244"/>
    <w:rsid w:val="00766740"/>
    <w:rsid w:val="007669EA"/>
    <w:rsid w:val="00766DD1"/>
    <w:rsid w:val="00766FD8"/>
    <w:rsid w:val="00767299"/>
    <w:rsid w:val="00767361"/>
    <w:rsid w:val="0076737B"/>
    <w:rsid w:val="00767D7F"/>
    <w:rsid w:val="00767DD8"/>
    <w:rsid w:val="00767F5C"/>
    <w:rsid w:val="0077093F"/>
    <w:rsid w:val="00770EE9"/>
    <w:rsid w:val="00770F18"/>
    <w:rsid w:val="0077110F"/>
    <w:rsid w:val="00771674"/>
    <w:rsid w:val="00771BBF"/>
    <w:rsid w:val="00772087"/>
    <w:rsid w:val="00772B4E"/>
    <w:rsid w:val="00773D14"/>
    <w:rsid w:val="007743C5"/>
    <w:rsid w:val="007744B9"/>
    <w:rsid w:val="0077458B"/>
    <w:rsid w:val="00774B1C"/>
    <w:rsid w:val="00775162"/>
    <w:rsid w:val="0077534D"/>
    <w:rsid w:val="007756FA"/>
    <w:rsid w:val="0077572A"/>
    <w:rsid w:val="0077573D"/>
    <w:rsid w:val="00775F83"/>
    <w:rsid w:val="00776215"/>
    <w:rsid w:val="00776573"/>
    <w:rsid w:val="00776A87"/>
    <w:rsid w:val="0077710E"/>
    <w:rsid w:val="00777B12"/>
    <w:rsid w:val="00777C37"/>
    <w:rsid w:val="007803E4"/>
    <w:rsid w:val="00780840"/>
    <w:rsid w:val="00780B24"/>
    <w:rsid w:val="00780BD2"/>
    <w:rsid w:val="00780F9E"/>
    <w:rsid w:val="007816C8"/>
    <w:rsid w:val="007816F1"/>
    <w:rsid w:val="00781702"/>
    <w:rsid w:val="00781ACA"/>
    <w:rsid w:val="00781C0D"/>
    <w:rsid w:val="00781C56"/>
    <w:rsid w:val="007824AE"/>
    <w:rsid w:val="007824BF"/>
    <w:rsid w:val="0078259E"/>
    <w:rsid w:val="007826D3"/>
    <w:rsid w:val="007827E0"/>
    <w:rsid w:val="007828C0"/>
    <w:rsid w:val="007831E6"/>
    <w:rsid w:val="00783416"/>
    <w:rsid w:val="00783AA7"/>
    <w:rsid w:val="00783D5E"/>
    <w:rsid w:val="00784772"/>
    <w:rsid w:val="00784CC9"/>
    <w:rsid w:val="0078507D"/>
    <w:rsid w:val="00785311"/>
    <w:rsid w:val="0078570E"/>
    <w:rsid w:val="0078574B"/>
    <w:rsid w:val="007857EF"/>
    <w:rsid w:val="007867F2"/>
    <w:rsid w:val="00786828"/>
    <w:rsid w:val="00786BC6"/>
    <w:rsid w:val="00786C22"/>
    <w:rsid w:val="00786EF1"/>
    <w:rsid w:val="00787300"/>
    <w:rsid w:val="00787F40"/>
    <w:rsid w:val="00790231"/>
    <w:rsid w:val="0079024D"/>
    <w:rsid w:val="0079056B"/>
    <w:rsid w:val="00791757"/>
    <w:rsid w:val="00791E8C"/>
    <w:rsid w:val="007925B2"/>
    <w:rsid w:val="007925BB"/>
    <w:rsid w:val="007929D7"/>
    <w:rsid w:val="00792E71"/>
    <w:rsid w:val="00793763"/>
    <w:rsid w:val="00793852"/>
    <w:rsid w:val="00794377"/>
    <w:rsid w:val="007946DF"/>
    <w:rsid w:val="007946ED"/>
    <w:rsid w:val="00794E34"/>
    <w:rsid w:val="0079589D"/>
    <w:rsid w:val="00795F75"/>
    <w:rsid w:val="0079622D"/>
    <w:rsid w:val="0079644C"/>
    <w:rsid w:val="007968A8"/>
    <w:rsid w:val="007968D3"/>
    <w:rsid w:val="007969A5"/>
    <w:rsid w:val="00796B7C"/>
    <w:rsid w:val="00796DD2"/>
    <w:rsid w:val="00797328"/>
    <w:rsid w:val="007979EF"/>
    <w:rsid w:val="00797C43"/>
    <w:rsid w:val="00797F0E"/>
    <w:rsid w:val="007A0280"/>
    <w:rsid w:val="007A0604"/>
    <w:rsid w:val="007A0C1E"/>
    <w:rsid w:val="007A0F61"/>
    <w:rsid w:val="007A142A"/>
    <w:rsid w:val="007A1694"/>
    <w:rsid w:val="007A1980"/>
    <w:rsid w:val="007A2F86"/>
    <w:rsid w:val="007A3408"/>
    <w:rsid w:val="007A39BF"/>
    <w:rsid w:val="007A3B26"/>
    <w:rsid w:val="007A3EF4"/>
    <w:rsid w:val="007A40BF"/>
    <w:rsid w:val="007A44A2"/>
    <w:rsid w:val="007A45F2"/>
    <w:rsid w:val="007A4988"/>
    <w:rsid w:val="007A4C97"/>
    <w:rsid w:val="007A4D46"/>
    <w:rsid w:val="007A51E9"/>
    <w:rsid w:val="007A527F"/>
    <w:rsid w:val="007A5611"/>
    <w:rsid w:val="007A56FB"/>
    <w:rsid w:val="007A571F"/>
    <w:rsid w:val="007A5816"/>
    <w:rsid w:val="007A5D5A"/>
    <w:rsid w:val="007A5E5A"/>
    <w:rsid w:val="007A62BC"/>
    <w:rsid w:val="007A69D4"/>
    <w:rsid w:val="007A716C"/>
    <w:rsid w:val="007A71C6"/>
    <w:rsid w:val="007A75F0"/>
    <w:rsid w:val="007A7EA8"/>
    <w:rsid w:val="007B00E4"/>
    <w:rsid w:val="007B02B4"/>
    <w:rsid w:val="007B0527"/>
    <w:rsid w:val="007B05FB"/>
    <w:rsid w:val="007B0CF1"/>
    <w:rsid w:val="007B17D7"/>
    <w:rsid w:val="007B218B"/>
    <w:rsid w:val="007B2217"/>
    <w:rsid w:val="007B245B"/>
    <w:rsid w:val="007B2540"/>
    <w:rsid w:val="007B2A70"/>
    <w:rsid w:val="007B3309"/>
    <w:rsid w:val="007B33E9"/>
    <w:rsid w:val="007B382E"/>
    <w:rsid w:val="007B3CF7"/>
    <w:rsid w:val="007B40EA"/>
    <w:rsid w:val="007B4547"/>
    <w:rsid w:val="007B46E4"/>
    <w:rsid w:val="007B4771"/>
    <w:rsid w:val="007B4CE2"/>
    <w:rsid w:val="007B5122"/>
    <w:rsid w:val="007B5129"/>
    <w:rsid w:val="007B54A1"/>
    <w:rsid w:val="007B5D9B"/>
    <w:rsid w:val="007B61E2"/>
    <w:rsid w:val="007B6289"/>
    <w:rsid w:val="007B69D0"/>
    <w:rsid w:val="007B6B48"/>
    <w:rsid w:val="007B6BD8"/>
    <w:rsid w:val="007B73C9"/>
    <w:rsid w:val="007B743E"/>
    <w:rsid w:val="007B788C"/>
    <w:rsid w:val="007B79B3"/>
    <w:rsid w:val="007B7BDD"/>
    <w:rsid w:val="007B7FAF"/>
    <w:rsid w:val="007C0ABD"/>
    <w:rsid w:val="007C0EFB"/>
    <w:rsid w:val="007C119A"/>
    <w:rsid w:val="007C20CC"/>
    <w:rsid w:val="007C24AB"/>
    <w:rsid w:val="007C250C"/>
    <w:rsid w:val="007C2C99"/>
    <w:rsid w:val="007C323D"/>
    <w:rsid w:val="007C3282"/>
    <w:rsid w:val="007C3351"/>
    <w:rsid w:val="007C3479"/>
    <w:rsid w:val="007C4539"/>
    <w:rsid w:val="007C47EF"/>
    <w:rsid w:val="007C4ADC"/>
    <w:rsid w:val="007C5236"/>
    <w:rsid w:val="007C52FF"/>
    <w:rsid w:val="007C544F"/>
    <w:rsid w:val="007C58AC"/>
    <w:rsid w:val="007C61A6"/>
    <w:rsid w:val="007C697A"/>
    <w:rsid w:val="007D034B"/>
    <w:rsid w:val="007D04D4"/>
    <w:rsid w:val="007D073B"/>
    <w:rsid w:val="007D0AA0"/>
    <w:rsid w:val="007D15FA"/>
    <w:rsid w:val="007D1807"/>
    <w:rsid w:val="007D1D27"/>
    <w:rsid w:val="007D230F"/>
    <w:rsid w:val="007D23C6"/>
    <w:rsid w:val="007D2CBB"/>
    <w:rsid w:val="007D30E9"/>
    <w:rsid w:val="007D313D"/>
    <w:rsid w:val="007D3253"/>
    <w:rsid w:val="007D3598"/>
    <w:rsid w:val="007D3A04"/>
    <w:rsid w:val="007D435F"/>
    <w:rsid w:val="007D46B7"/>
    <w:rsid w:val="007D48CF"/>
    <w:rsid w:val="007D5ADE"/>
    <w:rsid w:val="007D5CB5"/>
    <w:rsid w:val="007D5E14"/>
    <w:rsid w:val="007D61FB"/>
    <w:rsid w:val="007D65A4"/>
    <w:rsid w:val="007D65EF"/>
    <w:rsid w:val="007D6CF1"/>
    <w:rsid w:val="007D7266"/>
    <w:rsid w:val="007D729A"/>
    <w:rsid w:val="007D74C8"/>
    <w:rsid w:val="007D756E"/>
    <w:rsid w:val="007D7891"/>
    <w:rsid w:val="007D7A5C"/>
    <w:rsid w:val="007D7B6D"/>
    <w:rsid w:val="007D7FCC"/>
    <w:rsid w:val="007E0D60"/>
    <w:rsid w:val="007E0DFA"/>
    <w:rsid w:val="007E1417"/>
    <w:rsid w:val="007E18A4"/>
    <w:rsid w:val="007E1C0E"/>
    <w:rsid w:val="007E1EB5"/>
    <w:rsid w:val="007E1F03"/>
    <w:rsid w:val="007E23FA"/>
    <w:rsid w:val="007E27C6"/>
    <w:rsid w:val="007E2DD5"/>
    <w:rsid w:val="007E3115"/>
    <w:rsid w:val="007E32AB"/>
    <w:rsid w:val="007E3463"/>
    <w:rsid w:val="007E3E40"/>
    <w:rsid w:val="007E4492"/>
    <w:rsid w:val="007E4BCD"/>
    <w:rsid w:val="007E4D85"/>
    <w:rsid w:val="007E4FCD"/>
    <w:rsid w:val="007E5398"/>
    <w:rsid w:val="007E5575"/>
    <w:rsid w:val="007E5C76"/>
    <w:rsid w:val="007E65BB"/>
    <w:rsid w:val="007E6878"/>
    <w:rsid w:val="007E699A"/>
    <w:rsid w:val="007E6B7B"/>
    <w:rsid w:val="007E6CF4"/>
    <w:rsid w:val="007E6D2A"/>
    <w:rsid w:val="007E6EC4"/>
    <w:rsid w:val="007E751D"/>
    <w:rsid w:val="007E7551"/>
    <w:rsid w:val="007E7933"/>
    <w:rsid w:val="007E7BF1"/>
    <w:rsid w:val="007E7F63"/>
    <w:rsid w:val="007F003B"/>
    <w:rsid w:val="007F100E"/>
    <w:rsid w:val="007F13B7"/>
    <w:rsid w:val="007F1694"/>
    <w:rsid w:val="007F1721"/>
    <w:rsid w:val="007F18D4"/>
    <w:rsid w:val="007F1A30"/>
    <w:rsid w:val="007F1E2E"/>
    <w:rsid w:val="007F2217"/>
    <w:rsid w:val="007F2B72"/>
    <w:rsid w:val="007F2E4C"/>
    <w:rsid w:val="007F301F"/>
    <w:rsid w:val="007F35A6"/>
    <w:rsid w:val="007F36BC"/>
    <w:rsid w:val="007F3B5A"/>
    <w:rsid w:val="007F3DB6"/>
    <w:rsid w:val="007F447D"/>
    <w:rsid w:val="007F4530"/>
    <w:rsid w:val="007F4941"/>
    <w:rsid w:val="007F49D2"/>
    <w:rsid w:val="007F502D"/>
    <w:rsid w:val="007F50EB"/>
    <w:rsid w:val="007F5931"/>
    <w:rsid w:val="007F6BF9"/>
    <w:rsid w:val="007F6E52"/>
    <w:rsid w:val="007F6E58"/>
    <w:rsid w:val="007F6E76"/>
    <w:rsid w:val="0080007E"/>
    <w:rsid w:val="00800251"/>
    <w:rsid w:val="008003D4"/>
    <w:rsid w:val="008007B3"/>
    <w:rsid w:val="00800D47"/>
    <w:rsid w:val="00801584"/>
    <w:rsid w:val="008017AC"/>
    <w:rsid w:val="00801927"/>
    <w:rsid w:val="00801DA7"/>
    <w:rsid w:val="00801F88"/>
    <w:rsid w:val="00802226"/>
    <w:rsid w:val="008028BE"/>
    <w:rsid w:val="00802EBB"/>
    <w:rsid w:val="0080331F"/>
    <w:rsid w:val="008035F2"/>
    <w:rsid w:val="008038EC"/>
    <w:rsid w:val="00803AF4"/>
    <w:rsid w:val="00803CA2"/>
    <w:rsid w:val="00804C49"/>
    <w:rsid w:val="00804C84"/>
    <w:rsid w:val="00804F83"/>
    <w:rsid w:val="008056B3"/>
    <w:rsid w:val="00805982"/>
    <w:rsid w:val="00805D00"/>
    <w:rsid w:val="008061AC"/>
    <w:rsid w:val="00806801"/>
    <w:rsid w:val="008069A8"/>
    <w:rsid w:val="0080708E"/>
    <w:rsid w:val="008073BB"/>
    <w:rsid w:val="008074BD"/>
    <w:rsid w:val="008075C1"/>
    <w:rsid w:val="008078AF"/>
    <w:rsid w:val="00807E7B"/>
    <w:rsid w:val="00807F06"/>
    <w:rsid w:val="00810976"/>
    <w:rsid w:val="008109F0"/>
    <w:rsid w:val="008118F9"/>
    <w:rsid w:val="00811DE2"/>
    <w:rsid w:val="00812141"/>
    <w:rsid w:val="008121B6"/>
    <w:rsid w:val="0081287A"/>
    <w:rsid w:val="008133AE"/>
    <w:rsid w:val="00813E0F"/>
    <w:rsid w:val="008147CB"/>
    <w:rsid w:val="008152CF"/>
    <w:rsid w:val="00815A5A"/>
    <w:rsid w:val="00815E04"/>
    <w:rsid w:val="00815ED6"/>
    <w:rsid w:val="008160DB"/>
    <w:rsid w:val="0081666B"/>
    <w:rsid w:val="008169AA"/>
    <w:rsid w:val="00817147"/>
    <w:rsid w:val="008176CF"/>
    <w:rsid w:val="00817979"/>
    <w:rsid w:val="00817F10"/>
    <w:rsid w:val="00820766"/>
    <w:rsid w:val="00820C99"/>
    <w:rsid w:val="00820E9B"/>
    <w:rsid w:val="0082104E"/>
    <w:rsid w:val="008219AA"/>
    <w:rsid w:val="00822725"/>
    <w:rsid w:val="00822A94"/>
    <w:rsid w:val="00822B3A"/>
    <w:rsid w:val="008232E8"/>
    <w:rsid w:val="00823543"/>
    <w:rsid w:val="008242D2"/>
    <w:rsid w:val="00824708"/>
    <w:rsid w:val="008250EF"/>
    <w:rsid w:val="0082573E"/>
    <w:rsid w:val="00825869"/>
    <w:rsid w:val="00825A65"/>
    <w:rsid w:val="00825FB7"/>
    <w:rsid w:val="0082612D"/>
    <w:rsid w:val="00826177"/>
    <w:rsid w:val="0082645E"/>
    <w:rsid w:val="00826907"/>
    <w:rsid w:val="00826F2C"/>
    <w:rsid w:val="008277C2"/>
    <w:rsid w:val="008277DF"/>
    <w:rsid w:val="00827B97"/>
    <w:rsid w:val="0083076C"/>
    <w:rsid w:val="008308B2"/>
    <w:rsid w:val="00830A0F"/>
    <w:rsid w:val="00830FB4"/>
    <w:rsid w:val="008310FD"/>
    <w:rsid w:val="00831298"/>
    <w:rsid w:val="00831C47"/>
    <w:rsid w:val="00832814"/>
    <w:rsid w:val="008333A3"/>
    <w:rsid w:val="008342EF"/>
    <w:rsid w:val="0083453B"/>
    <w:rsid w:val="008345D6"/>
    <w:rsid w:val="008345EC"/>
    <w:rsid w:val="0083484A"/>
    <w:rsid w:val="008348F2"/>
    <w:rsid w:val="00834ABB"/>
    <w:rsid w:val="00835187"/>
    <w:rsid w:val="00835F87"/>
    <w:rsid w:val="008361EB"/>
    <w:rsid w:val="008361F3"/>
    <w:rsid w:val="0083637B"/>
    <w:rsid w:val="008363E4"/>
    <w:rsid w:val="00836709"/>
    <w:rsid w:val="00836B9F"/>
    <w:rsid w:val="00837634"/>
    <w:rsid w:val="0083779E"/>
    <w:rsid w:val="00837F27"/>
    <w:rsid w:val="0084060B"/>
    <w:rsid w:val="00840A6A"/>
    <w:rsid w:val="00841381"/>
    <w:rsid w:val="00841719"/>
    <w:rsid w:val="00841B96"/>
    <w:rsid w:val="00841EE1"/>
    <w:rsid w:val="00842064"/>
    <w:rsid w:val="008424AB"/>
    <w:rsid w:val="008425C2"/>
    <w:rsid w:val="008427F3"/>
    <w:rsid w:val="008428F4"/>
    <w:rsid w:val="00842C58"/>
    <w:rsid w:val="00842ECE"/>
    <w:rsid w:val="00843720"/>
    <w:rsid w:val="008439FD"/>
    <w:rsid w:val="00843DDF"/>
    <w:rsid w:val="00844212"/>
    <w:rsid w:val="008446F1"/>
    <w:rsid w:val="00844A91"/>
    <w:rsid w:val="00844F18"/>
    <w:rsid w:val="0084585F"/>
    <w:rsid w:val="0084592B"/>
    <w:rsid w:val="0084593B"/>
    <w:rsid w:val="00845E08"/>
    <w:rsid w:val="00845EFB"/>
    <w:rsid w:val="00845F6B"/>
    <w:rsid w:val="00846646"/>
    <w:rsid w:val="00846978"/>
    <w:rsid w:val="00846D64"/>
    <w:rsid w:val="008473EB"/>
    <w:rsid w:val="00847600"/>
    <w:rsid w:val="00847DC8"/>
    <w:rsid w:val="00847E22"/>
    <w:rsid w:val="0085053B"/>
    <w:rsid w:val="00850748"/>
    <w:rsid w:val="00850E1A"/>
    <w:rsid w:val="00850FE6"/>
    <w:rsid w:val="008512C2"/>
    <w:rsid w:val="00851CA6"/>
    <w:rsid w:val="00851CAB"/>
    <w:rsid w:val="00851D78"/>
    <w:rsid w:val="00851F04"/>
    <w:rsid w:val="00851F33"/>
    <w:rsid w:val="00852056"/>
    <w:rsid w:val="0085206D"/>
    <w:rsid w:val="008521EB"/>
    <w:rsid w:val="0085334F"/>
    <w:rsid w:val="00853ADD"/>
    <w:rsid w:val="00853ED0"/>
    <w:rsid w:val="00853FA2"/>
    <w:rsid w:val="00853FF3"/>
    <w:rsid w:val="00854145"/>
    <w:rsid w:val="008547F6"/>
    <w:rsid w:val="00854BB9"/>
    <w:rsid w:val="00854D16"/>
    <w:rsid w:val="00855624"/>
    <w:rsid w:val="00856041"/>
    <w:rsid w:val="0085694D"/>
    <w:rsid w:val="00856BAB"/>
    <w:rsid w:val="00856BE9"/>
    <w:rsid w:val="00856E1E"/>
    <w:rsid w:val="008571E9"/>
    <w:rsid w:val="00857205"/>
    <w:rsid w:val="008577D1"/>
    <w:rsid w:val="00857BFE"/>
    <w:rsid w:val="00857DC5"/>
    <w:rsid w:val="00857E8E"/>
    <w:rsid w:val="00857F2B"/>
    <w:rsid w:val="00860211"/>
    <w:rsid w:val="00860582"/>
    <w:rsid w:val="0086064B"/>
    <w:rsid w:val="008607E5"/>
    <w:rsid w:val="008609FC"/>
    <w:rsid w:val="00861033"/>
    <w:rsid w:val="008610FB"/>
    <w:rsid w:val="008612E8"/>
    <w:rsid w:val="008616D9"/>
    <w:rsid w:val="00861D5D"/>
    <w:rsid w:val="00861F0B"/>
    <w:rsid w:val="00862C27"/>
    <w:rsid w:val="00862FFD"/>
    <w:rsid w:val="008633D4"/>
    <w:rsid w:val="00863669"/>
    <w:rsid w:val="008641FB"/>
    <w:rsid w:val="00864302"/>
    <w:rsid w:val="00864AA5"/>
    <w:rsid w:val="00864EB8"/>
    <w:rsid w:val="0086537C"/>
    <w:rsid w:val="00865457"/>
    <w:rsid w:val="00865562"/>
    <w:rsid w:val="0086569A"/>
    <w:rsid w:val="008659EA"/>
    <w:rsid w:val="00865B54"/>
    <w:rsid w:val="0086635E"/>
    <w:rsid w:val="008667E5"/>
    <w:rsid w:val="00866E00"/>
    <w:rsid w:val="00867222"/>
    <w:rsid w:val="008677CB"/>
    <w:rsid w:val="00867846"/>
    <w:rsid w:val="008679BD"/>
    <w:rsid w:val="00867DB5"/>
    <w:rsid w:val="00867DB8"/>
    <w:rsid w:val="00870A0E"/>
    <w:rsid w:val="00870AA1"/>
    <w:rsid w:val="00870E28"/>
    <w:rsid w:val="00871066"/>
    <w:rsid w:val="00871A0E"/>
    <w:rsid w:val="00871A1C"/>
    <w:rsid w:val="00871CE0"/>
    <w:rsid w:val="00871CF6"/>
    <w:rsid w:val="00871D53"/>
    <w:rsid w:val="00872511"/>
    <w:rsid w:val="00872E03"/>
    <w:rsid w:val="008730AD"/>
    <w:rsid w:val="0087362F"/>
    <w:rsid w:val="00873C2F"/>
    <w:rsid w:val="00874858"/>
    <w:rsid w:val="008749B8"/>
    <w:rsid w:val="00874A0A"/>
    <w:rsid w:val="0087544B"/>
    <w:rsid w:val="008756C5"/>
    <w:rsid w:val="0087598A"/>
    <w:rsid w:val="008759FE"/>
    <w:rsid w:val="008761DF"/>
    <w:rsid w:val="0087653B"/>
    <w:rsid w:val="00876AFA"/>
    <w:rsid w:val="00876B49"/>
    <w:rsid w:val="00876E0B"/>
    <w:rsid w:val="00876F5F"/>
    <w:rsid w:val="008770BC"/>
    <w:rsid w:val="0087717D"/>
    <w:rsid w:val="008773B0"/>
    <w:rsid w:val="0087743E"/>
    <w:rsid w:val="008778F7"/>
    <w:rsid w:val="00877A0F"/>
    <w:rsid w:val="00877FC9"/>
    <w:rsid w:val="00880072"/>
    <w:rsid w:val="00880A26"/>
    <w:rsid w:val="00881014"/>
    <w:rsid w:val="00881162"/>
    <w:rsid w:val="0088142E"/>
    <w:rsid w:val="00881BC8"/>
    <w:rsid w:val="00881EEF"/>
    <w:rsid w:val="00881F73"/>
    <w:rsid w:val="00881FBE"/>
    <w:rsid w:val="0088201B"/>
    <w:rsid w:val="008820D9"/>
    <w:rsid w:val="00882312"/>
    <w:rsid w:val="00882BB5"/>
    <w:rsid w:val="00882C39"/>
    <w:rsid w:val="00882E22"/>
    <w:rsid w:val="00882E56"/>
    <w:rsid w:val="0088318E"/>
    <w:rsid w:val="00883D2B"/>
    <w:rsid w:val="00883DD8"/>
    <w:rsid w:val="00884994"/>
    <w:rsid w:val="00884FA3"/>
    <w:rsid w:val="0088506E"/>
    <w:rsid w:val="00885223"/>
    <w:rsid w:val="008858BF"/>
    <w:rsid w:val="00885FC4"/>
    <w:rsid w:val="0088622D"/>
    <w:rsid w:val="0088652B"/>
    <w:rsid w:val="008867B2"/>
    <w:rsid w:val="00886BE6"/>
    <w:rsid w:val="0088714C"/>
    <w:rsid w:val="0088752A"/>
    <w:rsid w:val="008878D9"/>
    <w:rsid w:val="008901CA"/>
    <w:rsid w:val="008904F0"/>
    <w:rsid w:val="00890684"/>
    <w:rsid w:val="008906A4"/>
    <w:rsid w:val="008908DB"/>
    <w:rsid w:val="00890FA8"/>
    <w:rsid w:val="00890FCE"/>
    <w:rsid w:val="008920F7"/>
    <w:rsid w:val="0089213B"/>
    <w:rsid w:val="00892260"/>
    <w:rsid w:val="0089236B"/>
    <w:rsid w:val="00892A85"/>
    <w:rsid w:val="00892D6B"/>
    <w:rsid w:val="00892E50"/>
    <w:rsid w:val="00893388"/>
    <w:rsid w:val="00893A00"/>
    <w:rsid w:val="00893A33"/>
    <w:rsid w:val="00893D6C"/>
    <w:rsid w:val="00893F16"/>
    <w:rsid w:val="008941C2"/>
    <w:rsid w:val="008945ED"/>
    <w:rsid w:val="00894A11"/>
    <w:rsid w:val="008952D9"/>
    <w:rsid w:val="00895BD2"/>
    <w:rsid w:val="008960C9"/>
    <w:rsid w:val="0089622B"/>
    <w:rsid w:val="0089663A"/>
    <w:rsid w:val="00896C90"/>
    <w:rsid w:val="00896D1D"/>
    <w:rsid w:val="008975F9"/>
    <w:rsid w:val="008976EA"/>
    <w:rsid w:val="008A0454"/>
    <w:rsid w:val="008A0542"/>
    <w:rsid w:val="008A07CC"/>
    <w:rsid w:val="008A091B"/>
    <w:rsid w:val="008A0CDF"/>
    <w:rsid w:val="008A2029"/>
    <w:rsid w:val="008A23E3"/>
    <w:rsid w:val="008A246E"/>
    <w:rsid w:val="008A2513"/>
    <w:rsid w:val="008A2627"/>
    <w:rsid w:val="008A2B1F"/>
    <w:rsid w:val="008A32C4"/>
    <w:rsid w:val="008A344A"/>
    <w:rsid w:val="008A36C8"/>
    <w:rsid w:val="008A387F"/>
    <w:rsid w:val="008A3BB9"/>
    <w:rsid w:val="008A3D50"/>
    <w:rsid w:val="008A3ED1"/>
    <w:rsid w:val="008A4375"/>
    <w:rsid w:val="008A4439"/>
    <w:rsid w:val="008A518A"/>
    <w:rsid w:val="008A52D4"/>
    <w:rsid w:val="008A6431"/>
    <w:rsid w:val="008A69D9"/>
    <w:rsid w:val="008A6C95"/>
    <w:rsid w:val="008A6D1A"/>
    <w:rsid w:val="008A6E05"/>
    <w:rsid w:val="008A7135"/>
    <w:rsid w:val="008A72A6"/>
    <w:rsid w:val="008A73EB"/>
    <w:rsid w:val="008A73ED"/>
    <w:rsid w:val="008A7468"/>
    <w:rsid w:val="008A74B7"/>
    <w:rsid w:val="008A7A8B"/>
    <w:rsid w:val="008A7B07"/>
    <w:rsid w:val="008B0156"/>
    <w:rsid w:val="008B070B"/>
    <w:rsid w:val="008B08B8"/>
    <w:rsid w:val="008B090A"/>
    <w:rsid w:val="008B104D"/>
    <w:rsid w:val="008B1920"/>
    <w:rsid w:val="008B1C1B"/>
    <w:rsid w:val="008B22EB"/>
    <w:rsid w:val="008B26A8"/>
    <w:rsid w:val="008B2FE5"/>
    <w:rsid w:val="008B2FEC"/>
    <w:rsid w:val="008B3B24"/>
    <w:rsid w:val="008B3B73"/>
    <w:rsid w:val="008B3D64"/>
    <w:rsid w:val="008B4101"/>
    <w:rsid w:val="008B424B"/>
    <w:rsid w:val="008B4565"/>
    <w:rsid w:val="008B4937"/>
    <w:rsid w:val="008B4B50"/>
    <w:rsid w:val="008B4F43"/>
    <w:rsid w:val="008B585C"/>
    <w:rsid w:val="008B5885"/>
    <w:rsid w:val="008B6318"/>
    <w:rsid w:val="008B6F71"/>
    <w:rsid w:val="008B727C"/>
    <w:rsid w:val="008B7EEF"/>
    <w:rsid w:val="008C0313"/>
    <w:rsid w:val="008C075B"/>
    <w:rsid w:val="008C07B2"/>
    <w:rsid w:val="008C0B16"/>
    <w:rsid w:val="008C0F3E"/>
    <w:rsid w:val="008C1135"/>
    <w:rsid w:val="008C1142"/>
    <w:rsid w:val="008C11F9"/>
    <w:rsid w:val="008C1361"/>
    <w:rsid w:val="008C154C"/>
    <w:rsid w:val="008C15F8"/>
    <w:rsid w:val="008C2DFC"/>
    <w:rsid w:val="008C30A0"/>
    <w:rsid w:val="008C3DAF"/>
    <w:rsid w:val="008C3ECC"/>
    <w:rsid w:val="008C43A3"/>
    <w:rsid w:val="008C4DE1"/>
    <w:rsid w:val="008C4ED0"/>
    <w:rsid w:val="008C5805"/>
    <w:rsid w:val="008C5C0B"/>
    <w:rsid w:val="008C6AE3"/>
    <w:rsid w:val="008C7797"/>
    <w:rsid w:val="008C78AB"/>
    <w:rsid w:val="008C7A2A"/>
    <w:rsid w:val="008C7A78"/>
    <w:rsid w:val="008D06B3"/>
    <w:rsid w:val="008D0DD7"/>
    <w:rsid w:val="008D0FD8"/>
    <w:rsid w:val="008D1277"/>
    <w:rsid w:val="008D13E1"/>
    <w:rsid w:val="008D1746"/>
    <w:rsid w:val="008D1F5C"/>
    <w:rsid w:val="008D2210"/>
    <w:rsid w:val="008D2578"/>
    <w:rsid w:val="008D25F2"/>
    <w:rsid w:val="008D260F"/>
    <w:rsid w:val="008D30AF"/>
    <w:rsid w:val="008D4D97"/>
    <w:rsid w:val="008D55A6"/>
    <w:rsid w:val="008D598C"/>
    <w:rsid w:val="008D5E2C"/>
    <w:rsid w:val="008D616D"/>
    <w:rsid w:val="008D651C"/>
    <w:rsid w:val="008D6537"/>
    <w:rsid w:val="008D7011"/>
    <w:rsid w:val="008D72CE"/>
    <w:rsid w:val="008D7476"/>
    <w:rsid w:val="008D751F"/>
    <w:rsid w:val="008D7882"/>
    <w:rsid w:val="008D7887"/>
    <w:rsid w:val="008D7A97"/>
    <w:rsid w:val="008E00D0"/>
    <w:rsid w:val="008E054D"/>
    <w:rsid w:val="008E065E"/>
    <w:rsid w:val="008E0E6A"/>
    <w:rsid w:val="008E1083"/>
    <w:rsid w:val="008E15D1"/>
    <w:rsid w:val="008E174D"/>
    <w:rsid w:val="008E19F6"/>
    <w:rsid w:val="008E1A9F"/>
    <w:rsid w:val="008E1C73"/>
    <w:rsid w:val="008E1D8A"/>
    <w:rsid w:val="008E2D12"/>
    <w:rsid w:val="008E36E3"/>
    <w:rsid w:val="008E372F"/>
    <w:rsid w:val="008E3C8F"/>
    <w:rsid w:val="008E3DB4"/>
    <w:rsid w:val="008E4185"/>
    <w:rsid w:val="008E4B7D"/>
    <w:rsid w:val="008E4C02"/>
    <w:rsid w:val="008E5740"/>
    <w:rsid w:val="008E5856"/>
    <w:rsid w:val="008E5B4E"/>
    <w:rsid w:val="008E5D51"/>
    <w:rsid w:val="008E6D1E"/>
    <w:rsid w:val="008E74DA"/>
    <w:rsid w:val="008E7C4C"/>
    <w:rsid w:val="008E7F85"/>
    <w:rsid w:val="008F0A21"/>
    <w:rsid w:val="008F0E7C"/>
    <w:rsid w:val="008F0F79"/>
    <w:rsid w:val="008F1B3B"/>
    <w:rsid w:val="008F1DE7"/>
    <w:rsid w:val="008F1FD8"/>
    <w:rsid w:val="008F2288"/>
    <w:rsid w:val="008F2358"/>
    <w:rsid w:val="008F236F"/>
    <w:rsid w:val="008F29AC"/>
    <w:rsid w:val="008F2D3D"/>
    <w:rsid w:val="008F2D64"/>
    <w:rsid w:val="008F35E2"/>
    <w:rsid w:val="008F36CB"/>
    <w:rsid w:val="008F3A5D"/>
    <w:rsid w:val="008F3F23"/>
    <w:rsid w:val="008F4419"/>
    <w:rsid w:val="008F4572"/>
    <w:rsid w:val="008F4BC9"/>
    <w:rsid w:val="008F4D09"/>
    <w:rsid w:val="008F5110"/>
    <w:rsid w:val="008F5347"/>
    <w:rsid w:val="008F5612"/>
    <w:rsid w:val="008F5618"/>
    <w:rsid w:val="008F567E"/>
    <w:rsid w:val="008F57F4"/>
    <w:rsid w:val="008F5CD6"/>
    <w:rsid w:val="008F5D07"/>
    <w:rsid w:val="008F5EFC"/>
    <w:rsid w:val="008F5F65"/>
    <w:rsid w:val="008F6376"/>
    <w:rsid w:val="008F653E"/>
    <w:rsid w:val="008F65B2"/>
    <w:rsid w:val="008F661F"/>
    <w:rsid w:val="008F66E7"/>
    <w:rsid w:val="008F680A"/>
    <w:rsid w:val="008F6F7D"/>
    <w:rsid w:val="008F70AF"/>
    <w:rsid w:val="008F77E0"/>
    <w:rsid w:val="008F7CE1"/>
    <w:rsid w:val="009000FA"/>
    <w:rsid w:val="00900CF7"/>
    <w:rsid w:val="00900DC0"/>
    <w:rsid w:val="00901370"/>
    <w:rsid w:val="00901542"/>
    <w:rsid w:val="00901ABC"/>
    <w:rsid w:val="00901B22"/>
    <w:rsid w:val="00901B2A"/>
    <w:rsid w:val="00901D5C"/>
    <w:rsid w:val="009021FA"/>
    <w:rsid w:val="009021FB"/>
    <w:rsid w:val="00902570"/>
    <w:rsid w:val="00902BDA"/>
    <w:rsid w:val="0090324E"/>
    <w:rsid w:val="009035FE"/>
    <w:rsid w:val="00903D1B"/>
    <w:rsid w:val="00903F0C"/>
    <w:rsid w:val="00904260"/>
    <w:rsid w:val="009048DC"/>
    <w:rsid w:val="00904982"/>
    <w:rsid w:val="00904CBB"/>
    <w:rsid w:val="00904D76"/>
    <w:rsid w:val="0090508D"/>
    <w:rsid w:val="0090548A"/>
    <w:rsid w:val="00905BD8"/>
    <w:rsid w:val="00906056"/>
    <w:rsid w:val="00906305"/>
    <w:rsid w:val="00906884"/>
    <w:rsid w:val="00906929"/>
    <w:rsid w:val="0090733F"/>
    <w:rsid w:val="0090784A"/>
    <w:rsid w:val="00907896"/>
    <w:rsid w:val="009078E5"/>
    <w:rsid w:val="00907A32"/>
    <w:rsid w:val="00907ADE"/>
    <w:rsid w:val="00907BF8"/>
    <w:rsid w:val="00907F0F"/>
    <w:rsid w:val="00907FE4"/>
    <w:rsid w:val="00910164"/>
    <w:rsid w:val="009106B7"/>
    <w:rsid w:val="0091098A"/>
    <w:rsid w:val="00910AA2"/>
    <w:rsid w:val="00910B3C"/>
    <w:rsid w:val="00910CFF"/>
    <w:rsid w:val="00910D6D"/>
    <w:rsid w:val="009117DA"/>
    <w:rsid w:val="00911B33"/>
    <w:rsid w:val="0091211C"/>
    <w:rsid w:val="00912497"/>
    <w:rsid w:val="009132CF"/>
    <w:rsid w:val="00914B8B"/>
    <w:rsid w:val="00914D6E"/>
    <w:rsid w:val="00915077"/>
    <w:rsid w:val="009151F5"/>
    <w:rsid w:val="0091551E"/>
    <w:rsid w:val="0091611A"/>
    <w:rsid w:val="0091655F"/>
    <w:rsid w:val="009165D6"/>
    <w:rsid w:val="009168E6"/>
    <w:rsid w:val="009168FA"/>
    <w:rsid w:val="0091702B"/>
    <w:rsid w:val="0091706C"/>
    <w:rsid w:val="009170D6"/>
    <w:rsid w:val="00917543"/>
    <w:rsid w:val="00917593"/>
    <w:rsid w:val="00917CE0"/>
    <w:rsid w:val="00917DF6"/>
    <w:rsid w:val="00917FDE"/>
    <w:rsid w:val="0092020E"/>
    <w:rsid w:val="00920557"/>
    <w:rsid w:val="00920876"/>
    <w:rsid w:val="00920AE9"/>
    <w:rsid w:val="00920BE3"/>
    <w:rsid w:val="00920C94"/>
    <w:rsid w:val="00920DDF"/>
    <w:rsid w:val="00920E30"/>
    <w:rsid w:val="00920E96"/>
    <w:rsid w:val="0092101D"/>
    <w:rsid w:val="009211ED"/>
    <w:rsid w:val="009213B7"/>
    <w:rsid w:val="009218EA"/>
    <w:rsid w:val="009219AB"/>
    <w:rsid w:val="00921AE5"/>
    <w:rsid w:val="00921CD5"/>
    <w:rsid w:val="00921E13"/>
    <w:rsid w:val="00921F1B"/>
    <w:rsid w:val="00921F69"/>
    <w:rsid w:val="009221E6"/>
    <w:rsid w:val="009224D6"/>
    <w:rsid w:val="00922613"/>
    <w:rsid w:val="00922E55"/>
    <w:rsid w:val="00923176"/>
    <w:rsid w:val="00923963"/>
    <w:rsid w:val="00923A79"/>
    <w:rsid w:val="00923C53"/>
    <w:rsid w:val="00923D16"/>
    <w:rsid w:val="00923D9E"/>
    <w:rsid w:val="0092442A"/>
    <w:rsid w:val="009244F0"/>
    <w:rsid w:val="009247BA"/>
    <w:rsid w:val="009250F6"/>
    <w:rsid w:val="00925908"/>
    <w:rsid w:val="0092617D"/>
    <w:rsid w:val="009267C8"/>
    <w:rsid w:val="009275CD"/>
    <w:rsid w:val="009275DA"/>
    <w:rsid w:val="009276C3"/>
    <w:rsid w:val="0092794D"/>
    <w:rsid w:val="00927C9E"/>
    <w:rsid w:val="00927ECB"/>
    <w:rsid w:val="00930148"/>
    <w:rsid w:val="00930267"/>
    <w:rsid w:val="009303FE"/>
    <w:rsid w:val="0093081B"/>
    <w:rsid w:val="00930B98"/>
    <w:rsid w:val="00930D55"/>
    <w:rsid w:val="00930E48"/>
    <w:rsid w:val="00931269"/>
    <w:rsid w:val="009314CF"/>
    <w:rsid w:val="00931CF6"/>
    <w:rsid w:val="00932026"/>
    <w:rsid w:val="00932BB3"/>
    <w:rsid w:val="00932E11"/>
    <w:rsid w:val="00932F35"/>
    <w:rsid w:val="009331D0"/>
    <w:rsid w:val="009332FD"/>
    <w:rsid w:val="00933392"/>
    <w:rsid w:val="0093342A"/>
    <w:rsid w:val="00933701"/>
    <w:rsid w:val="00933A4B"/>
    <w:rsid w:val="00933E38"/>
    <w:rsid w:val="00933E60"/>
    <w:rsid w:val="00933EB2"/>
    <w:rsid w:val="00934AB3"/>
    <w:rsid w:val="00935192"/>
    <w:rsid w:val="00935255"/>
    <w:rsid w:val="00935345"/>
    <w:rsid w:val="0093539E"/>
    <w:rsid w:val="009355A6"/>
    <w:rsid w:val="00935F79"/>
    <w:rsid w:val="009361DF"/>
    <w:rsid w:val="00936563"/>
    <w:rsid w:val="0093656F"/>
    <w:rsid w:val="009366BA"/>
    <w:rsid w:val="00936A19"/>
    <w:rsid w:val="00936BFB"/>
    <w:rsid w:val="00936CBD"/>
    <w:rsid w:val="00937521"/>
    <w:rsid w:val="0093776D"/>
    <w:rsid w:val="00937928"/>
    <w:rsid w:val="00937E42"/>
    <w:rsid w:val="009401AF"/>
    <w:rsid w:val="009403E4"/>
    <w:rsid w:val="00940793"/>
    <w:rsid w:val="00940B21"/>
    <w:rsid w:val="00940B6E"/>
    <w:rsid w:val="00940DCE"/>
    <w:rsid w:val="00940E28"/>
    <w:rsid w:val="00940ED4"/>
    <w:rsid w:val="00941018"/>
    <w:rsid w:val="00941249"/>
    <w:rsid w:val="00941329"/>
    <w:rsid w:val="009414A6"/>
    <w:rsid w:val="009419BF"/>
    <w:rsid w:val="00941A87"/>
    <w:rsid w:val="00941CE8"/>
    <w:rsid w:val="00942923"/>
    <w:rsid w:val="00942E01"/>
    <w:rsid w:val="00943BC3"/>
    <w:rsid w:val="00944022"/>
    <w:rsid w:val="00944774"/>
    <w:rsid w:val="00944BE2"/>
    <w:rsid w:val="00944EC5"/>
    <w:rsid w:val="009451DF"/>
    <w:rsid w:val="009458A6"/>
    <w:rsid w:val="00945976"/>
    <w:rsid w:val="00945FE4"/>
    <w:rsid w:val="009463B0"/>
    <w:rsid w:val="0094691E"/>
    <w:rsid w:val="009477D4"/>
    <w:rsid w:val="00947974"/>
    <w:rsid w:val="009500BA"/>
    <w:rsid w:val="00950210"/>
    <w:rsid w:val="0095091C"/>
    <w:rsid w:val="009509FF"/>
    <w:rsid w:val="00950C8A"/>
    <w:rsid w:val="00950FDC"/>
    <w:rsid w:val="009512E2"/>
    <w:rsid w:val="009514E4"/>
    <w:rsid w:val="00951672"/>
    <w:rsid w:val="00951941"/>
    <w:rsid w:val="00951B2C"/>
    <w:rsid w:val="00951CC4"/>
    <w:rsid w:val="00951FDD"/>
    <w:rsid w:val="00952360"/>
    <w:rsid w:val="00952646"/>
    <w:rsid w:val="00952894"/>
    <w:rsid w:val="00952A5F"/>
    <w:rsid w:val="0095307F"/>
    <w:rsid w:val="009537E7"/>
    <w:rsid w:val="00953831"/>
    <w:rsid w:val="00953B9F"/>
    <w:rsid w:val="00953CA1"/>
    <w:rsid w:val="00954081"/>
    <w:rsid w:val="00954433"/>
    <w:rsid w:val="00954798"/>
    <w:rsid w:val="009548B2"/>
    <w:rsid w:val="009550DB"/>
    <w:rsid w:val="0095551A"/>
    <w:rsid w:val="0095553D"/>
    <w:rsid w:val="00955A1B"/>
    <w:rsid w:val="00955C04"/>
    <w:rsid w:val="00955F5E"/>
    <w:rsid w:val="009565FE"/>
    <w:rsid w:val="0095680C"/>
    <w:rsid w:val="009568D6"/>
    <w:rsid w:val="00956CB9"/>
    <w:rsid w:val="00956DF2"/>
    <w:rsid w:val="00956E0A"/>
    <w:rsid w:val="00957189"/>
    <w:rsid w:val="009575A2"/>
    <w:rsid w:val="0095760D"/>
    <w:rsid w:val="0095772C"/>
    <w:rsid w:val="0095795D"/>
    <w:rsid w:val="00957BBF"/>
    <w:rsid w:val="00957F32"/>
    <w:rsid w:val="009601F3"/>
    <w:rsid w:val="009603E7"/>
    <w:rsid w:val="009608EE"/>
    <w:rsid w:val="00960932"/>
    <w:rsid w:val="00960C2D"/>
    <w:rsid w:val="00960ECC"/>
    <w:rsid w:val="00961172"/>
    <w:rsid w:val="00961455"/>
    <w:rsid w:val="00961485"/>
    <w:rsid w:val="0096179D"/>
    <w:rsid w:val="0096190A"/>
    <w:rsid w:val="009624EE"/>
    <w:rsid w:val="0096275E"/>
    <w:rsid w:val="0096278D"/>
    <w:rsid w:val="00963034"/>
    <w:rsid w:val="009632AF"/>
    <w:rsid w:val="009632D6"/>
    <w:rsid w:val="0096418E"/>
    <w:rsid w:val="00964675"/>
    <w:rsid w:val="009648EA"/>
    <w:rsid w:val="009653AE"/>
    <w:rsid w:val="009654AF"/>
    <w:rsid w:val="0096575F"/>
    <w:rsid w:val="00965CF5"/>
    <w:rsid w:val="009660A0"/>
    <w:rsid w:val="00966306"/>
    <w:rsid w:val="00966460"/>
    <w:rsid w:val="009666F6"/>
    <w:rsid w:val="009667A6"/>
    <w:rsid w:val="009668C9"/>
    <w:rsid w:val="00966DE8"/>
    <w:rsid w:val="0096719C"/>
    <w:rsid w:val="00967A80"/>
    <w:rsid w:val="00967B18"/>
    <w:rsid w:val="009700D7"/>
    <w:rsid w:val="009701CA"/>
    <w:rsid w:val="009701D2"/>
    <w:rsid w:val="009706D4"/>
    <w:rsid w:val="009706E7"/>
    <w:rsid w:val="00970B67"/>
    <w:rsid w:val="00970F03"/>
    <w:rsid w:val="00970F43"/>
    <w:rsid w:val="009712DF"/>
    <w:rsid w:val="009715FD"/>
    <w:rsid w:val="00971781"/>
    <w:rsid w:val="009718E2"/>
    <w:rsid w:val="00971B24"/>
    <w:rsid w:val="009723CF"/>
    <w:rsid w:val="00972514"/>
    <w:rsid w:val="00972CBB"/>
    <w:rsid w:val="00972DE1"/>
    <w:rsid w:val="00972E91"/>
    <w:rsid w:val="0097354E"/>
    <w:rsid w:val="00973AB1"/>
    <w:rsid w:val="0097456D"/>
    <w:rsid w:val="009745FC"/>
    <w:rsid w:val="00974681"/>
    <w:rsid w:val="00974BD1"/>
    <w:rsid w:val="00974CF5"/>
    <w:rsid w:val="00975830"/>
    <w:rsid w:val="0097596C"/>
    <w:rsid w:val="00976186"/>
    <w:rsid w:val="00976274"/>
    <w:rsid w:val="0097628E"/>
    <w:rsid w:val="00976309"/>
    <w:rsid w:val="00976789"/>
    <w:rsid w:val="00976A5D"/>
    <w:rsid w:val="00977CBD"/>
    <w:rsid w:val="00977D8E"/>
    <w:rsid w:val="00977E5B"/>
    <w:rsid w:val="00977E90"/>
    <w:rsid w:val="00977EBB"/>
    <w:rsid w:val="00980213"/>
    <w:rsid w:val="00980576"/>
    <w:rsid w:val="0098078E"/>
    <w:rsid w:val="00980797"/>
    <w:rsid w:val="00980961"/>
    <w:rsid w:val="009809A9"/>
    <w:rsid w:val="00980C84"/>
    <w:rsid w:val="00980DA2"/>
    <w:rsid w:val="00980F6A"/>
    <w:rsid w:val="00981881"/>
    <w:rsid w:val="00981883"/>
    <w:rsid w:val="00981C38"/>
    <w:rsid w:val="00981DCA"/>
    <w:rsid w:val="00982070"/>
    <w:rsid w:val="00982197"/>
    <w:rsid w:val="009821AF"/>
    <w:rsid w:val="00982590"/>
    <w:rsid w:val="009828E5"/>
    <w:rsid w:val="00983A24"/>
    <w:rsid w:val="00983B0D"/>
    <w:rsid w:val="00983B2B"/>
    <w:rsid w:val="00983DD4"/>
    <w:rsid w:val="0098492F"/>
    <w:rsid w:val="00984C8B"/>
    <w:rsid w:val="0098557B"/>
    <w:rsid w:val="009855A0"/>
    <w:rsid w:val="0098566A"/>
    <w:rsid w:val="0098597C"/>
    <w:rsid w:val="00986000"/>
    <w:rsid w:val="0098667C"/>
    <w:rsid w:val="00986EEC"/>
    <w:rsid w:val="009873E3"/>
    <w:rsid w:val="009876CD"/>
    <w:rsid w:val="00987907"/>
    <w:rsid w:val="00987C27"/>
    <w:rsid w:val="00987EE7"/>
    <w:rsid w:val="0099068F"/>
    <w:rsid w:val="00990BAD"/>
    <w:rsid w:val="00991349"/>
    <w:rsid w:val="00991398"/>
    <w:rsid w:val="0099191D"/>
    <w:rsid w:val="0099197F"/>
    <w:rsid w:val="00991A0D"/>
    <w:rsid w:val="00991D6A"/>
    <w:rsid w:val="00992090"/>
    <w:rsid w:val="00992153"/>
    <w:rsid w:val="0099287A"/>
    <w:rsid w:val="0099294B"/>
    <w:rsid w:val="00993327"/>
    <w:rsid w:val="0099392E"/>
    <w:rsid w:val="00993AF7"/>
    <w:rsid w:val="00993B97"/>
    <w:rsid w:val="009942B5"/>
    <w:rsid w:val="00994B89"/>
    <w:rsid w:val="00994CE9"/>
    <w:rsid w:val="00994F44"/>
    <w:rsid w:val="00995163"/>
    <w:rsid w:val="00995246"/>
    <w:rsid w:val="00996165"/>
    <w:rsid w:val="00996587"/>
    <w:rsid w:val="00996637"/>
    <w:rsid w:val="0099663D"/>
    <w:rsid w:val="00996BFF"/>
    <w:rsid w:val="00996DF4"/>
    <w:rsid w:val="00997726"/>
    <w:rsid w:val="009977C4"/>
    <w:rsid w:val="00997BB0"/>
    <w:rsid w:val="00997C76"/>
    <w:rsid w:val="00997CAC"/>
    <w:rsid w:val="00997DE6"/>
    <w:rsid w:val="009A009C"/>
    <w:rsid w:val="009A05CB"/>
    <w:rsid w:val="009A0716"/>
    <w:rsid w:val="009A07CC"/>
    <w:rsid w:val="009A0C40"/>
    <w:rsid w:val="009A0FA6"/>
    <w:rsid w:val="009A1120"/>
    <w:rsid w:val="009A12C5"/>
    <w:rsid w:val="009A15C1"/>
    <w:rsid w:val="009A1904"/>
    <w:rsid w:val="009A1E37"/>
    <w:rsid w:val="009A2230"/>
    <w:rsid w:val="009A22FF"/>
    <w:rsid w:val="009A25AC"/>
    <w:rsid w:val="009A264F"/>
    <w:rsid w:val="009A2DE3"/>
    <w:rsid w:val="009A2FA6"/>
    <w:rsid w:val="009A3157"/>
    <w:rsid w:val="009A31DA"/>
    <w:rsid w:val="009A34E4"/>
    <w:rsid w:val="009A3552"/>
    <w:rsid w:val="009A400F"/>
    <w:rsid w:val="009A4A9E"/>
    <w:rsid w:val="009A4FDF"/>
    <w:rsid w:val="009A5A40"/>
    <w:rsid w:val="009A5FBA"/>
    <w:rsid w:val="009A631B"/>
    <w:rsid w:val="009A69D8"/>
    <w:rsid w:val="009A6C0B"/>
    <w:rsid w:val="009A6D1B"/>
    <w:rsid w:val="009A75FC"/>
    <w:rsid w:val="009A7650"/>
    <w:rsid w:val="009A7AAC"/>
    <w:rsid w:val="009B0314"/>
    <w:rsid w:val="009B06E7"/>
    <w:rsid w:val="009B072A"/>
    <w:rsid w:val="009B07E4"/>
    <w:rsid w:val="009B0A3A"/>
    <w:rsid w:val="009B0C9A"/>
    <w:rsid w:val="009B0CCE"/>
    <w:rsid w:val="009B0E35"/>
    <w:rsid w:val="009B2291"/>
    <w:rsid w:val="009B2CC6"/>
    <w:rsid w:val="009B2CD6"/>
    <w:rsid w:val="009B2D19"/>
    <w:rsid w:val="009B3221"/>
    <w:rsid w:val="009B3564"/>
    <w:rsid w:val="009B3F11"/>
    <w:rsid w:val="009B443D"/>
    <w:rsid w:val="009B462F"/>
    <w:rsid w:val="009B4827"/>
    <w:rsid w:val="009B48FE"/>
    <w:rsid w:val="009B4AFB"/>
    <w:rsid w:val="009B4C27"/>
    <w:rsid w:val="009B4D40"/>
    <w:rsid w:val="009B4DB1"/>
    <w:rsid w:val="009B534A"/>
    <w:rsid w:val="009B5350"/>
    <w:rsid w:val="009B54D2"/>
    <w:rsid w:val="009B5EE6"/>
    <w:rsid w:val="009B6191"/>
    <w:rsid w:val="009B61EA"/>
    <w:rsid w:val="009B6287"/>
    <w:rsid w:val="009B6606"/>
    <w:rsid w:val="009B6DE0"/>
    <w:rsid w:val="009B7789"/>
    <w:rsid w:val="009B7D5C"/>
    <w:rsid w:val="009B7E55"/>
    <w:rsid w:val="009C00AD"/>
    <w:rsid w:val="009C02C1"/>
    <w:rsid w:val="009C092A"/>
    <w:rsid w:val="009C0D4F"/>
    <w:rsid w:val="009C0E2C"/>
    <w:rsid w:val="009C124A"/>
    <w:rsid w:val="009C1300"/>
    <w:rsid w:val="009C16A1"/>
    <w:rsid w:val="009C269A"/>
    <w:rsid w:val="009C28D7"/>
    <w:rsid w:val="009C2B4E"/>
    <w:rsid w:val="009C2BD3"/>
    <w:rsid w:val="009C2BEF"/>
    <w:rsid w:val="009C2CDE"/>
    <w:rsid w:val="009C3067"/>
    <w:rsid w:val="009C32D0"/>
    <w:rsid w:val="009C349F"/>
    <w:rsid w:val="009C3894"/>
    <w:rsid w:val="009C4064"/>
    <w:rsid w:val="009C4691"/>
    <w:rsid w:val="009C4CAE"/>
    <w:rsid w:val="009C4CEF"/>
    <w:rsid w:val="009C4D82"/>
    <w:rsid w:val="009C4FCA"/>
    <w:rsid w:val="009C52E6"/>
    <w:rsid w:val="009C5D4C"/>
    <w:rsid w:val="009C5F3C"/>
    <w:rsid w:val="009C5F72"/>
    <w:rsid w:val="009C606B"/>
    <w:rsid w:val="009C6339"/>
    <w:rsid w:val="009C64F8"/>
    <w:rsid w:val="009C65E4"/>
    <w:rsid w:val="009C682B"/>
    <w:rsid w:val="009C707F"/>
    <w:rsid w:val="009C785D"/>
    <w:rsid w:val="009C7A59"/>
    <w:rsid w:val="009C7BE4"/>
    <w:rsid w:val="009C7C95"/>
    <w:rsid w:val="009C7D17"/>
    <w:rsid w:val="009C7EDE"/>
    <w:rsid w:val="009D01DD"/>
    <w:rsid w:val="009D0549"/>
    <w:rsid w:val="009D058C"/>
    <w:rsid w:val="009D061C"/>
    <w:rsid w:val="009D0702"/>
    <w:rsid w:val="009D0863"/>
    <w:rsid w:val="009D0868"/>
    <w:rsid w:val="009D0D90"/>
    <w:rsid w:val="009D0EF7"/>
    <w:rsid w:val="009D11F5"/>
    <w:rsid w:val="009D14A5"/>
    <w:rsid w:val="009D1526"/>
    <w:rsid w:val="009D185C"/>
    <w:rsid w:val="009D197B"/>
    <w:rsid w:val="009D1C32"/>
    <w:rsid w:val="009D1DB6"/>
    <w:rsid w:val="009D1E48"/>
    <w:rsid w:val="009D1F49"/>
    <w:rsid w:val="009D1F62"/>
    <w:rsid w:val="009D20AD"/>
    <w:rsid w:val="009D2270"/>
    <w:rsid w:val="009D250D"/>
    <w:rsid w:val="009D2629"/>
    <w:rsid w:val="009D2D37"/>
    <w:rsid w:val="009D2E3A"/>
    <w:rsid w:val="009D2F11"/>
    <w:rsid w:val="009D3067"/>
    <w:rsid w:val="009D3088"/>
    <w:rsid w:val="009D40C0"/>
    <w:rsid w:val="009D43A6"/>
    <w:rsid w:val="009D468A"/>
    <w:rsid w:val="009D4736"/>
    <w:rsid w:val="009D48DC"/>
    <w:rsid w:val="009D4E93"/>
    <w:rsid w:val="009D4FC2"/>
    <w:rsid w:val="009D5212"/>
    <w:rsid w:val="009D5B25"/>
    <w:rsid w:val="009D5FEF"/>
    <w:rsid w:val="009D650E"/>
    <w:rsid w:val="009D65B9"/>
    <w:rsid w:val="009D6A8F"/>
    <w:rsid w:val="009D6A91"/>
    <w:rsid w:val="009E011A"/>
    <w:rsid w:val="009E039C"/>
    <w:rsid w:val="009E0A23"/>
    <w:rsid w:val="009E0D50"/>
    <w:rsid w:val="009E11F9"/>
    <w:rsid w:val="009E1716"/>
    <w:rsid w:val="009E18CB"/>
    <w:rsid w:val="009E1AE1"/>
    <w:rsid w:val="009E1B5E"/>
    <w:rsid w:val="009E2930"/>
    <w:rsid w:val="009E2A0D"/>
    <w:rsid w:val="009E2F50"/>
    <w:rsid w:val="009E31F1"/>
    <w:rsid w:val="009E327B"/>
    <w:rsid w:val="009E3F65"/>
    <w:rsid w:val="009E4067"/>
    <w:rsid w:val="009E43CE"/>
    <w:rsid w:val="009E4C46"/>
    <w:rsid w:val="009E4D45"/>
    <w:rsid w:val="009E506D"/>
    <w:rsid w:val="009E5124"/>
    <w:rsid w:val="009E53A4"/>
    <w:rsid w:val="009E540D"/>
    <w:rsid w:val="009E5690"/>
    <w:rsid w:val="009E5883"/>
    <w:rsid w:val="009E58F3"/>
    <w:rsid w:val="009E5CEB"/>
    <w:rsid w:val="009E5D94"/>
    <w:rsid w:val="009E64F0"/>
    <w:rsid w:val="009E660D"/>
    <w:rsid w:val="009E6B6E"/>
    <w:rsid w:val="009E7029"/>
    <w:rsid w:val="009E7E89"/>
    <w:rsid w:val="009F033C"/>
    <w:rsid w:val="009F06E1"/>
    <w:rsid w:val="009F099C"/>
    <w:rsid w:val="009F0A2F"/>
    <w:rsid w:val="009F0FEA"/>
    <w:rsid w:val="009F126D"/>
    <w:rsid w:val="009F1276"/>
    <w:rsid w:val="009F1357"/>
    <w:rsid w:val="009F1491"/>
    <w:rsid w:val="009F14C0"/>
    <w:rsid w:val="009F18C8"/>
    <w:rsid w:val="009F1F70"/>
    <w:rsid w:val="009F220B"/>
    <w:rsid w:val="009F22AF"/>
    <w:rsid w:val="009F26CF"/>
    <w:rsid w:val="009F27C6"/>
    <w:rsid w:val="009F321A"/>
    <w:rsid w:val="009F3572"/>
    <w:rsid w:val="009F3836"/>
    <w:rsid w:val="009F3C77"/>
    <w:rsid w:val="009F3ED7"/>
    <w:rsid w:val="009F467A"/>
    <w:rsid w:val="009F46BA"/>
    <w:rsid w:val="009F4FC3"/>
    <w:rsid w:val="009F5204"/>
    <w:rsid w:val="009F5508"/>
    <w:rsid w:val="009F55DF"/>
    <w:rsid w:val="009F5696"/>
    <w:rsid w:val="009F583B"/>
    <w:rsid w:val="009F58D0"/>
    <w:rsid w:val="009F5C1D"/>
    <w:rsid w:val="009F5D3A"/>
    <w:rsid w:val="009F611E"/>
    <w:rsid w:val="009F64E6"/>
    <w:rsid w:val="009F6716"/>
    <w:rsid w:val="009F6C5A"/>
    <w:rsid w:val="009F700C"/>
    <w:rsid w:val="009F72F5"/>
    <w:rsid w:val="009F7A5A"/>
    <w:rsid w:val="009F7EB2"/>
    <w:rsid w:val="00A000D9"/>
    <w:rsid w:val="00A00438"/>
    <w:rsid w:val="00A00541"/>
    <w:rsid w:val="00A00640"/>
    <w:rsid w:val="00A006A3"/>
    <w:rsid w:val="00A00828"/>
    <w:rsid w:val="00A00D16"/>
    <w:rsid w:val="00A01281"/>
    <w:rsid w:val="00A01694"/>
    <w:rsid w:val="00A01A0F"/>
    <w:rsid w:val="00A023D1"/>
    <w:rsid w:val="00A026ED"/>
    <w:rsid w:val="00A02A3D"/>
    <w:rsid w:val="00A02C85"/>
    <w:rsid w:val="00A03003"/>
    <w:rsid w:val="00A03816"/>
    <w:rsid w:val="00A042B3"/>
    <w:rsid w:val="00A0477D"/>
    <w:rsid w:val="00A04D22"/>
    <w:rsid w:val="00A0514B"/>
    <w:rsid w:val="00A05544"/>
    <w:rsid w:val="00A055C4"/>
    <w:rsid w:val="00A05881"/>
    <w:rsid w:val="00A058ED"/>
    <w:rsid w:val="00A05C88"/>
    <w:rsid w:val="00A05CD7"/>
    <w:rsid w:val="00A06307"/>
    <w:rsid w:val="00A06CA6"/>
    <w:rsid w:val="00A06EEF"/>
    <w:rsid w:val="00A0709A"/>
    <w:rsid w:val="00A07D0E"/>
    <w:rsid w:val="00A102F9"/>
    <w:rsid w:val="00A105DD"/>
    <w:rsid w:val="00A10ACE"/>
    <w:rsid w:val="00A10B36"/>
    <w:rsid w:val="00A10CB8"/>
    <w:rsid w:val="00A110A6"/>
    <w:rsid w:val="00A111BC"/>
    <w:rsid w:val="00A116DC"/>
    <w:rsid w:val="00A11982"/>
    <w:rsid w:val="00A11BBB"/>
    <w:rsid w:val="00A11DC4"/>
    <w:rsid w:val="00A12079"/>
    <w:rsid w:val="00A1217A"/>
    <w:rsid w:val="00A1233B"/>
    <w:rsid w:val="00A124DE"/>
    <w:rsid w:val="00A12B05"/>
    <w:rsid w:val="00A12B4C"/>
    <w:rsid w:val="00A131B4"/>
    <w:rsid w:val="00A13538"/>
    <w:rsid w:val="00A14643"/>
    <w:rsid w:val="00A147A2"/>
    <w:rsid w:val="00A14C12"/>
    <w:rsid w:val="00A14D8F"/>
    <w:rsid w:val="00A15055"/>
    <w:rsid w:val="00A1530E"/>
    <w:rsid w:val="00A15859"/>
    <w:rsid w:val="00A15A9A"/>
    <w:rsid w:val="00A15AFC"/>
    <w:rsid w:val="00A15F89"/>
    <w:rsid w:val="00A162D1"/>
    <w:rsid w:val="00A16325"/>
    <w:rsid w:val="00A1667F"/>
    <w:rsid w:val="00A16BBD"/>
    <w:rsid w:val="00A16F18"/>
    <w:rsid w:val="00A17520"/>
    <w:rsid w:val="00A175CD"/>
    <w:rsid w:val="00A17916"/>
    <w:rsid w:val="00A17AAB"/>
    <w:rsid w:val="00A20253"/>
    <w:rsid w:val="00A202CF"/>
    <w:rsid w:val="00A20745"/>
    <w:rsid w:val="00A2083F"/>
    <w:rsid w:val="00A20BCE"/>
    <w:rsid w:val="00A2132D"/>
    <w:rsid w:val="00A21339"/>
    <w:rsid w:val="00A21712"/>
    <w:rsid w:val="00A21A05"/>
    <w:rsid w:val="00A21D0C"/>
    <w:rsid w:val="00A21D70"/>
    <w:rsid w:val="00A220BB"/>
    <w:rsid w:val="00A22596"/>
    <w:rsid w:val="00A226C6"/>
    <w:rsid w:val="00A229E2"/>
    <w:rsid w:val="00A229F4"/>
    <w:rsid w:val="00A22B9E"/>
    <w:rsid w:val="00A22E07"/>
    <w:rsid w:val="00A22FCB"/>
    <w:rsid w:val="00A232A3"/>
    <w:rsid w:val="00A23463"/>
    <w:rsid w:val="00A237D3"/>
    <w:rsid w:val="00A23A2E"/>
    <w:rsid w:val="00A23BF8"/>
    <w:rsid w:val="00A24265"/>
    <w:rsid w:val="00A24395"/>
    <w:rsid w:val="00A24B07"/>
    <w:rsid w:val="00A25B7E"/>
    <w:rsid w:val="00A25BB2"/>
    <w:rsid w:val="00A263F4"/>
    <w:rsid w:val="00A26F25"/>
    <w:rsid w:val="00A27349"/>
    <w:rsid w:val="00A278D9"/>
    <w:rsid w:val="00A27A32"/>
    <w:rsid w:val="00A27B58"/>
    <w:rsid w:val="00A30803"/>
    <w:rsid w:val="00A30C01"/>
    <w:rsid w:val="00A30FCF"/>
    <w:rsid w:val="00A319C7"/>
    <w:rsid w:val="00A3206B"/>
    <w:rsid w:val="00A32708"/>
    <w:rsid w:val="00A32FC8"/>
    <w:rsid w:val="00A3359F"/>
    <w:rsid w:val="00A33840"/>
    <w:rsid w:val="00A34041"/>
    <w:rsid w:val="00A3435A"/>
    <w:rsid w:val="00A34CD1"/>
    <w:rsid w:val="00A351F7"/>
    <w:rsid w:val="00A35E0C"/>
    <w:rsid w:val="00A3600A"/>
    <w:rsid w:val="00A363D5"/>
    <w:rsid w:val="00A3660F"/>
    <w:rsid w:val="00A36A7A"/>
    <w:rsid w:val="00A370B7"/>
    <w:rsid w:val="00A37389"/>
    <w:rsid w:val="00A37489"/>
    <w:rsid w:val="00A40046"/>
    <w:rsid w:val="00A402BB"/>
    <w:rsid w:val="00A40B17"/>
    <w:rsid w:val="00A40EDF"/>
    <w:rsid w:val="00A40F58"/>
    <w:rsid w:val="00A410D8"/>
    <w:rsid w:val="00A41145"/>
    <w:rsid w:val="00A418B4"/>
    <w:rsid w:val="00A41B10"/>
    <w:rsid w:val="00A41D31"/>
    <w:rsid w:val="00A41E3F"/>
    <w:rsid w:val="00A42B4E"/>
    <w:rsid w:val="00A42B6B"/>
    <w:rsid w:val="00A42F59"/>
    <w:rsid w:val="00A42FCB"/>
    <w:rsid w:val="00A430D1"/>
    <w:rsid w:val="00A432CB"/>
    <w:rsid w:val="00A4335C"/>
    <w:rsid w:val="00A4337C"/>
    <w:rsid w:val="00A43405"/>
    <w:rsid w:val="00A43599"/>
    <w:rsid w:val="00A43603"/>
    <w:rsid w:val="00A43803"/>
    <w:rsid w:val="00A43D5A"/>
    <w:rsid w:val="00A43FD0"/>
    <w:rsid w:val="00A440F8"/>
    <w:rsid w:val="00A44412"/>
    <w:rsid w:val="00A449FC"/>
    <w:rsid w:val="00A44D24"/>
    <w:rsid w:val="00A45C41"/>
    <w:rsid w:val="00A45F76"/>
    <w:rsid w:val="00A4613E"/>
    <w:rsid w:val="00A4621C"/>
    <w:rsid w:val="00A46459"/>
    <w:rsid w:val="00A464D2"/>
    <w:rsid w:val="00A465A8"/>
    <w:rsid w:val="00A46A47"/>
    <w:rsid w:val="00A46AE0"/>
    <w:rsid w:val="00A46B49"/>
    <w:rsid w:val="00A46CD5"/>
    <w:rsid w:val="00A4710E"/>
    <w:rsid w:val="00A47253"/>
    <w:rsid w:val="00A473AA"/>
    <w:rsid w:val="00A476BA"/>
    <w:rsid w:val="00A477DB"/>
    <w:rsid w:val="00A47B2D"/>
    <w:rsid w:val="00A508B2"/>
    <w:rsid w:val="00A50A72"/>
    <w:rsid w:val="00A5162F"/>
    <w:rsid w:val="00A527A8"/>
    <w:rsid w:val="00A52806"/>
    <w:rsid w:val="00A52A77"/>
    <w:rsid w:val="00A53413"/>
    <w:rsid w:val="00A53B16"/>
    <w:rsid w:val="00A53D39"/>
    <w:rsid w:val="00A53F6C"/>
    <w:rsid w:val="00A54BA1"/>
    <w:rsid w:val="00A55637"/>
    <w:rsid w:val="00A55AD4"/>
    <w:rsid w:val="00A55DAE"/>
    <w:rsid w:val="00A56232"/>
    <w:rsid w:val="00A5652C"/>
    <w:rsid w:val="00A5654F"/>
    <w:rsid w:val="00A571C0"/>
    <w:rsid w:val="00A57635"/>
    <w:rsid w:val="00A578D8"/>
    <w:rsid w:val="00A578F9"/>
    <w:rsid w:val="00A5794D"/>
    <w:rsid w:val="00A57F09"/>
    <w:rsid w:val="00A6007E"/>
    <w:rsid w:val="00A60397"/>
    <w:rsid w:val="00A60BE8"/>
    <w:rsid w:val="00A6143C"/>
    <w:rsid w:val="00A61F22"/>
    <w:rsid w:val="00A6271E"/>
    <w:rsid w:val="00A62A38"/>
    <w:rsid w:val="00A62C91"/>
    <w:rsid w:val="00A62F81"/>
    <w:rsid w:val="00A62FD7"/>
    <w:rsid w:val="00A63D98"/>
    <w:rsid w:val="00A6404C"/>
    <w:rsid w:val="00A64C53"/>
    <w:rsid w:val="00A64CC5"/>
    <w:rsid w:val="00A64CCD"/>
    <w:rsid w:val="00A64F76"/>
    <w:rsid w:val="00A651D3"/>
    <w:rsid w:val="00A65204"/>
    <w:rsid w:val="00A65A55"/>
    <w:rsid w:val="00A65DE5"/>
    <w:rsid w:val="00A65F80"/>
    <w:rsid w:val="00A6604B"/>
    <w:rsid w:val="00A662DA"/>
    <w:rsid w:val="00A6648D"/>
    <w:rsid w:val="00A666D4"/>
    <w:rsid w:val="00A66C4A"/>
    <w:rsid w:val="00A66DCE"/>
    <w:rsid w:val="00A6749D"/>
    <w:rsid w:val="00A679C6"/>
    <w:rsid w:val="00A67B50"/>
    <w:rsid w:val="00A67BBD"/>
    <w:rsid w:val="00A67BF6"/>
    <w:rsid w:val="00A67C73"/>
    <w:rsid w:val="00A67CBC"/>
    <w:rsid w:val="00A6A15A"/>
    <w:rsid w:val="00A701D3"/>
    <w:rsid w:val="00A702A8"/>
    <w:rsid w:val="00A70873"/>
    <w:rsid w:val="00A70AD7"/>
    <w:rsid w:val="00A70C7E"/>
    <w:rsid w:val="00A70C98"/>
    <w:rsid w:val="00A710C0"/>
    <w:rsid w:val="00A71523"/>
    <w:rsid w:val="00A723DD"/>
    <w:rsid w:val="00A7277D"/>
    <w:rsid w:val="00A72AE5"/>
    <w:rsid w:val="00A72CE1"/>
    <w:rsid w:val="00A72EAE"/>
    <w:rsid w:val="00A73028"/>
    <w:rsid w:val="00A730C8"/>
    <w:rsid w:val="00A7335D"/>
    <w:rsid w:val="00A7340E"/>
    <w:rsid w:val="00A7360C"/>
    <w:rsid w:val="00A736D1"/>
    <w:rsid w:val="00A73775"/>
    <w:rsid w:val="00A73B5E"/>
    <w:rsid w:val="00A73C9A"/>
    <w:rsid w:val="00A73FF0"/>
    <w:rsid w:val="00A74197"/>
    <w:rsid w:val="00A7420B"/>
    <w:rsid w:val="00A7424C"/>
    <w:rsid w:val="00A74BA9"/>
    <w:rsid w:val="00A74E11"/>
    <w:rsid w:val="00A74F23"/>
    <w:rsid w:val="00A7512F"/>
    <w:rsid w:val="00A76F42"/>
    <w:rsid w:val="00A76FC3"/>
    <w:rsid w:val="00A778EC"/>
    <w:rsid w:val="00A77FB5"/>
    <w:rsid w:val="00A80889"/>
    <w:rsid w:val="00A8144D"/>
    <w:rsid w:val="00A81502"/>
    <w:rsid w:val="00A81B95"/>
    <w:rsid w:val="00A81C3E"/>
    <w:rsid w:val="00A81E39"/>
    <w:rsid w:val="00A81E8B"/>
    <w:rsid w:val="00A82230"/>
    <w:rsid w:val="00A830E8"/>
    <w:rsid w:val="00A83DB6"/>
    <w:rsid w:val="00A83DBF"/>
    <w:rsid w:val="00A83FA4"/>
    <w:rsid w:val="00A8429E"/>
    <w:rsid w:val="00A8455E"/>
    <w:rsid w:val="00A84818"/>
    <w:rsid w:val="00A84B07"/>
    <w:rsid w:val="00A850B2"/>
    <w:rsid w:val="00A85B4D"/>
    <w:rsid w:val="00A85CB2"/>
    <w:rsid w:val="00A85DF7"/>
    <w:rsid w:val="00A86275"/>
    <w:rsid w:val="00A86426"/>
    <w:rsid w:val="00A867FF"/>
    <w:rsid w:val="00A86B61"/>
    <w:rsid w:val="00A8715A"/>
    <w:rsid w:val="00A874E9"/>
    <w:rsid w:val="00A876AB"/>
    <w:rsid w:val="00A87B33"/>
    <w:rsid w:val="00A90174"/>
    <w:rsid w:val="00A9019B"/>
    <w:rsid w:val="00A90307"/>
    <w:rsid w:val="00A90318"/>
    <w:rsid w:val="00A90A59"/>
    <w:rsid w:val="00A90AEF"/>
    <w:rsid w:val="00A911AC"/>
    <w:rsid w:val="00A9158E"/>
    <w:rsid w:val="00A91DF9"/>
    <w:rsid w:val="00A91FF3"/>
    <w:rsid w:val="00A9259A"/>
    <w:rsid w:val="00A92733"/>
    <w:rsid w:val="00A9273F"/>
    <w:rsid w:val="00A92785"/>
    <w:rsid w:val="00A92A10"/>
    <w:rsid w:val="00A92A2A"/>
    <w:rsid w:val="00A92B83"/>
    <w:rsid w:val="00A93567"/>
    <w:rsid w:val="00A93FEB"/>
    <w:rsid w:val="00A94287"/>
    <w:rsid w:val="00A94533"/>
    <w:rsid w:val="00A94781"/>
    <w:rsid w:val="00A94AA5"/>
    <w:rsid w:val="00A94F6F"/>
    <w:rsid w:val="00A95109"/>
    <w:rsid w:val="00A957D8"/>
    <w:rsid w:val="00A95864"/>
    <w:rsid w:val="00A9622C"/>
    <w:rsid w:val="00A9648B"/>
    <w:rsid w:val="00A96496"/>
    <w:rsid w:val="00A965F5"/>
    <w:rsid w:val="00A96632"/>
    <w:rsid w:val="00A967B8"/>
    <w:rsid w:val="00A96B2D"/>
    <w:rsid w:val="00A97166"/>
    <w:rsid w:val="00A973F5"/>
    <w:rsid w:val="00A97673"/>
    <w:rsid w:val="00AA1335"/>
    <w:rsid w:val="00AA199A"/>
    <w:rsid w:val="00AA1B96"/>
    <w:rsid w:val="00AA1CDA"/>
    <w:rsid w:val="00AA21DD"/>
    <w:rsid w:val="00AA236D"/>
    <w:rsid w:val="00AA2792"/>
    <w:rsid w:val="00AA2863"/>
    <w:rsid w:val="00AA334E"/>
    <w:rsid w:val="00AA3705"/>
    <w:rsid w:val="00AA42DD"/>
    <w:rsid w:val="00AA4953"/>
    <w:rsid w:val="00AA4FAA"/>
    <w:rsid w:val="00AA5209"/>
    <w:rsid w:val="00AA5448"/>
    <w:rsid w:val="00AA5C22"/>
    <w:rsid w:val="00AA5EAF"/>
    <w:rsid w:val="00AA68C8"/>
    <w:rsid w:val="00AA69FF"/>
    <w:rsid w:val="00AA6BD7"/>
    <w:rsid w:val="00AA71F4"/>
    <w:rsid w:val="00AA736B"/>
    <w:rsid w:val="00AA75F9"/>
    <w:rsid w:val="00AA78DB"/>
    <w:rsid w:val="00AB01AF"/>
    <w:rsid w:val="00AB0481"/>
    <w:rsid w:val="00AB0951"/>
    <w:rsid w:val="00AB0CD1"/>
    <w:rsid w:val="00AB0FB0"/>
    <w:rsid w:val="00AB23AA"/>
    <w:rsid w:val="00AB25BA"/>
    <w:rsid w:val="00AB2B6A"/>
    <w:rsid w:val="00AB3060"/>
    <w:rsid w:val="00AB3095"/>
    <w:rsid w:val="00AB32A0"/>
    <w:rsid w:val="00AB330B"/>
    <w:rsid w:val="00AB3480"/>
    <w:rsid w:val="00AB3669"/>
    <w:rsid w:val="00AB37A1"/>
    <w:rsid w:val="00AB3855"/>
    <w:rsid w:val="00AB3904"/>
    <w:rsid w:val="00AB3EFE"/>
    <w:rsid w:val="00AB3F0B"/>
    <w:rsid w:val="00AB3F6D"/>
    <w:rsid w:val="00AB4151"/>
    <w:rsid w:val="00AB455A"/>
    <w:rsid w:val="00AB4735"/>
    <w:rsid w:val="00AB47F6"/>
    <w:rsid w:val="00AB4833"/>
    <w:rsid w:val="00AB49CD"/>
    <w:rsid w:val="00AB4A80"/>
    <w:rsid w:val="00AB512F"/>
    <w:rsid w:val="00AB536F"/>
    <w:rsid w:val="00AB60B5"/>
    <w:rsid w:val="00AB626F"/>
    <w:rsid w:val="00AB65E9"/>
    <w:rsid w:val="00AB6A9C"/>
    <w:rsid w:val="00AB7151"/>
    <w:rsid w:val="00AB75E7"/>
    <w:rsid w:val="00AB7913"/>
    <w:rsid w:val="00AB7D07"/>
    <w:rsid w:val="00AB7D7B"/>
    <w:rsid w:val="00AB7DAE"/>
    <w:rsid w:val="00AC0394"/>
    <w:rsid w:val="00AC05A3"/>
    <w:rsid w:val="00AC10B7"/>
    <w:rsid w:val="00AC12B6"/>
    <w:rsid w:val="00AC1732"/>
    <w:rsid w:val="00AC18E0"/>
    <w:rsid w:val="00AC1A51"/>
    <w:rsid w:val="00AC1B56"/>
    <w:rsid w:val="00AC1DA2"/>
    <w:rsid w:val="00AC1E06"/>
    <w:rsid w:val="00AC26C3"/>
    <w:rsid w:val="00AC2FEF"/>
    <w:rsid w:val="00AC3C9A"/>
    <w:rsid w:val="00AC3FF8"/>
    <w:rsid w:val="00AC4D28"/>
    <w:rsid w:val="00AC4EEB"/>
    <w:rsid w:val="00AC51BF"/>
    <w:rsid w:val="00AC5694"/>
    <w:rsid w:val="00AC5696"/>
    <w:rsid w:val="00AC597E"/>
    <w:rsid w:val="00AC5C3F"/>
    <w:rsid w:val="00AC5C9F"/>
    <w:rsid w:val="00AC5E2E"/>
    <w:rsid w:val="00AC5F81"/>
    <w:rsid w:val="00AC6898"/>
    <w:rsid w:val="00AC6969"/>
    <w:rsid w:val="00AC6A8F"/>
    <w:rsid w:val="00AC6B2D"/>
    <w:rsid w:val="00AC709C"/>
    <w:rsid w:val="00AC729E"/>
    <w:rsid w:val="00AC74F0"/>
    <w:rsid w:val="00AC77C6"/>
    <w:rsid w:val="00AC7C9A"/>
    <w:rsid w:val="00AC7E93"/>
    <w:rsid w:val="00AC7FC5"/>
    <w:rsid w:val="00AD0771"/>
    <w:rsid w:val="00AD0984"/>
    <w:rsid w:val="00AD0F4D"/>
    <w:rsid w:val="00AD11CD"/>
    <w:rsid w:val="00AD16B8"/>
    <w:rsid w:val="00AD1DD4"/>
    <w:rsid w:val="00AD2853"/>
    <w:rsid w:val="00AD2A30"/>
    <w:rsid w:val="00AD2DBB"/>
    <w:rsid w:val="00AD3191"/>
    <w:rsid w:val="00AD35AB"/>
    <w:rsid w:val="00AD38F5"/>
    <w:rsid w:val="00AD3DB5"/>
    <w:rsid w:val="00AD41CB"/>
    <w:rsid w:val="00AD45E2"/>
    <w:rsid w:val="00AD4DEE"/>
    <w:rsid w:val="00AD50CA"/>
    <w:rsid w:val="00AD5116"/>
    <w:rsid w:val="00AD5BE3"/>
    <w:rsid w:val="00AD6252"/>
    <w:rsid w:val="00AD6C2A"/>
    <w:rsid w:val="00AD711E"/>
    <w:rsid w:val="00AD7606"/>
    <w:rsid w:val="00AD766A"/>
    <w:rsid w:val="00AD7AEC"/>
    <w:rsid w:val="00AD7CF2"/>
    <w:rsid w:val="00AD7D77"/>
    <w:rsid w:val="00AD7F50"/>
    <w:rsid w:val="00AE0078"/>
    <w:rsid w:val="00AE014B"/>
    <w:rsid w:val="00AE08A5"/>
    <w:rsid w:val="00AE0F31"/>
    <w:rsid w:val="00AE126A"/>
    <w:rsid w:val="00AE13FB"/>
    <w:rsid w:val="00AE148D"/>
    <w:rsid w:val="00AE156D"/>
    <w:rsid w:val="00AE1799"/>
    <w:rsid w:val="00AE225A"/>
    <w:rsid w:val="00AE227D"/>
    <w:rsid w:val="00AE29EE"/>
    <w:rsid w:val="00AE2E42"/>
    <w:rsid w:val="00AE31C4"/>
    <w:rsid w:val="00AE376C"/>
    <w:rsid w:val="00AE3796"/>
    <w:rsid w:val="00AE3814"/>
    <w:rsid w:val="00AE3C95"/>
    <w:rsid w:val="00AE3DDF"/>
    <w:rsid w:val="00AE3E08"/>
    <w:rsid w:val="00AE413E"/>
    <w:rsid w:val="00AE4584"/>
    <w:rsid w:val="00AE478F"/>
    <w:rsid w:val="00AE48B9"/>
    <w:rsid w:val="00AE4907"/>
    <w:rsid w:val="00AE4EA9"/>
    <w:rsid w:val="00AE51DB"/>
    <w:rsid w:val="00AE5E3E"/>
    <w:rsid w:val="00AE6089"/>
    <w:rsid w:val="00AE645D"/>
    <w:rsid w:val="00AE6BC4"/>
    <w:rsid w:val="00AE6E5C"/>
    <w:rsid w:val="00AE70B4"/>
    <w:rsid w:val="00AE73C7"/>
    <w:rsid w:val="00AF039F"/>
    <w:rsid w:val="00AF0687"/>
    <w:rsid w:val="00AF0B1D"/>
    <w:rsid w:val="00AF137B"/>
    <w:rsid w:val="00AF1933"/>
    <w:rsid w:val="00AF1B8D"/>
    <w:rsid w:val="00AF2165"/>
    <w:rsid w:val="00AF27A8"/>
    <w:rsid w:val="00AF2BB0"/>
    <w:rsid w:val="00AF30DA"/>
    <w:rsid w:val="00AF3838"/>
    <w:rsid w:val="00AF39D3"/>
    <w:rsid w:val="00AF3E4C"/>
    <w:rsid w:val="00AF3EED"/>
    <w:rsid w:val="00AF4884"/>
    <w:rsid w:val="00AF4AF5"/>
    <w:rsid w:val="00AF50E6"/>
    <w:rsid w:val="00AF536D"/>
    <w:rsid w:val="00AF5866"/>
    <w:rsid w:val="00AF5AEB"/>
    <w:rsid w:val="00AF5CFD"/>
    <w:rsid w:val="00AF5D8B"/>
    <w:rsid w:val="00AF65D8"/>
    <w:rsid w:val="00AF68DE"/>
    <w:rsid w:val="00AF7057"/>
    <w:rsid w:val="00AF7231"/>
    <w:rsid w:val="00AF7419"/>
    <w:rsid w:val="00AF79CF"/>
    <w:rsid w:val="00AF7B08"/>
    <w:rsid w:val="00B00262"/>
    <w:rsid w:val="00B002C5"/>
    <w:rsid w:val="00B00C79"/>
    <w:rsid w:val="00B01597"/>
    <w:rsid w:val="00B01C2E"/>
    <w:rsid w:val="00B01CD3"/>
    <w:rsid w:val="00B027AD"/>
    <w:rsid w:val="00B0312F"/>
    <w:rsid w:val="00B03546"/>
    <w:rsid w:val="00B03658"/>
    <w:rsid w:val="00B0370F"/>
    <w:rsid w:val="00B0418B"/>
    <w:rsid w:val="00B04B3F"/>
    <w:rsid w:val="00B04E92"/>
    <w:rsid w:val="00B0541D"/>
    <w:rsid w:val="00B05EE5"/>
    <w:rsid w:val="00B0647F"/>
    <w:rsid w:val="00B06549"/>
    <w:rsid w:val="00B066E4"/>
    <w:rsid w:val="00B0674D"/>
    <w:rsid w:val="00B068F6"/>
    <w:rsid w:val="00B06F72"/>
    <w:rsid w:val="00B06F83"/>
    <w:rsid w:val="00B073D3"/>
    <w:rsid w:val="00B078D0"/>
    <w:rsid w:val="00B078D8"/>
    <w:rsid w:val="00B07E08"/>
    <w:rsid w:val="00B10078"/>
    <w:rsid w:val="00B10306"/>
    <w:rsid w:val="00B1081D"/>
    <w:rsid w:val="00B10A39"/>
    <w:rsid w:val="00B10A8A"/>
    <w:rsid w:val="00B10CBF"/>
    <w:rsid w:val="00B10D08"/>
    <w:rsid w:val="00B10E7F"/>
    <w:rsid w:val="00B10EDE"/>
    <w:rsid w:val="00B11073"/>
    <w:rsid w:val="00B11462"/>
    <w:rsid w:val="00B1178D"/>
    <w:rsid w:val="00B1197C"/>
    <w:rsid w:val="00B11BCB"/>
    <w:rsid w:val="00B11C8B"/>
    <w:rsid w:val="00B11D0D"/>
    <w:rsid w:val="00B11F67"/>
    <w:rsid w:val="00B12101"/>
    <w:rsid w:val="00B12105"/>
    <w:rsid w:val="00B12C67"/>
    <w:rsid w:val="00B12CB1"/>
    <w:rsid w:val="00B12DF0"/>
    <w:rsid w:val="00B12E34"/>
    <w:rsid w:val="00B134A8"/>
    <w:rsid w:val="00B1368A"/>
    <w:rsid w:val="00B138F0"/>
    <w:rsid w:val="00B13991"/>
    <w:rsid w:val="00B13A49"/>
    <w:rsid w:val="00B13EF1"/>
    <w:rsid w:val="00B14984"/>
    <w:rsid w:val="00B14B7B"/>
    <w:rsid w:val="00B1509D"/>
    <w:rsid w:val="00B1598A"/>
    <w:rsid w:val="00B16282"/>
    <w:rsid w:val="00B16355"/>
    <w:rsid w:val="00B164C0"/>
    <w:rsid w:val="00B1727F"/>
    <w:rsid w:val="00B172CA"/>
    <w:rsid w:val="00B17413"/>
    <w:rsid w:val="00B174BE"/>
    <w:rsid w:val="00B17719"/>
    <w:rsid w:val="00B17A1F"/>
    <w:rsid w:val="00B20082"/>
    <w:rsid w:val="00B20113"/>
    <w:rsid w:val="00B203C5"/>
    <w:rsid w:val="00B206DD"/>
    <w:rsid w:val="00B20AB9"/>
    <w:rsid w:val="00B2114A"/>
    <w:rsid w:val="00B21242"/>
    <w:rsid w:val="00B21A7E"/>
    <w:rsid w:val="00B21AB0"/>
    <w:rsid w:val="00B21B63"/>
    <w:rsid w:val="00B21C20"/>
    <w:rsid w:val="00B21ED9"/>
    <w:rsid w:val="00B21F08"/>
    <w:rsid w:val="00B2209C"/>
    <w:rsid w:val="00B22136"/>
    <w:rsid w:val="00B22248"/>
    <w:rsid w:val="00B224BE"/>
    <w:rsid w:val="00B22D11"/>
    <w:rsid w:val="00B22DC2"/>
    <w:rsid w:val="00B22EDF"/>
    <w:rsid w:val="00B231F7"/>
    <w:rsid w:val="00B23232"/>
    <w:rsid w:val="00B2375D"/>
    <w:rsid w:val="00B237E7"/>
    <w:rsid w:val="00B238B1"/>
    <w:rsid w:val="00B238B9"/>
    <w:rsid w:val="00B23E41"/>
    <w:rsid w:val="00B241FB"/>
    <w:rsid w:val="00B24783"/>
    <w:rsid w:val="00B24849"/>
    <w:rsid w:val="00B24861"/>
    <w:rsid w:val="00B24965"/>
    <w:rsid w:val="00B24B67"/>
    <w:rsid w:val="00B251C2"/>
    <w:rsid w:val="00B25360"/>
    <w:rsid w:val="00B256AF"/>
    <w:rsid w:val="00B258BE"/>
    <w:rsid w:val="00B258C9"/>
    <w:rsid w:val="00B25F5A"/>
    <w:rsid w:val="00B2608B"/>
    <w:rsid w:val="00B262D4"/>
    <w:rsid w:val="00B2653B"/>
    <w:rsid w:val="00B271E0"/>
    <w:rsid w:val="00B272D2"/>
    <w:rsid w:val="00B2797E"/>
    <w:rsid w:val="00B27980"/>
    <w:rsid w:val="00B27A0A"/>
    <w:rsid w:val="00B27BFA"/>
    <w:rsid w:val="00B27C59"/>
    <w:rsid w:val="00B3005F"/>
    <w:rsid w:val="00B3038D"/>
    <w:rsid w:val="00B3063F"/>
    <w:rsid w:val="00B30899"/>
    <w:rsid w:val="00B30EB2"/>
    <w:rsid w:val="00B310BD"/>
    <w:rsid w:val="00B315CC"/>
    <w:rsid w:val="00B31EBE"/>
    <w:rsid w:val="00B31F62"/>
    <w:rsid w:val="00B31FC0"/>
    <w:rsid w:val="00B3226E"/>
    <w:rsid w:val="00B32F46"/>
    <w:rsid w:val="00B32F95"/>
    <w:rsid w:val="00B32FC2"/>
    <w:rsid w:val="00B33189"/>
    <w:rsid w:val="00B3349C"/>
    <w:rsid w:val="00B3359D"/>
    <w:rsid w:val="00B336B3"/>
    <w:rsid w:val="00B33985"/>
    <w:rsid w:val="00B33F1F"/>
    <w:rsid w:val="00B34AA1"/>
    <w:rsid w:val="00B34FE0"/>
    <w:rsid w:val="00B35167"/>
    <w:rsid w:val="00B359F6"/>
    <w:rsid w:val="00B36D0D"/>
    <w:rsid w:val="00B36DE7"/>
    <w:rsid w:val="00B371BF"/>
    <w:rsid w:val="00B372FB"/>
    <w:rsid w:val="00B37D35"/>
    <w:rsid w:val="00B40918"/>
    <w:rsid w:val="00B40BA1"/>
    <w:rsid w:val="00B40EBD"/>
    <w:rsid w:val="00B41492"/>
    <w:rsid w:val="00B41643"/>
    <w:rsid w:val="00B418CE"/>
    <w:rsid w:val="00B41E82"/>
    <w:rsid w:val="00B41ECF"/>
    <w:rsid w:val="00B422FA"/>
    <w:rsid w:val="00B4246C"/>
    <w:rsid w:val="00B4267B"/>
    <w:rsid w:val="00B426B9"/>
    <w:rsid w:val="00B42F4C"/>
    <w:rsid w:val="00B43226"/>
    <w:rsid w:val="00B432D9"/>
    <w:rsid w:val="00B4334B"/>
    <w:rsid w:val="00B43967"/>
    <w:rsid w:val="00B43AE6"/>
    <w:rsid w:val="00B43D1F"/>
    <w:rsid w:val="00B43EE2"/>
    <w:rsid w:val="00B43F59"/>
    <w:rsid w:val="00B443A2"/>
    <w:rsid w:val="00B4444A"/>
    <w:rsid w:val="00B446EA"/>
    <w:rsid w:val="00B447B5"/>
    <w:rsid w:val="00B447FE"/>
    <w:rsid w:val="00B45385"/>
    <w:rsid w:val="00B453C1"/>
    <w:rsid w:val="00B4541E"/>
    <w:rsid w:val="00B45570"/>
    <w:rsid w:val="00B45614"/>
    <w:rsid w:val="00B461B5"/>
    <w:rsid w:val="00B469C5"/>
    <w:rsid w:val="00B4714F"/>
    <w:rsid w:val="00B47887"/>
    <w:rsid w:val="00B47951"/>
    <w:rsid w:val="00B47C0B"/>
    <w:rsid w:val="00B47C42"/>
    <w:rsid w:val="00B47CAB"/>
    <w:rsid w:val="00B47D92"/>
    <w:rsid w:val="00B47F34"/>
    <w:rsid w:val="00B47F7B"/>
    <w:rsid w:val="00B50479"/>
    <w:rsid w:val="00B5053F"/>
    <w:rsid w:val="00B50BDC"/>
    <w:rsid w:val="00B50F52"/>
    <w:rsid w:val="00B50FAA"/>
    <w:rsid w:val="00B5107E"/>
    <w:rsid w:val="00B513F9"/>
    <w:rsid w:val="00B515AA"/>
    <w:rsid w:val="00B515D5"/>
    <w:rsid w:val="00B525EB"/>
    <w:rsid w:val="00B526FD"/>
    <w:rsid w:val="00B528AD"/>
    <w:rsid w:val="00B52929"/>
    <w:rsid w:val="00B52F84"/>
    <w:rsid w:val="00B53AF8"/>
    <w:rsid w:val="00B53D93"/>
    <w:rsid w:val="00B53DD3"/>
    <w:rsid w:val="00B53E62"/>
    <w:rsid w:val="00B54CA6"/>
    <w:rsid w:val="00B562F3"/>
    <w:rsid w:val="00B56716"/>
    <w:rsid w:val="00B568A6"/>
    <w:rsid w:val="00B56980"/>
    <w:rsid w:val="00B56AE6"/>
    <w:rsid w:val="00B577D6"/>
    <w:rsid w:val="00B607BE"/>
    <w:rsid w:val="00B60962"/>
    <w:rsid w:val="00B61352"/>
    <w:rsid w:val="00B615F1"/>
    <w:rsid w:val="00B6198A"/>
    <w:rsid w:val="00B6243A"/>
    <w:rsid w:val="00B628F0"/>
    <w:rsid w:val="00B62ADC"/>
    <w:rsid w:val="00B62C8A"/>
    <w:rsid w:val="00B633A0"/>
    <w:rsid w:val="00B635A1"/>
    <w:rsid w:val="00B637FA"/>
    <w:rsid w:val="00B6391F"/>
    <w:rsid w:val="00B639C4"/>
    <w:rsid w:val="00B63CEE"/>
    <w:rsid w:val="00B641B2"/>
    <w:rsid w:val="00B644C0"/>
    <w:rsid w:val="00B6466C"/>
    <w:rsid w:val="00B6581B"/>
    <w:rsid w:val="00B658D7"/>
    <w:rsid w:val="00B65C16"/>
    <w:rsid w:val="00B66697"/>
    <w:rsid w:val="00B66866"/>
    <w:rsid w:val="00B66BFD"/>
    <w:rsid w:val="00B67462"/>
    <w:rsid w:val="00B67E10"/>
    <w:rsid w:val="00B7024B"/>
    <w:rsid w:val="00B70BBC"/>
    <w:rsid w:val="00B70DF5"/>
    <w:rsid w:val="00B70EA7"/>
    <w:rsid w:val="00B70EA9"/>
    <w:rsid w:val="00B70EBB"/>
    <w:rsid w:val="00B71B94"/>
    <w:rsid w:val="00B722EB"/>
    <w:rsid w:val="00B72443"/>
    <w:rsid w:val="00B72910"/>
    <w:rsid w:val="00B72D91"/>
    <w:rsid w:val="00B7313E"/>
    <w:rsid w:val="00B73407"/>
    <w:rsid w:val="00B737D8"/>
    <w:rsid w:val="00B74239"/>
    <w:rsid w:val="00B74769"/>
    <w:rsid w:val="00B7498D"/>
    <w:rsid w:val="00B74A60"/>
    <w:rsid w:val="00B75075"/>
    <w:rsid w:val="00B755F1"/>
    <w:rsid w:val="00B75EBF"/>
    <w:rsid w:val="00B75F6B"/>
    <w:rsid w:val="00B76A0E"/>
    <w:rsid w:val="00B76A63"/>
    <w:rsid w:val="00B76BCF"/>
    <w:rsid w:val="00B77030"/>
    <w:rsid w:val="00B771B5"/>
    <w:rsid w:val="00B77AD1"/>
    <w:rsid w:val="00B800D9"/>
    <w:rsid w:val="00B8019C"/>
    <w:rsid w:val="00B8020A"/>
    <w:rsid w:val="00B812B9"/>
    <w:rsid w:val="00B822EA"/>
    <w:rsid w:val="00B82756"/>
    <w:rsid w:val="00B827EA"/>
    <w:rsid w:val="00B82A9D"/>
    <w:rsid w:val="00B82F08"/>
    <w:rsid w:val="00B8335B"/>
    <w:rsid w:val="00B833F1"/>
    <w:rsid w:val="00B844D5"/>
    <w:rsid w:val="00B84753"/>
    <w:rsid w:val="00B85249"/>
    <w:rsid w:val="00B853E7"/>
    <w:rsid w:val="00B8583B"/>
    <w:rsid w:val="00B85BB7"/>
    <w:rsid w:val="00B85E2E"/>
    <w:rsid w:val="00B86A41"/>
    <w:rsid w:val="00B86AE4"/>
    <w:rsid w:val="00B86BBE"/>
    <w:rsid w:val="00B87945"/>
    <w:rsid w:val="00B87CEB"/>
    <w:rsid w:val="00B900AF"/>
    <w:rsid w:val="00B90322"/>
    <w:rsid w:val="00B9033E"/>
    <w:rsid w:val="00B903BE"/>
    <w:rsid w:val="00B90531"/>
    <w:rsid w:val="00B90603"/>
    <w:rsid w:val="00B906D9"/>
    <w:rsid w:val="00B906FC"/>
    <w:rsid w:val="00B90730"/>
    <w:rsid w:val="00B907BA"/>
    <w:rsid w:val="00B90A2F"/>
    <w:rsid w:val="00B914C3"/>
    <w:rsid w:val="00B91906"/>
    <w:rsid w:val="00B91DB4"/>
    <w:rsid w:val="00B92666"/>
    <w:rsid w:val="00B92B9F"/>
    <w:rsid w:val="00B92BAF"/>
    <w:rsid w:val="00B92D05"/>
    <w:rsid w:val="00B92D15"/>
    <w:rsid w:val="00B92F1C"/>
    <w:rsid w:val="00B93130"/>
    <w:rsid w:val="00B936EB"/>
    <w:rsid w:val="00B947B9"/>
    <w:rsid w:val="00B95363"/>
    <w:rsid w:val="00B9540B"/>
    <w:rsid w:val="00B9542E"/>
    <w:rsid w:val="00B9548A"/>
    <w:rsid w:val="00B955BB"/>
    <w:rsid w:val="00B958CE"/>
    <w:rsid w:val="00B95905"/>
    <w:rsid w:val="00B959D7"/>
    <w:rsid w:val="00B96D9F"/>
    <w:rsid w:val="00B96E13"/>
    <w:rsid w:val="00B97827"/>
    <w:rsid w:val="00B97A81"/>
    <w:rsid w:val="00B97A91"/>
    <w:rsid w:val="00B97CA2"/>
    <w:rsid w:val="00BA058B"/>
    <w:rsid w:val="00BA0B57"/>
    <w:rsid w:val="00BA0BD5"/>
    <w:rsid w:val="00BA129C"/>
    <w:rsid w:val="00BA13F4"/>
    <w:rsid w:val="00BA143E"/>
    <w:rsid w:val="00BA18AF"/>
    <w:rsid w:val="00BA1CA8"/>
    <w:rsid w:val="00BA202B"/>
    <w:rsid w:val="00BA255D"/>
    <w:rsid w:val="00BA318B"/>
    <w:rsid w:val="00BA3685"/>
    <w:rsid w:val="00BA3852"/>
    <w:rsid w:val="00BA3860"/>
    <w:rsid w:val="00BA3A55"/>
    <w:rsid w:val="00BA43C9"/>
    <w:rsid w:val="00BA4ADD"/>
    <w:rsid w:val="00BA4C8B"/>
    <w:rsid w:val="00BA4F4A"/>
    <w:rsid w:val="00BA5016"/>
    <w:rsid w:val="00BA505B"/>
    <w:rsid w:val="00BA50FE"/>
    <w:rsid w:val="00BA51E6"/>
    <w:rsid w:val="00BA574A"/>
    <w:rsid w:val="00BA57AE"/>
    <w:rsid w:val="00BA57AF"/>
    <w:rsid w:val="00BA5949"/>
    <w:rsid w:val="00BA5D3B"/>
    <w:rsid w:val="00BA601C"/>
    <w:rsid w:val="00BA61EF"/>
    <w:rsid w:val="00BA643F"/>
    <w:rsid w:val="00BA6C3A"/>
    <w:rsid w:val="00BA703A"/>
    <w:rsid w:val="00BA7217"/>
    <w:rsid w:val="00BA7798"/>
    <w:rsid w:val="00BA77FA"/>
    <w:rsid w:val="00BA7964"/>
    <w:rsid w:val="00BA7998"/>
    <w:rsid w:val="00BA7A03"/>
    <w:rsid w:val="00BB027A"/>
    <w:rsid w:val="00BB08FD"/>
    <w:rsid w:val="00BB0B3E"/>
    <w:rsid w:val="00BB0C0F"/>
    <w:rsid w:val="00BB2122"/>
    <w:rsid w:val="00BB21DF"/>
    <w:rsid w:val="00BB232C"/>
    <w:rsid w:val="00BB289B"/>
    <w:rsid w:val="00BB342A"/>
    <w:rsid w:val="00BB3550"/>
    <w:rsid w:val="00BB4539"/>
    <w:rsid w:val="00BB45A4"/>
    <w:rsid w:val="00BB5175"/>
    <w:rsid w:val="00BB52CE"/>
    <w:rsid w:val="00BB5B93"/>
    <w:rsid w:val="00BB60FF"/>
    <w:rsid w:val="00BB620B"/>
    <w:rsid w:val="00BB6871"/>
    <w:rsid w:val="00BB6BB8"/>
    <w:rsid w:val="00BB6CFF"/>
    <w:rsid w:val="00BB72B9"/>
    <w:rsid w:val="00BB742A"/>
    <w:rsid w:val="00BB7634"/>
    <w:rsid w:val="00BB7726"/>
    <w:rsid w:val="00BB7743"/>
    <w:rsid w:val="00BB77A3"/>
    <w:rsid w:val="00BB7A22"/>
    <w:rsid w:val="00BC0942"/>
    <w:rsid w:val="00BC0B29"/>
    <w:rsid w:val="00BC0B41"/>
    <w:rsid w:val="00BC0C46"/>
    <w:rsid w:val="00BC0EC6"/>
    <w:rsid w:val="00BC1246"/>
    <w:rsid w:val="00BC12A4"/>
    <w:rsid w:val="00BC1828"/>
    <w:rsid w:val="00BC1EE7"/>
    <w:rsid w:val="00BC2317"/>
    <w:rsid w:val="00BC26AE"/>
    <w:rsid w:val="00BC27AC"/>
    <w:rsid w:val="00BC27B4"/>
    <w:rsid w:val="00BC27D1"/>
    <w:rsid w:val="00BC28C5"/>
    <w:rsid w:val="00BC2D8E"/>
    <w:rsid w:val="00BC3306"/>
    <w:rsid w:val="00BC34EF"/>
    <w:rsid w:val="00BC3F8B"/>
    <w:rsid w:val="00BC424C"/>
    <w:rsid w:val="00BC4586"/>
    <w:rsid w:val="00BC4852"/>
    <w:rsid w:val="00BC4D83"/>
    <w:rsid w:val="00BC50A6"/>
    <w:rsid w:val="00BC50D5"/>
    <w:rsid w:val="00BC5154"/>
    <w:rsid w:val="00BC520A"/>
    <w:rsid w:val="00BC56B3"/>
    <w:rsid w:val="00BC57BC"/>
    <w:rsid w:val="00BC584D"/>
    <w:rsid w:val="00BC59A0"/>
    <w:rsid w:val="00BC59BB"/>
    <w:rsid w:val="00BC59D1"/>
    <w:rsid w:val="00BC59D8"/>
    <w:rsid w:val="00BC5B3C"/>
    <w:rsid w:val="00BC5EFF"/>
    <w:rsid w:val="00BC6593"/>
    <w:rsid w:val="00BC683A"/>
    <w:rsid w:val="00BC6DF0"/>
    <w:rsid w:val="00BC77E3"/>
    <w:rsid w:val="00BC795A"/>
    <w:rsid w:val="00BC7D42"/>
    <w:rsid w:val="00BD0484"/>
    <w:rsid w:val="00BD06EE"/>
    <w:rsid w:val="00BD0EF8"/>
    <w:rsid w:val="00BD0FB0"/>
    <w:rsid w:val="00BD1A41"/>
    <w:rsid w:val="00BD1E36"/>
    <w:rsid w:val="00BD2D88"/>
    <w:rsid w:val="00BD2E7D"/>
    <w:rsid w:val="00BD3123"/>
    <w:rsid w:val="00BD325C"/>
    <w:rsid w:val="00BD3855"/>
    <w:rsid w:val="00BD38F0"/>
    <w:rsid w:val="00BD3A09"/>
    <w:rsid w:val="00BD3A4E"/>
    <w:rsid w:val="00BD4187"/>
    <w:rsid w:val="00BD4317"/>
    <w:rsid w:val="00BD492F"/>
    <w:rsid w:val="00BD4941"/>
    <w:rsid w:val="00BD5441"/>
    <w:rsid w:val="00BD587A"/>
    <w:rsid w:val="00BD589F"/>
    <w:rsid w:val="00BD5AAA"/>
    <w:rsid w:val="00BD5C6A"/>
    <w:rsid w:val="00BD63D2"/>
    <w:rsid w:val="00BD64C3"/>
    <w:rsid w:val="00BD6516"/>
    <w:rsid w:val="00BD678E"/>
    <w:rsid w:val="00BD6D3A"/>
    <w:rsid w:val="00BD6DBB"/>
    <w:rsid w:val="00BD7049"/>
    <w:rsid w:val="00BD707C"/>
    <w:rsid w:val="00BD7300"/>
    <w:rsid w:val="00BD7561"/>
    <w:rsid w:val="00BD78FE"/>
    <w:rsid w:val="00BD7C6D"/>
    <w:rsid w:val="00BD7EAE"/>
    <w:rsid w:val="00BE061E"/>
    <w:rsid w:val="00BE0640"/>
    <w:rsid w:val="00BE0A64"/>
    <w:rsid w:val="00BE0AAB"/>
    <w:rsid w:val="00BE102F"/>
    <w:rsid w:val="00BE107A"/>
    <w:rsid w:val="00BE14C8"/>
    <w:rsid w:val="00BE17A7"/>
    <w:rsid w:val="00BE189A"/>
    <w:rsid w:val="00BE1D57"/>
    <w:rsid w:val="00BE271D"/>
    <w:rsid w:val="00BE28D0"/>
    <w:rsid w:val="00BE2D45"/>
    <w:rsid w:val="00BE2D81"/>
    <w:rsid w:val="00BE3180"/>
    <w:rsid w:val="00BE347B"/>
    <w:rsid w:val="00BE42DC"/>
    <w:rsid w:val="00BE4538"/>
    <w:rsid w:val="00BE46A1"/>
    <w:rsid w:val="00BE48B5"/>
    <w:rsid w:val="00BE5045"/>
    <w:rsid w:val="00BE56EB"/>
    <w:rsid w:val="00BE5FCE"/>
    <w:rsid w:val="00BE6229"/>
    <w:rsid w:val="00BE637F"/>
    <w:rsid w:val="00BE65EF"/>
    <w:rsid w:val="00BE6926"/>
    <w:rsid w:val="00BE7AF0"/>
    <w:rsid w:val="00BE7E7D"/>
    <w:rsid w:val="00BF00C7"/>
    <w:rsid w:val="00BF0218"/>
    <w:rsid w:val="00BF05CE"/>
    <w:rsid w:val="00BF0833"/>
    <w:rsid w:val="00BF093A"/>
    <w:rsid w:val="00BF0F7B"/>
    <w:rsid w:val="00BF1326"/>
    <w:rsid w:val="00BF1A97"/>
    <w:rsid w:val="00BF1F33"/>
    <w:rsid w:val="00BF254F"/>
    <w:rsid w:val="00BF2B63"/>
    <w:rsid w:val="00BF2CC5"/>
    <w:rsid w:val="00BF3017"/>
    <w:rsid w:val="00BF3432"/>
    <w:rsid w:val="00BF39EE"/>
    <w:rsid w:val="00BF3BAF"/>
    <w:rsid w:val="00BF405A"/>
    <w:rsid w:val="00BF491B"/>
    <w:rsid w:val="00BF4A5B"/>
    <w:rsid w:val="00BF5575"/>
    <w:rsid w:val="00BF5831"/>
    <w:rsid w:val="00BF59D0"/>
    <w:rsid w:val="00BF60E2"/>
    <w:rsid w:val="00BF6732"/>
    <w:rsid w:val="00BF6F64"/>
    <w:rsid w:val="00BF70D4"/>
    <w:rsid w:val="00C002DA"/>
    <w:rsid w:val="00C00ED5"/>
    <w:rsid w:val="00C01BC5"/>
    <w:rsid w:val="00C01EC5"/>
    <w:rsid w:val="00C02786"/>
    <w:rsid w:val="00C02845"/>
    <w:rsid w:val="00C02D93"/>
    <w:rsid w:val="00C02FFF"/>
    <w:rsid w:val="00C03021"/>
    <w:rsid w:val="00C03062"/>
    <w:rsid w:val="00C03405"/>
    <w:rsid w:val="00C03A76"/>
    <w:rsid w:val="00C041AE"/>
    <w:rsid w:val="00C041F2"/>
    <w:rsid w:val="00C0450C"/>
    <w:rsid w:val="00C05D0B"/>
    <w:rsid w:val="00C07026"/>
    <w:rsid w:val="00C07653"/>
    <w:rsid w:val="00C07F0B"/>
    <w:rsid w:val="00C10095"/>
    <w:rsid w:val="00C101D5"/>
    <w:rsid w:val="00C10F4D"/>
    <w:rsid w:val="00C10FC4"/>
    <w:rsid w:val="00C11166"/>
    <w:rsid w:val="00C11339"/>
    <w:rsid w:val="00C11969"/>
    <w:rsid w:val="00C11B4D"/>
    <w:rsid w:val="00C12297"/>
    <w:rsid w:val="00C12457"/>
    <w:rsid w:val="00C12665"/>
    <w:rsid w:val="00C12935"/>
    <w:rsid w:val="00C12EA1"/>
    <w:rsid w:val="00C12EC4"/>
    <w:rsid w:val="00C131A3"/>
    <w:rsid w:val="00C132DE"/>
    <w:rsid w:val="00C13791"/>
    <w:rsid w:val="00C13A98"/>
    <w:rsid w:val="00C13BFC"/>
    <w:rsid w:val="00C13DB2"/>
    <w:rsid w:val="00C1438B"/>
    <w:rsid w:val="00C1440C"/>
    <w:rsid w:val="00C14718"/>
    <w:rsid w:val="00C14732"/>
    <w:rsid w:val="00C14AAD"/>
    <w:rsid w:val="00C14B36"/>
    <w:rsid w:val="00C14BB8"/>
    <w:rsid w:val="00C1590D"/>
    <w:rsid w:val="00C15B1F"/>
    <w:rsid w:val="00C15CF6"/>
    <w:rsid w:val="00C15FFB"/>
    <w:rsid w:val="00C162CA"/>
    <w:rsid w:val="00C16EC7"/>
    <w:rsid w:val="00C17685"/>
    <w:rsid w:val="00C177F3"/>
    <w:rsid w:val="00C17BD6"/>
    <w:rsid w:val="00C17E9B"/>
    <w:rsid w:val="00C203EA"/>
    <w:rsid w:val="00C208EF"/>
    <w:rsid w:val="00C209A6"/>
    <w:rsid w:val="00C2117E"/>
    <w:rsid w:val="00C2170E"/>
    <w:rsid w:val="00C2176D"/>
    <w:rsid w:val="00C218E0"/>
    <w:rsid w:val="00C21A4E"/>
    <w:rsid w:val="00C21EFB"/>
    <w:rsid w:val="00C21FC6"/>
    <w:rsid w:val="00C2214F"/>
    <w:rsid w:val="00C2258A"/>
    <w:rsid w:val="00C2387C"/>
    <w:rsid w:val="00C250AA"/>
    <w:rsid w:val="00C2532C"/>
    <w:rsid w:val="00C253D5"/>
    <w:rsid w:val="00C259C4"/>
    <w:rsid w:val="00C25B95"/>
    <w:rsid w:val="00C25EB1"/>
    <w:rsid w:val="00C26403"/>
    <w:rsid w:val="00C26892"/>
    <w:rsid w:val="00C26944"/>
    <w:rsid w:val="00C275DA"/>
    <w:rsid w:val="00C2791E"/>
    <w:rsid w:val="00C27B25"/>
    <w:rsid w:val="00C30A97"/>
    <w:rsid w:val="00C31C21"/>
    <w:rsid w:val="00C32735"/>
    <w:rsid w:val="00C328EE"/>
    <w:rsid w:val="00C32B89"/>
    <w:rsid w:val="00C32CB6"/>
    <w:rsid w:val="00C32DB2"/>
    <w:rsid w:val="00C331AE"/>
    <w:rsid w:val="00C33589"/>
    <w:rsid w:val="00C3395F"/>
    <w:rsid w:val="00C33C81"/>
    <w:rsid w:val="00C33CC5"/>
    <w:rsid w:val="00C344E4"/>
    <w:rsid w:val="00C34866"/>
    <w:rsid w:val="00C34895"/>
    <w:rsid w:val="00C34962"/>
    <w:rsid w:val="00C34C51"/>
    <w:rsid w:val="00C34E54"/>
    <w:rsid w:val="00C35111"/>
    <w:rsid w:val="00C35279"/>
    <w:rsid w:val="00C35334"/>
    <w:rsid w:val="00C35619"/>
    <w:rsid w:val="00C3578F"/>
    <w:rsid w:val="00C35909"/>
    <w:rsid w:val="00C35949"/>
    <w:rsid w:val="00C36221"/>
    <w:rsid w:val="00C36C86"/>
    <w:rsid w:val="00C36EAD"/>
    <w:rsid w:val="00C3710E"/>
    <w:rsid w:val="00C37347"/>
    <w:rsid w:val="00C37B6A"/>
    <w:rsid w:val="00C37BD1"/>
    <w:rsid w:val="00C407E5"/>
    <w:rsid w:val="00C40849"/>
    <w:rsid w:val="00C40B10"/>
    <w:rsid w:val="00C40D90"/>
    <w:rsid w:val="00C410B2"/>
    <w:rsid w:val="00C413BC"/>
    <w:rsid w:val="00C41B31"/>
    <w:rsid w:val="00C425AC"/>
    <w:rsid w:val="00C4274D"/>
    <w:rsid w:val="00C42C2C"/>
    <w:rsid w:val="00C42E82"/>
    <w:rsid w:val="00C4305A"/>
    <w:rsid w:val="00C4320A"/>
    <w:rsid w:val="00C43B4A"/>
    <w:rsid w:val="00C43D33"/>
    <w:rsid w:val="00C43DC7"/>
    <w:rsid w:val="00C443E9"/>
    <w:rsid w:val="00C44C56"/>
    <w:rsid w:val="00C44D66"/>
    <w:rsid w:val="00C45370"/>
    <w:rsid w:val="00C455F2"/>
    <w:rsid w:val="00C45A4D"/>
    <w:rsid w:val="00C45BDB"/>
    <w:rsid w:val="00C45E28"/>
    <w:rsid w:val="00C45FE6"/>
    <w:rsid w:val="00C466F4"/>
    <w:rsid w:val="00C4697F"/>
    <w:rsid w:val="00C46BFF"/>
    <w:rsid w:val="00C470F0"/>
    <w:rsid w:val="00C472E2"/>
    <w:rsid w:val="00C476D3"/>
    <w:rsid w:val="00C4787D"/>
    <w:rsid w:val="00C47B7E"/>
    <w:rsid w:val="00C501DD"/>
    <w:rsid w:val="00C503F7"/>
    <w:rsid w:val="00C50579"/>
    <w:rsid w:val="00C50664"/>
    <w:rsid w:val="00C50AA5"/>
    <w:rsid w:val="00C510A5"/>
    <w:rsid w:val="00C5150A"/>
    <w:rsid w:val="00C51EE0"/>
    <w:rsid w:val="00C5215B"/>
    <w:rsid w:val="00C525C6"/>
    <w:rsid w:val="00C52825"/>
    <w:rsid w:val="00C52E01"/>
    <w:rsid w:val="00C539CA"/>
    <w:rsid w:val="00C53AEB"/>
    <w:rsid w:val="00C53C63"/>
    <w:rsid w:val="00C53DEB"/>
    <w:rsid w:val="00C545C8"/>
    <w:rsid w:val="00C5480F"/>
    <w:rsid w:val="00C5486E"/>
    <w:rsid w:val="00C55110"/>
    <w:rsid w:val="00C5515C"/>
    <w:rsid w:val="00C55358"/>
    <w:rsid w:val="00C55893"/>
    <w:rsid w:val="00C56283"/>
    <w:rsid w:val="00C56355"/>
    <w:rsid w:val="00C5644A"/>
    <w:rsid w:val="00C56702"/>
    <w:rsid w:val="00C56C94"/>
    <w:rsid w:val="00C56FDB"/>
    <w:rsid w:val="00C57B32"/>
    <w:rsid w:val="00C609B7"/>
    <w:rsid w:val="00C60C1C"/>
    <w:rsid w:val="00C60F65"/>
    <w:rsid w:val="00C61093"/>
    <w:rsid w:val="00C615A2"/>
    <w:rsid w:val="00C61937"/>
    <w:rsid w:val="00C61AFC"/>
    <w:rsid w:val="00C61B18"/>
    <w:rsid w:val="00C625E0"/>
    <w:rsid w:val="00C626AF"/>
    <w:rsid w:val="00C62943"/>
    <w:rsid w:val="00C62EA5"/>
    <w:rsid w:val="00C62EAF"/>
    <w:rsid w:val="00C62EF5"/>
    <w:rsid w:val="00C631FF"/>
    <w:rsid w:val="00C637AA"/>
    <w:rsid w:val="00C63AC8"/>
    <w:rsid w:val="00C63BD7"/>
    <w:rsid w:val="00C6412C"/>
    <w:rsid w:val="00C64246"/>
    <w:rsid w:val="00C6429A"/>
    <w:rsid w:val="00C643E9"/>
    <w:rsid w:val="00C6511A"/>
    <w:rsid w:val="00C65342"/>
    <w:rsid w:val="00C65E19"/>
    <w:rsid w:val="00C66152"/>
    <w:rsid w:val="00C66318"/>
    <w:rsid w:val="00C6639A"/>
    <w:rsid w:val="00C668B3"/>
    <w:rsid w:val="00C66A7E"/>
    <w:rsid w:val="00C66DC4"/>
    <w:rsid w:val="00C67420"/>
    <w:rsid w:val="00C674BF"/>
    <w:rsid w:val="00C67833"/>
    <w:rsid w:val="00C678BE"/>
    <w:rsid w:val="00C67F2B"/>
    <w:rsid w:val="00C70069"/>
    <w:rsid w:val="00C7008D"/>
    <w:rsid w:val="00C70418"/>
    <w:rsid w:val="00C70A42"/>
    <w:rsid w:val="00C70DE2"/>
    <w:rsid w:val="00C71197"/>
    <w:rsid w:val="00C713DC"/>
    <w:rsid w:val="00C71572"/>
    <w:rsid w:val="00C71667"/>
    <w:rsid w:val="00C717EA"/>
    <w:rsid w:val="00C7218D"/>
    <w:rsid w:val="00C72209"/>
    <w:rsid w:val="00C72830"/>
    <w:rsid w:val="00C72907"/>
    <w:rsid w:val="00C729EB"/>
    <w:rsid w:val="00C72A3D"/>
    <w:rsid w:val="00C72CA1"/>
    <w:rsid w:val="00C7325F"/>
    <w:rsid w:val="00C732D4"/>
    <w:rsid w:val="00C7426F"/>
    <w:rsid w:val="00C744CD"/>
    <w:rsid w:val="00C74AA1"/>
    <w:rsid w:val="00C74AD9"/>
    <w:rsid w:val="00C74CAF"/>
    <w:rsid w:val="00C74F4F"/>
    <w:rsid w:val="00C751C2"/>
    <w:rsid w:val="00C75B41"/>
    <w:rsid w:val="00C75C74"/>
    <w:rsid w:val="00C75FA1"/>
    <w:rsid w:val="00C76344"/>
    <w:rsid w:val="00C76B08"/>
    <w:rsid w:val="00C76DB6"/>
    <w:rsid w:val="00C77578"/>
    <w:rsid w:val="00C80310"/>
    <w:rsid w:val="00C807A2"/>
    <w:rsid w:val="00C8096D"/>
    <w:rsid w:val="00C80990"/>
    <w:rsid w:val="00C80D06"/>
    <w:rsid w:val="00C80D76"/>
    <w:rsid w:val="00C81155"/>
    <w:rsid w:val="00C81165"/>
    <w:rsid w:val="00C8136A"/>
    <w:rsid w:val="00C813AE"/>
    <w:rsid w:val="00C8149E"/>
    <w:rsid w:val="00C816AB"/>
    <w:rsid w:val="00C81877"/>
    <w:rsid w:val="00C81EE1"/>
    <w:rsid w:val="00C821C7"/>
    <w:rsid w:val="00C825A1"/>
    <w:rsid w:val="00C8283E"/>
    <w:rsid w:val="00C82867"/>
    <w:rsid w:val="00C829C2"/>
    <w:rsid w:val="00C829E6"/>
    <w:rsid w:val="00C82DC9"/>
    <w:rsid w:val="00C82FDC"/>
    <w:rsid w:val="00C83CA5"/>
    <w:rsid w:val="00C83F52"/>
    <w:rsid w:val="00C84276"/>
    <w:rsid w:val="00C84A5F"/>
    <w:rsid w:val="00C84EB9"/>
    <w:rsid w:val="00C85AE8"/>
    <w:rsid w:val="00C85C0E"/>
    <w:rsid w:val="00C85EB3"/>
    <w:rsid w:val="00C86373"/>
    <w:rsid w:val="00C8696C"/>
    <w:rsid w:val="00C86B66"/>
    <w:rsid w:val="00C86CE1"/>
    <w:rsid w:val="00C87033"/>
    <w:rsid w:val="00C87125"/>
    <w:rsid w:val="00C872AC"/>
    <w:rsid w:val="00C878A2"/>
    <w:rsid w:val="00C87C38"/>
    <w:rsid w:val="00C9006D"/>
    <w:rsid w:val="00C9091F"/>
    <w:rsid w:val="00C90D3B"/>
    <w:rsid w:val="00C90E18"/>
    <w:rsid w:val="00C9120B"/>
    <w:rsid w:val="00C91385"/>
    <w:rsid w:val="00C917E4"/>
    <w:rsid w:val="00C919B5"/>
    <w:rsid w:val="00C91C97"/>
    <w:rsid w:val="00C91DA6"/>
    <w:rsid w:val="00C91DE3"/>
    <w:rsid w:val="00C92087"/>
    <w:rsid w:val="00C920F3"/>
    <w:rsid w:val="00C9212D"/>
    <w:rsid w:val="00C922D6"/>
    <w:rsid w:val="00C92595"/>
    <w:rsid w:val="00C9265A"/>
    <w:rsid w:val="00C92A42"/>
    <w:rsid w:val="00C92F0C"/>
    <w:rsid w:val="00C92F64"/>
    <w:rsid w:val="00C93297"/>
    <w:rsid w:val="00C9347F"/>
    <w:rsid w:val="00C93890"/>
    <w:rsid w:val="00C93FCE"/>
    <w:rsid w:val="00C94516"/>
    <w:rsid w:val="00C94C53"/>
    <w:rsid w:val="00C95230"/>
    <w:rsid w:val="00C95913"/>
    <w:rsid w:val="00C96413"/>
    <w:rsid w:val="00C9644B"/>
    <w:rsid w:val="00C97018"/>
    <w:rsid w:val="00C97610"/>
    <w:rsid w:val="00C97F5F"/>
    <w:rsid w:val="00CA01F5"/>
    <w:rsid w:val="00CA0297"/>
    <w:rsid w:val="00CA0C00"/>
    <w:rsid w:val="00CA0C1C"/>
    <w:rsid w:val="00CA0EC5"/>
    <w:rsid w:val="00CA0F1A"/>
    <w:rsid w:val="00CA0F9F"/>
    <w:rsid w:val="00CA1314"/>
    <w:rsid w:val="00CA1970"/>
    <w:rsid w:val="00CA1AAA"/>
    <w:rsid w:val="00CA1B3D"/>
    <w:rsid w:val="00CA1FF0"/>
    <w:rsid w:val="00CA2280"/>
    <w:rsid w:val="00CA2472"/>
    <w:rsid w:val="00CA291F"/>
    <w:rsid w:val="00CA2AFE"/>
    <w:rsid w:val="00CA2BA2"/>
    <w:rsid w:val="00CA3176"/>
    <w:rsid w:val="00CA3912"/>
    <w:rsid w:val="00CA4360"/>
    <w:rsid w:val="00CA4AE2"/>
    <w:rsid w:val="00CA4EF7"/>
    <w:rsid w:val="00CA594B"/>
    <w:rsid w:val="00CA606E"/>
    <w:rsid w:val="00CA607A"/>
    <w:rsid w:val="00CA61C0"/>
    <w:rsid w:val="00CA6A81"/>
    <w:rsid w:val="00CA6C07"/>
    <w:rsid w:val="00CA7EA9"/>
    <w:rsid w:val="00CB033B"/>
    <w:rsid w:val="00CB042E"/>
    <w:rsid w:val="00CB0482"/>
    <w:rsid w:val="00CB054E"/>
    <w:rsid w:val="00CB10DB"/>
    <w:rsid w:val="00CB1AD0"/>
    <w:rsid w:val="00CB1C83"/>
    <w:rsid w:val="00CB1EEA"/>
    <w:rsid w:val="00CB1F19"/>
    <w:rsid w:val="00CB1FB5"/>
    <w:rsid w:val="00CB20D4"/>
    <w:rsid w:val="00CB231F"/>
    <w:rsid w:val="00CB2416"/>
    <w:rsid w:val="00CB2425"/>
    <w:rsid w:val="00CB286B"/>
    <w:rsid w:val="00CB2AF1"/>
    <w:rsid w:val="00CB2E3D"/>
    <w:rsid w:val="00CB2FE6"/>
    <w:rsid w:val="00CB303C"/>
    <w:rsid w:val="00CB3956"/>
    <w:rsid w:val="00CB41D9"/>
    <w:rsid w:val="00CB4413"/>
    <w:rsid w:val="00CB49AD"/>
    <w:rsid w:val="00CB4A63"/>
    <w:rsid w:val="00CB4BD0"/>
    <w:rsid w:val="00CB4C6F"/>
    <w:rsid w:val="00CB4C77"/>
    <w:rsid w:val="00CB4D3A"/>
    <w:rsid w:val="00CB4DA0"/>
    <w:rsid w:val="00CB4E94"/>
    <w:rsid w:val="00CB52A5"/>
    <w:rsid w:val="00CB52DD"/>
    <w:rsid w:val="00CB548E"/>
    <w:rsid w:val="00CB554E"/>
    <w:rsid w:val="00CB5BD4"/>
    <w:rsid w:val="00CB5C21"/>
    <w:rsid w:val="00CB5CC9"/>
    <w:rsid w:val="00CB5EFE"/>
    <w:rsid w:val="00CB5F82"/>
    <w:rsid w:val="00CB64C3"/>
    <w:rsid w:val="00CB66BE"/>
    <w:rsid w:val="00CB6C5C"/>
    <w:rsid w:val="00CB6FEA"/>
    <w:rsid w:val="00CB6FFD"/>
    <w:rsid w:val="00CB756F"/>
    <w:rsid w:val="00CB78F2"/>
    <w:rsid w:val="00CB79B4"/>
    <w:rsid w:val="00CB7DAB"/>
    <w:rsid w:val="00CC0521"/>
    <w:rsid w:val="00CC0651"/>
    <w:rsid w:val="00CC070D"/>
    <w:rsid w:val="00CC080D"/>
    <w:rsid w:val="00CC0B25"/>
    <w:rsid w:val="00CC0BCD"/>
    <w:rsid w:val="00CC0D39"/>
    <w:rsid w:val="00CC1190"/>
    <w:rsid w:val="00CC1929"/>
    <w:rsid w:val="00CC1DC8"/>
    <w:rsid w:val="00CC1F4C"/>
    <w:rsid w:val="00CC2053"/>
    <w:rsid w:val="00CC2381"/>
    <w:rsid w:val="00CC284B"/>
    <w:rsid w:val="00CC292A"/>
    <w:rsid w:val="00CC2B8A"/>
    <w:rsid w:val="00CC2C0F"/>
    <w:rsid w:val="00CC337A"/>
    <w:rsid w:val="00CC34CA"/>
    <w:rsid w:val="00CC3644"/>
    <w:rsid w:val="00CC36DE"/>
    <w:rsid w:val="00CC3758"/>
    <w:rsid w:val="00CC3BEC"/>
    <w:rsid w:val="00CC4495"/>
    <w:rsid w:val="00CC460B"/>
    <w:rsid w:val="00CC5518"/>
    <w:rsid w:val="00CC5571"/>
    <w:rsid w:val="00CC6242"/>
    <w:rsid w:val="00CC682E"/>
    <w:rsid w:val="00CC689D"/>
    <w:rsid w:val="00CC68A9"/>
    <w:rsid w:val="00CC6920"/>
    <w:rsid w:val="00CC6CA5"/>
    <w:rsid w:val="00CC6D78"/>
    <w:rsid w:val="00CC7030"/>
    <w:rsid w:val="00CC7A87"/>
    <w:rsid w:val="00CC7C73"/>
    <w:rsid w:val="00CC7F07"/>
    <w:rsid w:val="00CD03B4"/>
    <w:rsid w:val="00CD0406"/>
    <w:rsid w:val="00CD0413"/>
    <w:rsid w:val="00CD065D"/>
    <w:rsid w:val="00CD1359"/>
    <w:rsid w:val="00CD14A7"/>
    <w:rsid w:val="00CD177A"/>
    <w:rsid w:val="00CD1921"/>
    <w:rsid w:val="00CD1B7E"/>
    <w:rsid w:val="00CD1FAB"/>
    <w:rsid w:val="00CD2202"/>
    <w:rsid w:val="00CD2BD3"/>
    <w:rsid w:val="00CD2E8E"/>
    <w:rsid w:val="00CD336F"/>
    <w:rsid w:val="00CD382A"/>
    <w:rsid w:val="00CD3869"/>
    <w:rsid w:val="00CD38AE"/>
    <w:rsid w:val="00CD3E30"/>
    <w:rsid w:val="00CD3F38"/>
    <w:rsid w:val="00CD405C"/>
    <w:rsid w:val="00CD49A3"/>
    <w:rsid w:val="00CD502C"/>
    <w:rsid w:val="00CD53E4"/>
    <w:rsid w:val="00CD548E"/>
    <w:rsid w:val="00CD54F8"/>
    <w:rsid w:val="00CD56A9"/>
    <w:rsid w:val="00CD5DAB"/>
    <w:rsid w:val="00CD5F9D"/>
    <w:rsid w:val="00CD621F"/>
    <w:rsid w:val="00CD63F5"/>
    <w:rsid w:val="00CD6727"/>
    <w:rsid w:val="00CD6E2C"/>
    <w:rsid w:val="00CD7062"/>
    <w:rsid w:val="00CD72D4"/>
    <w:rsid w:val="00CD748A"/>
    <w:rsid w:val="00CD7624"/>
    <w:rsid w:val="00CD79CA"/>
    <w:rsid w:val="00CD7B23"/>
    <w:rsid w:val="00CD7BF3"/>
    <w:rsid w:val="00CD7E98"/>
    <w:rsid w:val="00CE021A"/>
    <w:rsid w:val="00CE03AB"/>
    <w:rsid w:val="00CE0910"/>
    <w:rsid w:val="00CE0DDC"/>
    <w:rsid w:val="00CE13B8"/>
    <w:rsid w:val="00CE1A60"/>
    <w:rsid w:val="00CE1B5B"/>
    <w:rsid w:val="00CE26DC"/>
    <w:rsid w:val="00CE27B9"/>
    <w:rsid w:val="00CE2B9F"/>
    <w:rsid w:val="00CE2EA7"/>
    <w:rsid w:val="00CE3332"/>
    <w:rsid w:val="00CE33B3"/>
    <w:rsid w:val="00CE3581"/>
    <w:rsid w:val="00CE37C8"/>
    <w:rsid w:val="00CE3C9A"/>
    <w:rsid w:val="00CE3E22"/>
    <w:rsid w:val="00CE3E24"/>
    <w:rsid w:val="00CE3E3E"/>
    <w:rsid w:val="00CE46A1"/>
    <w:rsid w:val="00CE5495"/>
    <w:rsid w:val="00CE586B"/>
    <w:rsid w:val="00CE5F39"/>
    <w:rsid w:val="00CE64B7"/>
    <w:rsid w:val="00CE70F7"/>
    <w:rsid w:val="00CE7938"/>
    <w:rsid w:val="00CE7F7C"/>
    <w:rsid w:val="00CF008C"/>
    <w:rsid w:val="00CF0571"/>
    <w:rsid w:val="00CF0C22"/>
    <w:rsid w:val="00CF0CA0"/>
    <w:rsid w:val="00CF0E7F"/>
    <w:rsid w:val="00CF0F14"/>
    <w:rsid w:val="00CF164C"/>
    <w:rsid w:val="00CF1D3A"/>
    <w:rsid w:val="00CF21A9"/>
    <w:rsid w:val="00CF226B"/>
    <w:rsid w:val="00CF2814"/>
    <w:rsid w:val="00CF2EE6"/>
    <w:rsid w:val="00CF3015"/>
    <w:rsid w:val="00CF30D5"/>
    <w:rsid w:val="00CF3197"/>
    <w:rsid w:val="00CF31CA"/>
    <w:rsid w:val="00CF3D9B"/>
    <w:rsid w:val="00CF3E47"/>
    <w:rsid w:val="00CF42A5"/>
    <w:rsid w:val="00CF4863"/>
    <w:rsid w:val="00CF4E23"/>
    <w:rsid w:val="00CF4F78"/>
    <w:rsid w:val="00CF5CB0"/>
    <w:rsid w:val="00CF61B9"/>
    <w:rsid w:val="00CF61F1"/>
    <w:rsid w:val="00CF65C0"/>
    <w:rsid w:val="00CF6F43"/>
    <w:rsid w:val="00CF703D"/>
    <w:rsid w:val="00CF7230"/>
    <w:rsid w:val="00CF72D7"/>
    <w:rsid w:val="00CF7453"/>
    <w:rsid w:val="00CF75F7"/>
    <w:rsid w:val="00CF7CD9"/>
    <w:rsid w:val="00CF7D33"/>
    <w:rsid w:val="00CF7ECE"/>
    <w:rsid w:val="00D00164"/>
    <w:rsid w:val="00D003C4"/>
    <w:rsid w:val="00D003F4"/>
    <w:rsid w:val="00D00749"/>
    <w:rsid w:val="00D00E93"/>
    <w:rsid w:val="00D01214"/>
    <w:rsid w:val="00D01AF9"/>
    <w:rsid w:val="00D0276C"/>
    <w:rsid w:val="00D02AC0"/>
    <w:rsid w:val="00D02B3D"/>
    <w:rsid w:val="00D034B4"/>
    <w:rsid w:val="00D035A3"/>
    <w:rsid w:val="00D03664"/>
    <w:rsid w:val="00D038D6"/>
    <w:rsid w:val="00D03BB7"/>
    <w:rsid w:val="00D03C4D"/>
    <w:rsid w:val="00D03D40"/>
    <w:rsid w:val="00D04116"/>
    <w:rsid w:val="00D04539"/>
    <w:rsid w:val="00D0472C"/>
    <w:rsid w:val="00D049A0"/>
    <w:rsid w:val="00D05080"/>
    <w:rsid w:val="00D052EB"/>
    <w:rsid w:val="00D05324"/>
    <w:rsid w:val="00D0581C"/>
    <w:rsid w:val="00D05B0D"/>
    <w:rsid w:val="00D05B85"/>
    <w:rsid w:val="00D05EBD"/>
    <w:rsid w:val="00D0611B"/>
    <w:rsid w:val="00D0683D"/>
    <w:rsid w:val="00D069A7"/>
    <w:rsid w:val="00D07777"/>
    <w:rsid w:val="00D1024A"/>
    <w:rsid w:val="00D1081A"/>
    <w:rsid w:val="00D10AEF"/>
    <w:rsid w:val="00D10EFD"/>
    <w:rsid w:val="00D111A4"/>
    <w:rsid w:val="00D11594"/>
    <w:rsid w:val="00D11B8E"/>
    <w:rsid w:val="00D11C8F"/>
    <w:rsid w:val="00D11DCD"/>
    <w:rsid w:val="00D11FA4"/>
    <w:rsid w:val="00D123E2"/>
    <w:rsid w:val="00D12547"/>
    <w:rsid w:val="00D12728"/>
    <w:rsid w:val="00D127C0"/>
    <w:rsid w:val="00D12814"/>
    <w:rsid w:val="00D12822"/>
    <w:rsid w:val="00D1299F"/>
    <w:rsid w:val="00D12D88"/>
    <w:rsid w:val="00D13108"/>
    <w:rsid w:val="00D140C7"/>
    <w:rsid w:val="00D162EF"/>
    <w:rsid w:val="00D165F2"/>
    <w:rsid w:val="00D16D91"/>
    <w:rsid w:val="00D16E19"/>
    <w:rsid w:val="00D17280"/>
    <w:rsid w:val="00D17481"/>
    <w:rsid w:val="00D178C9"/>
    <w:rsid w:val="00D178D7"/>
    <w:rsid w:val="00D17D11"/>
    <w:rsid w:val="00D17DF2"/>
    <w:rsid w:val="00D20581"/>
    <w:rsid w:val="00D20676"/>
    <w:rsid w:val="00D206F8"/>
    <w:rsid w:val="00D209B7"/>
    <w:rsid w:val="00D20CC3"/>
    <w:rsid w:val="00D20D07"/>
    <w:rsid w:val="00D20D69"/>
    <w:rsid w:val="00D210FD"/>
    <w:rsid w:val="00D2161E"/>
    <w:rsid w:val="00D21A21"/>
    <w:rsid w:val="00D21AD5"/>
    <w:rsid w:val="00D21D7B"/>
    <w:rsid w:val="00D21E83"/>
    <w:rsid w:val="00D21ECB"/>
    <w:rsid w:val="00D21F57"/>
    <w:rsid w:val="00D21F75"/>
    <w:rsid w:val="00D220C4"/>
    <w:rsid w:val="00D22563"/>
    <w:rsid w:val="00D225A2"/>
    <w:rsid w:val="00D2276D"/>
    <w:rsid w:val="00D23D27"/>
    <w:rsid w:val="00D24030"/>
    <w:rsid w:val="00D24751"/>
    <w:rsid w:val="00D24E4F"/>
    <w:rsid w:val="00D251C4"/>
    <w:rsid w:val="00D25882"/>
    <w:rsid w:val="00D25C0A"/>
    <w:rsid w:val="00D25F82"/>
    <w:rsid w:val="00D25FD1"/>
    <w:rsid w:val="00D267C2"/>
    <w:rsid w:val="00D26841"/>
    <w:rsid w:val="00D26888"/>
    <w:rsid w:val="00D26B4A"/>
    <w:rsid w:val="00D27601"/>
    <w:rsid w:val="00D27B5C"/>
    <w:rsid w:val="00D27D16"/>
    <w:rsid w:val="00D27F95"/>
    <w:rsid w:val="00D301E0"/>
    <w:rsid w:val="00D30A14"/>
    <w:rsid w:val="00D30AA2"/>
    <w:rsid w:val="00D30B4C"/>
    <w:rsid w:val="00D30B56"/>
    <w:rsid w:val="00D30EF0"/>
    <w:rsid w:val="00D3185D"/>
    <w:rsid w:val="00D31E42"/>
    <w:rsid w:val="00D31F1C"/>
    <w:rsid w:val="00D3211F"/>
    <w:rsid w:val="00D3219B"/>
    <w:rsid w:val="00D32572"/>
    <w:rsid w:val="00D32E20"/>
    <w:rsid w:val="00D3316A"/>
    <w:rsid w:val="00D331ED"/>
    <w:rsid w:val="00D33623"/>
    <w:rsid w:val="00D33940"/>
    <w:rsid w:val="00D33A14"/>
    <w:rsid w:val="00D33BB2"/>
    <w:rsid w:val="00D33FC6"/>
    <w:rsid w:val="00D34A91"/>
    <w:rsid w:val="00D34AF4"/>
    <w:rsid w:val="00D34DF5"/>
    <w:rsid w:val="00D35198"/>
    <w:rsid w:val="00D35576"/>
    <w:rsid w:val="00D3563C"/>
    <w:rsid w:val="00D3571E"/>
    <w:rsid w:val="00D35886"/>
    <w:rsid w:val="00D35DCD"/>
    <w:rsid w:val="00D36642"/>
    <w:rsid w:val="00D367E2"/>
    <w:rsid w:val="00D36813"/>
    <w:rsid w:val="00D36F05"/>
    <w:rsid w:val="00D372BA"/>
    <w:rsid w:val="00D37510"/>
    <w:rsid w:val="00D401EF"/>
    <w:rsid w:val="00D4045C"/>
    <w:rsid w:val="00D40998"/>
    <w:rsid w:val="00D40C7F"/>
    <w:rsid w:val="00D40F8C"/>
    <w:rsid w:val="00D40FBF"/>
    <w:rsid w:val="00D41074"/>
    <w:rsid w:val="00D415A3"/>
    <w:rsid w:val="00D41C81"/>
    <w:rsid w:val="00D42D6E"/>
    <w:rsid w:val="00D42F2A"/>
    <w:rsid w:val="00D43425"/>
    <w:rsid w:val="00D43996"/>
    <w:rsid w:val="00D447B5"/>
    <w:rsid w:val="00D44D46"/>
    <w:rsid w:val="00D45210"/>
    <w:rsid w:val="00D452D5"/>
    <w:rsid w:val="00D4584E"/>
    <w:rsid w:val="00D46093"/>
    <w:rsid w:val="00D4683D"/>
    <w:rsid w:val="00D46CEB"/>
    <w:rsid w:val="00D46F31"/>
    <w:rsid w:val="00D47AAB"/>
    <w:rsid w:val="00D47F53"/>
    <w:rsid w:val="00D5044B"/>
    <w:rsid w:val="00D505FB"/>
    <w:rsid w:val="00D5061A"/>
    <w:rsid w:val="00D506FE"/>
    <w:rsid w:val="00D50BEB"/>
    <w:rsid w:val="00D50E77"/>
    <w:rsid w:val="00D51122"/>
    <w:rsid w:val="00D511F7"/>
    <w:rsid w:val="00D5184E"/>
    <w:rsid w:val="00D51C65"/>
    <w:rsid w:val="00D520F1"/>
    <w:rsid w:val="00D522B5"/>
    <w:rsid w:val="00D5291B"/>
    <w:rsid w:val="00D52C04"/>
    <w:rsid w:val="00D52CF6"/>
    <w:rsid w:val="00D52D19"/>
    <w:rsid w:val="00D52F23"/>
    <w:rsid w:val="00D535A9"/>
    <w:rsid w:val="00D53E43"/>
    <w:rsid w:val="00D549B0"/>
    <w:rsid w:val="00D54B3F"/>
    <w:rsid w:val="00D54F45"/>
    <w:rsid w:val="00D55373"/>
    <w:rsid w:val="00D5541A"/>
    <w:rsid w:val="00D554F4"/>
    <w:rsid w:val="00D55768"/>
    <w:rsid w:val="00D55A0A"/>
    <w:rsid w:val="00D55CB6"/>
    <w:rsid w:val="00D56792"/>
    <w:rsid w:val="00D568B7"/>
    <w:rsid w:val="00D56B7F"/>
    <w:rsid w:val="00D56CAE"/>
    <w:rsid w:val="00D56F79"/>
    <w:rsid w:val="00D57282"/>
    <w:rsid w:val="00D578B2"/>
    <w:rsid w:val="00D57A22"/>
    <w:rsid w:val="00D57D2A"/>
    <w:rsid w:val="00D60210"/>
    <w:rsid w:val="00D6027F"/>
    <w:rsid w:val="00D602A2"/>
    <w:rsid w:val="00D60502"/>
    <w:rsid w:val="00D605EB"/>
    <w:rsid w:val="00D60840"/>
    <w:rsid w:val="00D6093A"/>
    <w:rsid w:val="00D61C78"/>
    <w:rsid w:val="00D61CEC"/>
    <w:rsid w:val="00D61DFA"/>
    <w:rsid w:val="00D61FF6"/>
    <w:rsid w:val="00D62813"/>
    <w:rsid w:val="00D629AD"/>
    <w:rsid w:val="00D6322C"/>
    <w:rsid w:val="00D63897"/>
    <w:rsid w:val="00D63AAA"/>
    <w:rsid w:val="00D63D05"/>
    <w:rsid w:val="00D6553B"/>
    <w:rsid w:val="00D65800"/>
    <w:rsid w:val="00D661D4"/>
    <w:rsid w:val="00D664BC"/>
    <w:rsid w:val="00D66FF9"/>
    <w:rsid w:val="00D672FC"/>
    <w:rsid w:val="00D674AA"/>
    <w:rsid w:val="00D67511"/>
    <w:rsid w:val="00D67A4D"/>
    <w:rsid w:val="00D7047C"/>
    <w:rsid w:val="00D70C61"/>
    <w:rsid w:val="00D70FA0"/>
    <w:rsid w:val="00D710F1"/>
    <w:rsid w:val="00D718B8"/>
    <w:rsid w:val="00D718FE"/>
    <w:rsid w:val="00D72840"/>
    <w:rsid w:val="00D72E86"/>
    <w:rsid w:val="00D72FCF"/>
    <w:rsid w:val="00D734FE"/>
    <w:rsid w:val="00D73DFD"/>
    <w:rsid w:val="00D740EA"/>
    <w:rsid w:val="00D741F8"/>
    <w:rsid w:val="00D748AC"/>
    <w:rsid w:val="00D74F7F"/>
    <w:rsid w:val="00D74F87"/>
    <w:rsid w:val="00D75190"/>
    <w:rsid w:val="00D7569F"/>
    <w:rsid w:val="00D7570A"/>
    <w:rsid w:val="00D76647"/>
    <w:rsid w:val="00D76914"/>
    <w:rsid w:val="00D76D79"/>
    <w:rsid w:val="00D77300"/>
    <w:rsid w:val="00D773F5"/>
    <w:rsid w:val="00D77538"/>
    <w:rsid w:val="00D77FEC"/>
    <w:rsid w:val="00D800D2"/>
    <w:rsid w:val="00D813C7"/>
    <w:rsid w:val="00D81835"/>
    <w:rsid w:val="00D81D1D"/>
    <w:rsid w:val="00D81E8B"/>
    <w:rsid w:val="00D81F15"/>
    <w:rsid w:val="00D8277A"/>
    <w:rsid w:val="00D828A0"/>
    <w:rsid w:val="00D82A1A"/>
    <w:rsid w:val="00D82D08"/>
    <w:rsid w:val="00D836C8"/>
    <w:rsid w:val="00D83966"/>
    <w:rsid w:val="00D83BDF"/>
    <w:rsid w:val="00D841DB"/>
    <w:rsid w:val="00D84595"/>
    <w:rsid w:val="00D8481E"/>
    <w:rsid w:val="00D84999"/>
    <w:rsid w:val="00D84DF0"/>
    <w:rsid w:val="00D85682"/>
    <w:rsid w:val="00D85D12"/>
    <w:rsid w:val="00D8612E"/>
    <w:rsid w:val="00D86180"/>
    <w:rsid w:val="00D86198"/>
    <w:rsid w:val="00D865AB"/>
    <w:rsid w:val="00D86612"/>
    <w:rsid w:val="00D867DB"/>
    <w:rsid w:val="00D86F51"/>
    <w:rsid w:val="00D87154"/>
    <w:rsid w:val="00D873F9"/>
    <w:rsid w:val="00D90166"/>
    <w:rsid w:val="00D90216"/>
    <w:rsid w:val="00D90D53"/>
    <w:rsid w:val="00D90D70"/>
    <w:rsid w:val="00D911C8"/>
    <w:rsid w:val="00D911CA"/>
    <w:rsid w:val="00D91221"/>
    <w:rsid w:val="00D92456"/>
    <w:rsid w:val="00D92869"/>
    <w:rsid w:val="00D935D3"/>
    <w:rsid w:val="00D939C3"/>
    <w:rsid w:val="00D93F3E"/>
    <w:rsid w:val="00D94A39"/>
    <w:rsid w:val="00D94DA5"/>
    <w:rsid w:val="00D94FDB"/>
    <w:rsid w:val="00D950EE"/>
    <w:rsid w:val="00D95111"/>
    <w:rsid w:val="00D95C99"/>
    <w:rsid w:val="00D95E8A"/>
    <w:rsid w:val="00D9603D"/>
    <w:rsid w:val="00D96C2B"/>
    <w:rsid w:val="00D971CC"/>
    <w:rsid w:val="00D972E1"/>
    <w:rsid w:val="00D977C9"/>
    <w:rsid w:val="00D97DA5"/>
    <w:rsid w:val="00D97F7B"/>
    <w:rsid w:val="00DA03BD"/>
    <w:rsid w:val="00DA048F"/>
    <w:rsid w:val="00DA07EA"/>
    <w:rsid w:val="00DA0C0A"/>
    <w:rsid w:val="00DA0C77"/>
    <w:rsid w:val="00DA0D70"/>
    <w:rsid w:val="00DA1246"/>
    <w:rsid w:val="00DA14C5"/>
    <w:rsid w:val="00DA1926"/>
    <w:rsid w:val="00DA216D"/>
    <w:rsid w:val="00DA221C"/>
    <w:rsid w:val="00DA24C2"/>
    <w:rsid w:val="00DA2F85"/>
    <w:rsid w:val="00DA3D5B"/>
    <w:rsid w:val="00DA3F79"/>
    <w:rsid w:val="00DA4413"/>
    <w:rsid w:val="00DA47D8"/>
    <w:rsid w:val="00DA4B31"/>
    <w:rsid w:val="00DA4B77"/>
    <w:rsid w:val="00DA4BFF"/>
    <w:rsid w:val="00DA5023"/>
    <w:rsid w:val="00DA5181"/>
    <w:rsid w:val="00DA6021"/>
    <w:rsid w:val="00DA60D7"/>
    <w:rsid w:val="00DA6582"/>
    <w:rsid w:val="00DA7C37"/>
    <w:rsid w:val="00DA7DEF"/>
    <w:rsid w:val="00DB0402"/>
    <w:rsid w:val="00DB04DE"/>
    <w:rsid w:val="00DB0B12"/>
    <w:rsid w:val="00DB0D66"/>
    <w:rsid w:val="00DB0EFF"/>
    <w:rsid w:val="00DB0F89"/>
    <w:rsid w:val="00DB11A8"/>
    <w:rsid w:val="00DB129A"/>
    <w:rsid w:val="00DB1578"/>
    <w:rsid w:val="00DB1AC5"/>
    <w:rsid w:val="00DB1F52"/>
    <w:rsid w:val="00DB2280"/>
    <w:rsid w:val="00DB267D"/>
    <w:rsid w:val="00DB2C46"/>
    <w:rsid w:val="00DB2D2D"/>
    <w:rsid w:val="00DB2EEF"/>
    <w:rsid w:val="00DB31ED"/>
    <w:rsid w:val="00DB3208"/>
    <w:rsid w:val="00DB34D8"/>
    <w:rsid w:val="00DB3936"/>
    <w:rsid w:val="00DB3981"/>
    <w:rsid w:val="00DB3FF3"/>
    <w:rsid w:val="00DB4110"/>
    <w:rsid w:val="00DB45F8"/>
    <w:rsid w:val="00DB4650"/>
    <w:rsid w:val="00DB48B1"/>
    <w:rsid w:val="00DB4D30"/>
    <w:rsid w:val="00DB4F58"/>
    <w:rsid w:val="00DB5186"/>
    <w:rsid w:val="00DB51E5"/>
    <w:rsid w:val="00DB5261"/>
    <w:rsid w:val="00DB5494"/>
    <w:rsid w:val="00DB54E1"/>
    <w:rsid w:val="00DB5816"/>
    <w:rsid w:val="00DB6B83"/>
    <w:rsid w:val="00DB709E"/>
    <w:rsid w:val="00DB7159"/>
    <w:rsid w:val="00DB7311"/>
    <w:rsid w:val="00DC00CC"/>
    <w:rsid w:val="00DC0917"/>
    <w:rsid w:val="00DC14CA"/>
    <w:rsid w:val="00DC1736"/>
    <w:rsid w:val="00DC1762"/>
    <w:rsid w:val="00DC1BEE"/>
    <w:rsid w:val="00DC1CAF"/>
    <w:rsid w:val="00DC2399"/>
    <w:rsid w:val="00DC24CF"/>
    <w:rsid w:val="00DC25A9"/>
    <w:rsid w:val="00DC2685"/>
    <w:rsid w:val="00DC27F5"/>
    <w:rsid w:val="00DC29A0"/>
    <w:rsid w:val="00DC3609"/>
    <w:rsid w:val="00DC38C6"/>
    <w:rsid w:val="00DC3BC2"/>
    <w:rsid w:val="00DC3D1A"/>
    <w:rsid w:val="00DC4381"/>
    <w:rsid w:val="00DC456B"/>
    <w:rsid w:val="00DC46CC"/>
    <w:rsid w:val="00DC4889"/>
    <w:rsid w:val="00DC4E7E"/>
    <w:rsid w:val="00DC4F49"/>
    <w:rsid w:val="00DC519C"/>
    <w:rsid w:val="00DC60AA"/>
    <w:rsid w:val="00DC61C9"/>
    <w:rsid w:val="00DC6390"/>
    <w:rsid w:val="00DC63F4"/>
    <w:rsid w:val="00DC6520"/>
    <w:rsid w:val="00DC6705"/>
    <w:rsid w:val="00DC69C3"/>
    <w:rsid w:val="00DC6EE9"/>
    <w:rsid w:val="00DC7180"/>
    <w:rsid w:val="00DC733B"/>
    <w:rsid w:val="00DC74F8"/>
    <w:rsid w:val="00DC767E"/>
    <w:rsid w:val="00DC7CA3"/>
    <w:rsid w:val="00DC7E54"/>
    <w:rsid w:val="00DD0145"/>
    <w:rsid w:val="00DD0926"/>
    <w:rsid w:val="00DD09AC"/>
    <w:rsid w:val="00DD0E95"/>
    <w:rsid w:val="00DD0EB0"/>
    <w:rsid w:val="00DD1230"/>
    <w:rsid w:val="00DD1709"/>
    <w:rsid w:val="00DD17C0"/>
    <w:rsid w:val="00DD1BC4"/>
    <w:rsid w:val="00DD2217"/>
    <w:rsid w:val="00DD26A6"/>
    <w:rsid w:val="00DD2BFD"/>
    <w:rsid w:val="00DD2E8B"/>
    <w:rsid w:val="00DD3153"/>
    <w:rsid w:val="00DD380B"/>
    <w:rsid w:val="00DD3AAF"/>
    <w:rsid w:val="00DD3ADC"/>
    <w:rsid w:val="00DD3FEA"/>
    <w:rsid w:val="00DD4328"/>
    <w:rsid w:val="00DD484D"/>
    <w:rsid w:val="00DD510A"/>
    <w:rsid w:val="00DD5317"/>
    <w:rsid w:val="00DD53A0"/>
    <w:rsid w:val="00DD5C97"/>
    <w:rsid w:val="00DD5D0E"/>
    <w:rsid w:val="00DD5EB5"/>
    <w:rsid w:val="00DD62FD"/>
    <w:rsid w:val="00DD6D8B"/>
    <w:rsid w:val="00DD7BDE"/>
    <w:rsid w:val="00DD7CA7"/>
    <w:rsid w:val="00DD7DD9"/>
    <w:rsid w:val="00DE013F"/>
    <w:rsid w:val="00DE01A9"/>
    <w:rsid w:val="00DE01C8"/>
    <w:rsid w:val="00DE1731"/>
    <w:rsid w:val="00DE176D"/>
    <w:rsid w:val="00DE17C3"/>
    <w:rsid w:val="00DE248F"/>
    <w:rsid w:val="00DE25DD"/>
    <w:rsid w:val="00DE26B5"/>
    <w:rsid w:val="00DE2748"/>
    <w:rsid w:val="00DE2B23"/>
    <w:rsid w:val="00DE31E6"/>
    <w:rsid w:val="00DE333A"/>
    <w:rsid w:val="00DE3516"/>
    <w:rsid w:val="00DE3680"/>
    <w:rsid w:val="00DE3D20"/>
    <w:rsid w:val="00DE3E7B"/>
    <w:rsid w:val="00DE3EFA"/>
    <w:rsid w:val="00DE4223"/>
    <w:rsid w:val="00DE555D"/>
    <w:rsid w:val="00DE5832"/>
    <w:rsid w:val="00DE58E9"/>
    <w:rsid w:val="00DE60B0"/>
    <w:rsid w:val="00DE60D1"/>
    <w:rsid w:val="00DE64B7"/>
    <w:rsid w:val="00DE65D7"/>
    <w:rsid w:val="00DE724D"/>
    <w:rsid w:val="00DE72D0"/>
    <w:rsid w:val="00DE72D6"/>
    <w:rsid w:val="00DE72F0"/>
    <w:rsid w:val="00DE7431"/>
    <w:rsid w:val="00DE756D"/>
    <w:rsid w:val="00DE7606"/>
    <w:rsid w:val="00DE7986"/>
    <w:rsid w:val="00DE7E37"/>
    <w:rsid w:val="00DE7E52"/>
    <w:rsid w:val="00DF005B"/>
    <w:rsid w:val="00DF09E2"/>
    <w:rsid w:val="00DF0A3E"/>
    <w:rsid w:val="00DF0C8D"/>
    <w:rsid w:val="00DF111D"/>
    <w:rsid w:val="00DF114B"/>
    <w:rsid w:val="00DF163B"/>
    <w:rsid w:val="00DF1945"/>
    <w:rsid w:val="00DF197E"/>
    <w:rsid w:val="00DF19A8"/>
    <w:rsid w:val="00DF1A1E"/>
    <w:rsid w:val="00DF1BCF"/>
    <w:rsid w:val="00DF1D1B"/>
    <w:rsid w:val="00DF1DB9"/>
    <w:rsid w:val="00DF2014"/>
    <w:rsid w:val="00DF20C7"/>
    <w:rsid w:val="00DF20DF"/>
    <w:rsid w:val="00DF2165"/>
    <w:rsid w:val="00DF2AA4"/>
    <w:rsid w:val="00DF2F52"/>
    <w:rsid w:val="00DF3022"/>
    <w:rsid w:val="00DF3213"/>
    <w:rsid w:val="00DF3399"/>
    <w:rsid w:val="00DF350A"/>
    <w:rsid w:val="00DF3AF8"/>
    <w:rsid w:val="00DF3D0C"/>
    <w:rsid w:val="00DF3E0B"/>
    <w:rsid w:val="00DF3FF3"/>
    <w:rsid w:val="00DF444C"/>
    <w:rsid w:val="00DF4562"/>
    <w:rsid w:val="00DF45F9"/>
    <w:rsid w:val="00DF48A7"/>
    <w:rsid w:val="00DF4E11"/>
    <w:rsid w:val="00DF4F0B"/>
    <w:rsid w:val="00DF52FD"/>
    <w:rsid w:val="00DF5377"/>
    <w:rsid w:val="00DF5776"/>
    <w:rsid w:val="00DF5816"/>
    <w:rsid w:val="00DF59A3"/>
    <w:rsid w:val="00DF5C71"/>
    <w:rsid w:val="00DF5EA0"/>
    <w:rsid w:val="00DF62DA"/>
    <w:rsid w:val="00DF638C"/>
    <w:rsid w:val="00DF68A3"/>
    <w:rsid w:val="00DF6B97"/>
    <w:rsid w:val="00DF6DC3"/>
    <w:rsid w:val="00DF701F"/>
    <w:rsid w:val="00DF7374"/>
    <w:rsid w:val="00DF74EE"/>
    <w:rsid w:val="00DF77E9"/>
    <w:rsid w:val="00DF7898"/>
    <w:rsid w:val="00DF7A35"/>
    <w:rsid w:val="00DF7C37"/>
    <w:rsid w:val="00DF7DDB"/>
    <w:rsid w:val="00E00043"/>
    <w:rsid w:val="00E004B8"/>
    <w:rsid w:val="00E007F4"/>
    <w:rsid w:val="00E008D4"/>
    <w:rsid w:val="00E00921"/>
    <w:rsid w:val="00E00D68"/>
    <w:rsid w:val="00E01120"/>
    <w:rsid w:val="00E01986"/>
    <w:rsid w:val="00E01B29"/>
    <w:rsid w:val="00E01D7D"/>
    <w:rsid w:val="00E021A2"/>
    <w:rsid w:val="00E022BD"/>
    <w:rsid w:val="00E0270A"/>
    <w:rsid w:val="00E02D32"/>
    <w:rsid w:val="00E035E6"/>
    <w:rsid w:val="00E03675"/>
    <w:rsid w:val="00E037B9"/>
    <w:rsid w:val="00E03D26"/>
    <w:rsid w:val="00E03FAA"/>
    <w:rsid w:val="00E04205"/>
    <w:rsid w:val="00E04282"/>
    <w:rsid w:val="00E0458F"/>
    <w:rsid w:val="00E04BE0"/>
    <w:rsid w:val="00E04CCF"/>
    <w:rsid w:val="00E04F6D"/>
    <w:rsid w:val="00E04FC5"/>
    <w:rsid w:val="00E04FED"/>
    <w:rsid w:val="00E05188"/>
    <w:rsid w:val="00E05A17"/>
    <w:rsid w:val="00E05C3F"/>
    <w:rsid w:val="00E05E3C"/>
    <w:rsid w:val="00E060C8"/>
    <w:rsid w:val="00E06114"/>
    <w:rsid w:val="00E0620A"/>
    <w:rsid w:val="00E0636B"/>
    <w:rsid w:val="00E064BC"/>
    <w:rsid w:val="00E06628"/>
    <w:rsid w:val="00E06C05"/>
    <w:rsid w:val="00E07065"/>
    <w:rsid w:val="00E0748E"/>
    <w:rsid w:val="00E0772A"/>
    <w:rsid w:val="00E07911"/>
    <w:rsid w:val="00E07922"/>
    <w:rsid w:val="00E07A25"/>
    <w:rsid w:val="00E105EF"/>
    <w:rsid w:val="00E10FA4"/>
    <w:rsid w:val="00E11260"/>
    <w:rsid w:val="00E1150E"/>
    <w:rsid w:val="00E11845"/>
    <w:rsid w:val="00E118B7"/>
    <w:rsid w:val="00E11BE2"/>
    <w:rsid w:val="00E11C87"/>
    <w:rsid w:val="00E122C9"/>
    <w:rsid w:val="00E12777"/>
    <w:rsid w:val="00E12B56"/>
    <w:rsid w:val="00E13196"/>
    <w:rsid w:val="00E13269"/>
    <w:rsid w:val="00E13E0E"/>
    <w:rsid w:val="00E13E3B"/>
    <w:rsid w:val="00E140DB"/>
    <w:rsid w:val="00E14538"/>
    <w:rsid w:val="00E14A09"/>
    <w:rsid w:val="00E15258"/>
    <w:rsid w:val="00E15578"/>
    <w:rsid w:val="00E1575A"/>
    <w:rsid w:val="00E15A9D"/>
    <w:rsid w:val="00E15C88"/>
    <w:rsid w:val="00E15C92"/>
    <w:rsid w:val="00E15CC6"/>
    <w:rsid w:val="00E15F38"/>
    <w:rsid w:val="00E1607E"/>
    <w:rsid w:val="00E16825"/>
    <w:rsid w:val="00E1735F"/>
    <w:rsid w:val="00E17920"/>
    <w:rsid w:val="00E17A42"/>
    <w:rsid w:val="00E17B0E"/>
    <w:rsid w:val="00E20219"/>
    <w:rsid w:val="00E2054B"/>
    <w:rsid w:val="00E2076C"/>
    <w:rsid w:val="00E20A47"/>
    <w:rsid w:val="00E20ED8"/>
    <w:rsid w:val="00E2107E"/>
    <w:rsid w:val="00E21919"/>
    <w:rsid w:val="00E21924"/>
    <w:rsid w:val="00E21C00"/>
    <w:rsid w:val="00E22A02"/>
    <w:rsid w:val="00E22C43"/>
    <w:rsid w:val="00E2304E"/>
    <w:rsid w:val="00E233F6"/>
    <w:rsid w:val="00E237C2"/>
    <w:rsid w:val="00E23D16"/>
    <w:rsid w:val="00E23E9A"/>
    <w:rsid w:val="00E24229"/>
    <w:rsid w:val="00E24488"/>
    <w:rsid w:val="00E2470B"/>
    <w:rsid w:val="00E24A7E"/>
    <w:rsid w:val="00E250BE"/>
    <w:rsid w:val="00E25A3F"/>
    <w:rsid w:val="00E25C7D"/>
    <w:rsid w:val="00E25EBC"/>
    <w:rsid w:val="00E26073"/>
    <w:rsid w:val="00E2616C"/>
    <w:rsid w:val="00E26536"/>
    <w:rsid w:val="00E26B33"/>
    <w:rsid w:val="00E26B3E"/>
    <w:rsid w:val="00E275B8"/>
    <w:rsid w:val="00E2777E"/>
    <w:rsid w:val="00E27AC0"/>
    <w:rsid w:val="00E27D9D"/>
    <w:rsid w:val="00E2BA98"/>
    <w:rsid w:val="00E303C8"/>
    <w:rsid w:val="00E3057B"/>
    <w:rsid w:val="00E30BE7"/>
    <w:rsid w:val="00E30C2D"/>
    <w:rsid w:val="00E312B5"/>
    <w:rsid w:val="00E31D51"/>
    <w:rsid w:val="00E32A59"/>
    <w:rsid w:val="00E32B5C"/>
    <w:rsid w:val="00E32C38"/>
    <w:rsid w:val="00E32F4C"/>
    <w:rsid w:val="00E32F5E"/>
    <w:rsid w:val="00E33AC8"/>
    <w:rsid w:val="00E33B49"/>
    <w:rsid w:val="00E33CF3"/>
    <w:rsid w:val="00E33DDD"/>
    <w:rsid w:val="00E33DF6"/>
    <w:rsid w:val="00E33EB8"/>
    <w:rsid w:val="00E35279"/>
    <w:rsid w:val="00E352EC"/>
    <w:rsid w:val="00E353B3"/>
    <w:rsid w:val="00E3541C"/>
    <w:rsid w:val="00E355BA"/>
    <w:rsid w:val="00E35CCC"/>
    <w:rsid w:val="00E36041"/>
    <w:rsid w:val="00E3606F"/>
    <w:rsid w:val="00E360F1"/>
    <w:rsid w:val="00E36BF8"/>
    <w:rsid w:val="00E36F38"/>
    <w:rsid w:val="00E37964"/>
    <w:rsid w:val="00E37AE5"/>
    <w:rsid w:val="00E37B5C"/>
    <w:rsid w:val="00E4069F"/>
    <w:rsid w:val="00E40FB1"/>
    <w:rsid w:val="00E4121D"/>
    <w:rsid w:val="00E41221"/>
    <w:rsid w:val="00E4139D"/>
    <w:rsid w:val="00E419F4"/>
    <w:rsid w:val="00E41CE8"/>
    <w:rsid w:val="00E41D1E"/>
    <w:rsid w:val="00E425DA"/>
    <w:rsid w:val="00E4277B"/>
    <w:rsid w:val="00E42D65"/>
    <w:rsid w:val="00E42FD3"/>
    <w:rsid w:val="00E43125"/>
    <w:rsid w:val="00E433AB"/>
    <w:rsid w:val="00E43D1E"/>
    <w:rsid w:val="00E43D5A"/>
    <w:rsid w:val="00E43F11"/>
    <w:rsid w:val="00E44358"/>
    <w:rsid w:val="00E445EB"/>
    <w:rsid w:val="00E45078"/>
    <w:rsid w:val="00E456F5"/>
    <w:rsid w:val="00E45987"/>
    <w:rsid w:val="00E46088"/>
    <w:rsid w:val="00E4614D"/>
    <w:rsid w:val="00E463E5"/>
    <w:rsid w:val="00E463F9"/>
    <w:rsid w:val="00E46426"/>
    <w:rsid w:val="00E4658C"/>
    <w:rsid w:val="00E46CFA"/>
    <w:rsid w:val="00E473D6"/>
    <w:rsid w:val="00E47530"/>
    <w:rsid w:val="00E4793F"/>
    <w:rsid w:val="00E506F4"/>
    <w:rsid w:val="00E50726"/>
    <w:rsid w:val="00E50DAD"/>
    <w:rsid w:val="00E50F32"/>
    <w:rsid w:val="00E51099"/>
    <w:rsid w:val="00E510C3"/>
    <w:rsid w:val="00E51305"/>
    <w:rsid w:val="00E51712"/>
    <w:rsid w:val="00E51E3B"/>
    <w:rsid w:val="00E52818"/>
    <w:rsid w:val="00E52B60"/>
    <w:rsid w:val="00E5316D"/>
    <w:rsid w:val="00E53222"/>
    <w:rsid w:val="00E53535"/>
    <w:rsid w:val="00E53A91"/>
    <w:rsid w:val="00E543A5"/>
    <w:rsid w:val="00E545B1"/>
    <w:rsid w:val="00E54784"/>
    <w:rsid w:val="00E547CA"/>
    <w:rsid w:val="00E54DE6"/>
    <w:rsid w:val="00E55B39"/>
    <w:rsid w:val="00E55F1C"/>
    <w:rsid w:val="00E5653E"/>
    <w:rsid w:val="00E56551"/>
    <w:rsid w:val="00E56890"/>
    <w:rsid w:val="00E569C0"/>
    <w:rsid w:val="00E56B55"/>
    <w:rsid w:val="00E56F1A"/>
    <w:rsid w:val="00E56F78"/>
    <w:rsid w:val="00E57065"/>
    <w:rsid w:val="00E57172"/>
    <w:rsid w:val="00E57298"/>
    <w:rsid w:val="00E5743D"/>
    <w:rsid w:val="00E57705"/>
    <w:rsid w:val="00E57A43"/>
    <w:rsid w:val="00E57B66"/>
    <w:rsid w:val="00E57C0C"/>
    <w:rsid w:val="00E60335"/>
    <w:rsid w:val="00E60484"/>
    <w:rsid w:val="00E607A9"/>
    <w:rsid w:val="00E60971"/>
    <w:rsid w:val="00E60B05"/>
    <w:rsid w:val="00E61034"/>
    <w:rsid w:val="00E61172"/>
    <w:rsid w:val="00E615CC"/>
    <w:rsid w:val="00E616E5"/>
    <w:rsid w:val="00E61ECE"/>
    <w:rsid w:val="00E61FF8"/>
    <w:rsid w:val="00E62312"/>
    <w:rsid w:val="00E62408"/>
    <w:rsid w:val="00E6252C"/>
    <w:rsid w:val="00E62574"/>
    <w:rsid w:val="00E62B28"/>
    <w:rsid w:val="00E62CAB"/>
    <w:rsid w:val="00E62F36"/>
    <w:rsid w:val="00E63024"/>
    <w:rsid w:val="00E63AEB"/>
    <w:rsid w:val="00E63AFD"/>
    <w:rsid w:val="00E64065"/>
    <w:rsid w:val="00E6423A"/>
    <w:rsid w:val="00E64557"/>
    <w:rsid w:val="00E64AF6"/>
    <w:rsid w:val="00E65AB3"/>
    <w:rsid w:val="00E6612F"/>
    <w:rsid w:val="00E66522"/>
    <w:rsid w:val="00E66C54"/>
    <w:rsid w:val="00E66F13"/>
    <w:rsid w:val="00E67089"/>
    <w:rsid w:val="00E670E8"/>
    <w:rsid w:val="00E6769B"/>
    <w:rsid w:val="00E679D6"/>
    <w:rsid w:val="00E7008D"/>
    <w:rsid w:val="00E7051E"/>
    <w:rsid w:val="00E70A59"/>
    <w:rsid w:val="00E70AEE"/>
    <w:rsid w:val="00E70D0B"/>
    <w:rsid w:val="00E713E7"/>
    <w:rsid w:val="00E714BC"/>
    <w:rsid w:val="00E714FC"/>
    <w:rsid w:val="00E71CB1"/>
    <w:rsid w:val="00E71CC7"/>
    <w:rsid w:val="00E73B93"/>
    <w:rsid w:val="00E73D34"/>
    <w:rsid w:val="00E740B3"/>
    <w:rsid w:val="00E74695"/>
    <w:rsid w:val="00E74C45"/>
    <w:rsid w:val="00E74F7A"/>
    <w:rsid w:val="00E74FE1"/>
    <w:rsid w:val="00E75741"/>
    <w:rsid w:val="00E757C5"/>
    <w:rsid w:val="00E75EBC"/>
    <w:rsid w:val="00E7630F"/>
    <w:rsid w:val="00E76346"/>
    <w:rsid w:val="00E763C6"/>
    <w:rsid w:val="00E764EF"/>
    <w:rsid w:val="00E76746"/>
    <w:rsid w:val="00E76A09"/>
    <w:rsid w:val="00E76C0C"/>
    <w:rsid w:val="00E76E85"/>
    <w:rsid w:val="00E76E98"/>
    <w:rsid w:val="00E76EAF"/>
    <w:rsid w:val="00E77003"/>
    <w:rsid w:val="00E77A1E"/>
    <w:rsid w:val="00E77D72"/>
    <w:rsid w:val="00E80143"/>
    <w:rsid w:val="00E803F6"/>
    <w:rsid w:val="00E80662"/>
    <w:rsid w:val="00E80AD5"/>
    <w:rsid w:val="00E80C03"/>
    <w:rsid w:val="00E80DF7"/>
    <w:rsid w:val="00E81863"/>
    <w:rsid w:val="00E81E69"/>
    <w:rsid w:val="00E821B2"/>
    <w:rsid w:val="00E8244C"/>
    <w:rsid w:val="00E82605"/>
    <w:rsid w:val="00E82897"/>
    <w:rsid w:val="00E828AF"/>
    <w:rsid w:val="00E828EE"/>
    <w:rsid w:val="00E82D3B"/>
    <w:rsid w:val="00E83051"/>
    <w:rsid w:val="00E832D2"/>
    <w:rsid w:val="00E83C13"/>
    <w:rsid w:val="00E83C81"/>
    <w:rsid w:val="00E8401A"/>
    <w:rsid w:val="00E845AC"/>
    <w:rsid w:val="00E84865"/>
    <w:rsid w:val="00E84F27"/>
    <w:rsid w:val="00E8596C"/>
    <w:rsid w:val="00E85B18"/>
    <w:rsid w:val="00E85C7C"/>
    <w:rsid w:val="00E85F86"/>
    <w:rsid w:val="00E86187"/>
    <w:rsid w:val="00E86830"/>
    <w:rsid w:val="00E86F2C"/>
    <w:rsid w:val="00E86FBC"/>
    <w:rsid w:val="00E87047"/>
    <w:rsid w:val="00E87402"/>
    <w:rsid w:val="00E876C2"/>
    <w:rsid w:val="00E879C8"/>
    <w:rsid w:val="00E87C49"/>
    <w:rsid w:val="00E87CB4"/>
    <w:rsid w:val="00E87E29"/>
    <w:rsid w:val="00E87EAA"/>
    <w:rsid w:val="00E87F6F"/>
    <w:rsid w:val="00E9026B"/>
    <w:rsid w:val="00E903A7"/>
    <w:rsid w:val="00E90BE4"/>
    <w:rsid w:val="00E911C1"/>
    <w:rsid w:val="00E91319"/>
    <w:rsid w:val="00E913CE"/>
    <w:rsid w:val="00E91666"/>
    <w:rsid w:val="00E916F5"/>
    <w:rsid w:val="00E91C10"/>
    <w:rsid w:val="00E91F3D"/>
    <w:rsid w:val="00E9209C"/>
    <w:rsid w:val="00E92617"/>
    <w:rsid w:val="00E936A7"/>
    <w:rsid w:val="00E93841"/>
    <w:rsid w:val="00E93C54"/>
    <w:rsid w:val="00E9404B"/>
    <w:rsid w:val="00E94387"/>
    <w:rsid w:val="00E948EA"/>
    <w:rsid w:val="00E94ACD"/>
    <w:rsid w:val="00E94BF8"/>
    <w:rsid w:val="00E94EF9"/>
    <w:rsid w:val="00E94F3D"/>
    <w:rsid w:val="00E94F8B"/>
    <w:rsid w:val="00E95444"/>
    <w:rsid w:val="00E95580"/>
    <w:rsid w:val="00E95780"/>
    <w:rsid w:val="00E95BFE"/>
    <w:rsid w:val="00E95C1A"/>
    <w:rsid w:val="00E95CA2"/>
    <w:rsid w:val="00E95D18"/>
    <w:rsid w:val="00E95E39"/>
    <w:rsid w:val="00E963ED"/>
    <w:rsid w:val="00E96509"/>
    <w:rsid w:val="00E966B4"/>
    <w:rsid w:val="00E966D5"/>
    <w:rsid w:val="00E967D3"/>
    <w:rsid w:val="00E96867"/>
    <w:rsid w:val="00E96CDA"/>
    <w:rsid w:val="00E971F4"/>
    <w:rsid w:val="00E9738F"/>
    <w:rsid w:val="00E97478"/>
    <w:rsid w:val="00E974A9"/>
    <w:rsid w:val="00E97CFE"/>
    <w:rsid w:val="00EA051B"/>
    <w:rsid w:val="00EA0789"/>
    <w:rsid w:val="00EA08DF"/>
    <w:rsid w:val="00EA0EEF"/>
    <w:rsid w:val="00EA11B8"/>
    <w:rsid w:val="00EA1F8C"/>
    <w:rsid w:val="00EA2004"/>
    <w:rsid w:val="00EA2015"/>
    <w:rsid w:val="00EA26C0"/>
    <w:rsid w:val="00EA26C1"/>
    <w:rsid w:val="00EA292B"/>
    <w:rsid w:val="00EA2B93"/>
    <w:rsid w:val="00EA2FBD"/>
    <w:rsid w:val="00EA3365"/>
    <w:rsid w:val="00EA3495"/>
    <w:rsid w:val="00EA3943"/>
    <w:rsid w:val="00EA3B17"/>
    <w:rsid w:val="00EA3EB2"/>
    <w:rsid w:val="00EA402D"/>
    <w:rsid w:val="00EA5322"/>
    <w:rsid w:val="00EA59E5"/>
    <w:rsid w:val="00EA5CDD"/>
    <w:rsid w:val="00EA60FD"/>
    <w:rsid w:val="00EA675B"/>
    <w:rsid w:val="00EA6ABB"/>
    <w:rsid w:val="00EA71E3"/>
    <w:rsid w:val="00EA720A"/>
    <w:rsid w:val="00EA723C"/>
    <w:rsid w:val="00EA73E7"/>
    <w:rsid w:val="00EA74AB"/>
    <w:rsid w:val="00EA7671"/>
    <w:rsid w:val="00EA78AF"/>
    <w:rsid w:val="00EB0085"/>
    <w:rsid w:val="00EB010C"/>
    <w:rsid w:val="00EB0A56"/>
    <w:rsid w:val="00EB0ABE"/>
    <w:rsid w:val="00EB0E05"/>
    <w:rsid w:val="00EB1096"/>
    <w:rsid w:val="00EB10BF"/>
    <w:rsid w:val="00EB15B5"/>
    <w:rsid w:val="00EB16C3"/>
    <w:rsid w:val="00EB1876"/>
    <w:rsid w:val="00EB1C96"/>
    <w:rsid w:val="00EB2134"/>
    <w:rsid w:val="00EB2B83"/>
    <w:rsid w:val="00EB2BA5"/>
    <w:rsid w:val="00EB316D"/>
    <w:rsid w:val="00EB3315"/>
    <w:rsid w:val="00EB35FE"/>
    <w:rsid w:val="00EB3946"/>
    <w:rsid w:val="00EB3F92"/>
    <w:rsid w:val="00EB40FE"/>
    <w:rsid w:val="00EB43AE"/>
    <w:rsid w:val="00EB5040"/>
    <w:rsid w:val="00EB53CB"/>
    <w:rsid w:val="00EB558D"/>
    <w:rsid w:val="00EB5742"/>
    <w:rsid w:val="00EB5AE6"/>
    <w:rsid w:val="00EB631C"/>
    <w:rsid w:val="00EB651E"/>
    <w:rsid w:val="00EB6C49"/>
    <w:rsid w:val="00EB6D90"/>
    <w:rsid w:val="00EB7E01"/>
    <w:rsid w:val="00EC0087"/>
    <w:rsid w:val="00EC01C3"/>
    <w:rsid w:val="00EC01E0"/>
    <w:rsid w:val="00EC08AC"/>
    <w:rsid w:val="00EC0B07"/>
    <w:rsid w:val="00EC0BD7"/>
    <w:rsid w:val="00EC17B3"/>
    <w:rsid w:val="00EC1B35"/>
    <w:rsid w:val="00EC1F51"/>
    <w:rsid w:val="00EC243F"/>
    <w:rsid w:val="00EC2561"/>
    <w:rsid w:val="00EC2B78"/>
    <w:rsid w:val="00EC2BB4"/>
    <w:rsid w:val="00EC31C4"/>
    <w:rsid w:val="00EC3637"/>
    <w:rsid w:val="00EC39A7"/>
    <w:rsid w:val="00EC3BD3"/>
    <w:rsid w:val="00EC4306"/>
    <w:rsid w:val="00EC44B2"/>
    <w:rsid w:val="00EC45E6"/>
    <w:rsid w:val="00EC469C"/>
    <w:rsid w:val="00EC485A"/>
    <w:rsid w:val="00EC48EE"/>
    <w:rsid w:val="00EC4E5C"/>
    <w:rsid w:val="00EC4F33"/>
    <w:rsid w:val="00EC50D6"/>
    <w:rsid w:val="00EC541F"/>
    <w:rsid w:val="00EC54C0"/>
    <w:rsid w:val="00EC5EA7"/>
    <w:rsid w:val="00EC6942"/>
    <w:rsid w:val="00EC6F68"/>
    <w:rsid w:val="00EC7205"/>
    <w:rsid w:val="00EC7520"/>
    <w:rsid w:val="00EC756E"/>
    <w:rsid w:val="00EC769A"/>
    <w:rsid w:val="00EC7C02"/>
    <w:rsid w:val="00ED04FB"/>
    <w:rsid w:val="00ED05B8"/>
    <w:rsid w:val="00ED05E3"/>
    <w:rsid w:val="00ED064A"/>
    <w:rsid w:val="00ED066D"/>
    <w:rsid w:val="00ED0B7E"/>
    <w:rsid w:val="00ED11DC"/>
    <w:rsid w:val="00ED1429"/>
    <w:rsid w:val="00ED1BDD"/>
    <w:rsid w:val="00ED1FCC"/>
    <w:rsid w:val="00ED2056"/>
    <w:rsid w:val="00ED2943"/>
    <w:rsid w:val="00ED2953"/>
    <w:rsid w:val="00ED301E"/>
    <w:rsid w:val="00ED3319"/>
    <w:rsid w:val="00ED3662"/>
    <w:rsid w:val="00ED37EE"/>
    <w:rsid w:val="00ED3847"/>
    <w:rsid w:val="00ED3E3D"/>
    <w:rsid w:val="00ED4308"/>
    <w:rsid w:val="00ED44A3"/>
    <w:rsid w:val="00ED497C"/>
    <w:rsid w:val="00ED5255"/>
    <w:rsid w:val="00ED5444"/>
    <w:rsid w:val="00ED5EA2"/>
    <w:rsid w:val="00ED6EFD"/>
    <w:rsid w:val="00ED6F02"/>
    <w:rsid w:val="00ED6F72"/>
    <w:rsid w:val="00ED6F8A"/>
    <w:rsid w:val="00ED72DA"/>
    <w:rsid w:val="00ED75D2"/>
    <w:rsid w:val="00ED77C9"/>
    <w:rsid w:val="00ED7ACA"/>
    <w:rsid w:val="00ED7C81"/>
    <w:rsid w:val="00ED7FE6"/>
    <w:rsid w:val="00EE0026"/>
    <w:rsid w:val="00EE04BB"/>
    <w:rsid w:val="00EE08B5"/>
    <w:rsid w:val="00EE1032"/>
    <w:rsid w:val="00EE170C"/>
    <w:rsid w:val="00EE1B66"/>
    <w:rsid w:val="00EE21EB"/>
    <w:rsid w:val="00EE229B"/>
    <w:rsid w:val="00EE22E8"/>
    <w:rsid w:val="00EE2626"/>
    <w:rsid w:val="00EE2962"/>
    <w:rsid w:val="00EE2D9A"/>
    <w:rsid w:val="00EE2F0D"/>
    <w:rsid w:val="00EE30EF"/>
    <w:rsid w:val="00EE3213"/>
    <w:rsid w:val="00EE3708"/>
    <w:rsid w:val="00EE3B3D"/>
    <w:rsid w:val="00EE4931"/>
    <w:rsid w:val="00EE50C9"/>
    <w:rsid w:val="00EE50E8"/>
    <w:rsid w:val="00EE5155"/>
    <w:rsid w:val="00EE52B7"/>
    <w:rsid w:val="00EE5924"/>
    <w:rsid w:val="00EE5B4A"/>
    <w:rsid w:val="00EE6671"/>
    <w:rsid w:val="00EE6B37"/>
    <w:rsid w:val="00EE6B5A"/>
    <w:rsid w:val="00EE6DB2"/>
    <w:rsid w:val="00EE6E1C"/>
    <w:rsid w:val="00EE72E0"/>
    <w:rsid w:val="00EE7317"/>
    <w:rsid w:val="00EE7331"/>
    <w:rsid w:val="00EE7B0C"/>
    <w:rsid w:val="00EF02DA"/>
    <w:rsid w:val="00EF0414"/>
    <w:rsid w:val="00EF0748"/>
    <w:rsid w:val="00EF1E2C"/>
    <w:rsid w:val="00EF1EE8"/>
    <w:rsid w:val="00EF291E"/>
    <w:rsid w:val="00EF294D"/>
    <w:rsid w:val="00EF29A5"/>
    <w:rsid w:val="00EF2B24"/>
    <w:rsid w:val="00EF2D4E"/>
    <w:rsid w:val="00EF3352"/>
    <w:rsid w:val="00EF3796"/>
    <w:rsid w:val="00EF38D3"/>
    <w:rsid w:val="00EF3921"/>
    <w:rsid w:val="00EF3D3D"/>
    <w:rsid w:val="00EF3D9A"/>
    <w:rsid w:val="00EF4E4B"/>
    <w:rsid w:val="00EF4F03"/>
    <w:rsid w:val="00EF566C"/>
    <w:rsid w:val="00EF5B6C"/>
    <w:rsid w:val="00EF5EEF"/>
    <w:rsid w:val="00EF60DB"/>
    <w:rsid w:val="00EF63A2"/>
    <w:rsid w:val="00EF6E8F"/>
    <w:rsid w:val="00EF7114"/>
    <w:rsid w:val="00EF728D"/>
    <w:rsid w:val="00EF74DA"/>
    <w:rsid w:val="00EF787C"/>
    <w:rsid w:val="00EF7B75"/>
    <w:rsid w:val="00F00205"/>
    <w:rsid w:val="00F008E0"/>
    <w:rsid w:val="00F0094D"/>
    <w:rsid w:val="00F0119C"/>
    <w:rsid w:val="00F018E2"/>
    <w:rsid w:val="00F019FB"/>
    <w:rsid w:val="00F01C79"/>
    <w:rsid w:val="00F02B10"/>
    <w:rsid w:val="00F0303C"/>
    <w:rsid w:val="00F03287"/>
    <w:rsid w:val="00F03449"/>
    <w:rsid w:val="00F03456"/>
    <w:rsid w:val="00F038B0"/>
    <w:rsid w:val="00F04416"/>
    <w:rsid w:val="00F04C1B"/>
    <w:rsid w:val="00F04EEB"/>
    <w:rsid w:val="00F054B1"/>
    <w:rsid w:val="00F0591D"/>
    <w:rsid w:val="00F05A20"/>
    <w:rsid w:val="00F060E6"/>
    <w:rsid w:val="00F064CE"/>
    <w:rsid w:val="00F06B07"/>
    <w:rsid w:val="00F06EC8"/>
    <w:rsid w:val="00F0711F"/>
    <w:rsid w:val="00F07B0E"/>
    <w:rsid w:val="00F07B88"/>
    <w:rsid w:val="00F07F92"/>
    <w:rsid w:val="00F07FA3"/>
    <w:rsid w:val="00F10029"/>
    <w:rsid w:val="00F10153"/>
    <w:rsid w:val="00F1027A"/>
    <w:rsid w:val="00F102C1"/>
    <w:rsid w:val="00F1047E"/>
    <w:rsid w:val="00F1063C"/>
    <w:rsid w:val="00F10952"/>
    <w:rsid w:val="00F10FEA"/>
    <w:rsid w:val="00F10FED"/>
    <w:rsid w:val="00F11013"/>
    <w:rsid w:val="00F1161F"/>
    <w:rsid w:val="00F11EA5"/>
    <w:rsid w:val="00F11F9E"/>
    <w:rsid w:val="00F12993"/>
    <w:rsid w:val="00F13060"/>
    <w:rsid w:val="00F134C4"/>
    <w:rsid w:val="00F13F9C"/>
    <w:rsid w:val="00F13F9E"/>
    <w:rsid w:val="00F142A9"/>
    <w:rsid w:val="00F1445E"/>
    <w:rsid w:val="00F14654"/>
    <w:rsid w:val="00F15380"/>
    <w:rsid w:val="00F154EB"/>
    <w:rsid w:val="00F15EDC"/>
    <w:rsid w:val="00F165E3"/>
    <w:rsid w:val="00F165F2"/>
    <w:rsid w:val="00F16B8B"/>
    <w:rsid w:val="00F16BB7"/>
    <w:rsid w:val="00F16CF1"/>
    <w:rsid w:val="00F17162"/>
    <w:rsid w:val="00F174C2"/>
    <w:rsid w:val="00F17DD4"/>
    <w:rsid w:val="00F20C22"/>
    <w:rsid w:val="00F20C6C"/>
    <w:rsid w:val="00F214FC"/>
    <w:rsid w:val="00F21F57"/>
    <w:rsid w:val="00F229BB"/>
    <w:rsid w:val="00F22B52"/>
    <w:rsid w:val="00F22BF0"/>
    <w:rsid w:val="00F23547"/>
    <w:rsid w:val="00F23873"/>
    <w:rsid w:val="00F23EA5"/>
    <w:rsid w:val="00F23F15"/>
    <w:rsid w:val="00F24796"/>
    <w:rsid w:val="00F24803"/>
    <w:rsid w:val="00F24D08"/>
    <w:rsid w:val="00F24D8E"/>
    <w:rsid w:val="00F24E65"/>
    <w:rsid w:val="00F24FAB"/>
    <w:rsid w:val="00F251AA"/>
    <w:rsid w:val="00F25499"/>
    <w:rsid w:val="00F258E0"/>
    <w:rsid w:val="00F25938"/>
    <w:rsid w:val="00F25A17"/>
    <w:rsid w:val="00F25A23"/>
    <w:rsid w:val="00F25CF9"/>
    <w:rsid w:val="00F25D8A"/>
    <w:rsid w:val="00F25E1F"/>
    <w:rsid w:val="00F268DB"/>
    <w:rsid w:val="00F26D97"/>
    <w:rsid w:val="00F27844"/>
    <w:rsid w:val="00F30C54"/>
    <w:rsid w:val="00F30E25"/>
    <w:rsid w:val="00F31514"/>
    <w:rsid w:val="00F315C9"/>
    <w:rsid w:val="00F3202A"/>
    <w:rsid w:val="00F32060"/>
    <w:rsid w:val="00F32A3D"/>
    <w:rsid w:val="00F32A4A"/>
    <w:rsid w:val="00F32B21"/>
    <w:rsid w:val="00F32DBC"/>
    <w:rsid w:val="00F32FC9"/>
    <w:rsid w:val="00F33CF4"/>
    <w:rsid w:val="00F33FB9"/>
    <w:rsid w:val="00F34062"/>
    <w:rsid w:val="00F34D73"/>
    <w:rsid w:val="00F34E18"/>
    <w:rsid w:val="00F34F51"/>
    <w:rsid w:val="00F35138"/>
    <w:rsid w:val="00F35441"/>
    <w:rsid w:val="00F35495"/>
    <w:rsid w:val="00F3585B"/>
    <w:rsid w:val="00F35EED"/>
    <w:rsid w:val="00F35F17"/>
    <w:rsid w:val="00F36007"/>
    <w:rsid w:val="00F36311"/>
    <w:rsid w:val="00F367E5"/>
    <w:rsid w:val="00F36838"/>
    <w:rsid w:val="00F36861"/>
    <w:rsid w:val="00F369F5"/>
    <w:rsid w:val="00F36BDB"/>
    <w:rsid w:val="00F36D41"/>
    <w:rsid w:val="00F373EE"/>
    <w:rsid w:val="00F37A58"/>
    <w:rsid w:val="00F37E9B"/>
    <w:rsid w:val="00F40066"/>
    <w:rsid w:val="00F400BF"/>
    <w:rsid w:val="00F400F5"/>
    <w:rsid w:val="00F403E6"/>
    <w:rsid w:val="00F4097B"/>
    <w:rsid w:val="00F40DC1"/>
    <w:rsid w:val="00F4112E"/>
    <w:rsid w:val="00F412EA"/>
    <w:rsid w:val="00F41467"/>
    <w:rsid w:val="00F415E4"/>
    <w:rsid w:val="00F415F1"/>
    <w:rsid w:val="00F41963"/>
    <w:rsid w:val="00F41ABC"/>
    <w:rsid w:val="00F41E66"/>
    <w:rsid w:val="00F422A3"/>
    <w:rsid w:val="00F42536"/>
    <w:rsid w:val="00F4258E"/>
    <w:rsid w:val="00F43EC2"/>
    <w:rsid w:val="00F44016"/>
    <w:rsid w:val="00F44541"/>
    <w:rsid w:val="00F459FA"/>
    <w:rsid w:val="00F45BCF"/>
    <w:rsid w:val="00F46037"/>
    <w:rsid w:val="00F46100"/>
    <w:rsid w:val="00F4630D"/>
    <w:rsid w:val="00F46BA1"/>
    <w:rsid w:val="00F46CB6"/>
    <w:rsid w:val="00F46CE2"/>
    <w:rsid w:val="00F46FD9"/>
    <w:rsid w:val="00F4723A"/>
    <w:rsid w:val="00F473B4"/>
    <w:rsid w:val="00F474D5"/>
    <w:rsid w:val="00F47556"/>
    <w:rsid w:val="00F476B0"/>
    <w:rsid w:val="00F47A8C"/>
    <w:rsid w:val="00F47AE8"/>
    <w:rsid w:val="00F47B23"/>
    <w:rsid w:val="00F47E97"/>
    <w:rsid w:val="00F51000"/>
    <w:rsid w:val="00F51461"/>
    <w:rsid w:val="00F5187E"/>
    <w:rsid w:val="00F51B0C"/>
    <w:rsid w:val="00F522A0"/>
    <w:rsid w:val="00F52375"/>
    <w:rsid w:val="00F52714"/>
    <w:rsid w:val="00F5274D"/>
    <w:rsid w:val="00F5296F"/>
    <w:rsid w:val="00F5318E"/>
    <w:rsid w:val="00F532AF"/>
    <w:rsid w:val="00F539EF"/>
    <w:rsid w:val="00F53B54"/>
    <w:rsid w:val="00F540D5"/>
    <w:rsid w:val="00F5414C"/>
    <w:rsid w:val="00F54B6A"/>
    <w:rsid w:val="00F54F89"/>
    <w:rsid w:val="00F55287"/>
    <w:rsid w:val="00F5545F"/>
    <w:rsid w:val="00F556E2"/>
    <w:rsid w:val="00F55910"/>
    <w:rsid w:val="00F55C9F"/>
    <w:rsid w:val="00F55DCA"/>
    <w:rsid w:val="00F56148"/>
    <w:rsid w:val="00F565CD"/>
    <w:rsid w:val="00F5687F"/>
    <w:rsid w:val="00F56A0D"/>
    <w:rsid w:val="00F56CB8"/>
    <w:rsid w:val="00F56E4C"/>
    <w:rsid w:val="00F578AE"/>
    <w:rsid w:val="00F57C43"/>
    <w:rsid w:val="00F57FE9"/>
    <w:rsid w:val="00F6101E"/>
    <w:rsid w:val="00F610DB"/>
    <w:rsid w:val="00F61377"/>
    <w:rsid w:val="00F6140B"/>
    <w:rsid w:val="00F6174C"/>
    <w:rsid w:val="00F619AF"/>
    <w:rsid w:val="00F61A17"/>
    <w:rsid w:val="00F61E5F"/>
    <w:rsid w:val="00F62407"/>
    <w:rsid w:val="00F629FA"/>
    <w:rsid w:val="00F62A54"/>
    <w:rsid w:val="00F62B50"/>
    <w:rsid w:val="00F62B5F"/>
    <w:rsid w:val="00F62C54"/>
    <w:rsid w:val="00F62D6A"/>
    <w:rsid w:val="00F633BF"/>
    <w:rsid w:val="00F641BD"/>
    <w:rsid w:val="00F643CC"/>
    <w:rsid w:val="00F643D6"/>
    <w:rsid w:val="00F64833"/>
    <w:rsid w:val="00F64B4D"/>
    <w:rsid w:val="00F64BC4"/>
    <w:rsid w:val="00F64DFF"/>
    <w:rsid w:val="00F65082"/>
    <w:rsid w:val="00F653FE"/>
    <w:rsid w:val="00F65756"/>
    <w:rsid w:val="00F658B3"/>
    <w:rsid w:val="00F65924"/>
    <w:rsid w:val="00F65E1A"/>
    <w:rsid w:val="00F66213"/>
    <w:rsid w:val="00F66427"/>
    <w:rsid w:val="00F66C5E"/>
    <w:rsid w:val="00F66F1B"/>
    <w:rsid w:val="00F671D5"/>
    <w:rsid w:val="00F67309"/>
    <w:rsid w:val="00F675BC"/>
    <w:rsid w:val="00F67CD1"/>
    <w:rsid w:val="00F70EF7"/>
    <w:rsid w:val="00F70FCB"/>
    <w:rsid w:val="00F720B0"/>
    <w:rsid w:val="00F7230A"/>
    <w:rsid w:val="00F7254C"/>
    <w:rsid w:val="00F72720"/>
    <w:rsid w:val="00F73482"/>
    <w:rsid w:val="00F73A1C"/>
    <w:rsid w:val="00F73ABC"/>
    <w:rsid w:val="00F7473E"/>
    <w:rsid w:val="00F74D1A"/>
    <w:rsid w:val="00F75024"/>
    <w:rsid w:val="00F753C6"/>
    <w:rsid w:val="00F75858"/>
    <w:rsid w:val="00F75929"/>
    <w:rsid w:val="00F75D08"/>
    <w:rsid w:val="00F75E65"/>
    <w:rsid w:val="00F764C6"/>
    <w:rsid w:val="00F7665D"/>
    <w:rsid w:val="00F76A41"/>
    <w:rsid w:val="00F77054"/>
    <w:rsid w:val="00F7729B"/>
    <w:rsid w:val="00F77378"/>
    <w:rsid w:val="00F77763"/>
    <w:rsid w:val="00F77F32"/>
    <w:rsid w:val="00F803DC"/>
    <w:rsid w:val="00F80B4F"/>
    <w:rsid w:val="00F810C4"/>
    <w:rsid w:val="00F818AC"/>
    <w:rsid w:val="00F81C12"/>
    <w:rsid w:val="00F82557"/>
    <w:rsid w:val="00F82807"/>
    <w:rsid w:val="00F82C90"/>
    <w:rsid w:val="00F82D60"/>
    <w:rsid w:val="00F82E27"/>
    <w:rsid w:val="00F8334D"/>
    <w:rsid w:val="00F833E8"/>
    <w:rsid w:val="00F834E2"/>
    <w:rsid w:val="00F839D4"/>
    <w:rsid w:val="00F83FDD"/>
    <w:rsid w:val="00F840DF"/>
    <w:rsid w:val="00F841F8"/>
    <w:rsid w:val="00F8451E"/>
    <w:rsid w:val="00F8456C"/>
    <w:rsid w:val="00F84974"/>
    <w:rsid w:val="00F84A16"/>
    <w:rsid w:val="00F84A1E"/>
    <w:rsid w:val="00F84E6A"/>
    <w:rsid w:val="00F85145"/>
    <w:rsid w:val="00F852CF"/>
    <w:rsid w:val="00F85716"/>
    <w:rsid w:val="00F85900"/>
    <w:rsid w:val="00F85DDA"/>
    <w:rsid w:val="00F85F03"/>
    <w:rsid w:val="00F8603B"/>
    <w:rsid w:val="00F860EA"/>
    <w:rsid w:val="00F86221"/>
    <w:rsid w:val="00F875E7"/>
    <w:rsid w:val="00F876A4"/>
    <w:rsid w:val="00F87B60"/>
    <w:rsid w:val="00F87DFA"/>
    <w:rsid w:val="00F908B1"/>
    <w:rsid w:val="00F90AD2"/>
    <w:rsid w:val="00F91328"/>
    <w:rsid w:val="00F91459"/>
    <w:rsid w:val="00F91637"/>
    <w:rsid w:val="00F91696"/>
    <w:rsid w:val="00F91F4F"/>
    <w:rsid w:val="00F91FF0"/>
    <w:rsid w:val="00F920A6"/>
    <w:rsid w:val="00F93014"/>
    <w:rsid w:val="00F934FF"/>
    <w:rsid w:val="00F93F94"/>
    <w:rsid w:val="00F9419B"/>
    <w:rsid w:val="00F944AB"/>
    <w:rsid w:val="00F94ED6"/>
    <w:rsid w:val="00F94FC3"/>
    <w:rsid w:val="00F951C6"/>
    <w:rsid w:val="00F954A8"/>
    <w:rsid w:val="00F95977"/>
    <w:rsid w:val="00F95D40"/>
    <w:rsid w:val="00F95DA5"/>
    <w:rsid w:val="00F95F4B"/>
    <w:rsid w:val="00F961F7"/>
    <w:rsid w:val="00F96C43"/>
    <w:rsid w:val="00F96ED2"/>
    <w:rsid w:val="00F96F49"/>
    <w:rsid w:val="00F972A9"/>
    <w:rsid w:val="00F973DD"/>
    <w:rsid w:val="00F97600"/>
    <w:rsid w:val="00F97BC8"/>
    <w:rsid w:val="00F97E50"/>
    <w:rsid w:val="00FA049D"/>
    <w:rsid w:val="00FA0EEA"/>
    <w:rsid w:val="00FA10A0"/>
    <w:rsid w:val="00FA1810"/>
    <w:rsid w:val="00FA1EE1"/>
    <w:rsid w:val="00FA21B9"/>
    <w:rsid w:val="00FA2251"/>
    <w:rsid w:val="00FA2777"/>
    <w:rsid w:val="00FA2C14"/>
    <w:rsid w:val="00FA33C1"/>
    <w:rsid w:val="00FA37C7"/>
    <w:rsid w:val="00FA4197"/>
    <w:rsid w:val="00FA42EF"/>
    <w:rsid w:val="00FA42F2"/>
    <w:rsid w:val="00FA4375"/>
    <w:rsid w:val="00FA44DE"/>
    <w:rsid w:val="00FA454F"/>
    <w:rsid w:val="00FA4589"/>
    <w:rsid w:val="00FA479D"/>
    <w:rsid w:val="00FA4999"/>
    <w:rsid w:val="00FA5045"/>
    <w:rsid w:val="00FA593F"/>
    <w:rsid w:val="00FA6BBD"/>
    <w:rsid w:val="00FA71CC"/>
    <w:rsid w:val="00FA73E0"/>
    <w:rsid w:val="00FA75A3"/>
    <w:rsid w:val="00FA76C2"/>
    <w:rsid w:val="00FA771C"/>
    <w:rsid w:val="00FA7856"/>
    <w:rsid w:val="00FA78ED"/>
    <w:rsid w:val="00FA7FB7"/>
    <w:rsid w:val="00FB0858"/>
    <w:rsid w:val="00FB0A37"/>
    <w:rsid w:val="00FB0C4C"/>
    <w:rsid w:val="00FB0F96"/>
    <w:rsid w:val="00FB151F"/>
    <w:rsid w:val="00FB1626"/>
    <w:rsid w:val="00FB183E"/>
    <w:rsid w:val="00FB1BE4"/>
    <w:rsid w:val="00FB1CDA"/>
    <w:rsid w:val="00FB1E13"/>
    <w:rsid w:val="00FB1F83"/>
    <w:rsid w:val="00FB2041"/>
    <w:rsid w:val="00FB22C0"/>
    <w:rsid w:val="00FB25D3"/>
    <w:rsid w:val="00FB2632"/>
    <w:rsid w:val="00FB2664"/>
    <w:rsid w:val="00FB2CE3"/>
    <w:rsid w:val="00FB356B"/>
    <w:rsid w:val="00FB364A"/>
    <w:rsid w:val="00FB3CFF"/>
    <w:rsid w:val="00FB45C0"/>
    <w:rsid w:val="00FB5219"/>
    <w:rsid w:val="00FB53D6"/>
    <w:rsid w:val="00FB5BF4"/>
    <w:rsid w:val="00FB5E08"/>
    <w:rsid w:val="00FB6531"/>
    <w:rsid w:val="00FB69C3"/>
    <w:rsid w:val="00FB6AC4"/>
    <w:rsid w:val="00FB6C20"/>
    <w:rsid w:val="00FB70CC"/>
    <w:rsid w:val="00FB724A"/>
    <w:rsid w:val="00FB7E19"/>
    <w:rsid w:val="00FC058D"/>
    <w:rsid w:val="00FC0819"/>
    <w:rsid w:val="00FC11CC"/>
    <w:rsid w:val="00FC1E6D"/>
    <w:rsid w:val="00FC2256"/>
    <w:rsid w:val="00FC285F"/>
    <w:rsid w:val="00FC2A8E"/>
    <w:rsid w:val="00FC32AE"/>
    <w:rsid w:val="00FC3303"/>
    <w:rsid w:val="00FC39A9"/>
    <w:rsid w:val="00FC3BB3"/>
    <w:rsid w:val="00FC4483"/>
    <w:rsid w:val="00FC44B4"/>
    <w:rsid w:val="00FC4AA8"/>
    <w:rsid w:val="00FC4D92"/>
    <w:rsid w:val="00FC4DC0"/>
    <w:rsid w:val="00FC55F4"/>
    <w:rsid w:val="00FC57A1"/>
    <w:rsid w:val="00FC58E7"/>
    <w:rsid w:val="00FC6117"/>
    <w:rsid w:val="00FC6286"/>
    <w:rsid w:val="00FC6330"/>
    <w:rsid w:val="00FC63CF"/>
    <w:rsid w:val="00FC66D0"/>
    <w:rsid w:val="00FC67CD"/>
    <w:rsid w:val="00FC68F8"/>
    <w:rsid w:val="00FC6D39"/>
    <w:rsid w:val="00FC6E11"/>
    <w:rsid w:val="00FC79F0"/>
    <w:rsid w:val="00FD036A"/>
    <w:rsid w:val="00FD044C"/>
    <w:rsid w:val="00FD04AE"/>
    <w:rsid w:val="00FD0745"/>
    <w:rsid w:val="00FD08F3"/>
    <w:rsid w:val="00FD0B8F"/>
    <w:rsid w:val="00FD0D81"/>
    <w:rsid w:val="00FD1445"/>
    <w:rsid w:val="00FD1863"/>
    <w:rsid w:val="00FD1C7A"/>
    <w:rsid w:val="00FD2503"/>
    <w:rsid w:val="00FD28C5"/>
    <w:rsid w:val="00FD2B8B"/>
    <w:rsid w:val="00FD2BC2"/>
    <w:rsid w:val="00FD2BE9"/>
    <w:rsid w:val="00FD2DB9"/>
    <w:rsid w:val="00FD38DC"/>
    <w:rsid w:val="00FD3F5B"/>
    <w:rsid w:val="00FD40B7"/>
    <w:rsid w:val="00FD413C"/>
    <w:rsid w:val="00FD4311"/>
    <w:rsid w:val="00FD53E3"/>
    <w:rsid w:val="00FD5EF9"/>
    <w:rsid w:val="00FD646D"/>
    <w:rsid w:val="00FD6571"/>
    <w:rsid w:val="00FD66B2"/>
    <w:rsid w:val="00FD6917"/>
    <w:rsid w:val="00FD6B4C"/>
    <w:rsid w:val="00FD7CB6"/>
    <w:rsid w:val="00FD7F43"/>
    <w:rsid w:val="00FE066E"/>
    <w:rsid w:val="00FE08C1"/>
    <w:rsid w:val="00FE0B3A"/>
    <w:rsid w:val="00FE106F"/>
    <w:rsid w:val="00FE10BB"/>
    <w:rsid w:val="00FE1BA0"/>
    <w:rsid w:val="00FE2127"/>
    <w:rsid w:val="00FE2BE5"/>
    <w:rsid w:val="00FE334F"/>
    <w:rsid w:val="00FE3561"/>
    <w:rsid w:val="00FE379E"/>
    <w:rsid w:val="00FE3BCE"/>
    <w:rsid w:val="00FE3E57"/>
    <w:rsid w:val="00FE3EB8"/>
    <w:rsid w:val="00FE41F5"/>
    <w:rsid w:val="00FE49E1"/>
    <w:rsid w:val="00FE4F0A"/>
    <w:rsid w:val="00FE50BF"/>
    <w:rsid w:val="00FE5471"/>
    <w:rsid w:val="00FE590D"/>
    <w:rsid w:val="00FE5954"/>
    <w:rsid w:val="00FE5B45"/>
    <w:rsid w:val="00FE5C00"/>
    <w:rsid w:val="00FE5ECB"/>
    <w:rsid w:val="00FE5EF1"/>
    <w:rsid w:val="00FE6081"/>
    <w:rsid w:val="00FE60A8"/>
    <w:rsid w:val="00FE6243"/>
    <w:rsid w:val="00FE6B44"/>
    <w:rsid w:val="00FE715B"/>
    <w:rsid w:val="00FF00A0"/>
    <w:rsid w:val="00FF0291"/>
    <w:rsid w:val="00FF0F98"/>
    <w:rsid w:val="00FF1130"/>
    <w:rsid w:val="00FF121F"/>
    <w:rsid w:val="00FF1924"/>
    <w:rsid w:val="00FF2156"/>
    <w:rsid w:val="00FF22F3"/>
    <w:rsid w:val="00FF26DD"/>
    <w:rsid w:val="00FF2BA1"/>
    <w:rsid w:val="00FF30A4"/>
    <w:rsid w:val="00FF3159"/>
    <w:rsid w:val="00FF3409"/>
    <w:rsid w:val="00FF3D8B"/>
    <w:rsid w:val="00FF3E56"/>
    <w:rsid w:val="00FF3F33"/>
    <w:rsid w:val="00FF4DCE"/>
    <w:rsid w:val="00FF5597"/>
    <w:rsid w:val="00FF5E8E"/>
    <w:rsid w:val="00FF6472"/>
    <w:rsid w:val="00FF709B"/>
    <w:rsid w:val="00FF7242"/>
    <w:rsid w:val="00FF7646"/>
    <w:rsid w:val="010018AF"/>
    <w:rsid w:val="010CE8E0"/>
    <w:rsid w:val="010D1952"/>
    <w:rsid w:val="01107934"/>
    <w:rsid w:val="011CAE45"/>
    <w:rsid w:val="013687D8"/>
    <w:rsid w:val="0139693B"/>
    <w:rsid w:val="01512F32"/>
    <w:rsid w:val="01542B3F"/>
    <w:rsid w:val="015CE485"/>
    <w:rsid w:val="01A2B803"/>
    <w:rsid w:val="01A4ED09"/>
    <w:rsid w:val="01AD48CF"/>
    <w:rsid w:val="02068751"/>
    <w:rsid w:val="0214A15A"/>
    <w:rsid w:val="02159223"/>
    <w:rsid w:val="022A8C17"/>
    <w:rsid w:val="022AC710"/>
    <w:rsid w:val="022BF400"/>
    <w:rsid w:val="0242E99D"/>
    <w:rsid w:val="02471ED3"/>
    <w:rsid w:val="024E0054"/>
    <w:rsid w:val="025AEFBF"/>
    <w:rsid w:val="027F331D"/>
    <w:rsid w:val="028B516A"/>
    <w:rsid w:val="02B6AF4D"/>
    <w:rsid w:val="02C1EA97"/>
    <w:rsid w:val="02C4C92B"/>
    <w:rsid w:val="02C718C7"/>
    <w:rsid w:val="02C84892"/>
    <w:rsid w:val="02D8A26E"/>
    <w:rsid w:val="0308E4A0"/>
    <w:rsid w:val="030B9936"/>
    <w:rsid w:val="030C2DC5"/>
    <w:rsid w:val="0313235F"/>
    <w:rsid w:val="032CF206"/>
    <w:rsid w:val="033E95B1"/>
    <w:rsid w:val="03475108"/>
    <w:rsid w:val="0352A56E"/>
    <w:rsid w:val="0355119B"/>
    <w:rsid w:val="035F6F68"/>
    <w:rsid w:val="036C8FE3"/>
    <w:rsid w:val="0387792B"/>
    <w:rsid w:val="0389078F"/>
    <w:rsid w:val="038926A5"/>
    <w:rsid w:val="03A6F9F6"/>
    <w:rsid w:val="03A83217"/>
    <w:rsid w:val="03B5A32F"/>
    <w:rsid w:val="03C0FD13"/>
    <w:rsid w:val="03C6FAA3"/>
    <w:rsid w:val="03C885AF"/>
    <w:rsid w:val="0410481D"/>
    <w:rsid w:val="0413AED5"/>
    <w:rsid w:val="042442AD"/>
    <w:rsid w:val="0425C5B4"/>
    <w:rsid w:val="043CA3B6"/>
    <w:rsid w:val="0444A619"/>
    <w:rsid w:val="0445B377"/>
    <w:rsid w:val="047031BB"/>
    <w:rsid w:val="0471E7B3"/>
    <w:rsid w:val="04757FF7"/>
    <w:rsid w:val="04790F26"/>
    <w:rsid w:val="047A3488"/>
    <w:rsid w:val="04A2D17B"/>
    <w:rsid w:val="04C14466"/>
    <w:rsid w:val="04C48A96"/>
    <w:rsid w:val="04D3BA6A"/>
    <w:rsid w:val="04E784A4"/>
    <w:rsid w:val="04EDCDDA"/>
    <w:rsid w:val="04EEF3BC"/>
    <w:rsid w:val="04F360E7"/>
    <w:rsid w:val="04FAF0C9"/>
    <w:rsid w:val="05071457"/>
    <w:rsid w:val="05073BAA"/>
    <w:rsid w:val="05192260"/>
    <w:rsid w:val="051B7031"/>
    <w:rsid w:val="052C7C04"/>
    <w:rsid w:val="0549F39E"/>
    <w:rsid w:val="054D9C16"/>
    <w:rsid w:val="05528029"/>
    <w:rsid w:val="0552D56A"/>
    <w:rsid w:val="055A47D1"/>
    <w:rsid w:val="05664618"/>
    <w:rsid w:val="056C2B0A"/>
    <w:rsid w:val="05780D53"/>
    <w:rsid w:val="0580ACEF"/>
    <w:rsid w:val="05839084"/>
    <w:rsid w:val="05842488"/>
    <w:rsid w:val="058D71D6"/>
    <w:rsid w:val="059F12F0"/>
    <w:rsid w:val="05A9A34F"/>
    <w:rsid w:val="05AD5EB2"/>
    <w:rsid w:val="05B1ADCB"/>
    <w:rsid w:val="05B86181"/>
    <w:rsid w:val="05BEC14E"/>
    <w:rsid w:val="05D8FB86"/>
    <w:rsid w:val="060880DE"/>
    <w:rsid w:val="06395B33"/>
    <w:rsid w:val="063BD151"/>
    <w:rsid w:val="065CB792"/>
    <w:rsid w:val="0676C1E1"/>
    <w:rsid w:val="067FC620"/>
    <w:rsid w:val="0691F6D4"/>
    <w:rsid w:val="069667E5"/>
    <w:rsid w:val="06ACC8DD"/>
    <w:rsid w:val="06AE7E47"/>
    <w:rsid w:val="06B04BCE"/>
    <w:rsid w:val="06B10830"/>
    <w:rsid w:val="06C12FD2"/>
    <w:rsid w:val="06C5C87B"/>
    <w:rsid w:val="06DB83B5"/>
    <w:rsid w:val="06DFDA59"/>
    <w:rsid w:val="06E4552F"/>
    <w:rsid w:val="06E8DFA4"/>
    <w:rsid w:val="06FB571C"/>
    <w:rsid w:val="06FF6A0B"/>
    <w:rsid w:val="071857D7"/>
    <w:rsid w:val="0751656C"/>
    <w:rsid w:val="075FB568"/>
    <w:rsid w:val="0768C8A8"/>
    <w:rsid w:val="078D8FB8"/>
    <w:rsid w:val="078F236E"/>
    <w:rsid w:val="07CFC3E6"/>
    <w:rsid w:val="07D21707"/>
    <w:rsid w:val="07E3BBB6"/>
    <w:rsid w:val="07F231BE"/>
    <w:rsid w:val="07FA63E2"/>
    <w:rsid w:val="0804129C"/>
    <w:rsid w:val="081A9948"/>
    <w:rsid w:val="082860DE"/>
    <w:rsid w:val="083AE4DF"/>
    <w:rsid w:val="083DEFE4"/>
    <w:rsid w:val="08779171"/>
    <w:rsid w:val="087816C6"/>
    <w:rsid w:val="088670FA"/>
    <w:rsid w:val="089A5ACD"/>
    <w:rsid w:val="089EE967"/>
    <w:rsid w:val="08AA6EBC"/>
    <w:rsid w:val="08B280EA"/>
    <w:rsid w:val="08B74FF8"/>
    <w:rsid w:val="08C2F369"/>
    <w:rsid w:val="08CE56A8"/>
    <w:rsid w:val="08D1CC6B"/>
    <w:rsid w:val="08D411C5"/>
    <w:rsid w:val="08DF5094"/>
    <w:rsid w:val="08E0E089"/>
    <w:rsid w:val="09083509"/>
    <w:rsid w:val="09139EDF"/>
    <w:rsid w:val="092828DC"/>
    <w:rsid w:val="09373640"/>
    <w:rsid w:val="093913B6"/>
    <w:rsid w:val="093B60C3"/>
    <w:rsid w:val="095FC85A"/>
    <w:rsid w:val="096C267D"/>
    <w:rsid w:val="097EC90A"/>
    <w:rsid w:val="098BBB39"/>
    <w:rsid w:val="098CFA0E"/>
    <w:rsid w:val="098DEA96"/>
    <w:rsid w:val="099E1E32"/>
    <w:rsid w:val="09A457C8"/>
    <w:rsid w:val="09B450C1"/>
    <w:rsid w:val="09B723DD"/>
    <w:rsid w:val="09BB2588"/>
    <w:rsid w:val="09BE5558"/>
    <w:rsid w:val="09C03D01"/>
    <w:rsid w:val="09C6949F"/>
    <w:rsid w:val="09C8D913"/>
    <w:rsid w:val="09E786B3"/>
    <w:rsid w:val="09F3775C"/>
    <w:rsid w:val="09F89971"/>
    <w:rsid w:val="09FD7E43"/>
    <w:rsid w:val="0A125BFF"/>
    <w:rsid w:val="0A32542A"/>
    <w:rsid w:val="0A368231"/>
    <w:rsid w:val="0A4B9C04"/>
    <w:rsid w:val="0A52DCEC"/>
    <w:rsid w:val="0A5AE519"/>
    <w:rsid w:val="0A5C0D99"/>
    <w:rsid w:val="0A6340B9"/>
    <w:rsid w:val="0A6A39F9"/>
    <w:rsid w:val="0A6CE0C2"/>
    <w:rsid w:val="0A71C769"/>
    <w:rsid w:val="0A81F039"/>
    <w:rsid w:val="0A994923"/>
    <w:rsid w:val="0A9DB8FB"/>
    <w:rsid w:val="0AB51A60"/>
    <w:rsid w:val="0AC2D9A4"/>
    <w:rsid w:val="0ADE2E35"/>
    <w:rsid w:val="0AF4FB7A"/>
    <w:rsid w:val="0B02F476"/>
    <w:rsid w:val="0B16A643"/>
    <w:rsid w:val="0B282CB6"/>
    <w:rsid w:val="0B373151"/>
    <w:rsid w:val="0B3CE7F4"/>
    <w:rsid w:val="0B3EB3B9"/>
    <w:rsid w:val="0B40DCE6"/>
    <w:rsid w:val="0B4C5A9A"/>
    <w:rsid w:val="0B533743"/>
    <w:rsid w:val="0B6C0DF9"/>
    <w:rsid w:val="0B735FAA"/>
    <w:rsid w:val="0B7B0C53"/>
    <w:rsid w:val="0B87935A"/>
    <w:rsid w:val="0B92821C"/>
    <w:rsid w:val="0B99CD3F"/>
    <w:rsid w:val="0B9C8EE8"/>
    <w:rsid w:val="0BCC8B69"/>
    <w:rsid w:val="0BCDA9D7"/>
    <w:rsid w:val="0BD17DBB"/>
    <w:rsid w:val="0BE42C7B"/>
    <w:rsid w:val="0BF4D32F"/>
    <w:rsid w:val="0BFDCFCD"/>
    <w:rsid w:val="0C14035A"/>
    <w:rsid w:val="0C155EB5"/>
    <w:rsid w:val="0C1FB710"/>
    <w:rsid w:val="0C250B76"/>
    <w:rsid w:val="0C2AA76A"/>
    <w:rsid w:val="0C3371D4"/>
    <w:rsid w:val="0C402F24"/>
    <w:rsid w:val="0C43C4E7"/>
    <w:rsid w:val="0C48939F"/>
    <w:rsid w:val="0C5BE376"/>
    <w:rsid w:val="0C707737"/>
    <w:rsid w:val="0C808347"/>
    <w:rsid w:val="0CCBFFFD"/>
    <w:rsid w:val="0CCE0653"/>
    <w:rsid w:val="0CF878C4"/>
    <w:rsid w:val="0D14C440"/>
    <w:rsid w:val="0D2F3726"/>
    <w:rsid w:val="0D319E1B"/>
    <w:rsid w:val="0D4CFC59"/>
    <w:rsid w:val="0D4DFC53"/>
    <w:rsid w:val="0D6AFE82"/>
    <w:rsid w:val="0D6D9718"/>
    <w:rsid w:val="0D8A83E7"/>
    <w:rsid w:val="0D8CA83B"/>
    <w:rsid w:val="0D90D476"/>
    <w:rsid w:val="0D9D2637"/>
    <w:rsid w:val="0D9E75B1"/>
    <w:rsid w:val="0DA8CF14"/>
    <w:rsid w:val="0DA8D9E8"/>
    <w:rsid w:val="0DB1EFE1"/>
    <w:rsid w:val="0DDB5153"/>
    <w:rsid w:val="0DF57F28"/>
    <w:rsid w:val="0DFD7D95"/>
    <w:rsid w:val="0DFE49F5"/>
    <w:rsid w:val="0E005AAA"/>
    <w:rsid w:val="0E0138D0"/>
    <w:rsid w:val="0E074CA3"/>
    <w:rsid w:val="0E544116"/>
    <w:rsid w:val="0E55484C"/>
    <w:rsid w:val="0E56DA32"/>
    <w:rsid w:val="0E7B56C8"/>
    <w:rsid w:val="0E7E8FE3"/>
    <w:rsid w:val="0E7F158A"/>
    <w:rsid w:val="0E7F1D1F"/>
    <w:rsid w:val="0E97A237"/>
    <w:rsid w:val="0EDA08FA"/>
    <w:rsid w:val="0EDD1B77"/>
    <w:rsid w:val="0EDDE228"/>
    <w:rsid w:val="0EE3A20C"/>
    <w:rsid w:val="0EFAFDAB"/>
    <w:rsid w:val="0F00DA03"/>
    <w:rsid w:val="0F01A049"/>
    <w:rsid w:val="0F1E7C00"/>
    <w:rsid w:val="0F2336F0"/>
    <w:rsid w:val="0F303154"/>
    <w:rsid w:val="0F30E666"/>
    <w:rsid w:val="0F36C192"/>
    <w:rsid w:val="0F404369"/>
    <w:rsid w:val="0F4143B7"/>
    <w:rsid w:val="0F4A2944"/>
    <w:rsid w:val="0F6807EB"/>
    <w:rsid w:val="0F70F30A"/>
    <w:rsid w:val="0F92538D"/>
    <w:rsid w:val="0FAF9321"/>
    <w:rsid w:val="0FB970B8"/>
    <w:rsid w:val="0FB99FF7"/>
    <w:rsid w:val="0FD61DCB"/>
    <w:rsid w:val="0FEA4870"/>
    <w:rsid w:val="0FFA01D6"/>
    <w:rsid w:val="100020BE"/>
    <w:rsid w:val="10077EC6"/>
    <w:rsid w:val="1010F220"/>
    <w:rsid w:val="1011DA7D"/>
    <w:rsid w:val="10417957"/>
    <w:rsid w:val="10434C64"/>
    <w:rsid w:val="1050889D"/>
    <w:rsid w:val="106E658B"/>
    <w:rsid w:val="1094CDE6"/>
    <w:rsid w:val="10972877"/>
    <w:rsid w:val="10B62129"/>
    <w:rsid w:val="10B934CE"/>
    <w:rsid w:val="10D5F478"/>
    <w:rsid w:val="10E8099E"/>
    <w:rsid w:val="10F73A91"/>
    <w:rsid w:val="10FD89C1"/>
    <w:rsid w:val="111407EE"/>
    <w:rsid w:val="111DE527"/>
    <w:rsid w:val="112CE0E6"/>
    <w:rsid w:val="11433E7D"/>
    <w:rsid w:val="11482BB1"/>
    <w:rsid w:val="1157FE02"/>
    <w:rsid w:val="1187773C"/>
    <w:rsid w:val="11A077B3"/>
    <w:rsid w:val="11AEE398"/>
    <w:rsid w:val="11BE94C4"/>
    <w:rsid w:val="11C2C506"/>
    <w:rsid w:val="11C4268D"/>
    <w:rsid w:val="11CD03E8"/>
    <w:rsid w:val="11D4E85F"/>
    <w:rsid w:val="11DD93AE"/>
    <w:rsid w:val="11DE2AB3"/>
    <w:rsid w:val="11DF2E99"/>
    <w:rsid w:val="11DFF774"/>
    <w:rsid w:val="11FA1CF9"/>
    <w:rsid w:val="1200F05F"/>
    <w:rsid w:val="121A6C04"/>
    <w:rsid w:val="12389CBB"/>
    <w:rsid w:val="124B844D"/>
    <w:rsid w:val="124C66A5"/>
    <w:rsid w:val="125AC91B"/>
    <w:rsid w:val="12696C42"/>
    <w:rsid w:val="12800FB6"/>
    <w:rsid w:val="12960BA3"/>
    <w:rsid w:val="12B09F89"/>
    <w:rsid w:val="12C853E1"/>
    <w:rsid w:val="12C9806A"/>
    <w:rsid w:val="12D3DEFB"/>
    <w:rsid w:val="13012911"/>
    <w:rsid w:val="13263874"/>
    <w:rsid w:val="13318F88"/>
    <w:rsid w:val="13427F89"/>
    <w:rsid w:val="13436F30"/>
    <w:rsid w:val="134D0B4F"/>
    <w:rsid w:val="135EC136"/>
    <w:rsid w:val="13603D73"/>
    <w:rsid w:val="136117DF"/>
    <w:rsid w:val="136AB681"/>
    <w:rsid w:val="136BDE54"/>
    <w:rsid w:val="136EC72D"/>
    <w:rsid w:val="137FE9F2"/>
    <w:rsid w:val="13888DE9"/>
    <w:rsid w:val="13920DC7"/>
    <w:rsid w:val="139FA05C"/>
    <w:rsid w:val="13C20318"/>
    <w:rsid w:val="13CBD620"/>
    <w:rsid w:val="13CE232B"/>
    <w:rsid w:val="13D091F5"/>
    <w:rsid w:val="13D353EA"/>
    <w:rsid w:val="13E57427"/>
    <w:rsid w:val="13E93A54"/>
    <w:rsid w:val="13ECABC7"/>
    <w:rsid w:val="14013238"/>
    <w:rsid w:val="1403F9D9"/>
    <w:rsid w:val="1416F2BB"/>
    <w:rsid w:val="141CE7C9"/>
    <w:rsid w:val="1420936F"/>
    <w:rsid w:val="14212AB5"/>
    <w:rsid w:val="143E646E"/>
    <w:rsid w:val="14416CA7"/>
    <w:rsid w:val="146AF20C"/>
    <w:rsid w:val="14716197"/>
    <w:rsid w:val="14846709"/>
    <w:rsid w:val="14C048C5"/>
    <w:rsid w:val="14DC3404"/>
    <w:rsid w:val="14DECCC5"/>
    <w:rsid w:val="14DF2AE5"/>
    <w:rsid w:val="150B92D7"/>
    <w:rsid w:val="151C6764"/>
    <w:rsid w:val="152313CD"/>
    <w:rsid w:val="152CED5E"/>
    <w:rsid w:val="1539C69C"/>
    <w:rsid w:val="153E70D8"/>
    <w:rsid w:val="1552B9D5"/>
    <w:rsid w:val="156A4264"/>
    <w:rsid w:val="156F614F"/>
    <w:rsid w:val="15780922"/>
    <w:rsid w:val="15823871"/>
    <w:rsid w:val="1582DA6E"/>
    <w:rsid w:val="1588052A"/>
    <w:rsid w:val="158AFBAE"/>
    <w:rsid w:val="159E15CC"/>
    <w:rsid w:val="15A4D986"/>
    <w:rsid w:val="15A58B21"/>
    <w:rsid w:val="15A58DD3"/>
    <w:rsid w:val="15B1D1EC"/>
    <w:rsid w:val="15C77827"/>
    <w:rsid w:val="15D13EF3"/>
    <w:rsid w:val="15DE8924"/>
    <w:rsid w:val="15E1D145"/>
    <w:rsid w:val="15E5460D"/>
    <w:rsid w:val="15EDA8F2"/>
    <w:rsid w:val="160714CC"/>
    <w:rsid w:val="1610D22B"/>
    <w:rsid w:val="161EE3B7"/>
    <w:rsid w:val="1628537C"/>
    <w:rsid w:val="16361F88"/>
    <w:rsid w:val="1641722B"/>
    <w:rsid w:val="164D50FF"/>
    <w:rsid w:val="1651C6A8"/>
    <w:rsid w:val="1657B971"/>
    <w:rsid w:val="166315E7"/>
    <w:rsid w:val="1678D68E"/>
    <w:rsid w:val="1687B33A"/>
    <w:rsid w:val="168930B5"/>
    <w:rsid w:val="16922519"/>
    <w:rsid w:val="169F778F"/>
    <w:rsid w:val="16B7A524"/>
    <w:rsid w:val="16DA6D53"/>
    <w:rsid w:val="17018AF3"/>
    <w:rsid w:val="170D89CD"/>
    <w:rsid w:val="1712331A"/>
    <w:rsid w:val="1717EB5B"/>
    <w:rsid w:val="17261478"/>
    <w:rsid w:val="1727250A"/>
    <w:rsid w:val="1741FE6D"/>
    <w:rsid w:val="1745B1F5"/>
    <w:rsid w:val="1757C57B"/>
    <w:rsid w:val="175BC80E"/>
    <w:rsid w:val="175BEA23"/>
    <w:rsid w:val="176566E4"/>
    <w:rsid w:val="1778B941"/>
    <w:rsid w:val="17860FB0"/>
    <w:rsid w:val="178C8FED"/>
    <w:rsid w:val="178FC293"/>
    <w:rsid w:val="179108B0"/>
    <w:rsid w:val="17A78B96"/>
    <w:rsid w:val="17AF8C1C"/>
    <w:rsid w:val="17BE9831"/>
    <w:rsid w:val="17C16B13"/>
    <w:rsid w:val="17C6FBF6"/>
    <w:rsid w:val="17C8B746"/>
    <w:rsid w:val="180E4C59"/>
    <w:rsid w:val="18207632"/>
    <w:rsid w:val="1821D374"/>
    <w:rsid w:val="183034D8"/>
    <w:rsid w:val="1844965F"/>
    <w:rsid w:val="18506541"/>
    <w:rsid w:val="187B8854"/>
    <w:rsid w:val="187F7BBB"/>
    <w:rsid w:val="188C2ACD"/>
    <w:rsid w:val="1897908F"/>
    <w:rsid w:val="1897E46E"/>
    <w:rsid w:val="189A7B4D"/>
    <w:rsid w:val="189BB36A"/>
    <w:rsid w:val="18A53A5D"/>
    <w:rsid w:val="18AB71C1"/>
    <w:rsid w:val="18ACC710"/>
    <w:rsid w:val="18AD89C6"/>
    <w:rsid w:val="18D46ADE"/>
    <w:rsid w:val="18DCF4F5"/>
    <w:rsid w:val="18DFBCE4"/>
    <w:rsid w:val="1906333E"/>
    <w:rsid w:val="1909B7BA"/>
    <w:rsid w:val="190E2116"/>
    <w:rsid w:val="191358B3"/>
    <w:rsid w:val="19291B3A"/>
    <w:rsid w:val="1949CBF8"/>
    <w:rsid w:val="195BEB8D"/>
    <w:rsid w:val="195F7607"/>
    <w:rsid w:val="1964D076"/>
    <w:rsid w:val="197490AE"/>
    <w:rsid w:val="19873A06"/>
    <w:rsid w:val="198E2F37"/>
    <w:rsid w:val="19964275"/>
    <w:rsid w:val="1998A961"/>
    <w:rsid w:val="199A660B"/>
    <w:rsid w:val="19A4F994"/>
    <w:rsid w:val="19A875FB"/>
    <w:rsid w:val="19B20BA0"/>
    <w:rsid w:val="19BEC545"/>
    <w:rsid w:val="19CEDBCD"/>
    <w:rsid w:val="19F89927"/>
    <w:rsid w:val="1A005520"/>
    <w:rsid w:val="1A2059CD"/>
    <w:rsid w:val="1A21B22C"/>
    <w:rsid w:val="1A2BF1AD"/>
    <w:rsid w:val="1A44B274"/>
    <w:rsid w:val="1A482A7E"/>
    <w:rsid w:val="1A49DAB4"/>
    <w:rsid w:val="1A4A701E"/>
    <w:rsid w:val="1A7F8FEA"/>
    <w:rsid w:val="1A9EF031"/>
    <w:rsid w:val="1AB3BAE5"/>
    <w:rsid w:val="1ABF0D51"/>
    <w:rsid w:val="1AC191B2"/>
    <w:rsid w:val="1AD8ACA8"/>
    <w:rsid w:val="1AF069D0"/>
    <w:rsid w:val="1B06879C"/>
    <w:rsid w:val="1B06B615"/>
    <w:rsid w:val="1B082449"/>
    <w:rsid w:val="1B10D236"/>
    <w:rsid w:val="1B4153AF"/>
    <w:rsid w:val="1B4A474B"/>
    <w:rsid w:val="1B547DFE"/>
    <w:rsid w:val="1B59B378"/>
    <w:rsid w:val="1B5D5CC9"/>
    <w:rsid w:val="1B6944C1"/>
    <w:rsid w:val="1B6A4E66"/>
    <w:rsid w:val="1B924803"/>
    <w:rsid w:val="1B9B4E10"/>
    <w:rsid w:val="1BA7B702"/>
    <w:rsid w:val="1BAC33A4"/>
    <w:rsid w:val="1BB5D717"/>
    <w:rsid w:val="1BBD2083"/>
    <w:rsid w:val="1BCFDCA3"/>
    <w:rsid w:val="1BDC4ECC"/>
    <w:rsid w:val="1BE1E17B"/>
    <w:rsid w:val="1BF4EADD"/>
    <w:rsid w:val="1BFB1FD3"/>
    <w:rsid w:val="1BFDA80A"/>
    <w:rsid w:val="1C14686B"/>
    <w:rsid w:val="1C2AEB32"/>
    <w:rsid w:val="1C34EE40"/>
    <w:rsid w:val="1C39B248"/>
    <w:rsid w:val="1C3D7D63"/>
    <w:rsid w:val="1C3FD89D"/>
    <w:rsid w:val="1C4EBD7F"/>
    <w:rsid w:val="1C6850B7"/>
    <w:rsid w:val="1C6DBF5C"/>
    <w:rsid w:val="1C70EF4E"/>
    <w:rsid w:val="1C75C99E"/>
    <w:rsid w:val="1C7A77FF"/>
    <w:rsid w:val="1C9172B4"/>
    <w:rsid w:val="1CA5C8AC"/>
    <w:rsid w:val="1CAC6905"/>
    <w:rsid w:val="1CD706D3"/>
    <w:rsid w:val="1CD71615"/>
    <w:rsid w:val="1CDA0EF7"/>
    <w:rsid w:val="1CDCC838"/>
    <w:rsid w:val="1CE402C0"/>
    <w:rsid w:val="1CEC7FDE"/>
    <w:rsid w:val="1D03D9FC"/>
    <w:rsid w:val="1D060DF3"/>
    <w:rsid w:val="1D1D3234"/>
    <w:rsid w:val="1D3B44EF"/>
    <w:rsid w:val="1D474B4D"/>
    <w:rsid w:val="1D574D61"/>
    <w:rsid w:val="1D5A7E44"/>
    <w:rsid w:val="1D8CAD9A"/>
    <w:rsid w:val="1D983FDB"/>
    <w:rsid w:val="1DAE71AD"/>
    <w:rsid w:val="1DB1974F"/>
    <w:rsid w:val="1DBD6931"/>
    <w:rsid w:val="1DC7401B"/>
    <w:rsid w:val="1DC80D4D"/>
    <w:rsid w:val="1DE71E9A"/>
    <w:rsid w:val="1DF5EF68"/>
    <w:rsid w:val="1DF8AC29"/>
    <w:rsid w:val="1DFB1051"/>
    <w:rsid w:val="1E17F027"/>
    <w:rsid w:val="1E29E495"/>
    <w:rsid w:val="1E468C84"/>
    <w:rsid w:val="1E5023C7"/>
    <w:rsid w:val="1E5223CE"/>
    <w:rsid w:val="1E72C3A2"/>
    <w:rsid w:val="1E736AAC"/>
    <w:rsid w:val="1E8184E5"/>
    <w:rsid w:val="1E82E830"/>
    <w:rsid w:val="1E8920F0"/>
    <w:rsid w:val="1E967D9A"/>
    <w:rsid w:val="1EA5B0D4"/>
    <w:rsid w:val="1ED1C222"/>
    <w:rsid w:val="1ED33167"/>
    <w:rsid w:val="1F05E7A9"/>
    <w:rsid w:val="1F09AEC7"/>
    <w:rsid w:val="1F0A1236"/>
    <w:rsid w:val="1F1BEC48"/>
    <w:rsid w:val="1F458AB0"/>
    <w:rsid w:val="1F509843"/>
    <w:rsid w:val="1F6567FA"/>
    <w:rsid w:val="1F704FEB"/>
    <w:rsid w:val="1F87A561"/>
    <w:rsid w:val="1FAF868D"/>
    <w:rsid w:val="1FB96C83"/>
    <w:rsid w:val="1FC9D046"/>
    <w:rsid w:val="1FCCAFCB"/>
    <w:rsid w:val="1FF8D56A"/>
    <w:rsid w:val="1FFCD8D9"/>
    <w:rsid w:val="1FFE47AA"/>
    <w:rsid w:val="200A7F8B"/>
    <w:rsid w:val="20184641"/>
    <w:rsid w:val="201B8836"/>
    <w:rsid w:val="201C9DA0"/>
    <w:rsid w:val="202368E2"/>
    <w:rsid w:val="2043512D"/>
    <w:rsid w:val="20518110"/>
    <w:rsid w:val="2051C682"/>
    <w:rsid w:val="2065047D"/>
    <w:rsid w:val="207A8A17"/>
    <w:rsid w:val="20889D52"/>
    <w:rsid w:val="208C9E68"/>
    <w:rsid w:val="20AA9121"/>
    <w:rsid w:val="20AF5998"/>
    <w:rsid w:val="20C871EF"/>
    <w:rsid w:val="20E86BE2"/>
    <w:rsid w:val="20F23EFA"/>
    <w:rsid w:val="20F997DC"/>
    <w:rsid w:val="20FCA16C"/>
    <w:rsid w:val="2122E072"/>
    <w:rsid w:val="2141F698"/>
    <w:rsid w:val="21530FA3"/>
    <w:rsid w:val="21599C75"/>
    <w:rsid w:val="217D059B"/>
    <w:rsid w:val="21B5D527"/>
    <w:rsid w:val="21B8A683"/>
    <w:rsid w:val="21BAA0FA"/>
    <w:rsid w:val="21C16077"/>
    <w:rsid w:val="21D55094"/>
    <w:rsid w:val="21FD2A86"/>
    <w:rsid w:val="223021A6"/>
    <w:rsid w:val="223F6920"/>
    <w:rsid w:val="224017BE"/>
    <w:rsid w:val="2244BA8A"/>
    <w:rsid w:val="22522E77"/>
    <w:rsid w:val="225459C7"/>
    <w:rsid w:val="2256D3BA"/>
    <w:rsid w:val="2262EFBB"/>
    <w:rsid w:val="2264541E"/>
    <w:rsid w:val="22748813"/>
    <w:rsid w:val="227F3350"/>
    <w:rsid w:val="2294C4E7"/>
    <w:rsid w:val="22DF3583"/>
    <w:rsid w:val="22EAB8B1"/>
    <w:rsid w:val="230412B9"/>
    <w:rsid w:val="2304C82D"/>
    <w:rsid w:val="2315E77C"/>
    <w:rsid w:val="232D01CF"/>
    <w:rsid w:val="233AECF8"/>
    <w:rsid w:val="2356416A"/>
    <w:rsid w:val="235693EC"/>
    <w:rsid w:val="2366CA10"/>
    <w:rsid w:val="23883347"/>
    <w:rsid w:val="23C280C0"/>
    <w:rsid w:val="23D61576"/>
    <w:rsid w:val="23D843BF"/>
    <w:rsid w:val="23DA1A44"/>
    <w:rsid w:val="23DC5856"/>
    <w:rsid w:val="23E1351F"/>
    <w:rsid w:val="23F29186"/>
    <w:rsid w:val="241D98DD"/>
    <w:rsid w:val="2423F861"/>
    <w:rsid w:val="242DE765"/>
    <w:rsid w:val="243AA637"/>
    <w:rsid w:val="2444DBD3"/>
    <w:rsid w:val="245038D6"/>
    <w:rsid w:val="2451EF0C"/>
    <w:rsid w:val="2452C62E"/>
    <w:rsid w:val="245B87B6"/>
    <w:rsid w:val="24654A08"/>
    <w:rsid w:val="246BDF93"/>
    <w:rsid w:val="2476C36D"/>
    <w:rsid w:val="247864E1"/>
    <w:rsid w:val="247A395A"/>
    <w:rsid w:val="24967152"/>
    <w:rsid w:val="249E9ED9"/>
    <w:rsid w:val="24C41A49"/>
    <w:rsid w:val="24CAA2EB"/>
    <w:rsid w:val="24D0989B"/>
    <w:rsid w:val="250FACBB"/>
    <w:rsid w:val="252A0116"/>
    <w:rsid w:val="253B3473"/>
    <w:rsid w:val="253F4141"/>
    <w:rsid w:val="255BC7D3"/>
    <w:rsid w:val="2571FE87"/>
    <w:rsid w:val="25936EAD"/>
    <w:rsid w:val="25AB890A"/>
    <w:rsid w:val="25AE390F"/>
    <w:rsid w:val="25C8E276"/>
    <w:rsid w:val="25EA1BD9"/>
    <w:rsid w:val="25F1B2A5"/>
    <w:rsid w:val="260961D6"/>
    <w:rsid w:val="26120FDE"/>
    <w:rsid w:val="261B9F8A"/>
    <w:rsid w:val="261BB366"/>
    <w:rsid w:val="26247701"/>
    <w:rsid w:val="265C3FEA"/>
    <w:rsid w:val="2676E68E"/>
    <w:rsid w:val="2677EB8A"/>
    <w:rsid w:val="2680B9BC"/>
    <w:rsid w:val="26941D7E"/>
    <w:rsid w:val="26DF48FE"/>
    <w:rsid w:val="270A7518"/>
    <w:rsid w:val="2720601A"/>
    <w:rsid w:val="27222ECC"/>
    <w:rsid w:val="27344364"/>
    <w:rsid w:val="273546BE"/>
    <w:rsid w:val="27399AF7"/>
    <w:rsid w:val="274D0482"/>
    <w:rsid w:val="2778CA90"/>
    <w:rsid w:val="27927CBB"/>
    <w:rsid w:val="27972BA8"/>
    <w:rsid w:val="279FD184"/>
    <w:rsid w:val="27BA46DE"/>
    <w:rsid w:val="27BB7627"/>
    <w:rsid w:val="27BCA81E"/>
    <w:rsid w:val="27C35A2B"/>
    <w:rsid w:val="27D9DC27"/>
    <w:rsid w:val="27DA3E36"/>
    <w:rsid w:val="27E4EE3E"/>
    <w:rsid w:val="27E7DEE5"/>
    <w:rsid w:val="27EDF98B"/>
    <w:rsid w:val="27FFE26C"/>
    <w:rsid w:val="283FFFDC"/>
    <w:rsid w:val="2840BE7F"/>
    <w:rsid w:val="285A1FD5"/>
    <w:rsid w:val="285CC929"/>
    <w:rsid w:val="2871A732"/>
    <w:rsid w:val="28820668"/>
    <w:rsid w:val="28888753"/>
    <w:rsid w:val="289FD63E"/>
    <w:rsid w:val="28BD6A2A"/>
    <w:rsid w:val="28C82E88"/>
    <w:rsid w:val="28E02F3E"/>
    <w:rsid w:val="28FB0A62"/>
    <w:rsid w:val="2916AF66"/>
    <w:rsid w:val="292D89BB"/>
    <w:rsid w:val="292E3374"/>
    <w:rsid w:val="29342E56"/>
    <w:rsid w:val="293C2555"/>
    <w:rsid w:val="29420CDB"/>
    <w:rsid w:val="29696223"/>
    <w:rsid w:val="296C56DE"/>
    <w:rsid w:val="298E6EB5"/>
    <w:rsid w:val="299C5A46"/>
    <w:rsid w:val="299F8537"/>
    <w:rsid w:val="29A66761"/>
    <w:rsid w:val="29CC3C64"/>
    <w:rsid w:val="29E73E77"/>
    <w:rsid w:val="2A2748AF"/>
    <w:rsid w:val="2A3441E6"/>
    <w:rsid w:val="2A41B10F"/>
    <w:rsid w:val="2A5A2088"/>
    <w:rsid w:val="2A5BCF52"/>
    <w:rsid w:val="2A6073E2"/>
    <w:rsid w:val="2A6088B8"/>
    <w:rsid w:val="2A60946D"/>
    <w:rsid w:val="2A794405"/>
    <w:rsid w:val="2A8BD90D"/>
    <w:rsid w:val="2A966917"/>
    <w:rsid w:val="2A9E3B42"/>
    <w:rsid w:val="2AAAEBBB"/>
    <w:rsid w:val="2ABB13B1"/>
    <w:rsid w:val="2ACAF4F0"/>
    <w:rsid w:val="2AF5FF5D"/>
    <w:rsid w:val="2B20A213"/>
    <w:rsid w:val="2B2E2BB4"/>
    <w:rsid w:val="2B2F6FA6"/>
    <w:rsid w:val="2B4A961F"/>
    <w:rsid w:val="2B4F605B"/>
    <w:rsid w:val="2B5A2091"/>
    <w:rsid w:val="2B5ED03B"/>
    <w:rsid w:val="2B893F9A"/>
    <w:rsid w:val="2BA1CEA2"/>
    <w:rsid w:val="2BB0675C"/>
    <w:rsid w:val="2BC283E2"/>
    <w:rsid w:val="2BD2128F"/>
    <w:rsid w:val="2BD7D315"/>
    <w:rsid w:val="2BE1539F"/>
    <w:rsid w:val="2BF5419D"/>
    <w:rsid w:val="2BF60341"/>
    <w:rsid w:val="2BFA4CF9"/>
    <w:rsid w:val="2C1AADEE"/>
    <w:rsid w:val="2C344826"/>
    <w:rsid w:val="2C554BDF"/>
    <w:rsid w:val="2C76EA5E"/>
    <w:rsid w:val="2C836F45"/>
    <w:rsid w:val="2CA634DE"/>
    <w:rsid w:val="2CABDC21"/>
    <w:rsid w:val="2CB88242"/>
    <w:rsid w:val="2CC82823"/>
    <w:rsid w:val="2CCD32D3"/>
    <w:rsid w:val="2CE11EDF"/>
    <w:rsid w:val="2CEE4E8F"/>
    <w:rsid w:val="2D022658"/>
    <w:rsid w:val="2D05E167"/>
    <w:rsid w:val="2D0A416A"/>
    <w:rsid w:val="2D146FAE"/>
    <w:rsid w:val="2D188B89"/>
    <w:rsid w:val="2D1C646A"/>
    <w:rsid w:val="2D5DCC52"/>
    <w:rsid w:val="2D608214"/>
    <w:rsid w:val="2D6F5A2F"/>
    <w:rsid w:val="2D7E9D62"/>
    <w:rsid w:val="2D86E02B"/>
    <w:rsid w:val="2D90AA04"/>
    <w:rsid w:val="2DA91B37"/>
    <w:rsid w:val="2DAC9A3C"/>
    <w:rsid w:val="2DB7678F"/>
    <w:rsid w:val="2DB8F65F"/>
    <w:rsid w:val="2DC307AE"/>
    <w:rsid w:val="2DC9918E"/>
    <w:rsid w:val="2DD700C1"/>
    <w:rsid w:val="2DE98B69"/>
    <w:rsid w:val="2DF96F52"/>
    <w:rsid w:val="2DFF55AA"/>
    <w:rsid w:val="2E19052A"/>
    <w:rsid w:val="2E367DF4"/>
    <w:rsid w:val="2E58FDBC"/>
    <w:rsid w:val="2E5A7E4E"/>
    <w:rsid w:val="2E5EF838"/>
    <w:rsid w:val="2E7E35A0"/>
    <w:rsid w:val="2E820311"/>
    <w:rsid w:val="2E8270F2"/>
    <w:rsid w:val="2EAB5B5E"/>
    <w:rsid w:val="2EB05D3C"/>
    <w:rsid w:val="2ECCC30D"/>
    <w:rsid w:val="2ED87434"/>
    <w:rsid w:val="2EE07C2D"/>
    <w:rsid w:val="2EE13A04"/>
    <w:rsid w:val="2F12DEB0"/>
    <w:rsid w:val="2F15B763"/>
    <w:rsid w:val="2F1742FA"/>
    <w:rsid w:val="2F1E6E25"/>
    <w:rsid w:val="2F2A97A8"/>
    <w:rsid w:val="2F4B6893"/>
    <w:rsid w:val="2F4E9892"/>
    <w:rsid w:val="2F650D73"/>
    <w:rsid w:val="2F6D1AB0"/>
    <w:rsid w:val="2F7E9A73"/>
    <w:rsid w:val="2F7FB52A"/>
    <w:rsid w:val="2F89A6C0"/>
    <w:rsid w:val="2F89F865"/>
    <w:rsid w:val="2F988428"/>
    <w:rsid w:val="2FA2A9C8"/>
    <w:rsid w:val="2FAA1722"/>
    <w:rsid w:val="2FAD2B90"/>
    <w:rsid w:val="2FADEFBB"/>
    <w:rsid w:val="2FB785FD"/>
    <w:rsid w:val="2FBB2A93"/>
    <w:rsid w:val="2FC57BD5"/>
    <w:rsid w:val="2FD45827"/>
    <w:rsid w:val="2FE03D01"/>
    <w:rsid w:val="2FE9E9FA"/>
    <w:rsid w:val="2FF7357C"/>
    <w:rsid w:val="2FF95F0B"/>
    <w:rsid w:val="3001B666"/>
    <w:rsid w:val="3009DDCF"/>
    <w:rsid w:val="30109C13"/>
    <w:rsid w:val="30133DF2"/>
    <w:rsid w:val="30284DF1"/>
    <w:rsid w:val="302EFB44"/>
    <w:rsid w:val="304A9A6E"/>
    <w:rsid w:val="3050B392"/>
    <w:rsid w:val="306AA3AE"/>
    <w:rsid w:val="306D1614"/>
    <w:rsid w:val="30986367"/>
    <w:rsid w:val="3099FEF1"/>
    <w:rsid w:val="309E899D"/>
    <w:rsid w:val="309F316D"/>
    <w:rsid w:val="30A4DA44"/>
    <w:rsid w:val="30C383B7"/>
    <w:rsid w:val="30CEF600"/>
    <w:rsid w:val="30DFD749"/>
    <w:rsid w:val="30E3B4E7"/>
    <w:rsid w:val="30F2537B"/>
    <w:rsid w:val="30F9BA24"/>
    <w:rsid w:val="310290B0"/>
    <w:rsid w:val="3103D865"/>
    <w:rsid w:val="312157C2"/>
    <w:rsid w:val="3123EBA7"/>
    <w:rsid w:val="31247A47"/>
    <w:rsid w:val="31371D1B"/>
    <w:rsid w:val="313FFD93"/>
    <w:rsid w:val="314B9B96"/>
    <w:rsid w:val="31653BD9"/>
    <w:rsid w:val="316D5241"/>
    <w:rsid w:val="316DF50E"/>
    <w:rsid w:val="317445F0"/>
    <w:rsid w:val="317A1E19"/>
    <w:rsid w:val="318009A2"/>
    <w:rsid w:val="31883907"/>
    <w:rsid w:val="318C5B58"/>
    <w:rsid w:val="318CC2A2"/>
    <w:rsid w:val="31A1933C"/>
    <w:rsid w:val="31A5CAFF"/>
    <w:rsid w:val="31A6F64F"/>
    <w:rsid w:val="31BC039A"/>
    <w:rsid w:val="31CEBAF2"/>
    <w:rsid w:val="31DA1768"/>
    <w:rsid w:val="31EB8B37"/>
    <w:rsid w:val="321C3258"/>
    <w:rsid w:val="32270D20"/>
    <w:rsid w:val="3237D7F1"/>
    <w:rsid w:val="324D3D6D"/>
    <w:rsid w:val="3251A27F"/>
    <w:rsid w:val="3251A504"/>
    <w:rsid w:val="3262CB1B"/>
    <w:rsid w:val="326D0019"/>
    <w:rsid w:val="3275B0C2"/>
    <w:rsid w:val="3280C741"/>
    <w:rsid w:val="328115C6"/>
    <w:rsid w:val="3288C84C"/>
    <w:rsid w:val="3296B341"/>
    <w:rsid w:val="32AE83A9"/>
    <w:rsid w:val="32AE886B"/>
    <w:rsid w:val="32BB9FDC"/>
    <w:rsid w:val="32D90844"/>
    <w:rsid w:val="32E0022E"/>
    <w:rsid w:val="33023675"/>
    <w:rsid w:val="33094DE6"/>
    <w:rsid w:val="330D0A34"/>
    <w:rsid w:val="330E82C2"/>
    <w:rsid w:val="33172545"/>
    <w:rsid w:val="331CB1D8"/>
    <w:rsid w:val="3325ADA4"/>
    <w:rsid w:val="33263D0D"/>
    <w:rsid w:val="333F2950"/>
    <w:rsid w:val="334E127D"/>
    <w:rsid w:val="335B0F56"/>
    <w:rsid w:val="336D846A"/>
    <w:rsid w:val="3388752B"/>
    <w:rsid w:val="3388BEDE"/>
    <w:rsid w:val="338AF18A"/>
    <w:rsid w:val="339F7C3F"/>
    <w:rsid w:val="33A01BB9"/>
    <w:rsid w:val="33A046F0"/>
    <w:rsid w:val="33B2A48A"/>
    <w:rsid w:val="33B7E4DC"/>
    <w:rsid w:val="33BF57CD"/>
    <w:rsid w:val="33CBFDC9"/>
    <w:rsid w:val="33D622D2"/>
    <w:rsid w:val="33DB2C57"/>
    <w:rsid w:val="33E2CADE"/>
    <w:rsid w:val="33FCB6CE"/>
    <w:rsid w:val="3408DAF1"/>
    <w:rsid w:val="341BCC38"/>
    <w:rsid w:val="341DC8E8"/>
    <w:rsid w:val="342962CA"/>
    <w:rsid w:val="34309E11"/>
    <w:rsid w:val="3431C2C3"/>
    <w:rsid w:val="3438692D"/>
    <w:rsid w:val="344986FA"/>
    <w:rsid w:val="3451EAF1"/>
    <w:rsid w:val="3457E8BD"/>
    <w:rsid w:val="34618BFC"/>
    <w:rsid w:val="34650C14"/>
    <w:rsid w:val="3467DF44"/>
    <w:rsid w:val="346A55B3"/>
    <w:rsid w:val="346D999D"/>
    <w:rsid w:val="34767FA8"/>
    <w:rsid w:val="3476B8CD"/>
    <w:rsid w:val="347A7DE3"/>
    <w:rsid w:val="3482B2B7"/>
    <w:rsid w:val="348AC873"/>
    <w:rsid w:val="34913E9C"/>
    <w:rsid w:val="34CCA5B1"/>
    <w:rsid w:val="34CE8B78"/>
    <w:rsid w:val="34DA2B13"/>
    <w:rsid w:val="34E9A38C"/>
    <w:rsid w:val="34EB4DC4"/>
    <w:rsid w:val="34F5E5A0"/>
    <w:rsid w:val="34FCD5D5"/>
    <w:rsid w:val="35004840"/>
    <w:rsid w:val="350BB631"/>
    <w:rsid w:val="350F1D38"/>
    <w:rsid w:val="351EA7C9"/>
    <w:rsid w:val="352C3134"/>
    <w:rsid w:val="353FF84C"/>
    <w:rsid w:val="3557614A"/>
    <w:rsid w:val="3563A0FF"/>
    <w:rsid w:val="3563E59D"/>
    <w:rsid w:val="35781108"/>
    <w:rsid w:val="357E57C4"/>
    <w:rsid w:val="35896C79"/>
    <w:rsid w:val="359337A6"/>
    <w:rsid w:val="35A3362C"/>
    <w:rsid w:val="35AA4513"/>
    <w:rsid w:val="35B77F39"/>
    <w:rsid w:val="35B8EC28"/>
    <w:rsid w:val="35C3EA2F"/>
    <w:rsid w:val="35DCD196"/>
    <w:rsid w:val="35DF6D74"/>
    <w:rsid w:val="35E25B19"/>
    <w:rsid w:val="35E3DE6B"/>
    <w:rsid w:val="35FE1A29"/>
    <w:rsid w:val="36227F40"/>
    <w:rsid w:val="362EB954"/>
    <w:rsid w:val="36363FEE"/>
    <w:rsid w:val="363E51CB"/>
    <w:rsid w:val="3649D69D"/>
    <w:rsid w:val="36531D8C"/>
    <w:rsid w:val="36608EEF"/>
    <w:rsid w:val="36688A31"/>
    <w:rsid w:val="366FAFB3"/>
    <w:rsid w:val="368323D3"/>
    <w:rsid w:val="369717D6"/>
    <w:rsid w:val="36A76913"/>
    <w:rsid w:val="36ABDD6A"/>
    <w:rsid w:val="36B8B868"/>
    <w:rsid w:val="36BC7419"/>
    <w:rsid w:val="36C5137C"/>
    <w:rsid w:val="36C55CFE"/>
    <w:rsid w:val="36C660E8"/>
    <w:rsid w:val="36CB5AA5"/>
    <w:rsid w:val="37113F06"/>
    <w:rsid w:val="37507EE1"/>
    <w:rsid w:val="377F8C6B"/>
    <w:rsid w:val="37818476"/>
    <w:rsid w:val="3788F3C8"/>
    <w:rsid w:val="3799A341"/>
    <w:rsid w:val="37BC7D85"/>
    <w:rsid w:val="37BE44EE"/>
    <w:rsid w:val="37C77012"/>
    <w:rsid w:val="37F95FE1"/>
    <w:rsid w:val="38125A5D"/>
    <w:rsid w:val="3827E2D2"/>
    <w:rsid w:val="38306A8D"/>
    <w:rsid w:val="3830FD6A"/>
    <w:rsid w:val="3843EA5C"/>
    <w:rsid w:val="384785A3"/>
    <w:rsid w:val="38734176"/>
    <w:rsid w:val="3888BBDB"/>
    <w:rsid w:val="388C95FB"/>
    <w:rsid w:val="389B2027"/>
    <w:rsid w:val="38A899C4"/>
    <w:rsid w:val="38AA4331"/>
    <w:rsid w:val="38E40E63"/>
    <w:rsid w:val="38E69A0D"/>
    <w:rsid w:val="38F190CD"/>
    <w:rsid w:val="39076747"/>
    <w:rsid w:val="390A4CDC"/>
    <w:rsid w:val="3919F8C9"/>
    <w:rsid w:val="3932F263"/>
    <w:rsid w:val="39360FA6"/>
    <w:rsid w:val="393A0982"/>
    <w:rsid w:val="397D6F7D"/>
    <w:rsid w:val="399A371B"/>
    <w:rsid w:val="39B47E95"/>
    <w:rsid w:val="39BBBE34"/>
    <w:rsid w:val="39C1324B"/>
    <w:rsid w:val="39C2CC01"/>
    <w:rsid w:val="39D0C97C"/>
    <w:rsid w:val="39DB1910"/>
    <w:rsid w:val="39FD8044"/>
    <w:rsid w:val="3A0E8B1D"/>
    <w:rsid w:val="3A213A6A"/>
    <w:rsid w:val="3A2B2D3F"/>
    <w:rsid w:val="3A55EB01"/>
    <w:rsid w:val="3A7D5382"/>
    <w:rsid w:val="3A81C753"/>
    <w:rsid w:val="3A88952B"/>
    <w:rsid w:val="3A8C593F"/>
    <w:rsid w:val="3A98FE36"/>
    <w:rsid w:val="3ACAB2BE"/>
    <w:rsid w:val="3ACDC100"/>
    <w:rsid w:val="3ADA20E5"/>
    <w:rsid w:val="3AE9FBAB"/>
    <w:rsid w:val="3AEBFAAE"/>
    <w:rsid w:val="3B076B53"/>
    <w:rsid w:val="3B370F1A"/>
    <w:rsid w:val="3B3B9EDF"/>
    <w:rsid w:val="3B4E4223"/>
    <w:rsid w:val="3B6AA05A"/>
    <w:rsid w:val="3B703E1D"/>
    <w:rsid w:val="3B88E7E0"/>
    <w:rsid w:val="3B89BDDC"/>
    <w:rsid w:val="3BA97F1D"/>
    <w:rsid w:val="3BAC3346"/>
    <w:rsid w:val="3BC05821"/>
    <w:rsid w:val="3BDC5492"/>
    <w:rsid w:val="3BDED89C"/>
    <w:rsid w:val="3C4A3AD0"/>
    <w:rsid w:val="3C4B190A"/>
    <w:rsid w:val="3C56CD55"/>
    <w:rsid w:val="3C5F8E9D"/>
    <w:rsid w:val="3C5FFB79"/>
    <w:rsid w:val="3C63CE08"/>
    <w:rsid w:val="3C7B9BA8"/>
    <w:rsid w:val="3C8E6AE3"/>
    <w:rsid w:val="3C9F8DDA"/>
    <w:rsid w:val="3CA80DE9"/>
    <w:rsid w:val="3CC5FBD4"/>
    <w:rsid w:val="3CCF9E65"/>
    <w:rsid w:val="3CD2D166"/>
    <w:rsid w:val="3CD34B53"/>
    <w:rsid w:val="3CDB23B3"/>
    <w:rsid w:val="3CF834DB"/>
    <w:rsid w:val="3CFDF3E6"/>
    <w:rsid w:val="3D0FB433"/>
    <w:rsid w:val="3D1FD6BF"/>
    <w:rsid w:val="3D240AE9"/>
    <w:rsid w:val="3D24FA39"/>
    <w:rsid w:val="3D294D6C"/>
    <w:rsid w:val="3D2DD9BA"/>
    <w:rsid w:val="3D424F07"/>
    <w:rsid w:val="3D563269"/>
    <w:rsid w:val="3D59FD72"/>
    <w:rsid w:val="3D66BEFE"/>
    <w:rsid w:val="3D85909E"/>
    <w:rsid w:val="3D8AA71F"/>
    <w:rsid w:val="3D9CDA65"/>
    <w:rsid w:val="3DA585A8"/>
    <w:rsid w:val="3DB02120"/>
    <w:rsid w:val="3DC13BF6"/>
    <w:rsid w:val="3DC1A3C9"/>
    <w:rsid w:val="3DD4451D"/>
    <w:rsid w:val="3DF91FD3"/>
    <w:rsid w:val="3DFDA76D"/>
    <w:rsid w:val="3DFE9167"/>
    <w:rsid w:val="3DFEF31E"/>
    <w:rsid w:val="3E13B30D"/>
    <w:rsid w:val="3E151988"/>
    <w:rsid w:val="3E3361AD"/>
    <w:rsid w:val="3E4E3195"/>
    <w:rsid w:val="3E5B0C32"/>
    <w:rsid w:val="3EA239EA"/>
    <w:rsid w:val="3EA8E0A3"/>
    <w:rsid w:val="3EA9612E"/>
    <w:rsid w:val="3EC9EEAF"/>
    <w:rsid w:val="3EDCD955"/>
    <w:rsid w:val="3EDFE6E6"/>
    <w:rsid w:val="3F102AE5"/>
    <w:rsid w:val="3F236484"/>
    <w:rsid w:val="3F2CB029"/>
    <w:rsid w:val="3F2F5EE5"/>
    <w:rsid w:val="3F308E8A"/>
    <w:rsid w:val="3F5733A9"/>
    <w:rsid w:val="3F61D731"/>
    <w:rsid w:val="3F827F6B"/>
    <w:rsid w:val="3F8786C8"/>
    <w:rsid w:val="3F96B615"/>
    <w:rsid w:val="3F9EEB3E"/>
    <w:rsid w:val="3FA8EC83"/>
    <w:rsid w:val="3FAC07BE"/>
    <w:rsid w:val="3FB4FD97"/>
    <w:rsid w:val="3FF16FE4"/>
    <w:rsid w:val="400ED777"/>
    <w:rsid w:val="401AEFA7"/>
    <w:rsid w:val="401F7D54"/>
    <w:rsid w:val="4021C3A9"/>
    <w:rsid w:val="403C41AF"/>
    <w:rsid w:val="405072DC"/>
    <w:rsid w:val="4053731C"/>
    <w:rsid w:val="4057F72C"/>
    <w:rsid w:val="406E9915"/>
    <w:rsid w:val="409634AD"/>
    <w:rsid w:val="40A39A1F"/>
    <w:rsid w:val="40A481E2"/>
    <w:rsid w:val="40A560D2"/>
    <w:rsid w:val="40A76AAA"/>
    <w:rsid w:val="40ABD5E2"/>
    <w:rsid w:val="40BD2193"/>
    <w:rsid w:val="40C2213E"/>
    <w:rsid w:val="40E9EB97"/>
    <w:rsid w:val="40EBAA4C"/>
    <w:rsid w:val="41253DF0"/>
    <w:rsid w:val="412C48BD"/>
    <w:rsid w:val="413C53A3"/>
    <w:rsid w:val="414632BA"/>
    <w:rsid w:val="41526D29"/>
    <w:rsid w:val="4152AF95"/>
    <w:rsid w:val="415E052C"/>
    <w:rsid w:val="4161FDCD"/>
    <w:rsid w:val="416613B6"/>
    <w:rsid w:val="4174460D"/>
    <w:rsid w:val="418E867C"/>
    <w:rsid w:val="4193A9D4"/>
    <w:rsid w:val="41A424F1"/>
    <w:rsid w:val="41A5467D"/>
    <w:rsid w:val="41A99B77"/>
    <w:rsid w:val="41ADE945"/>
    <w:rsid w:val="41AFE52D"/>
    <w:rsid w:val="41C8B449"/>
    <w:rsid w:val="41C9793F"/>
    <w:rsid w:val="41D22899"/>
    <w:rsid w:val="41F239C8"/>
    <w:rsid w:val="420F6783"/>
    <w:rsid w:val="42280566"/>
    <w:rsid w:val="422E6606"/>
    <w:rsid w:val="423B494D"/>
    <w:rsid w:val="424AD139"/>
    <w:rsid w:val="424C19DC"/>
    <w:rsid w:val="4256706F"/>
    <w:rsid w:val="426235BB"/>
    <w:rsid w:val="429481A3"/>
    <w:rsid w:val="42995467"/>
    <w:rsid w:val="429FBDA2"/>
    <w:rsid w:val="42A84FBF"/>
    <w:rsid w:val="42A9AA06"/>
    <w:rsid w:val="42C23EFA"/>
    <w:rsid w:val="42CCED33"/>
    <w:rsid w:val="42F2F5D5"/>
    <w:rsid w:val="42F56D6C"/>
    <w:rsid w:val="43028213"/>
    <w:rsid w:val="430C7140"/>
    <w:rsid w:val="430E8435"/>
    <w:rsid w:val="432D371A"/>
    <w:rsid w:val="433BA5FF"/>
    <w:rsid w:val="433FAC9F"/>
    <w:rsid w:val="4357F8C0"/>
    <w:rsid w:val="4363DCF0"/>
    <w:rsid w:val="436447CF"/>
    <w:rsid w:val="4367AFFF"/>
    <w:rsid w:val="4368BC04"/>
    <w:rsid w:val="436DF768"/>
    <w:rsid w:val="4377303B"/>
    <w:rsid w:val="43802252"/>
    <w:rsid w:val="438D6744"/>
    <w:rsid w:val="43B7AE66"/>
    <w:rsid w:val="43C56B34"/>
    <w:rsid w:val="43C5E151"/>
    <w:rsid w:val="43DAEB6D"/>
    <w:rsid w:val="43E16528"/>
    <w:rsid w:val="43EFF2D9"/>
    <w:rsid w:val="43F59C9B"/>
    <w:rsid w:val="4403135D"/>
    <w:rsid w:val="440849FB"/>
    <w:rsid w:val="440E7025"/>
    <w:rsid w:val="440ED0E0"/>
    <w:rsid w:val="4410B91D"/>
    <w:rsid w:val="441C83D9"/>
    <w:rsid w:val="4440EF6B"/>
    <w:rsid w:val="44664AF7"/>
    <w:rsid w:val="44755B13"/>
    <w:rsid w:val="4488F01B"/>
    <w:rsid w:val="449089B8"/>
    <w:rsid w:val="44BC1826"/>
    <w:rsid w:val="44C51372"/>
    <w:rsid w:val="44CA107F"/>
    <w:rsid w:val="44D8D591"/>
    <w:rsid w:val="44F9A2EC"/>
    <w:rsid w:val="44FB7D11"/>
    <w:rsid w:val="451312BC"/>
    <w:rsid w:val="452DFFA3"/>
    <w:rsid w:val="45378979"/>
    <w:rsid w:val="45395078"/>
    <w:rsid w:val="4539EE2A"/>
    <w:rsid w:val="453E3FF5"/>
    <w:rsid w:val="4549FCD0"/>
    <w:rsid w:val="454A1D7C"/>
    <w:rsid w:val="455315C1"/>
    <w:rsid w:val="4555566D"/>
    <w:rsid w:val="455D62A6"/>
    <w:rsid w:val="459A63C8"/>
    <w:rsid w:val="45A7F4CF"/>
    <w:rsid w:val="45B4FC5F"/>
    <w:rsid w:val="45CA0932"/>
    <w:rsid w:val="45D80407"/>
    <w:rsid w:val="45DB2D04"/>
    <w:rsid w:val="45E7A8E2"/>
    <w:rsid w:val="461A5AAA"/>
    <w:rsid w:val="462485DF"/>
    <w:rsid w:val="4625D999"/>
    <w:rsid w:val="4637DECA"/>
    <w:rsid w:val="46386261"/>
    <w:rsid w:val="46525E4F"/>
    <w:rsid w:val="46577D41"/>
    <w:rsid w:val="4658F696"/>
    <w:rsid w:val="465E1F66"/>
    <w:rsid w:val="46602BC3"/>
    <w:rsid w:val="46639431"/>
    <w:rsid w:val="467B66C8"/>
    <w:rsid w:val="467D33ED"/>
    <w:rsid w:val="468D1846"/>
    <w:rsid w:val="46A07BC0"/>
    <w:rsid w:val="46A0B9DF"/>
    <w:rsid w:val="46AA2858"/>
    <w:rsid w:val="46C56681"/>
    <w:rsid w:val="46E38AB6"/>
    <w:rsid w:val="46EACCFB"/>
    <w:rsid w:val="4703A4C7"/>
    <w:rsid w:val="47320A55"/>
    <w:rsid w:val="4734DD48"/>
    <w:rsid w:val="4739708D"/>
    <w:rsid w:val="473E89B9"/>
    <w:rsid w:val="47417681"/>
    <w:rsid w:val="475768EB"/>
    <w:rsid w:val="4759D71E"/>
    <w:rsid w:val="475F394C"/>
    <w:rsid w:val="47613E05"/>
    <w:rsid w:val="4770E970"/>
    <w:rsid w:val="477B9C88"/>
    <w:rsid w:val="47AAD83C"/>
    <w:rsid w:val="47AE3E7F"/>
    <w:rsid w:val="47AEB0F7"/>
    <w:rsid w:val="47D974AB"/>
    <w:rsid w:val="47DA3A3F"/>
    <w:rsid w:val="47E8DC03"/>
    <w:rsid w:val="47F50192"/>
    <w:rsid w:val="47F6E021"/>
    <w:rsid w:val="4818210C"/>
    <w:rsid w:val="481B3C8D"/>
    <w:rsid w:val="481C4381"/>
    <w:rsid w:val="482EC225"/>
    <w:rsid w:val="48340D58"/>
    <w:rsid w:val="483F559E"/>
    <w:rsid w:val="484D6BA5"/>
    <w:rsid w:val="485571D1"/>
    <w:rsid w:val="48575FB2"/>
    <w:rsid w:val="4857C366"/>
    <w:rsid w:val="48698E50"/>
    <w:rsid w:val="4869BA10"/>
    <w:rsid w:val="486C751F"/>
    <w:rsid w:val="488ACB39"/>
    <w:rsid w:val="489A21ED"/>
    <w:rsid w:val="48A98AFE"/>
    <w:rsid w:val="48B41A41"/>
    <w:rsid w:val="48C494EE"/>
    <w:rsid w:val="48D39A86"/>
    <w:rsid w:val="48D89E0D"/>
    <w:rsid w:val="48DC62E7"/>
    <w:rsid w:val="48E3F3D5"/>
    <w:rsid w:val="48E69947"/>
    <w:rsid w:val="48ECF0EE"/>
    <w:rsid w:val="4929F471"/>
    <w:rsid w:val="492EDC97"/>
    <w:rsid w:val="495C3BED"/>
    <w:rsid w:val="495E5E90"/>
    <w:rsid w:val="496583E4"/>
    <w:rsid w:val="49725834"/>
    <w:rsid w:val="49727507"/>
    <w:rsid w:val="497550D2"/>
    <w:rsid w:val="498A1D1A"/>
    <w:rsid w:val="49B2757D"/>
    <w:rsid w:val="49B7E216"/>
    <w:rsid w:val="49EA6254"/>
    <w:rsid w:val="4A0045C7"/>
    <w:rsid w:val="4A13535B"/>
    <w:rsid w:val="4A1BC6A4"/>
    <w:rsid w:val="4A1D72BE"/>
    <w:rsid w:val="4A4A95A1"/>
    <w:rsid w:val="4A4F1769"/>
    <w:rsid w:val="4A54A2EB"/>
    <w:rsid w:val="4A7F96E7"/>
    <w:rsid w:val="4A992807"/>
    <w:rsid w:val="4A9D75CB"/>
    <w:rsid w:val="4AAE9476"/>
    <w:rsid w:val="4AB4136B"/>
    <w:rsid w:val="4AE375E7"/>
    <w:rsid w:val="4AF600B0"/>
    <w:rsid w:val="4AFA77E9"/>
    <w:rsid w:val="4B1396DB"/>
    <w:rsid w:val="4B26A1CA"/>
    <w:rsid w:val="4B43B7FA"/>
    <w:rsid w:val="4B521024"/>
    <w:rsid w:val="4B6ADDD3"/>
    <w:rsid w:val="4B6D1718"/>
    <w:rsid w:val="4B728695"/>
    <w:rsid w:val="4B89E989"/>
    <w:rsid w:val="4B9077EB"/>
    <w:rsid w:val="4B958079"/>
    <w:rsid w:val="4BA35D3B"/>
    <w:rsid w:val="4BA37E69"/>
    <w:rsid w:val="4BA7AA52"/>
    <w:rsid w:val="4BBF35EC"/>
    <w:rsid w:val="4BCDA392"/>
    <w:rsid w:val="4BE0DE4E"/>
    <w:rsid w:val="4BF194D2"/>
    <w:rsid w:val="4C187807"/>
    <w:rsid w:val="4C3D75B0"/>
    <w:rsid w:val="4C4CEA3B"/>
    <w:rsid w:val="4C70B419"/>
    <w:rsid w:val="4C79966D"/>
    <w:rsid w:val="4CA002D9"/>
    <w:rsid w:val="4CA07068"/>
    <w:rsid w:val="4CA4D928"/>
    <w:rsid w:val="4CB35515"/>
    <w:rsid w:val="4CBB8AA4"/>
    <w:rsid w:val="4CC08359"/>
    <w:rsid w:val="4CC0E0CD"/>
    <w:rsid w:val="4CE89F64"/>
    <w:rsid w:val="4CF69EE1"/>
    <w:rsid w:val="4D08A4D7"/>
    <w:rsid w:val="4D0E0E7F"/>
    <w:rsid w:val="4D1D02B1"/>
    <w:rsid w:val="4D2C52CB"/>
    <w:rsid w:val="4D3096C0"/>
    <w:rsid w:val="4D4DE089"/>
    <w:rsid w:val="4D5BD85E"/>
    <w:rsid w:val="4D7ACE21"/>
    <w:rsid w:val="4D80127B"/>
    <w:rsid w:val="4D83CA4F"/>
    <w:rsid w:val="4D918047"/>
    <w:rsid w:val="4D9D4D46"/>
    <w:rsid w:val="4DAEB87B"/>
    <w:rsid w:val="4DAEE421"/>
    <w:rsid w:val="4DAF0B42"/>
    <w:rsid w:val="4DB37A58"/>
    <w:rsid w:val="4DBF6E7A"/>
    <w:rsid w:val="4DC39F07"/>
    <w:rsid w:val="4DC4172E"/>
    <w:rsid w:val="4DDD0451"/>
    <w:rsid w:val="4DED146A"/>
    <w:rsid w:val="4DF8807B"/>
    <w:rsid w:val="4E0DD1AD"/>
    <w:rsid w:val="4E0F4087"/>
    <w:rsid w:val="4E206B27"/>
    <w:rsid w:val="4E61313F"/>
    <w:rsid w:val="4E6374C3"/>
    <w:rsid w:val="4E6F85EB"/>
    <w:rsid w:val="4E744F4E"/>
    <w:rsid w:val="4EC0D5D3"/>
    <w:rsid w:val="4ECFC79B"/>
    <w:rsid w:val="4ED06FC8"/>
    <w:rsid w:val="4ED7F8D5"/>
    <w:rsid w:val="4ED8C19B"/>
    <w:rsid w:val="4EDF9017"/>
    <w:rsid w:val="4EF18420"/>
    <w:rsid w:val="4EF9D541"/>
    <w:rsid w:val="4F0984CF"/>
    <w:rsid w:val="4F16E28C"/>
    <w:rsid w:val="4F2F3961"/>
    <w:rsid w:val="4F3EF706"/>
    <w:rsid w:val="4F4DB328"/>
    <w:rsid w:val="4F596FE0"/>
    <w:rsid w:val="4F750DE5"/>
    <w:rsid w:val="4F847615"/>
    <w:rsid w:val="4F8D3936"/>
    <w:rsid w:val="4F92E773"/>
    <w:rsid w:val="4FB06F33"/>
    <w:rsid w:val="4FDEDA6B"/>
    <w:rsid w:val="4FE0BC1E"/>
    <w:rsid w:val="4FE1560A"/>
    <w:rsid w:val="4FE84DD6"/>
    <w:rsid w:val="4FF88FE4"/>
    <w:rsid w:val="4FFACB03"/>
    <w:rsid w:val="50017DF3"/>
    <w:rsid w:val="50168C8B"/>
    <w:rsid w:val="501983D1"/>
    <w:rsid w:val="501CA0C6"/>
    <w:rsid w:val="5021AEF1"/>
    <w:rsid w:val="502AE67E"/>
    <w:rsid w:val="50313F26"/>
    <w:rsid w:val="5032B663"/>
    <w:rsid w:val="5041B7A4"/>
    <w:rsid w:val="50459801"/>
    <w:rsid w:val="50562BA4"/>
    <w:rsid w:val="50579FEE"/>
    <w:rsid w:val="507086F2"/>
    <w:rsid w:val="50832A6D"/>
    <w:rsid w:val="5083BC2C"/>
    <w:rsid w:val="5087AA82"/>
    <w:rsid w:val="5094918F"/>
    <w:rsid w:val="50A76582"/>
    <w:rsid w:val="50B08F05"/>
    <w:rsid w:val="50B2FEF5"/>
    <w:rsid w:val="50BA9049"/>
    <w:rsid w:val="50D4B7C3"/>
    <w:rsid w:val="50D61F6C"/>
    <w:rsid w:val="50D79378"/>
    <w:rsid w:val="50E17EC3"/>
    <w:rsid w:val="50E496EF"/>
    <w:rsid w:val="50EB8411"/>
    <w:rsid w:val="510D48BD"/>
    <w:rsid w:val="512020A2"/>
    <w:rsid w:val="512A611F"/>
    <w:rsid w:val="512B1128"/>
    <w:rsid w:val="513B5219"/>
    <w:rsid w:val="513B7749"/>
    <w:rsid w:val="514A652F"/>
    <w:rsid w:val="5154E246"/>
    <w:rsid w:val="515689DA"/>
    <w:rsid w:val="515E8B81"/>
    <w:rsid w:val="516C20BD"/>
    <w:rsid w:val="51816E3C"/>
    <w:rsid w:val="518C28D0"/>
    <w:rsid w:val="51AA272F"/>
    <w:rsid w:val="51B80B63"/>
    <w:rsid w:val="51BC63A6"/>
    <w:rsid w:val="51C24938"/>
    <w:rsid w:val="51D17993"/>
    <w:rsid w:val="51DF47C6"/>
    <w:rsid w:val="52194052"/>
    <w:rsid w:val="523C9235"/>
    <w:rsid w:val="52583C09"/>
    <w:rsid w:val="527E54B9"/>
    <w:rsid w:val="527F66F0"/>
    <w:rsid w:val="5288DEEA"/>
    <w:rsid w:val="5293EA81"/>
    <w:rsid w:val="52947C2A"/>
    <w:rsid w:val="529619FD"/>
    <w:rsid w:val="52ADE2C3"/>
    <w:rsid w:val="52B437B1"/>
    <w:rsid w:val="52B81551"/>
    <w:rsid w:val="52B8FE0E"/>
    <w:rsid w:val="52E88A50"/>
    <w:rsid w:val="52EF8195"/>
    <w:rsid w:val="52F01EA8"/>
    <w:rsid w:val="52F1C341"/>
    <w:rsid w:val="52F2C0F7"/>
    <w:rsid w:val="52FACEE8"/>
    <w:rsid w:val="530DA481"/>
    <w:rsid w:val="530FB435"/>
    <w:rsid w:val="535CA7AF"/>
    <w:rsid w:val="535E04B0"/>
    <w:rsid w:val="5375A4A2"/>
    <w:rsid w:val="53877CEF"/>
    <w:rsid w:val="5398A3A2"/>
    <w:rsid w:val="53A0D9AD"/>
    <w:rsid w:val="53AF802A"/>
    <w:rsid w:val="53BDBE03"/>
    <w:rsid w:val="53C7C837"/>
    <w:rsid w:val="53E2235E"/>
    <w:rsid w:val="53EC4EB7"/>
    <w:rsid w:val="53EC6C15"/>
    <w:rsid w:val="54017A21"/>
    <w:rsid w:val="540910CF"/>
    <w:rsid w:val="540AE932"/>
    <w:rsid w:val="540FA46C"/>
    <w:rsid w:val="541F9AB9"/>
    <w:rsid w:val="54382180"/>
    <w:rsid w:val="5446F3E3"/>
    <w:rsid w:val="54474294"/>
    <w:rsid w:val="5498860D"/>
    <w:rsid w:val="54A46CA6"/>
    <w:rsid w:val="54D46029"/>
    <w:rsid w:val="54D54262"/>
    <w:rsid w:val="54D59FF9"/>
    <w:rsid w:val="54D9CBAA"/>
    <w:rsid w:val="54DB2287"/>
    <w:rsid w:val="54DBAB4C"/>
    <w:rsid w:val="54E3B771"/>
    <w:rsid w:val="54F021C8"/>
    <w:rsid w:val="54F366A5"/>
    <w:rsid w:val="550B2320"/>
    <w:rsid w:val="5514DB4B"/>
    <w:rsid w:val="5516D422"/>
    <w:rsid w:val="551F9B85"/>
    <w:rsid w:val="553F72DE"/>
    <w:rsid w:val="555E94A1"/>
    <w:rsid w:val="5576C7D0"/>
    <w:rsid w:val="55886C46"/>
    <w:rsid w:val="5592F89C"/>
    <w:rsid w:val="5594D9D1"/>
    <w:rsid w:val="559610A8"/>
    <w:rsid w:val="55B4CD3C"/>
    <w:rsid w:val="55E82529"/>
    <w:rsid w:val="55F2F317"/>
    <w:rsid w:val="55F52413"/>
    <w:rsid w:val="56227655"/>
    <w:rsid w:val="5645F86C"/>
    <w:rsid w:val="564B432D"/>
    <w:rsid w:val="5651B7FE"/>
    <w:rsid w:val="5653068C"/>
    <w:rsid w:val="5656341C"/>
    <w:rsid w:val="56602EA4"/>
    <w:rsid w:val="5686CEC9"/>
    <w:rsid w:val="569C52EE"/>
    <w:rsid w:val="56ADAEC4"/>
    <w:rsid w:val="56B258B1"/>
    <w:rsid w:val="56B72458"/>
    <w:rsid w:val="56B7BD87"/>
    <w:rsid w:val="56BB6EF7"/>
    <w:rsid w:val="56C081AD"/>
    <w:rsid w:val="56C886D7"/>
    <w:rsid w:val="56D0952B"/>
    <w:rsid w:val="56DA0A83"/>
    <w:rsid w:val="56ECA13D"/>
    <w:rsid w:val="56ED057C"/>
    <w:rsid w:val="56F5CAF7"/>
    <w:rsid w:val="56F650DB"/>
    <w:rsid w:val="56FF9E1D"/>
    <w:rsid w:val="5717C481"/>
    <w:rsid w:val="571A1A15"/>
    <w:rsid w:val="571C65C1"/>
    <w:rsid w:val="5721BA47"/>
    <w:rsid w:val="5740EED8"/>
    <w:rsid w:val="5744F7F6"/>
    <w:rsid w:val="576301C8"/>
    <w:rsid w:val="576B369A"/>
    <w:rsid w:val="5771533E"/>
    <w:rsid w:val="577AE838"/>
    <w:rsid w:val="57A14E5C"/>
    <w:rsid w:val="57AB4C69"/>
    <w:rsid w:val="57BE5860"/>
    <w:rsid w:val="57E647A4"/>
    <w:rsid w:val="57E81E6E"/>
    <w:rsid w:val="57EC5E15"/>
    <w:rsid w:val="57ECDE7D"/>
    <w:rsid w:val="57FFEDE4"/>
    <w:rsid w:val="58040770"/>
    <w:rsid w:val="580804E0"/>
    <w:rsid w:val="580F7F2F"/>
    <w:rsid w:val="58150AC6"/>
    <w:rsid w:val="581C8FF2"/>
    <w:rsid w:val="581FF971"/>
    <w:rsid w:val="5826B242"/>
    <w:rsid w:val="582A78DE"/>
    <w:rsid w:val="583ABEC1"/>
    <w:rsid w:val="584F38B2"/>
    <w:rsid w:val="58698FE5"/>
    <w:rsid w:val="5871CB38"/>
    <w:rsid w:val="588E1DE2"/>
    <w:rsid w:val="58A6151A"/>
    <w:rsid w:val="58AEA1B2"/>
    <w:rsid w:val="58B6B6AB"/>
    <w:rsid w:val="58BED9BB"/>
    <w:rsid w:val="58C896D3"/>
    <w:rsid w:val="58E5BC60"/>
    <w:rsid w:val="58F7E485"/>
    <w:rsid w:val="591138EE"/>
    <w:rsid w:val="59184A91"/>
    <w:rsid w:val="591A94A5"/>
    <w:rsid w:val="5926A889"/>
    <w:rsid w:val="5927DAA0"/>
    <w:rsid w:val="592BC4AC"/>
    <w:rsid w:val="59453831"/>
    <w:rsid w:val="594A5E41"/>
    <w:rsid w:val="5955B876"/>
    <w:rsid w:val="5959ACAB"/>
    <w:rsid w:val="597BE41B"/>
    <w:rsid w:val="59917899"/>
    <w:rsid w:val="59920327"/>
    <w:rsid w:val="59B81843"/>
    <w:rsid w:val="59BE7491"/>
    <w:rsid w:val="59E0C86A"/>
    <w:rsid w:val="5A28B828"/>
    <w:rsid w:val="5A4DA15E"/>
    <w:rsid w:val="5A53994D"/>
    <w:rsid w:val="5A58A2AC"/>
    <w:rsid w:val="5A60589A"/>
    <w:rsid w:val="5A6E765E"/>
    <w:rsid w:val="5A76F70F"/>
    <w:rsid w:val="5A83545C"/>
    <w:rsid w:val="5A8AB97D"/>
    <w:rsid w:val="5AEC2630"/>
    <w:rsid w:val="5AED48E3"/>
    <w:rsid w:val="5AF4C190"/>
    <w:rsid w:val="5AFC98AA"/>
    <w:rsid w:val="5B0E2D8C"/>
    <w:rsid w:val="5B0E723B"/>
    <w:rsid w:val="5B17B6AF"/>
    <w:rsid w:val="5B2C07EA"/>
    <w:rsid w:val="5B2F819C"/>
    <w:rsid w:val="5B435270"/>
    <w:rsid w:val="5B6F91D2"/>
    <w:rsid w:val="5B73F10A"/>
    <w:rsid w:val="5B7CF54E"/>
    <w:rsid w:val="5B8552E9"/>
    <w:rsid w:val="5B8F1D50"/>
    <w:rsid w:val="5BB5C75F"/>
    <w:rsid w:val="5BB8DA97"/>
    <w:rsid w:val="5BCA1429"/>
    <w:rsid w:val="5BD1DF2E"/>
    <w:rsid w:val="5BD400EA"/>
    <w:rsid w:val="5BDAC92A"/>
    <w:rsid w:val="5BEC9285"/>
    <w:rsid w:val="5C0CEA27"/>
    <w:rsid w:val="5C108993"/>
    <w:rsid w:val="5C1F6E1C"/>
    <w:rsid w:val="5C34D906"/>
    <w:rsid w:val="5C458843"/>
    <w:rsid w:val="5C4A9488"/>
    <w:rsid w:val="5C4B804C"/>
    <w:rsid w:val="5C4DEB70"/>
    <w:rsid w:val="5C4E7D28"/>
    <w:rsid w:val="5C4F93BB"/>
    <w:rsid w:val="5C525A6D"/>
    <w:rsid w:val="5C611AD0"/>
    <w:rsid w:val="5C638AA0"/>
    <w:rsid w:val="5C7342C9"/>
    <w:rsid w:val="5C821B6D"/>
    <w:rsid w:val="5C878AE1"/>
    <w:rsid w:val="5CB0EEE7"/>
    <w:rsid w:val="5CC6A276"/>
    <w:rsid w:val="5CC79220"/>
    <w:rsid w:val="5CF56BDD"/>
    <w:rsid w:val="5D0D5A81"/>
    <w:rsid w:val="5D0F1337"/>
    <w:rsid w:val="5D131A99"/>
    <w:rsid w:val="5D27D1AF"/>
    <w:rsid w:val="5D41CD60"/>
    <w:rsid w:val="5D4587B0"/>
    <w:rsid w:val="5D45BD4C"/>
    <w:rsid w:val="5D51AA53"/>
    <w:rsid w:val="5D558F24"/>
    <w:rsid w:val="5D7DF81F"/>
    <w:rsid w:val="5DC6B210"/>
    <w:rsid w:val="5DCC79EF"/>
    <w:rsid w:val="5DDA698E"/>
    <w:rsid w:val="5DE65246"/>
    <w:rsid w:val="5DEE49E8"/>
    <w:rsid w:val="5DFA19AC"/>
    <w:rsid w:val="5DFBC234"/>
    <w:rsid w:val="5E0CCC0F"/>
    <w:rsid w:val="5E24600B"/>
    <w:rsid w:val="5E259A27"/>
    <w:rsid w:val="5E47B4EE"/>
    <w:rsid w:val="5E4D891D"/>
    <w:rsid w:val="5E6BCE06"/>
    <w:rsid w:val="5E79A66C"/>
    <w:rsid w:val="5E87C2A9"/>
    <w:rsid w:val="5E9E6BAC"/>
    <w:rsid w:val="5EA281BD"/>
    <w:rsid w:val="5EC3C123"/>
    <w:rsid w:val="5EC7B43E"/>
    <w:rsid w:val="5ED122C0"/>
    <w:rsid w:val="5EE68D3B"/>
    <w:rsid w:val="5EEDD7C8"/>
    <w:rsid w:val="5F0F1CBF"/>
    <w:rsid w:val="5F2B7468"/>
    <w:rsid w:val="5F37ACCA"/>
    <w:rsid w:val="5F3E188D"/>
    <w:rsid w:val="5F43E668"/>
    <w:rsid w:val="5F7659EC"/>
    <w:rsid w:val="5F7D56AF"/>
    <w:rsid w:val="5FA3FFD4"/>
    <w:rsid w:val="5FB89501"/>
    <w:rsid w:val="5FB8CAA2"/>
    <w:rsid w:val="5FBD176E"/>
    <w:rsid w:val="5FC0A8D1"/>
    <w:rsid w:val="5FC7C746"/>
    <w:rsid w:val="5FF06B34"/>
    <w:rsid w:val="5FFB2EC0"/>
    <w:rsid w:val="601030DE"/>
    <w:rsid w:val="6012881F"/>
    <w:rsid w:val="6014FD99"/>
    <w:rsid w:val="601C7C36"/>
    <w:rsid w:val="602B222C"/>
    <w:rsid w:val="602E713A"/>
    <w:rsid w:val="6030C74B"/>
    <w:rsid w:val="60407B98"/>
    <w:rsid w:val="60410F23"/>
    <w:rsid w:val="6042A2F2"/>
    <w:rsid w:val="604D3011"/>
    <w:rsid w:val="605009ED"/>
    <w:rsid w:val="60577CDB"/>
    <w:rsid w:val="6063F3BE"/>
    <w:rsid w:val="6082F431"/>
    <w:rsid w:val="60A3BE1B"/>
    <w:rsid w:val="60B3D353"/>
    <w:rsid w:val="60BBACC8"/>
    <w:rsid w:val="60D749D1"/>
    <w:rsid w:val="60DEB42A"/>
    <w:rsid w:val="60EEFBE0"/>
    <w:rsid w:val="60FC97BB"/>
    <w:rsid w:val="611A886A"/>
    <w:rsid w:val="6130BA70"/>
    <w:rsid w:val="61344A37"/>
    <w:rsid w:val="614133E9"/>
    <w:rsid w:val="6158C928"/>
    <w:rsid w:val="61598D1A"/>
    <w:rsid w:val="6162216F"/>
    <w:rsid w:val="61A52641"/>
    <w:rsid w:val="61A55795"/>
    <w:rsid w:val="61C9B709"/>
    <w:rsid w:val="61CD5B05"/>
    <w:rsid w:val="61E89A83"/>
    <w:rsid w:val="61EDDF12"/>
    <w:rsid w:val="6212FBE2"/>
    <w:rsid w:val="621FC033"/>
    <w:rsid w:val="62316330"/>
    <w:rsid w:val="623A3FC5"/>
    <w:rsid w:val="62460796"/>
    <w:rsid w:val="62520A9F"/>
    <w:rsid w:val="626A70B6"/>
    <w:rsid w:val="62A58566"/>
    <w:rsid w:val="62AA5ED1"/>
    <w:rsid w:val="62B07DFB"/>
    <w:rsid w:val="62BAC5B6"/>
    <w:rsid w:val="62D4E487"/>
    <w:rsid w:val="62EB8A48"/>
    <w:rsid w:val="62F5D07A"/>
    <w:rsid w:val="62F763F7"/>
    <w:rsid w:val="63292949"/>
    <w:rsid w:val="63391A57"/>
    <w:rsid w:val="6343BE50"/>
    <w:rsid w:val="635B236E"/>
    <w:rsid w:val="636243D0"/>
    <w:rsid w:val="636F58C5"/>
    <w:rsid w:val="6372F4F5"/>
    <w:rsid w:val="63891EE0"/>
    <w:rsid w:val="638FE71B"/>
    <w:rsid w:val="638FE832"/>
    <w:rsid w:val="6394A49C"/>
    <w:rsid w:val="6399D8C7"/>
    <w:rsid w:val="639C174C"/>
    <w:rsid w:val="63A2EF67"/>
    <w:rsid w:val="63A5C623"/>
    <w:rsid w:val="63AE487C"/>
    <w:rsid w:val="63B3CBA0"/>
    <w:rsid w:val="63D1F462"/>
    <w:rsid w:val="63D9F64A"/>
    <w:rsid w:val="63E77CA4"/>
    <w:rsid w:val="63FEDD55"/>
    <w:rsid w:val="64239C7C"/>
    <w:rsid w:val="642C6EE5"/>
    <w:rsid w:val="644374B0"/>
    <w:rsid w:val="64466BBC"/>
    <w:rsid w:val="644941B8"/>
    <w:rsid w:val="64595874"/>
    <w:rsid w:val="6490F627"/>
    <w:rsid w:val="64B93F2F"/>
    <w:rsid w:val="64BE0917"/>
    <w:rsid w:val="64D58487"/>
    <w:rsid w:val="64E40E18"/>
    <w:rsid w:val="64E4BA16"/>
    <w:rsid w:val="64E895EF"/>
    <w:rsid w:val="64EDF690"/>
    <w:rsid w:val="6501B8E3"/>
    <w:rsid w:val="65021CA1"/>
    <w:rsid w:val="65074AA3"/>
    <w:rsid w:val="65141545"/>
    <w:rsid w:val="655412C2"/>
    <w:rsid w:val="6559337E"/>
    <w:rsid w:val="656A5EC5"/>
    <w:rsid w:val="6574F1C1"/>
    <w:rsid w:val="65892F51"/>
    <w:rsid w:val="658F59B6"/>
    <w:rsid w:val="659589F5"/>
    <w:rsid w:val="65A017CE"/>
    <w:rsid w:val="65A2E6D3"/>
    <w:rsid w:val="65A931F6"/>
    <w:rsid w:val="65B8CE7C"/>
    <w:rsid w:val="65B9B833"/>
    <w:rsid w:val="65C41CD3"/>
    <w:rsid w:val="65CBBF49"/>
    <w:rsid w:val="65E12E7E"/>
    <w:rsid w:val="65E4B6CC"/>
    <w:rsid w:val="65E96A78"/>
    <w:rsid w:val="660605F3"/>
    <w:rsid w:val="66071734"/>
    <w:rsid w:val="6611D7C1"/>
    <w:rsid w:val="661E29FF"/>
    <w:rsid w:val="66264347"/>
    <w:rsid w:val="664E9DD9"/>
    <w:rsid w:val="66687808"/>
    <w:rsid w:val="667DA416"/>
    <w:rsid w:val="6681CDB8"/>
    <w:rsid w:val="6685A0E4"/>
    <w:rsid w:val="66CAC736"/>
    <w:rsid w:val="66CD3DFF"/>
    <w:rsid w:val="66D52E1C"/>
    <w:rsid w:val="66DFAEFC"/>
    <w:rsid w:val="66E4AEE3"/>
    <w:rsid w:val="66EECDCA"/>
    <w:rsid w:val="66F5314D"/>
    <w:rsid w:val="67135123"/>
    <w:rsid w:val="67178E81"/>
    <w:rsid w:val="6726EAFE"/>
    <w:rsid w:val="67284839"/>
    <w:rsid w:val="674CE9E0"/>
    <w:rsid w:val="67630D58"/>
    <w:rsid w:val="676A225B"/>
    <w:rsid w:val="67710E60"/>
    <w:rsid w:val="677AFA37"/>
    <w:rsid w:val="6796F443"/>
    <w:rsid w:val="67A1FB99"/>
    <w:rsid w:val="67A8CA78"/>
    <w:rsid w:val="67AF077E"/>
    <w:rsid w:val="67B894C6"/>
    <w:rsid w:val="67CF4EEE"/>
    <w:rsid w:val="67DA30A3"/>
    <w:rsid w:val="67E1EF16"/>
    <w:rsid w:val="67E591B1"/>
    <w:rsid w:val="681E3D1B"/>
    <w:rsid w:val="6827DA79"/>
    <w:rsid w:val="68320DBD"/>
    <w:rsid w:val="686E302B"/>
    <w:rsid w:val="6878818D"/>
    <w:rsid w:val="68846AA2"/>
    <w:rsid w:val="6885EFA9"/>
    <w:rsid w:val="68A262C0"/>
    <w:rsid w:val="68DFF97A"/>
    <w:rsid w:val="68ED5039"/>
    <w:rsid w:val="68F0590E"/>
    <w:rsid w:val="6904DA5A"/>
    <w:rsid w:val="69139536"/>
    <w:rsid w:val="6923388F"/>
    <w:rsid w:val="692664A3"/>
    <w:rsid w:val="69267F4C"/>
    <w:rsid w:val="69483393"/>
    <w:rsid w:val="694D3E63"/>
    <w:rsid w:val="69648FF4"/>
    <w:rsid w:val="696C0CB1"/>
    <w:rsid w:val="6978CB9A"/>
    <w:rsid w:val="69988C03"/>
    <w:rsid w:val="69A9489D"/>
    <w:rsid w:val="69AC2383"/>
    <w:rsid w:val="69D501A9"/>
    <w:rsid w:val="69DDD90D"/>
    <w:rsid w:val="69F86EA9"/>
    <w:rsid w:val="6A0D5E86"/>
    <w:rsid w:val="6A2B9150"/>
    <w:rsid w:val="6A41DF08"/>
    <w:rsid w:val="6A45F4B7"/>
    <w:rsid w:val="6A4C65A5"/>
    <w:rsid w:val="6A5013BE"/>
    <w:rsid w:val="6A54073D"/>
    <w:rsid w:val="6A6F8F4C"/>
    <w:rsid w:val="6A6FBDB4"/>
    <w:rsid w:val="6A7A10EE"/>
    <w:rsid w:val="6A7CF7A5"/>
    <w:rsid w:val="6A7D8A47"/>
    <w:rsid w:val="6A8A1DEE"/>
    <w:rsid w:val="6AB155A0"/>
    <w:rsid w:val="6AB6BB3B"/>
    <w:rsid w:val="6AB94AF7"/>
    <w:rsid w:val="6B2A896E"/>
    <w:rsid w:val="6B6268EF"/>
    <w:rsid w:val="6B68755A"/>
    <w:rsid w:val="6B6AC89C"/>
    <w:rsid w:val="6B6DFDAF"/>
    <w:rsid w:val="6B77361A"/>
    <w:rsid w:val="6B79F2F2"/>
    <w:rsid w:val="6B81178E"/>
    <w:rsid w:val="6B857F8B"/>
    <w:rsid w:val="6BABEE2D"/>
    <w:rsid w:val="6BAE8E19"/>
    <w:rsid w:val="6BD0116C"/>
    <w:rsid w:val="6BDD7F6E"/>
    <w:rsid w:val="6BF91B8B"/>
    <w:rsid w:val="6BFA1FB2"/>
    <w:rsid w:val="6C151EA4"/>
    <w:rsid w:val="6C44BC84"/>
    <w:rsid w:val="6C44D8E4"/>
    <w:rsid w:val="6C4E8319"/>
    <w:rsid w:val="6C5B3A42"/>
    <w:rsid w:val="6C85C306"/>
    <w:rsid w:val="6C8CBA3D"/>
    <w:rsid w:val="6CA4E93B"/>
    <w:rsid w:val="6CBC4CFD"/>
    <w:rsid w:val="6CC29D47"/>
    <w:rsid w:val="6CC85535"/>
    <w:rsid w:val="6CD80032"/>
    <w:rsid w:val="6CDA326A"/>
    <w:rsid w:val="6D19A1A2"/>
    <w:rsid w:val="6D4AD8AF"/>
    <w:rsid w:val="6D4EA454"/>
    <w:rsid w:val="6D596BF8"/>
    <w:rsid w:val="6D615964"/>
    <w:rsid w:val="6D68190F"/>
    <w:rsid w:val="6D6EC2A3"/>
    <w:rsid w:val="6D7B588C"/>
    <w:rsid w:val="6D7C6E5E"/>
    <w:rsid w:val="6D8BC299"/>
    <w:rsid w:val="6D8ED60E"/>
    <w:rsid w:val="6D8F3F39"/>
    <w:rsid w:val="6D9A6E44"/>
    <w:rsid w:val="6DA0B4ED"/>
    <w:rsid w:val="6DA2264B"/>
    <w:rsid w:val="6DBC04A5"/>
    <w:rsid w:val="6DC25B72"/>
    <w:rsid w:val="6DD4656A"/>
    <w:rsid w:val="6DDC3FF7"/>
    <w:rsid w:val="6DDF89B5"/>
    <w:rsid w:val="6DF23378"/>
    <w:rsid w:val="6DFF66CF"/>
    <w:rsid w:val="6E0EE3AE"/>
    <w:rsid w:val="6E14A7E9"/>
    <w:rsid w:val="6E255A27"/>
    <w:rsid w:val="6E2EC11F"/>
    <w:rsid w:val="6E388EAC"/>
    <w:rsid w:val="6E434A73"/>
    <w:rsid w:val="6E4D602E"/>
    <w:rsid w:val="6E53955A"/>
    <w:rsid w:val="6E734699"/>
    <w:rsid w:val="6E8565CF"/>
    <w:rsid w:val="6E861962"/>
    <w:rsid w:val="6EA181DA"/>
    <w:rsid w:val="6EB77841"/>
    <w:rsid w:val="6EBBA4C9"/>
    <w:rsid w:val="6EBC647D"/>
    <w:rsid w:val="6EC814DE"/>
    <w:rsid w:val="6EDD7C50"/>
    <w:rsid w:val="6EE3EE45"/>
    <w:rsid w:val="6EF852FC"/>
    <w:rsid w:val="6F1B94FC"/>
    <w:rsid w:val="6F34FAD3"/>
    <w:rsid w:val="6F4271CF"/>
    <w:rsid w:val="6F5AAA7A"/>
    <w:rsid w:val="6F602DC4"/>
    <w:rsid w:val="6F75516E"/>
    <w:rsid w:val="6F953B26"/>
    <w:rsid w:val="6F9B6E8B"/>
    <w:rsid w:val="6FA7BE5D"/>
    <w:rsid w:val="6FAA728C"/>
    <w:rsid w:val="6FBF40EB"/>
    <w:rsid w:val="6FCB8677"/>
    <w:rsid w:val="700F32DC"/>
    <w:rsid w:val="70112AE1"/>
    <w:rsid w:val="701EFD44"/>
    <w:rsid w:val="7025386E"/>
    <w:rsid w:val="702E7E0F"/>
    <w:rsid w:val="702E8FA2"/>
    <w:rsid w:val="7042C825"/>
    <w:rsid w:val="704E7984"/>
    <w:rsid w:val="7054D7CA"/>
    <w:rsid w:val="706E3825"/>
    <w:rsid w:val="707C80B5"/>
    <w:rsid w:val="7087DA84"/>
    <w:rsid w:val="70AFE729"/>
    <w:rsid w:val="70D1E774"/>
    <w:rsid w:val="70E2516F"/>
    <w:rsid w:val="70E5C50B"/>
    <w:rsid w:val="70F81737"/>
    <w:rsid w:val="710B5827"/>
    <w:rsid w:val="711977E6"/>
    <w:rsid w:val="71296658"/>
    <w:rsid w:val="712C6147"/>
    <w:rsid w:val="713C2B22"/>
    <w:rsid w:val="7144E4FC"/>
    <w:rsid w:val="715F1F16"/>
    <w:rsid w:val="716396F6"/>
    <w:rsid w:val="71680A38"/>
    <w:rsid w:val="716A0B57"/>
    <w:rsid w:val="718ECBD5"/>
    <w:rsid w:val="7190B56F"/>
    <w:rsid w:val="7198C58B"/>
    <w:rsid w:val="719C7F8E"/>
    <w:rsid w:val="719D3365"/>
    <w:rsid w:val="71A38819"/>
    <w:rsid w:val="71A611E2"/>
    <w:rsid w:val="71B7BC81"/>
    <w:rsid w:val="71BA691F"/>
    <w:rsid w:val="71D67C9D"/>
    <w:rsid w:val="71D9744D"/>
    <w:rsid w:val="71EBE754"/>
    <w:rsid w:val="71F6BB50"/>
    <w:rsid w:val="7208CA44"/>
    <w:rsid w:val="720B5620"/>
    <w:rsid w:val="7215AF60"/>
    <w:rsid w:val="7241931F"/>
    <w:rsid w:val="725C1BE8"/>
    <w:rsid w:val="7261C712"/>
    <w:rsid w:val="728F03E0"/>
    <w:rsid w:val="729230D4"/>
    <w:rsid w:val="7295759E"/>
    <w:rsid w:val="7296E3F3"/>
    <w:rsid w:val="72ABE6AC"/>
    <w:rsid w:val="72AD591E"/>
    <w:rsid w:val="72E2B72D"/>
    <w:rsid w:val="72E4E819"/>
    <w:rsid w:val="72F6F6F5"/>
    <w:rsid w:val="7306214A"/>
    <w:rsid w:val="730FD79E"/>
    <w:rsid w:val="7317035C"/>
    <w:rsid w:val="73303889"/>
    <w:rsid w:val="7337634D"/>
    <w:rsid w:val="733FF524"/>
    <w:rsid w:val="73497B67"/>
    <w:rsid w:val="735957B8"/>
    <w:rsid w:val="735C4223"/>
    <w:rsid w:val="736037D4"/>
    <w:rsid w:val="736B4B5A"/>
    <w:rsid w:val="73725FE6"/>
    <w:rsid w:val="73A233E9"/>
    <w:rsid w:val="73BE492F"/>
    <w:rsid w:val="73F1522D"/>
    <w:rsid w:val="73F17BE2"/>
    <w:rsid w:val="7412B37D"/>
    <w:rsid w:val="74280F47"/>
    <w:rsid w:val="742DEAF4"/>
    <w:rsid w:val="743971E1"/>
    <w:rsid w:val="7476A595"/>
    <w:rsid w:val="7490019E"/>
    <w:rsid w:val="74A6E032"/>
    <w:rsid w:val="74BCF1E7"/>
    <w:rsid w:val="74D42050"/>
    <w:rsid w:val="74DFC135"/>
    <w:rsid w:val="75057B79"/>
    <w:rsid w:val="7506B2C3"/>
    <w:rsid w:val="75234D62"/>
    <w:rsid w:val="7523D7CC"/>
    <w:rsid w:val="752A1BD8"/>
    <w:rsid w:val="753B828D"/>
    <w:rsid w:val="7550E8A7"/>
    <w:rsid w:val="7560371B"/>
    <w:rsid w:val="7568BEC2"/>
    <w:rsid w:val="756FDE1F"/>
    <w:rsid w:val="757B0C65"/>
    <w:rsid w:val="7580463B"/>
    <w:rsid w:val="7587D7AF"/>
    <w:rsid w:val="75A4A835"/>
    <w:rsid w:val="75A62207"/>
    <w:rsid w:val="75B197AD"/>
    <w:rsid w:val="75CBC61F"/>
    <w:rsid w:val="75D29298"/>
    <w:rsid w:val="760D126D"/>
    <w:rsid w:val="761277C7"/>
    <w:rsid w:val="7629368A"/>
    <w:rsid w:val="76463E8A"/>
    <w:rsid w:val="764F3987"/>
    <w:rsid w:val="76547A30"/>
    <w:rsid w:val="766D3A20"/>
    <w:rsid w:val="766FF0B1"/>
    <w:rsid w:val="7675DC9F"/>
    <w:rsid w:val="767C588E"/>
    <w:rsid w:val="7698248D"/>
    <w:rsid w:val="769AD9B2"/>
    <w:rsid w:val="76A5B392"/>
    <w:rsid w:val="76B12E4C"/>
    <w:rsid w:val="76BAA58D"/>
    <w:rsid w:val="76C124A0"/>
    <w:rsid w:val="76CD8D90"/>
    <w:rsid w:val="76D57416"/>
    <w:rsid w:val="76DE7101"/>
    <w:rsid w:val="77108458"/>
    <w:rsid w:val="7724FFFC"/>
    <w:rsid w:val="773486F4"/>
    <w:rsid w:val="7744F319"/>
    <w:rsid w:val="774553AC"/>
    <w:rsid w:val="775119F5"/>
    <w:rsid w:val="77572C28"/>
    <w:rsid w:val="7767A58E"/>
    <w:rsid w:val="77727BE1"/>
    <w:rsid w:val="7787F6BC"/>
    <w:rsid w:val="77A233F5"/>
    <w:rsid w:val="77AD5EF6"/>
    <w:rsid w:val="77CEC616"/>
    <w:rsid w:val="77DF84B3"/>
    <w:rsid w:val="77EDDEA2"/>
    <w:rsid w:val="77EFCBAD"/>
    <w:rsid w:val="77FAF7C9"/>
    <w:rsid w:val="78145D15"/>
    <w:rsid w:val="78312444"/>
    <w:rsid w:val="7833A5B9"/>
    <w:rsid w:val="7847B6AF"/>
    <w:rsid w:val="78484889"/>
    <w:rsid w:val="784D3DC3"/>
    <w:rsid w:val="784DCCEF"/>
    <w:rsid w:val="78500930"/>
    <w:rsid w:val="7860580D"/>
    <w:rsid w:val="787B2D93"/>
    <w:rsid w:val="787DC168"/>
    <w:rsid w:val="78855121"/>
    <w:rsid w:val="789D2725"/>
    <w:rsid w:val="78A39DE6"/>
    <w:rsid w:val="78AF8295"/>
    <w:rsid w:val="78BCBA35"/>
    <w:rsid w:val="78C47C5D"/>
    <w:rsid w:val="78C73636"/>
    <w:rsid w:val="78DA9F9B"/>
    <w:rsid w:val="78DC4E64"/>
    <w:rsid w:val="78E7B5EA"/>
    <w:rsid w:val="78F6B3F6"/>
    <w:rsid w:val="790A1BB2"/>
    <w:rsid w:val="79119B3E"/>
    <w:rsid w:val="7911FAE1"/>
    <w:rsid w:val="7921D26F"/>
    <w:rsid w:val="79504130"/>
    <w:rsid w:val="79514A9D"/>
    <w:rsid w:val="796040DB"/>
    <w:rsid w:val="796DDD6C"/>
    <w:rsid w:val="7974A857"/>
    <w:rsid w:val="79821E02"/>
    <w:rsid w:val="79822FBF"/>
    <w:rsid w:val="798A3CD1"/>
    <w:rsid w:val="79930EC4"/>
    <w:rsid w:val="79A14057"/>
    <w:rsid w:val="79A3FA49"/>
    <w:rsid w:val="79A88801"/>
    <w:rsid w:val="79B9935B"/>
    <w:rsid w:val="79BA0C65"/>
    <w:rsid w:val="79BB2F55"/>
    <w:rsid w:val="79D7E1D0"/>
    <w:rsid w:val="79E9AEB0"/>
    <w:rsid w:val="79F683F8"/>
    <w:rsid w:val="79FBC390"/>
    <w:rsid w:val="7A115B0E"/>
    <w:rsid w:val="7A27D735"/>
    <w:rsid w:val="7A32788E"/>
    <w:rsid w:val="7A41C969"/>
    <w:rsid w:val="7A432B39"/>
    <w:rsid w:val="7A4D9F99"/>
    <w:rsid w:val="7A65D5AE"/>
    <w:rsid w:val="7A6B5E71"/>
    <w:rsid w:val="7A9A33F4"/>
    <w:rsid w:val="7A9E26AC"/>
    <w:rsid w:val="7AA54FEC"/>
    <w:rsid w:val="7AA8C04C"/>
    <w:rsid w:val="7AB4F7E2"/>
    <w:rsid w:val="7ABAB0ED"/>
    <w:rsid w:val="7ABEC3FE"/>
    <w:rsid w:val="7AC0C783"/>
    <w:rsid w:val="7AC95BA7"/>
    <w:rsid w:val="7AC96B7F"/>
    <w:rsid w:val="7AD261B0"/>
    <w:rsid w:val="7AD2D41E"/>
    <w:rsid w:val="7AD71294"/>
    <w:rsid w:val="7AE6CD9A"/>
    <w:rsid w:val="7AEE1008"/>
    <w:rsid w:val="7B059936"/>
    <w:rsid w:val="7B079A92"/>
    <w:rsid w:val="7B09ED92"/>
    <w:rsid w:val="7B0BFBE5"/>
    <w:rsid w:val="7B0CF80F"/>
    <w:rsid w:val="7B0EDB4D"/>
    <w:rsid w:val="7B249254"/>
    <w:rsid w:val="7B29319C"/>
    <w:rsid w:val="7B5247E1"/>
    <w:rsid w:val="7B58C68F"/>
    <w:rsid w:val="7B71B6C8"/>
    <w:rsid w:val="7B789ACF"/>
    <w:rsid w:val="7B7D05C7"/>
    <w:rsid w:val="7B8BB607"/>
    <w:rsid w:val="7B8D48F1"/>
    <w:rsid w:val="7B8FFA24"/>
    <w:rsid w:val="7B9742C3"/>
    <w:rsid w:val="7BB67059"/>
    <w:rsid w:val="7BBF5B38"/>
    <w:rsid w:val="7BC9AAA1"/>
    <w:rsid w:val="7BCE451A"/>
    <w:rsid w:val="7BD2CA7C"/>
    <w:rsid w:val="7BD4872D"/>
    <w:rsid w:val="7BDF2DE4"/>
    <w:rsid w:val="7BDF336C"/>
    <w:rsid w:val="7BEFF574"/>
    <w:rsid w:val="7C096708"/>
    <w:rsid w:val="7C15416C"/>
    <w:rsid w:val="7C173715"/>
    <w:rsid w:val="7C1BE897"/>
    <w:rsid w:val="7C3E77B1"/>
    <w:rsid w:val="7C5D6A61"/>
    <w:rsid w:val="7C65FC49"/>
    <w:rsid w:val="7C68D433"/>
    <w:rsid w:val="7C7689B2"/>
    <w:rsid w:val="7C8663E1"/>
    <w:rsid w:val="7C86F0F7"/>
    <w:rsid w:val="7C8D2CA4"/>
    <w:rsid w:val="7C9EC54A"/>
    <w:rsid w:val="7CB113EA"/>
    <w:rsid w:val="7CB12896"/>
    <w:rsid w:val="7CBA3F98"/>
    <w:rsid w:val="7CCA5E4D"/>
    <w:rsid w:val="7CE4074C"/>
    <w:rsid w:val="7CF86B93"/>
    <w:rsid w:val="7D07F3EA"/>
    <w:rsid w:val="7D1A6E3A"/>
    <w:rsid w:val="7D1E9E78"/>
    <w:rsid w:val="7D2CEB75"/>
    <w:rsid w:val="7D2F5F75"/>
    <w:rsid w:val="7D3D74A3"/>
    <w:rsid w:val="7D4AC057"/>
    <w:rsid w:val="7D56FBE9"/>
    <w:rsid w:val="7D9693E1"/>
    <w:rsid w:val="7DAF79F1"/>
    <w:rsid w:val="7DE96CF7"/>
    <w:rsid w:val="7DF30114"/>
    <w:rsid w:val="7E0B694B"/>
    <w:rsid w:val="7E280711"/>
    <w:rsid w:val="7E2FD373"/>
    <w:rsid w:val="7E36BABD"/>
    <w:rsid w:val="7E4F309A"/>
    <w:rsid w:val="7E59E171"/>
    <w:rsid w:val="7E6C56D5"/>
    <w:rsid w:val="7E6CC1B9"/>
    <w:rsid w:val="7E70CF9C"/>
    <w:rsid w:val="7E7271B2"/>
    <w:rsid w:val="7EA66FD5"/>
    <w:rsid w:val="7EADF6C4"/>
    <w:rsid w:val="7ECD169B"/>
    <w:rsid w:val="7ED787F8"/>
    <w:rsid w:val="7EE6EAE6"/>
    <w:rsid w:val="7EF3723F"/>
    <w:rsid w:val="7EF92B0E"/>
    <w:rsid w:val="7EFB7E2F"/>
    <w:rsid w:val="7F0DFD64"/>
    <w:rsid w:val="7F10065D"/>
    <w:rsid w:val="7F2C8A2B"/>
    <w:rsid w:val="7F353C77"/>
    <w:rsid w:val="7F4FFA19"/>
    <w:rsid w:val="7F501BB5"/>
    <w:rsid w:val="7F690682"/>
    <w:rsid w:val="7F708D6F"/>
    <w:rsid w:val="7F77A237"/>
    <w:rsid w:val="7F8E9DF7"/>
    <w:rsid w:val="7F98BDF4"/>
    <w:rsid w:val="7FA6DBCA"/>
    <w:rsid w:val="7FB613D9"/>
    <w:rsid w:val="7FD5A9FC"/>
    <w:rsid w:val="7FF8DA97"/>
    <w:rsid w:val="7FFD32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3B0DBB"/>
  <w15:docId w15:val="{1C056D19-F808-40DD-8BF1-4450D8E83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B99"/>
  </w:style>
  <w:style w:type="paragraph" w:styleId="Heading1">
    <w:name w:val="heading 1"/>
    <w:basedOn w:val="Normal"/>
    <w:next w:val="Normal"/>
    <w:link w:val="Heading1Char"/>
    <w:uiPriority w:val="9"/>
    <w:qFormat/>
    <w:rsid w:val="003D510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D510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D510B"/>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3D510B"/>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3D510B"/>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3D510B"/>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3D510B"/>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3D510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D510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totop">
    <w:name w:val="Back to top"/>
    <w:basedOn w:val="Normal"/>
    <w:next w:val="Normal"/>
    <w:rsid w:val="00A7340E"/>
  </w:style>
  <w:style w:type="paragraph" w:customStyle="1" w:styleId="HorizontalLine">
    <w:name w:val="Horizontal Line"/>
    <w:basedOn w:val="Normal"/>
    <w:rsid w:val="00A7340E"/>
  </w:style>
  <w:style w:type="paragraph" w:customStyle="1" w:styleId="ParagraphImageWrapLeft">
    <w:name w:val="Paragraph Image Wrap Left"/>
    <w:basedOn w:val="Normal"/>
    <w:rsid w:val="00A7340E"/>
  </w:style>
  <w:style w:type="paragraph" w:customStyle="1" w:styleId="ParagraphImageWrapRight">
    <w:name w:val="Paragraph Image Wrap Right"/>
    <w:basedOn w:val="Normal"/>
    <w:rsid w:val="00A7340E"/>
  </w:style>
  <w:style w:type="paragraph" w:customStyle="1" w:styleId="Summary">
    <w:name w:val="Summary"/>
    <w:basedOn w:val="Normal"/>
    <w:rsid w:val="00A7340E"/>
    <w:pPr>
      <w:spacing w:after="77"/>
      <w:ind w:left="129" w:right="129"/>
    </w:pPr>
    <w:rPr>
      <w:rFonts w:ascii="Verdana" w:hAnsi="Verdana"/>
      <w:color w:val="666666"/>
      <w:sz w:val="15"/>
      <w:szCs w:val="15"/>
    </w:rPr>
  </w:style>
  <w:style w:type="table" w:customStyle="1" w:styleId="TableDFID">
    <w:name w:val="Table DFID"/>
    <w:basedOn w:val="TableNormal"/>
    <w:rsid w:val="00A7340E"/>
    <w:rPr>
      <w:rFonts w:ascii="Arial Black" w:hAnsi="Arial Blac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Calibri" w:hAnsi="Calibri"/>
        <w:b w:val="0"/>
        <w:bCs/>
        <w:color w:val="FFFFFF"/>
        <w:sz w:val="20"/>
      </w:rPr>
      <w:tblPr/>
      <w:tcPr>
        <w:shd w:val="clear" w:color="auto" w:fill="006699"/>
      </w:tcPr>
    </w:tblStylePr>
    <w:tblStylePr w:type="lastRow">
      <w:rPr>
        <w:rFonts w:ascii="Calibri" w:hAnsi="Calibri"/>
        <w:b w:val="0"/>
        <w:color w:val="auto"/>
        <w:sz w:val="20"/>
      </w:rPr>
      <w:tblPr/>
      <w:tcPr>
        <w:shd w:val="clear" w:color="auto" w:fill="FFFFFF"/>
      </w:tcPr>
    </w:tblStylePr>
    <w:tblStylePr w:type="firstCol">
      <w:rPr>
        <w:rFonts w:ascii="Calibri" w:hAnsi="Calibri"/>
        <w:b w:val="0"/>
        <w:color w:val="FFFFFF"/>
        <w:sz w:val="20"/>
      </w:rPr>
      <w:tblPr/>
      <w:tcPr>
        <w:shd w:val="clear" w:color="auto" w:fill="006699"/>
      </w:tcPr>
    </w:tblStylePr>
    <w:tblStylePr w:type="lastCol">
      <w:rPr>
        <w:rFonts w:ascii="Calibri" w:hAnsi="Calibri"/>
        <w:b w:val="0"/>
        <w:color w:val="auto"/>
        <w:sz w:val="20"/>
      </w:rPr>
      <w:tblPr/>
      <w:tcPr>
        <w:shd w:val="clear" w:color="auto" w:fill="FFFFFF"/>
      </w:tcPr>
    </w:tblStylePr>
  </w:style>
  <w:style w:type="paragraph" w:customStyle="1" w:styleId="TableDFIDEnd">
    <w:name w:val="Table DFID End"/>
    <w:basedOn w:val="Normal"/>
    <w:rsid w:val="00A7340E"/>
  </w:style>
  <w:style w:type="paragraph" w:customStyle="1" w:styleId="TableDFIDStart">
    <w:name w:val="Table DFID Start"/>
    <w:basedOn w:val="Normal"/>
    <w:rsid w:val="00A7340E"/>
  </w:style>
  <w:style w:type="paragraph" w:customStyle="1" w:styleId="TableHeadings">
    <w:name w:val="Table Headings"/>
    <w:basedOn w:val="Normal"/>
    <w:rsid w:val="00A7340E"/>
    <w:pPr>
      <w:spacing w:after="79"/>
    </w:pPr>
    <w:rPr>
      <w:b/>
      <w:bCs/>
      <w:color w:val="FFFFFF"/>
    </w:rPr>
  </w:style>
  <w:style w:type="table" w:customStyle="1" w:styleId="TableLayout">
    <w:name w:val="Table Layout"/>
    <w:basedOn w:val="TableNormal"/>
    <w:rsid w:val="00A7340E"/>
    <w:tblPr/>
  </w:style>
  <w:style w:type="character" w:styleId="CommentReference">
    <w:name w:val="annotation reference"/>
    <w:rsid w:val="0039040B"/>
    <w:rPr>
      <w:sz w:val="16"/>
      <w:szCs w:val="16"/>
    </w:rPr>
  </w:style>
  <w:style w:type="paragraph" w:styleId="CommentText">
    <w:name w:val="annotation text"/>
    <w:basedOn w:val="Normal"/>
    <w:link w:val="CommentTextChar"/>
    <w:rsid w:val="0039040B"/>
  </w:style>
  <w:style w:type="paragraph" w:styleId="CommentSubject">
    <w:name w:val="annotation subject"/>
    <w:basedOn w:val="CommentText"/>
    <w:next w:val="CommentText"/>
    <w:semiHidden/>
    <w:rsid w:val="0039040B"/>
    <w:rPr>
      <w:b/>
      <w:bCs/>
    </w:rPr>
  </w:style>
  <w:style w:type="paragraph" w:styleId="BalloonText">
    <w:name w:val="Balloon Text"/>
    <w:basedOn w:val="Normal"/>
    <w:semiHidden/>
    <w:rsid w:val="0039040B"/>
    <w:rPr>
      <w:rFonts w:ascii="Tahoma" w:hAnsi="Tahoma" w:cs="Tahoma"/>
      <w:sz w:val="16"/>
      <w:szCs w:val="16"/>
    </w:rPr>
  </w:style>
  <w:style w:type="paragraph" w:customStyle="1" w:styleId="Char">
    <w:name w:val="Char"/>
    <w:basedOn w:val="Normal"/>
    <w:rsid w:val="00A578D8"/>
    <w:pPr>
      <w:spacing w:after="160" w:line="240" w:lineRule="exact"/>
    </w:pPr>
    <w:rPr>
      <w:rFonts w:ascii="Verdana" w:hAnsi="Verdana"/>
      <w:lang w:val="en-US"/>
    </w:rPr>
  </w:style>
  <w:style w:type="table" w:styleId="TableGrid">
    <w:name w:val="Table Grid"/>
    <w:basedOn w:val="TableNormal"/>
    <w:uiPriority w:val="39"/>
    <w:rsid w:val="00A57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0"/>
    <w:basedOn w:val="Normal"/>
    <w:rsid w:val="00885FC4"/>
    <w:pPr>
      <w:spacing w:after="160" w:line="240" w:lineRule="exact"/>
    </w:pPr>
    <w:rPr>
      <w:rFonts w:ascii="Verdana" w:hAnsi="Verdana"/>
      <w:lang w:val="en-US"/>
    </w:rPr>
  </w:style>
  <w:style w:type="paragraph" w:styleId="Header">
    <w:name w:val="header"/>
    <w:basedOn w:val="Normal"/>
    <w:rsid w:val="006F7625"/>
    <w:pPr>
      <w:tabs>
        <w:tab w:val="center" w:pos="4153"/>
        <w:tab w:val="right" w:pos="8306"/>
      </w:tabs>
    </w:pPr>
  </w:style>
  <w:style w:type="paragraph" w:styleId="Footer">
    <w:name w:val="footer"/>
    <w:basedOn w:val="Normal"/>
    <w:rsid w:val="006F7625"/>
    <w:pPr>
      <w:tabs>
        <w:tab w:val="center" w:pos="4153"/>
        <w:tab w:val="right" w:pos="8306"/>
      </w:tabs>
    </w:pPr>
  </w:style>
  <w:style w:type="character" w:styleId="Strong">
    <w:name w:val="Strong"/>
    <w:uiPriority w:val="22"/>
    <w:qFormat/>
    <w:rsid w:val="003D510B"/>
    <w:rPr>
      <w:b/>
      <w:bCs/>
    </w:rPr>
  </w:style>
  <w:style w:type="character" w:styleId="PageNumber">
    <w:name w:val="page number"/>
    <w:basedOn w:val="DefaultParagraphFont"/>
    <w:rsid w:val="00872E03"/>
  </w:style>
  <w:style w:type="table" w:styleId="TableList4">
    <w:name w:val="Table List 4"/>
    <w:basedOn w:val="TableNormal"/>
    <w:rsid w:val="00C43D3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3">
    <w:name w:val="Table Grid 3"/>
    <w:basedOn w:val="TableNormal"/>
    <w:rsid w:val="009820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Theme">
    <w:name w:val="Table Theme"/>
    <w:basedOn w:val="TableNormal"/>
    <w:rsid w:val="002E1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List Paragraph1,Numbered Para 1,List Paragraph12,Bullet Points,MAIN CONTENT,Colorful List - Accent 11,Bullet 1,F5 List Paragraph,OBC Bullet,List Paragraph11,Normal numbered,L"/>
    <w:basedOn w:val="Normal"/>
    <w:link w:val="ListParagraphChar"/>
    <w:uiPriority w:val="34"/>
    <w:qFormat/>
    <w:rsid w:val="00C84A5F"/>
    <w:pPr>
      <w:ind w:left="720"/>
      <w:contextualSpacing/>
    </w:pPr>
  </w:style>
  <w:style w:type="character" w:customStyle="1" w:styleId="Heading1Char">
    <w:name w:val="Heading 1 Char"/>
    <w:basedOn w:val="DefaultParagraphFont"/>
    <w:link w:val="Heading1"/>
    <w:uiPriority w:val="9"/>
    <w:rsid w:val="003D510B"/>
    <w:rPr>
      <w:caps/>
      <w:color w:val="FFFFFF" w:themeColor="background1"/>
      <w:spacing w:val="15"/>
      <w:sz w:val="22"/>
      <w:szCs w:val="22"/>
      <w:shd w:val="clear" w:color="auto" w:fill="4F81BD" w:themeFill="accent1"/>
    </w:rPr>
  </w:style>
  <w:style w:type="paragraph" w:styleId="TOCHeading">
    <w:name w:val="TOC Heading"/>
    <w:basedOn w:val="Heading1"/>
    <w:next w:val="Normal"/>
    <w:uiPriority w:val="39"/>
    <w:unhideWhenUsed/>
    <w:qFormat/>
    <w:rsid w:val="003D510B"/>
    <w:pPr>
      <w:outlineLvl w:val="9"/>
    </w:pPr>
  </w:style>
  <w:style w:type="paragraph" w:styleId="TOC2">
    <w:name w:val="toc 2"/>
    <w:basedOn w:val="Normal"/>
    <w:next w:val="Normal"/>
    <w:autoRedefine/>
    <w:uiPriority w:val="39"/>
    <w:unhideWhenUsed/>
    <w:rsid w:val="006E546B"/>
    <w:pPr>
      <w:numPr>
        <w:ilvl w:val="1"/>
        <w:numId w:val="4"/>
      </w:numPr>
      <w:tabs>
        <w:tab w:val="right" w:leader="dot" w:pos="9710"/>
      </w:tabs>
      <w:spacing w:before="0" w:after="0" w:line="240" w:lineRule="auto"/>
    </w:pPr>
  </w:style>
  <w:style w:type="character" w:styleId="Hyperlink">
    <w:name w:val="Hyperlink"/>
    <w:basedOn w:val="DefaultParagraphFont"/>
    <w:uiPriority w:val="99"/>
    <w:unhideWhenUsed/>
    <w:rsid w:val="00A43803"/>
    <w:rPr>
      <w:color w:val="0000FF" w:themeColor="hyperlink"/>
      <w:u w:val="single"/>
    </w:rPr>
  </w:style>
  <w:style w:type="paragraph" w:styleId="TOC1">
    <w:name w:val="toc 1"/>
    <w:basedOn w:val="Normal"/>
    <w:next w:val="Normal"/>
    <w:autoRedefine/>
    <w:uiPriority w:val="39"/>
    <w:unhideWhenUsed/>
    <w:rsid w:val="0038632D"/>
    <w:pPr>
      <w:tabs>
        <w:tab w:val="left" w:pos="567"/>
        <w:tab w:val="right" w:leader="dot" w:pos="10194"/>
      </w:tabs>
      <w:spacing w:after="100"/>
    </w:pPr>
  </w:style>
  <w:style w:type="character" w:customStyle="1" w:styleId="Heading2Char">
    <w:name w:val="Heading 2 Char"/>
    <w:basedOn w:val="DefaultParagraphFont"/>
    <w:link w:val="Heading2"/>
    <w:uiPriority w:val="9"/>
    <w:rsid w:val="003D510B"/>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3D510B"/>
    <w:rPr>
      <w:caps/>
      <w:color w:val="243F60" w:themeColor="accent1" w:themeShade="7F"/>
      <w:spacing w:val="15"/>
    </w:rPr>
  </w:style>
  <w:style w:type="character" w:customStyle="1" w:styleId="Heading4Char">
    <w:name w:val="Heading 4 Char"/>
    <w:basedOn w:val="DefaultParagraphFont"/>
    <w:link w:val="Heading4"/>
    <w:uiPriority w:val="9"/>
    <w:rsid w:val="003D510B"/>
    <w:rPr>
      <w:caps/>
      <w:color w:val="365F91" w:themeColor="accent1" w:themeShade="BF"/>
      <w:spacing w:val="10"/>
    </w:rPr>
  </w:style>
  <w:style w:type="character" w:customStyle="1" w:styleId="Heading5Char">
    <w:name w:val="Heading 5 Char"/>
    <w:basedOn w:val="DefaultParagraphFont"/>
    <w:link w:val="Heading5"/>
    <w:uiPriority w:val="9"/>
    <w:semiHidden/>
    <w:rsid w:val="003D510B"/>
    <w:rPr>
      <w:caps/>
      <w:color w:val="365F91" w:themeColor="accent1" w:themeShade="BF"/>
      <w:spacing w:val="10"/>
    </w:rPr>
  </w:style>
  <w:style w:type="character" w:customStyle="1" w:styleId="Heading6Char">
    <w:name w:val="Heading 6 Char"/>
    <w:basedOn w:val="DefaultParagraphFont"/>
    <w:link w:val="Heading6"/>
    <w:uiPriority w:val="9"/>
    <w:semiHidden/>
    <w:rsid w:val="003D510B"/>
    <w:rPr>
      <w:caps/>
      <w:color w:val="365F91" w:themeColor="accent1" w:themeShade="BF"/>
      <w:spacing w:val="10"/>
    </w:rPr>
  </w:style>
  <w:style w:type="character" w:customStyle="1" w:styleId="Heading7Char">
    <w:name w:val="Heading 7 Char"/>
    <w:basedOn w:val="DefaultParagraphFont"/>
    <w:link w:val="Heading7"/>
    <w:uiPriority w:val="9"/>
    <w:semiHidden/>
    <w:rsid w:val="003D510B"/>
    <w:rPr>
      <w:caps/>
      <w:color w:val="365F91" w:themeColor="accent1" w:themeShade="BF"/>
      <w:spacing w:val="10"/>
    </w:rPr>
  </w:style>
  <w:style w:type="character" w:customStyle="1" w:styleId="Heading8Char">
    <w:name w:val="Heading 8 Char"/>
    <w:basedOn w:val="DefaultParagraphFont"/>
    <w:link w:val="Heading8"/>
    <w:uiPriority w:val="9"/>
    <w:semiHidden/>
    <w:rsid w:val="003D510B"/>
    <w:rPr>
      <w:caps/>
      <w:spacing w:val="10"/>
      <w:sz w:val="18"/>
      <w:szCs w:val="18"/>
    </w:rPr>
  </w:style>
  <w:style w:type="character" w:customStyle="1" w:styleId="Heading9Char">
    <w:name w:val="Heading 9 Char"/>
    <w:basedOn w:val="DefaultParagraphFont"/>
    <w:link w:val="Heading9"/>
    <w:uiPriority w:val="9"/>
    <w:semiHidden/>
    <w:rsid w:val="003D510B"/>
    <w:rPr>
      <w:i/>
      <w:iCs/>
      <w:caps/>
      <w:spacing w:val="10"/>
      <w:sz w:val="18"/>
      <w:szCs w:val="18"/>
    </w:rPr>
  </w:style>
  <w:style w:type="paragraph" w:styleId="Caption">
    <w:name w:val="caption"/>
    <w:basedOn w:val="Normal"/>
    <w:next w:val="Normal"/>
    <w:uiPriority w:val="35"/>
    <w:semiHidden/>
    <w:unhideWhenUsed/>
    <w:qFormat/>
    <w:rsid w:val="003D510B"/>
    <w:rPr>
      <w:b/>
      <w:bCs/>
      <w:color w:val="365F91" w:themeColor="accent1" w:themeShade="BF"/>
      <w:sz w:val="16"/>
      <w:szCs w:val="16"/>
    </w:rPr>
  </w:style>
  <w:style w:type="paragraph" w:styleId="Title">
    <w:name w:val="Title"/>
    <w:basedOn w:val="Normal"/>
    <w:next w:val="Normal"/>
    <w:link w:val="TitleChar"/>
    <w:uiPriority w:val="10"/>
    <w:qFormat/>
    <w:rsid w:val="003D510B"/>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3D510B"/>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3D510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510B"/>
    <w:rPr>
      <w:caps/>
      <w:color w:val="595959" w:themeColor="text1" w:themeTint="A6"/>
      <w:spacing w:val="10"/>
      <w:sz w:val="21"/>
      <w:szCs w:val="21"/>
    </w:rPr>
  </w:style>
  <w:style w:type="character" w:styleId="Emphasis">
    <w:name w:val="Emphasis"/>
    <w:uiPriority w:val="20"/>
    <w:qFormat/>
    <w:rsid w:val="003D510B"/>
    <w:rPr>
      <w:caps/>
      <w:color w:val="243F60" w:themeColor="accent1" w:themeShade="7F"/>
      <w:spacing w:val="5"/>
    </w:rPr>
  </w:style>
  <w:style w:type="paragraph" w:styleId="NoSpacing">
    <w:name w:val="No Spacing"/>
    <w:uiPriority w:val="1"/>
    <w:qFormat/>
    <w:rsid w:val="003D510B"/>
    <w:pPr>
      <w:spacing w:after="0" w:line="240" w:lineRule="auto"/>
    </w:pPr>
  </w:style>
  <w:style w:type="paragraph" w:styleId="Quote">
    <w:name w:val="Quote"/>
    <w:basedOn w:val="Normal"/>
    <w:next w:val="Normal"/>
    <w:link w:val="QuoteChar"/>
    <w:uiPriority w:val="29"/>
    <w:qFormat/>
    <w:rsid w:val="003D510B"/>
    <w:rPr>
      <w:i/>
      <w:iCs/>
      <w:sz w:val="24"/>
      <w:szCs w:val="24"/>
    </w:rPr>
  </w:style>
  <w:style w:type="character" w:customStyle="1" w:styleId="QuoteChar">
    <w:name w:val="Quote Char"/>
    <w:basedOn w:val="DefaultParagraphFont"/>
    <w:link w:val="Quote"/>
    <w:uiPriority w:val="29"/>
    <w:rsid w:val="003D510B"/>
    <w:rPr>
      <w:i/>
      <w:iCs/>
      <w:sz w:val="24"/>
      <w:szCs w:val="24"/>
    </w:rPr>
  </w:style>
  <w:style w:type="paragraph" w:styleId="IntenseQuote">
    <w:name w:val="Intense Quote"/>
    <w:basedOn w:val="Normal"/>
    <w:next w:val="Normal"/>
    <w:link w:val="IntenseQuoteChar"/>
    <w:uiPriority w:val="30"/>
    <w:qFormat/>
    <w:rsid w:val="003D510B"/>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3D510B"/>
    <w:rPr>
      <w:color w:val="4F81BD" w:themeColor="accent1"/>
      <w:sz w:val="24"/>
      <w:szCs w:val="24"/>
    </w:rPr>
  </w:style>
  <w:style w:type="character" w:styleId="SubtleEmphasis">
    <w:name w:val="Subtle Emphasis"/>
    <w:uiPriority w:val="19"/>
    <w:qFormat/>
    <w:rsid w:val="003D510B"/>
    <w:rPr>
      <w:i/>
      <w:iCs/>
      <w:color w:val="243F60" w:themeColor="accent1" w:themeShade="7F"/>
    </w:rPr>
  </w:style>
  <w:style w:type="character" w:styleId="IntenseEmphasis">
    <w:name w:val="Intense Emphasis"/>
    <w:uiPriority w:val="21"/>
    <w:qFormat/>
    <w:rsid w:val="003D510B"/>
    <w:rPr>
      <w:b/>
      <w:bCs/>
      <w:caps/>
      <w:color w:val="243F60" w:themeColor="accent1" w:themeShade="7F"/>
      <w:spacing w:val="10"/>
    </w:rPr>
  </w:style>
  <w:style w:type="character" w:styleId="SubtleReference">
    <w:name w:val="Subtle Reference"/>
    <w:uiPriority w:val="31"/>
    <w:qFormat/>
    <w:rsid w:val="003D510B"/>
    <w:rPr>
      <w:b/>
      <w:bCs/>
      <w:color w:val="4F81BD" w:themeColor="accent1"/>
    </w:rPr>
  </w:style>
  <w:style w:type="character" w:styleId="IntenseReference">
    <w:name w:val="Intense Reference"/>
    <w:uiPriority w:val="32"/>
    <w:qFormat/>
    <w:rsid w:val="003D510B"/>
    <w:rPr>
      <w:b/>
      <w:bCs/>
      <w:i/>
      <w:iCs/>
      <w:caps/>
      <w:color w:val="4F81BD" w:themeColor="accent1"/>
    </w:rPr>
  </w:style>
  <w:style w:type="character" w:styleId="BookTitle">
    <w:name w:val="Book Title"/>
    <w:uiPriority w:val="33"/>
    <w:qFormat/>
    <w:rsid w:val="003D510B"/>
    <w:rPr>
      <w:b/>
      <w:bCs/>
      <w:i/>
      <w:iCs/>
      <w:spacing w:val="0"/>
    </w:rPr>
  </w:style>
  <w:style w:type="paragraph" w:customStyle="1" w:styleId="BCSectionTitles">
    <w:name w:val="BC Section Titles"/>
    <w:basedOn w:val="Normal"/>
    <w:link w:val="BCSectionTitlesChar"/>
    <w:qFormat/>
    <w:rsid w:val="003A1D7B"/>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5865"/>
      </w:tabs>
    </w:pPr>
    <w:rPr>
      <w:b/>
      <w:sz w:val="28"/>
    </w:rPr>
  </w:style>
  <w:style w:type="character" w:customStyle="1" w:styleId="BCSectionTitlesChar">
    <w:name w:val="BC Section Titles Char"/>
    <w:basedOn w:val="DefaultParagraphFont"/>
    <w:link w:val="BCSectionTitles"/>
    <w:rsid w:val="003A1D7B"/>
    <w:rPr>
      <w:b/>
      <w:sz w:val="28"/>
      <w:shd w:val="clear" w:color="auto" w:fill="DBE5F1" w:themeFill="accent1" w:themeFillTint="33"/>
    </w:rPr>
  </w:style>
  <w:style w:type="character" w:styleId="UnresolvedMention">
    <w:name w:val="Unresolved Mention"/>
    <w:basedOn w:val="DefaultParagraphFont"/>
    <w:uiPriority w:val="99"/>
    <w:semiHidden/>
    <w:unhideWhenUsed/>
    <w:rsid w:val="009451DF"/>
    <w:rPr>
      <w:color w:val="605E5C"/>
      <w:shd w:val="clear" w:color="auto" w:fill="E1DFDD"/>
    </w:rPr>
  </w:style>
  <w:style w:type="paragraph" w:customStyle="1" w:styleId="paragraph">
    <w:name w:val="paragraph"/>
    <w:basedOn w:val="Normal"/>
    <w:link w:val="paragraphChar"/>
    <w:rsid w:val="00311ABA"/>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11ABA"/>
  </w:style>
  <w:style w:type="character" w:customStyle="1" w:styleId="eop">
    <w:name w:val="eop"/>
    <w:basedOn w:val="DefaultParagraphFont"/>
    <w:rsid w:val="00311ABA"/>
  </w:style>
  <w:style w:type="character" w:styleId="Mention">
    <w:name w:val="Mention"/>
    <w:basedOn w:val="DefaultParagraphFont"/>
    <w:uiPriority w:val="99"/>
    <w:unhideWhenUsed/>
    <w:rPr>
      <w:color w:val="2B579A"/>
      <w:shd w:val="clear" w:color="auto" w:fill="E6E6E6"/>
    </w:rPr>
  </w:style>
  <w:style w:type="character" w:styleId="SmartLink">
    <w:name w:val="Smart Link"/>
    <w:basedOn w:val="DefaultParagraphFont"/>
    <w:uiPriority w:val="99"/>
    <w:semiHidden/>
    <w:unhideWhenUsed/>
    <w:rsid w:val="0008253D"/>
    <w:rPr>
      <w:color w:val="0000FF"/>
      <w:u w:val="single"/>
      <w:shd w:val="clear" w:color="auto" w:fill="F3F2F1"/>
    </w:rPr>
  </w:style>
  <w:style w:type="paragraph" w:customStyle="1" w:styleId="BCTemplate">
    <w:name w:val="BC Template"/>
    <w:basedOn w:val="TOC2"/>
    <w:link w:val="BCTemplateChar"/>
    <w:qFormat/>
    <w:rsid w:val="00A05881"/>
    <w:pPr>
      <w:ind w:left="1080" w:hanging="360"/>
    </w:pPr>
    <w:rPr>
      <w:i/>
      <w:iCs/>
      <w:noProof/>
    </w:rPr>
  </w:style>
  <w:style w:type="character" w:customStyle="1" w:styleId="BCTemplateChar">
    <w:name w:val="BC Template Char"/>
    <w:basedOn w:val="DefaultParagraphFont"/>
    <w:link w:val="BCTemplate"/>
    <w:rsid w:val="00A05881"/>
    <w:rPr>
      <w:i/>
      <w:iCs/>
      <w:noProof/>
    </w:rPr>
  </w:style>
  <w:style w:type="paragraph" w:styleId="Revision">
    <w:name w:val="Revision"/>
    <w:hidden/>
    <w:uiPriority w:val="99"/>
    <w:semiHidden/>
    <w:rsid w:val="00D710F1"/>
    <w:pPr>
      <w:spacing w:before="0" w:after="0" w:line="240" w:lineRule="auto"/>
    </w:pPr>
  </w:style>
  <w:style w:type="character" w:styleId="FollowedHyperlink">
    <w:name w:val="FollowedHyperlink"/>
    <w:basedOn w:val="DefaultParagraphFont"/>
    <w:semiHidden/>
    <w:unhideWhenUsed/>
    <w:rsid w:val="00D710F1"/>
    <w:rPr>
      <w:color w:val="800080" w:themeColor="followedHyperlink"/>
      <w:u w:val="single"/>
    </w:rPr>
  </w:style>
  <w:style w:type="paragraph" w:customStyle="1" w:styleId="pf0">
    <w:name w:val="pf0"/>
    <w:basedOn w:val="Normal"/>
    <w:rsid w:val="00D7570A"/>
    <w:pPr>
      <w:spacing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D7570A"/>
    <w:rPr>
      <w:rFonts w:ascii="Segoe UI" w:hAnsi="Segoe UI" w:cs="Segoe UI" w:hint="default"/>
      <w:sz w:val="18"/>
      <w:szCs w:val="18"/>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Colorful List - Accent 11 Char,Bullet 1 Char"/>
    <w:link w:val="ListParagraph"/>
    <w:uiPriority w:val="34"/>
    <w:qFormat/>
    <w:locked/>
    <w:rsid w:val="00FC6330"/>
  </w:style>
  <w:style w:type="character" w:customStyle="1" w:styleId="CommentTextChar">
    <w:name w:val="Comment Text Char"/>
    <w:basedOn w:val="DefaultParagraphFont"/>
    <w:link w:val="CommentText"/>
    <w:uiPriority w:val="99"/>
    <w:rsid w:val="00FC6330"/>
  </w:style>
  <w:style w:type="character" w:customStyle="1" w:styleId="superscript">
    <w:name w:val="superscript"/>
    <w:basedOn w:val="DefaultParagraphFont"/>
    <w:rsid w:val="00901B22"/>
  </w:style>
  <w:style w:type="paragraph" w:styleId="FootnoteText">
    <w:name w:val="footnote text"/>
    <w:basedOn w:val="Normal"/>
    <w:link w:val="FootnoteTextChar"/>
    <w:semiHidden/>
    <w:unhideWhenUsed/>
    <w:rsid w:val="004574D8"/>
    <w:pPr>
      <w:spacing w:before="0" w:after="0" w:line="240" w:lineRule="auto"/>
    </w:pPr>
  </w:style>
  <w:style w:type="character" w:customStyle="1" w:styleId="FootnoteTextChar">
    <w:name w:val="Footnote Text Char"/>
    <w:basedOn w:val="DefaultParagraphFont"/>
    <w:link w:val="FootnoteText"/>
    <w:semiHidden/>
    <w:rsid w:val="004574D8"/>
  </w:style>
  <w:style w:type="character" w:styleId="FootnoteReference">
    <w:name w:val="footnote reference"/>
    <w:basedOn w:val="DefaultParagraphFont"/>
    <w:semiHidden/>
    <w:unhideWhenUsed/>
    <w:rsid w:val="004574D8"/>
    <w:rPr>
      <w:vertAlign w:val="superscript"/>
    </w:rPr>
  </w:style>
  <w:style w:type="paragraph" w:customStyle="1" w:styleId="Style1">
    <w:name w:val="Style1"/>
    <w:basedOn w:val="ListParagraph"/>
    <w:link w:val="Style1Char"/>
    <w:qFormat/>
    <w:rsid w:val="00D72FCF"/>
    <w:pPr>
      <w:numPr>
        <w:ilvl w:val="1"/>
        <w:numId w:val="3"/>
      </w:numPr>
      <w:tabs>
        <w:tab w:val="right" w:leader="dot" w:pos="9710"/>
      </w:tabs>
      <w:spacing w:before="0" w:line="240" w:lineRule="auto"/>
      <w:contextualSpacing w:val="0"/>
    </w:pPr>
    <w:rPr>
      <w:b/>
      <w:bCs/>
      <w:i/>
      <w:iCs/>
      <w:sz w:val="22"/>
      <w:szCs w:val="22"/>
    </w:rPr>
  </w:style>
  <w:style w:type="character" w:customStyle="1" w:styleId="Style1Char">
    <w:name w:val="Style1 Char"/>
    <w:basedOn w:val="ListParagraphChar"/>
    <w:link w:val="Style1"/>
    <w:rsid w:val="00D72FCF"/>
    <w:rPr>
      <w:b/>
      <w:bCs/>
      <w:i/>
      <w:iCs/>
      <w:sz w:val="22"/>
      <w:szCs w:val="22"/>
    </w:rPr>
  </w:style>
  <w:style w:type="paragraph" w:customStyle="1" w:styleId="Style2">
    <w:name w:val="Style2"/>
    <w:basedOn w:val="paragraph"/>
    <w:link w:val="Style2Char"/>
    <w:qFormat/>
    <w:rsid w:val="009F467A"/>
    <w:pPr>
      <w:spacing w:before="0" w:beforeAutospacing="0" w:after="0" w:afterAutospacing="0"/>
      <w:ind w:left="284"/>
      <w:textAlignment w:val="baseline"/>
    </w:pPr>
    <w:rPr>
      <w:rFonts w:ascii="Calibri" w:hAnsi="Calibri" w:cs="Calibri"/>
      <w:sz w:val="22"/>
      <w:szCs w:val="22"/>
    </w:rPr>
  </w:style>
  <w:style w:type="character" w:customStyle="1" w:styleId="paragraphChar">
    <w:name w:val="paragraph Char"/>
    <w:basedOn w:val="DefaultParagraphFont"/>
    <w:link w:val="paragraph"/>
    <w:rsid w:val="009F467A"/>
    <w:rPr>
      <w:rFonts w:ascii="Times New Roman" w:eastAsia="Times New Roman" w:hAnsi="Times New Roman" w:cs="Times New Roman"/>
      <w:sz w:val="24"/>
      <w:szCs w:val="24"/>
    </w:rPr>
  </w:style>
  <w:style w:type="character" w:customStyle="1" w:styleId="Style2Char">
    <w:name w:val="Style2 Char"/>
    <w:basedOn w:val="paragraphChar"/>
    <w:link w:val="Style2"/>
    <w:rsid w:val="009F467A"/>
    <w:rPr>
      <w:rFonts w:ascii="Calibri" w:eastAsia="Times New Roman" w:hAnsi="Calibri" w:cs="Calibri"/>
      <w:sz w:val="22"/>
      <w:szCs w:val="22"/>
    </w:rPr>
  </w:style>
  <w:style w:type="paragraph" w:customStyle="1" w:styleId="Style3">
    <w:name w:val="Style3"/>
    <w:basedOn w:val="Normal"/>
    <w:link w:val="Style3Char"/>
    <w:qFormat/>
    <w:rsid w:val="006A43FC"/>
    <w:pPr>
      <w:numPr>
        <w:numId w:val="39"/>
      </w:numPr>
      <w:tabs>
        <w:tab w:val="right" w:leader="dot" w:pos="9710"/>
      </w:tabs>
      <w:spacing w:before="0" w:after="0" w:line="240" w:lineRule="auto"/>
    </w:pPr>
    <w:rPr>
      <w:sz w:val="22"/>
      <w:szCs w:val="22"/>
    </w:rPr>
  </w:style>
  <w:style w:type="character" w:customStyle="1" w:styleId="Style3Char">
    <w:name w:val="Style3 Char"/>
    <w:basedOn w:val="DefaultParagraphFont"/>
    <w:link w:val="Style3"/>
    <w:rsid w:val="006A43FC"/>
    <w:rPr>
      <w:sz w:val="22"/>
      <w:szCs w:val="22"/>
    </w:rPr>
  </w:style>
  <w:style w:type="character" w:customStyle="1" w:styleId="tabchar">
    <w:name w:val="tabchar"/>
    <w:basedOn w:val="DefaultParagraphFont"/>
    <w:rsid w:val="00996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37155">
      <w:bodyDiv w:val="1"/>
      <w:marLeft w:val="0"/>
      <w:marRight w:val="0"/>
      <w:marTop w:val="0"/>
      <w:marBottom w:val="0"/>
      <w:divBdr>
        <w:top w:val="none" w:sz="0" w:space="0" w:color="auto"/>
        <w:left w:val="none" w:sz="0" w:space="0" w:color="auto"/>
        <w:bottom w:val="none" w:sz="0" w:space="0" w:color="auto"/>
        <w:right w:val="none" w:sz="0" w:space="0" w:color="auto"/>
      </w:divBdr>
    </w:div>
    <w:div w:id="240139049">
      <w:bodyDiv w:val="1"/>
      <w:marLeft w:val="0"/>
      <w:marRight w:val="0"/>
      <w:marTop w:val="0"/>
      <w:marBottom w:val="0"/>
      <w:divBdr>
        <w:top w:val="none" w:sz="0" w:space="0" w:color="auto"/>
        <w:left w:val="none" w:sz="0" w:space="0" w:color="auto"/>
        <w:bottom w:val="none" w:sz="0" w:space="0" w:color="auto"/>
        <w:right w:val="none" w:sz="0" w:space="0" w:color="auto"/>
      </w:divBdr>
      <w:divsChild>
        <w:div w:id="8147630">
          <w:marLeft w:val="0"/>
          <w:marRight w:val="0"/>
          <w:marTop w:val="0"/>
          <w:marBottom w:val="0"/>
          <w:divBdr>
            <w:top w:val="none" w:sz="0" w:space="0" w:color="auto"/>
            <w:left w:val="none" w:sz="0" w:space="0" w:color="auto"/>
            <w:bottom w:val="none" w:sz="0" w:space="0" w:color="auto"/>
            <w:right w:val="none" w:sz="0" w:space="0" w:color="auto"/>
          </w:divBdr>
          <w:divsChild>
            <w:div w:id="1788624260">
              <w:marLeft w:val="0"/>
              <w:marRight w:val="0"/>
              <w:marTop w:val="0"/>
              <w:marBottom w:val="0"/>
              <w:divBdr>
                <w:top w:val="none" w:sz="0" w:space="0" w:color="auto"/>
                <w:left w:val="none" w:sz="0" w:space="0" w:color="auto"/>
                <w:bottom w:val="none" w:sz="0" w:space="0" w:color="auto"/>
                <w:right w:val="none" w:sz="0" w:space="0" w:color="auto"/>
              </w:divBdr>
            </w:div>
          </w:divsChild>
        </w:div>
        <w:div w:id="38553443">
          <w:marLeft w:val="0"/>
          <w:marRight w:val="0"/>
          <w:marTop w:val="0"/>
          <w:marBottom w:val="0"/>
          <w:divBdr>
            <w:top w:val="none" w:sz="0" w:space="0" w:color="auto"/>
            <w:left w:val="none" w:sz="0" w:space="0" w:color="auto"/>
            <w:bottom w:val="none" w:sz="0" w:space="0" w:color="auto"/>
            <w:right w:val="none" w:sz="0" w:space="0" w:color="auto"/>
          </w:divBdr>
          <w:divsChild>
            <w:div w:id="175929896">
              <w:marLeft w:val="0"/>
              <w:marRight w:val="0"/>
              <w:marTop w:val="0"/>
              <w:marBottom w:val="0"/>
              <w:divBdr>
                <w:top w:val="none" w:sz="0" w:space="0" w:color="auto"/>
                <w:left w:val="none" w:sz="0" w:space="0" w:color="auto"/>
                <w:bottom w:val="none" w:sz="0" w:space="0" w:color="auto"/>
                <w:right w:val="none" w:sz="0" w:space="0" w:color="auto"/>
              </w:divBdr>
            </w:div>
          </w:divsChild>
        </w:div>
        <w:div w:id="80414506">
          <w:marLeft w:val="0"/>
          <w:marRight w:val="0"/>
          <w:marTop w:val="0"/>
          <w:marBottom w:val="0"/>
          <w:divBdr>
            <w:top w:val="none" w:sz="0" w:space="0" w:color="auto"/>
            <w:left w:val="none" w:sz="0" w:space="0" w:color="auto"/>
            <w:bottom w:val="none" w:sz="0" w:space="0" w:color="auto"/>
            <w:right w:val="none" w:sz="0" w:space="0" w:color="auto"/>
          </w:divBdr>
          <w:divsChild>
            <w:div w:id="21982863">
              <w:marLeft w:val="0"/>
              <w:marRight w:val="0"/>
              <w:marTop w:val="0"/>
              <w:marBottom w:val="0"/>
              <w:divBdr>
                <w:top w:val="none" w:sz="0" w:space="0" w:color="auto"/>
                <w:left w:val="none" w:sz="0" w:space="0" w:color="auto"/>
                <w:bottom w:val="none" w:sz="0" w:space="0" w:color="auto"/>
                <w:right w:val="none" w:sz="0" w:space="0" w:color="auto"/>
              </w:divBdr>
            </w:div>
          </w:divsChild>
        </w:div>
        <w:div w:id="83453207">
          <w:marLeft w:val="0"/>
          <w:marRight w:val="0"/>
          <w:marTop w:val="0"/>
          <w:marBottom w:val="0"/>
          <w:divBdr>
            <w:top w:val="none" w:sz="0" w:space="0" w:color="auto"/>
            <w:left w:val="none" w:sz="0" w:space="0" w:color="auto"/>
            <w:bottom w:val="none" w:sz="0" w:space="0" w:color="auto"/>
            <w:right w:val="none" w:sz="0" w:space="0" w:color="auto"/>
          </w:divBdr>
          <w:divsChild>
            <w:div w:id="881596277">
              <w:marLeft w:val="0"/>
              <w:marRight w:val="0"/>
              <w:marTop w:val="0"/>
              <w:marBottom w:val="0"/>
              <w:divBdr>
                <w:top w:val="none" w:sz="0" w:space="0" w:color="auto"/>
                <w:left w:val="none" w:sz="0" w:space="0" w:color="auto"/>
                <w:bottom w:val="none" w:sz="0" w:space="0" w:color="auto"/>
                <w:right w:val="none" w:sz="0" w:space="0" w:color="auto"/>
              </w:divBdr>
            </w:div>
          </w:divsChild>
        </w:div>
        <w:div w:id="104925824">
          <w:marLeft w:val="0"/>
          <w:marRight w:val="0"/>
          <w:marTop w:val="0"/>
          <w:marBottom w:val="0"/>
          <w:divBdr>
            <w:top w:val="none" w:sz="0" w:space="0" w:color="auto"/>
            <w:left w:val="none" w:sz="0" w:space="0" w:color="auto"/>
            <w:bottom w:val="none" w:sz="0" w:space="0" w:color="auto"/>
            <w:right w:val="none" w:sz="0" w:space="0" w:color="auto"/>
          </w:divBdr>
          <w:divsChild>
            <w:div w:id="2054035821">
              <w:marLeft w:val="0"/>
              <w:marRight w:val="0"/>
              <w:marTop w:val="0"/>
              <w:marBottom w:val="0"/>
              <w:divBdr>
                <w:top w:val="none" w:sz="0" w:space="0" w:color="auto"/>
                <w:left w:val="none" w:sz="0" w:space="0" w:color="auto"/>
                <w:bottom w:val="none" w:sz="0" w:space="0" w:color="auto"/>
                <w:right w:val="none" w:sz="0" w:space="0" w:color="auto"/>
              </w:divBdr>
            </w:div>
          </w:divsChild>
        </w:div>
        <w:div w:id="108814707">
          <w:marLeft w:val="0"/>
          <w:marRight w:val="0"/>
          <w:marTop w:val="0"/>
          <w:marBottom w:val="0"/>
          <w:divBdr>
            <w:top w:val="none" w:sz="0" w:space="0" w:color="auto"/>
            <w:left w:val="none" w:sz="0" w:space="0" w:color="auto"/>
            <w:bottom w:val="none" w:sz="0" w:space="0" w:color="auto"/>
            <w:right w:val="none" w:sz="0" w:space="0" w:color="auto"/>
          </w:divBdr>
          <w:divsChild>
            <w:div w:id="1321351776">
              <w:marLeft w:val="0"/>
              <w:marRight w:val="0"/>
              <w:marTop w:val="0"/>
              <w:marBottom w:val="0"/>
              <w:divBdr>
                <w:top w:val="none" w:sz="0" w:space="0" w:color="auto"/>
                <w:left w:val="none" w:sz="0" w:space="0" w:color="auto"/>
                <w:bottom w:val="none" w:sz="0" w:space="0" w:color="auto"/>
                <w:right w:val="none" w:sz="0" w:space="0" w:color="auto"/>
              </w:divBdr>
            </w:div>
          </w:divsChild>
        </w:div>
        <w:div w:id="144706722">
          <w:marLeft w:val="0"/>
          <w:marRight w:val="0"/>
          <w:marTop w:val="0"/>
          <w:marBottom w:val="0"/>
          <w:divBdr>
            <w:top w:val="none" w:sz="0" w:space="0" w:color="auto"/>
            <w:left w:val="none" w:sz="0" w:space="0" w:color="auto"/>
            <w:bottom w:val="none" w:sz="0" w:space="0" w:color="auto"/>
            <w:right w:val="none" w:sz="0" w:space="0" w:color="auto"/>
          </w:divBdr>
          <w:divsChild>
            <w:div w:id="1436632960">
              <w:marLeft w:val="0"/>
              <w:marRight w:val="0"/>
              <w:marTop w:val="0"/>
              <w:marBottom w:val="0"/>
              <w:divBdr>
                <w:top w:val="none" w:sz="0" w:space="0" w:color="auto"/>
                <w:left w:val="none" w:sz="0" w:space="0" w:color="auto"/>
                <w:bottom w:val="none" w:sz="0" w:space="0" w:color="auto"/>
                <w:right w:val="none" w:sz="0" w:space="0" w:color="auto"/>
              </w:divBdr>
            </w:div>
          </w:divsChild>
        </w:div>
        <w:div w:id="161362618">
          <w:marLeft w:val="0"/>
          <w:marRight w:val="0"/>
          <w:marTop w:val="0"/>
          <w:marBottom w:val="0"/>
          <w:divBdr>
            <w:top w:val="none" w:sz="0" w:space="0" w:color="auto"/>
            <w:left w:val="none" w:sz="0" w:space="0" w:color="auto"/>
            <w:bottom w:val="none" w:sz="0" w:space="0" w:color="auto"/>
            <w:right w:val="none" w:sz="0" w:space="0" w:color="auto"/>
          </w:divBdr>
          <w:divsChild>
            <w:div w:id="1588494035">
              <w:marLeft w:val="0"/>
              <w:marRight w:val="0"/>
              <w:marTop w:val="0"/>
              <w:marBottom w:val="0"/>
              <w:divBdr>
                <w:top w:val="none" w:sz="0" w:space="0" w:color="auto"/>
                <w:left w:val="none" w:sz="0" w:space="0" w:color="auto"/>
                <w:bottom w:val="none" w:sz="0" w:space="0" w:color="auto"/>
                <w:right w:val="none" w:sz="0" w:space="0" w:color="auto"/>
              </w:divBdr>
            </w:div>
          </w:divsChild>
        </w:div>
        <w:div w:id="266811601">
          <w:marLeft w:val="0"/>
          <w:marRight w:val="0"/>
          <w:marTop w:val="0"/>
          <w:marBottom w:val="0"/>
          <w:divBdr>
            <w:top w:val="none" w:sz="0" w:space="0" w:color="auto"/>
            <w:left w:val="none" w:sz="0" w:space="0" w:color="auto"/>
            <w:bottom w:val="none" w:sz="0" w:space="0" w:color="auto"/>
            <w:right w:val="none" w:sz="0" w:space="0" w:color="auto"/>
          </w:divBdr>
          <w:divsChild>
            <w:div w:id="1979608829">
              <w:marLeft w:val="0"/>
              <w:marRight w:val="0"/>
              <w:marTop w:val="0"/>
              <w:marBottom w:val="0"/>
              <w:divBdr>
                <w:top w:val="none" w:sz="0" w:space="0" w:color="auto"/>
                <w:left w:val="none" w:sz="0" w:space="0" w:color="auto"/>
                <w:bottom w:val="none" w:sz="0" w:space="0" w:color="auto"/>
                <w:right w:val="none" w:sz="0" w:space="0" w:color="auto"/>
              </w:divBdr>
            </w:div>
          </w:divsChild>
        </w:div>
        <w:div w:id="312222975">
          <w:marLeft w:val="0"/>
          <w:marRight w:val="0"/>
          <w:marTop w:val="0"/>
          <w:marBottom w:val="0"/>
          <w:divBdr>
            <w:top w:val="none" w:sz="0" w:space="0" w:color="auto"/>
            <w:left w:val="none" w:sz="0" w:space="0" w:color="auto"/>
            <w:bottom w:val="none" w:sz="0" w:space="0" w:color="auto"/>
            <w:right w:val="none" w:sz="0" w:space="0" w:color="auto"/>
          </w:divBdr>
          <w:divsChild>
            <w:div w:id="930429399">
              <w:marLeft w:val="0"/>
              <w:marRight w:val="0"/>
              <w:marTop w:val="0"/>
              <w:marBottom w:val="0"/>
              <w:divBdr>
                <w:top w:val="none" w:sz="0" w:space="0" w:color="auto"/>
                <w:left w:val="none" w:sz="0" w:space="0" w:color="auto"/>
                <w:bottom w:val="none" w:sz="0" w:space="0" w:color="auto"/>
                <w:right w:val="none" w:sz="0" w:space="0" w:color="auto"/>
              </w:divBdr>
            </w:div>
          </w:divsChild>
        </w:div>
        <w:div w:id="398094336">
          <w:marLeft w:val="0"/>
          <w:marRight w:val="0"/>
          <w:marTop w:val="0"/>
          <w:marBottom w:val="0"/>
          <w:divBdr>
            <w:top w:val="none" w:sz="0" w:space="0" w:color="auto"/>
            <w:left w:val="none" w:sz="0" w:space="0" w:color="auto"/>
            <w:bottom w:val="none" w:sz="0" w:space="0" w:color="auto"/>
            <w:right w:val="none" w:sz="0" w:space="0" w:color="auto"/>
          </w:divBdr>
          <w:divsChild>
            <w:div w:id="765348132">
              <w:marLeft w:val="0"/>
              <w:marRight w:val="0"/>
              <w:marTop w:val="0"/>
              <w:marBottom w:val="0"/>
              <w:divBdr>
                <w:top w:val="none" w:sz="0" w:space="0" w:color="auto"/>
                <w:left w:val="none" w:sz="0" w:space="0" w:color="auto"/>
                <w:bottom w:val="none" w:sz="0" w:space="0" w:color="auto"/>
                <w:right w:val="none" w:sz="0" w:space="0" w:color="auto"/>
              </w:divBdr>
            </w:div>
          </w:divsChild>
        </w:div>
        <w:div w:id="448085939">
          <w:marLeft w:val="0"/>
          <w:marRight w:val="0"/>
          <w:marTop w:val="0"/>
          <w:marBottom w:val="0"/>
          <w:divBdr>
            <w:top w:val="none" w:sz="0" w:space="0" w:color="auto"/>
            <w:left w:val="none" w:sz="0" w:space="0" w:color="auto"/>
            <w:bottom w:val="none" w:sz="0" w:space="0" w:color="auto"/>
            <w:right w:val="none" w:sz="0" w:space="0" w:color="auto"/>
          </w:divBdr>
          <w:divsChild>
            <w:div w:id="886264588">
              <w:marLeft w:val="0"/>
              <w:marRight w:val="0"/>
              <w:marTop w:val="0"/>
              <w:marBottom w:val="0"/>
              <w:divBdr>
                <w:top w:val="none" w:sz="0" w:space="0" w:color="auto"/>
                <w:left w:val="none" w:sz="0" w:space="0" w:color="auto"/>
                <w:bottom w:val="none" w:sz="0" w:space="0" w:color="auto"/>
                <w:right w:val="none" w:sz="0" w:space="0" w:color="auto"/>
              </w:divBdr>
            </w:div>
          </w:divsChild>
        </w:div>
        <w:div w:id="468517502">
          <w:marLeft w:val="0"/>
          <w:marRight w:val="0"/>
          <w:marTop w:val="0"/>
          <w:marBottom w:val="0"/>
          <w:divBdr>
            <w:top w:val="none" w:sz="0" w:space="0" w:color="auto"/>
            <w:left w:val="none" w:sz="0" w:space="0" w:color="auto"/>
            <w:bottom w:val="none" w:sz="0" w:space="0" w:color="auto"/>
            <w:right w:val="none" w:sz="0" w:space="0" w:color="auto"/>
          </w:divBdr>
          <w:divsChild>
            <w:div w:id="627207440">
              <w:marLeft w:val="0"/>
              <w:marRight w:val="0"/>
              <w:marTop w:val="0"/>
              <w:marBottom w:val="0"/>
              <w:divBdr>
                <w:top w:val="none" w:sz="0" w:space="0" w:color="auto"/>
                <w:left w:val="none" w:sz="0" w:space="0" w:color="auto"/>
                <w:bottom w:val="none" w:sz="0" w:space="0" w:color="auto"/>
                <w:right w:val="none" w:sz="0" w:space="0" w:color="auto"/>
              </w:divBdr>
            </w:div>
          </w:divsChild>
        </w:div>
        <w:div w:id="471606890">
          <w:marLeft w:val="0"/>
          <w:marRight w:val="0"/>
          <w:marTop w:val="0"/>
          <w:marBottom w:val="0"/>
          <w:divBdr>
            <w:top w:val="none" w:sz="0" w:space="0" w:color="auto"/>
            <w:left w:val="none" w:sz="0" w:space="0" w:color="auto"/>
            <w:bottom w:val="none" w:sz="0" w:space="0" w:color="auto"/>
            <w:right w:val="none" w:sz="0" w:space="0" w:color="auto"/>
          </w:divBdr>
          <w:divsChild>
            <w:div w:id="1043561088">
              <w:marLeft w:val="0"/>
              <w:marRight w:val="0"/>
              <w:marTop w:val="0"/>
              <w:marBottom w:val="0"/>
              <w:divBdr>
                <w:top w:val="none" w:sz="0" w:space="0" w:color="auto"/>
                <w:left w:val="none" w:sz="0" w:space="0" w:color="auto"/>
                <w:bottom w:val="none" w:sz="0" w:space="0" w:color="auto"/>
                <w:right w:val="none" w:sz="0" w:space="0" w:color="auto"/>
              </w:divBdr>
            </w:div>
          </w:divsChild>
        </w:div>
        <w:div w:id="520700410">
          <w:marLeft w:val="0"/>
          <w:marRight w:val="0"/>
          <w:marTop w:val="0"/>
          <w:marBottom w:val="0"/>
          <w:divBdr>
            <w:top w:val="none" w:sz="0" w:space="0" w:color="auto"/>
            <w:left w:val="none" w:sz="0" w:space="0" w:color="auto"/>
            <w:bottom w:val="none" w:sz="0" w:space="0" w:color="auto"/>
            <w:right w:val="none" w:sz="0" w:space="0" w:color="auto"/>
          </w:divBdr>
          <w:divsChild>
            <w:div w:id="103699292">
              <w:marLeft w:val="0"/>
              <w:marRight w:val="0"/>
              <w:marTop w:val="0"/>
              <w:marBottom w:val="0"/>
              <w:divBdr>
                <w:top w:val="none" w:sz="0" w:space="0" w:color="auto"/>
                <w:left w:val="none" w:sz="0" w:space="0" w:color="auto"/>
                <w:bottom w:val="none" w:sz="0" w:space="0" w:color="auto"/>
                <w:right w:val="none" w:sz="0" w:space="0" w:color="auto"/>
              </w:divBdr>
            </w:div>
          </w:divsChild>
        </w:div>
        <w:div w:id="537746354">
          <w:marLeft w:val="0"/>
          <w:marRight w:val="0"/>
          <w:marTop w:val="0"/>
          <w:marBottom w:val="0"/>
          <w:divBdr>
            <w:top w:val="none" w:sz="0" w:space="0" w:color="auto"/>
            <w:left w:val="none" w:sz="0" w:space="0" w:color="auto"/>
            <w:bottom w:val="none" w:sz="0" w:space="0" w:color="auto"/>
            <w:right w:val="none" w:sz="0" w:space="0" w:color="auto"/>
          </w:divBdr>
          <w:divsChild>
            <w:div w:id="1741947865">
              <w:marLeft w:val="0"/>
              <w:marRight w:val="0"/>
              <w:marTop w:val="0"/>
              <w:marBottom w:val="0"/>
              <w:divBdr>
                <w:top w:val="none" w:sz="0" w:space="0" w:color="auto"/>
                <w:left w:val="none" w:sz="0" w:space="0" w:color="auto"/>
                <w:bottom w:val="none" w:sz="0" w:space="0" w:color="auto"/>
                <w:right w:val="none" w:sz="0" w:space="0" w:color="auto"/>
              </w:divBdr>
            </w:div>
          </w:divsChild>
        </w:div>
        <w:div w:id="549147827">
          <w:marLeft w:val="0"/>
          <w:marRight w:val="0"/>
          <w:marTop w:val="0"/>
          <w:marBottom w:val="0"/>
          <w:divBdr>
            <w:top w:val="none" w:sz="0" w:space="0" w:color="auto"/>
            <w:left w:val="none" w:sz="0" w:space="0" w:color="auto"/>
            <w:bottom w:val="none" w:sz="0" w:space="0" w:color="auto"/>
            <w:right w:val="none" w:sz="0" w:space="0" w:color="auto"/>
          </w:divBdr>
          <w:divsChild>
            <w:div w:id="697975590">
              <w:marLeft w:val="0"/>
              <w:marRight w:val="0"/>
              <w:marTop w:val="0"/>
              <w:marBottom w:val="0"/>
              <w:divBdr>
                <w:top w:val="none" w:sz="0" w:space="0" w:color="auto"/>
                <w:left w:val="none" w:sz="0" w:space="0" w:color="auto"/>
                <w:bottom w:val="none" w:sz="0" w:space="0" w:color="auto"/>
                <w:right w:val="none" w:sz="0" w:space="0" w:color="auto"/>
              </w:divBdr>
            </w:div>
          </w:divsChild>
        </w:div>
        <w:div w:id="590086225">
          <w:marLeft w:val="0"/>
          <w:marRight w:val="0"/>
          <w:marTop w:val="0"/>
          <w:marBottom w:val="0"/>
          <w:divBdr>
            <w:top w:val="none" w:sz="0" w:space="0" w:color="auto"/>
            <w:left w:val="none" w:sz="0" w:space="0" w:color="auto"/>
            <w:bottom w:val="none" w:sz="0" w:space="0" w:color="auto"/>
            <w:right w:val="none" w:sz="0" w:space="0" w:color="auto"/>
          </w:divBdr>
          <w:divsChild>
            <w:div w:id="646130542">
              <w:marLeft w:val="0"/>
              <w:marRight w:val="0"/>
              <w:marTop w:val="0"/>
              <w:marBottom w:val="0"/>
              <w:divBdr>
                <w:top w:val="none" w:sz="0" w:space="0" w:color="auto"/>
                <w:left w:val="none" w:sz="0" w:space="0" w:color="auto"/>
                <w:bottom w:val="none" w:sz="0" w:space="0" w:color="auto"/>
                <w:right w:val="none" w:sz="0" w:space="0" w:color="auto"/>
              </w:divBdr>
            </w:div>
          </w:divsChild>
        </w:div>
        <w:div w:id="689455819">
          <w:marLeft w:val="0"/>
          <w:marRight w:val="0"/>
          <w:marTop w:val="0"/>
          <w:marBottom w:val="0"/>
          <w:divBdr>
            <w:top w:val="none" w:sz="0" w:space="0" w:color="auto"/>
            <w:left w:val="none" w:sz="0" w:space="0" w:color="auto"/>
            <w:bottom w:val="none" w:sz="0" w:space="0" w:color="auto"/>
            <w:right w:val="none" w:sz="0" w:space="0" w:color="auto"/>
          </w:divBdr>
          <w:divsChild>
            <w:div w:id="1805662353">
              <w:marLeft w:val="0"/>
              <w:marRight w:val="0"/>
              <w:marTop w:val="0"/>
              <w:marBottom w:val="0"/>
              <w:divBdr>
                <w:top w:val="none" w:sz="0" w:space="0" w:color="auto"/>
                <w:left w:val="none" w:sz="0" w:space="0" w:color="auto"/>
                <w:bottom w:val="none" w:sz="0" w:space="0" w:color="auto"/>
                <w:right w:val="none" w:sz="0" w:space="0" w:color="auto"/>
              </w:divBdr>
            </w:div>
          </w:divsChild>
        </w:div>
        <w:div w:id="832258653">
          <w:marLeft w:val="0"/>
          <w:marRight w:val="0"/>
          <w:marTop w:val="0"/>
          <w:marBottom w:val="0"/>
          <w:divBdr>
            <w:top w:val="none" w:sz="0" w:space="0" w:color="auto"/>
            <w:left w:val="none" w:sz="0" w:space="0" w:color="auto"/>
            <w:bottom w:val="none" w:sz="0" w:space="0" w:color="auto"/>
            <w:right w:val="none" w:sz="0" w:space="0" w:color="auto"/>
          </w:divBdr>
          <w:divsChild>
            <w:div w:id="1476215267">
              <w:marLeft w:val="0"/>
              <w:marRight w:val="0"/>
              <w:marTop w:val="0"/>
              <w:marBottom w:val="0"/>
              <w:divBdr>
                <w:top w:val="none" w:sz="0" w:space="0" w:color="auto"/>
                <w:left w:val="none" w:sz="0" w:space="0" w:color="auto"/>
                <w:bottom w:val="none" w:sz="0" w:space="0" w:color="auto"/>
                <w:right w:val="none" w:sz="0" w:space="0" w:color="auto"/>
              </w:divBdr>
            </w:div>
          </w:divsChild>
        </w:div>
        <w:div w:id="834567504">
          <w:marLeft w:val="0"/>
          <w:marRight w:val="0"/>
          <w:marTop w:val="0"/>
          <w:marBottom w:val="0"/>
          <w:divBdr>
            <w:top w:val="none" w:sz="0" w:space="0" w:color="auto"/>
            <w:left w:val="none" w:sz="0" w:space="0" w:color="auto"/>
            <w:bottom w:val="none" w:sz="0" w:space="0" w:color="auto"/>
            <w:right w:val="none" w:sz="0" w:space="0" w:color="auto"/>
          </w:divBdr>
          <w:divsChild>
            <w:div w:id="1411389733">
              <w:marLeft w:val="0"/>
              <w:marRight w:val="0"/>
              <w:marTop w:val="0"/>
              <w:marBottom w:val="0"/>
              <w:divBdr>
                <w:top w:val="none" w:sz="0" w:space="0" w:color="auto"/>
                <w:left w:val="none" w:sz="0" w:space="0" w:color="auto"/>
                <w:bottom w:val="none" w:sz="0" w:space="0" w:color="auto"/>
                <w:right w:val="none" w:sz="0" w:space="0" w:color="auto"/>
              </w:divBdr>
            </w:div>
          </w:divsChild>
        </w:div>
        <w:div w:id="1004892393">
          <w:marLeft w:val="0"/>
          <w:marRight w:val="0"/>
          <w:marTop w:val="0"/>
          <w:marBottom w:val="0"/>
          <w:divBdr>
            <w:top w:val="none" w:sz="0" w:space="0" w:color="auto"/>
            <w:left w:val="none" w:sz="0" w:space="0" w:color="auto"/>
            <w:bottom w:val="none" w:sz="0" w:space="0" w:color="auto"/>
            <w:right w:val="none" w:sz="0" w:space="0" w:color="auto"/>
          </w:divBdr>
          <w:divsChild>
            <w:div w:id="1256793062">
              <w:marLeft w:val="0"/>
              <w:marRight w:val="0"/>
              <w:marTop w:val="0"/>
              <w:marBottom w:val="0"/>
              <w:divBdr>
                <w:top w:val="none" w:sz="0" w:space="0" w:color="auto"/>
                <w:left w:val="none" w:sz="0" w:space="0" w:color="auto"/>
                <w:bottom w:val="none" w:sz="0" w:space="0" w:color="auto"/>
                <w:right w:val="none" w:sz="0" w:space="0" w:color="auto"/>
              </w:divBdr>
            </w:div>
          </w:divsChild>
        </w:div>
        <w:div w:id="1031152348">
          <w:marLeft w:val="0"/>
          <w:marRight w:val="0"/>
          <w:marTop w:val="0"/>
          <w:marBottom w:val="0"/>
          <w:divBdr>
            <w:top w:val="none" w:sz="0" w:space="0" w:color="auto"/>
            <w:left w:val="none" w:sz="0" w:space="0" w:color="auto"/>
            <w:bottom w:val="none" w:sz="0" w:space="0" w:color="auto"/>
            <w:right w:val="none" w:sz="0" w:space="0" w:color="auto"/>
          </w:divBdr>
          <w:divsChild>
            <w:div w:id="404762268">
              <w:marLeft w:val="0"/>
              <w:marRight w:val="0"/>
              <w:marTop w:val="0"/>
              <w:marBottom w:val="0"/>
              <w:divBdr>
                <w:top w:val="none" w:sz="0" w:space="0" w:color="auto"/>
                <w:left w:val="none" w:sz="0" w:space="0" w:color="auto"/>
                <w:bottom w:val="none" w:sz="0" w:space="0" w:color="auto"/>
                <w:right w:val="none" w:sz="0" w:space="0" w:color="auto"/>
              </w:divBdr>
            </w:div>
          </w:divsChild>
        </w:div>
        <w:div w:id="1150830171">
          <w:marLeft w:val="0"/>
          <w:marRight w:val="0"/>
          <w:marTop w:val="0"/>
          <w:marBottom w:val="0"/>
          <w:divBdr>
            <w:top w:val="none" w:sz="0" w:space="0" w:color="auto"/>
            <w:left w:val="none" w:sz="0" w:space="0" w:color="auto"/>
            <w:bottom w:val="none" w:sz="0" w:space="0" w:color="auto"/>
            <w:right w:val="none" w:sz="0" w:space="0" w:color="auto"/>
          </w:divBdr>
          <w:divsChild>
            <w:div w:id="620765545">
              <w:marLeft w:val="0"/>
              <w:marRight w:val="0"/>
              <w:marTop w:val="0"/>
              <w:marBottom w:val="0"/>
              <w:divBdr>
                <w:top w:val="none" w:sz="0" w:space="0" w:color="auto"/>
                <w:left w:val="none" w:sz="0" w:space="0" w:color="auto"/>
                <w:bottom w:val="none" w:sz="0" w:space="0" w:color="auto"/>
                <w:right w:val="none" w:sz="0" w:space="0" w:color="auto"/>
              </w:divBdr>
            </w:div>
          </w:divsChild>
        </w:div>
        <w:div w:id="1199010165">
          <w:marLeft w:val="0"/>
          <w:marRight w:val="0"/>
          <w:marTop w:val="0"/>
          <w:marBottom w:val="0"/>
          <w:divBdr>
            <w:top w:val="none" w:sz="0" w:space="0" w:color="auto"/>
            <w:left w:val="none" w:sz="0" w:space="0" w:color="auto"/>
            <w:bottom w:val="none" w:sz="0" w:space="0" w:color="auto"/>
            <w:right w:val="none" w:sz="0" w:space="0" w:color="auto"/>
          </w:divBdr>
          <w:divsChild>
            <w:div w:id="1146358603">
              <w:marLeft w:val="0"/>
              <w:marRight w:val="0"/>
              <w:marTop w:val="0"/>
              <w:marBottom w:val="0"/>
              <w:divBdr>
                <w:top w:val="none" w:sz="0" w:space="0" w:color="auto"/>
                <w:left w:val="none" w:sz="0" w:space="0" w:color="auto"/>
                <w:bottom w:val="none" w:sz="0" w:space="0" w:color="auto"/>
                <w:right w:val="none" w:sz="0" w:space="0" w:color="auto"/>
              </w:divBdr>
            </w:div>
          </w:divsChild>
        </w:div>
        <w:div w:id="1209412277">
          <w:marLeft w:val="0"/>
          <w:marRight w:val="0"/>
          <w:marTop w:val="0"/>
          <w:marBottom w:val="0"/>
          <w:divBdr>
            <w:top w:val="none" w:sz="0" w:space="0" w:color="auto"/>
            <w:left w:val="none" w:sz="0" w:space="0" w:color="auto"/>
            <w:bottom w:val="none" w:sz="0" w:space="0" w:color="auto"/>
            <w:right w:val="none" w:sz="0" w:space="0" w:color="auto"/>
          </w:divBdr>
          <w:divsChild>
            <w:div w:id="287395714">
              <w:marLeft w:val="0"/>
              <w:marRight w:val="0"/>
              <w:marTop w:val="0"/>
              <w:marBottom w:val="0"/>
              <w:divBdr>
                <w:top w:val="none" w:sz="0" w:space="0" w:color="auto"/>
                <w:left w:val="none" w:sz="0" w:space="0" w:color="auto"/>
                <w:bottom w:val="none" w:sz="0" w:space="0" w:color="auto"/>
                <w:right w:val="none" w:sz="0" w:space="0" w:color="auto"/>
              </w:divBdr>
            </w:div>
          </w:divsChild>
        </w:div>
        <w:div w:id="1336221732">
          <w:marLeft w:val="0"/>
          <w:marRight w:val="0"/>
          <w:marTop w:val="0"/>
          <w:marBottom w:val="0"/>
          <w:divBdr>
            <w:top w:val="none" w:sz="0" w:space="0" w:color="auto"/>
            <w:left w:val="none" w:sz="0" w:space="0" w:color="auto"/>
            <w:bottom w:val="none" w:sz="0" w:space="0" w:color="auto"/>
            <w:right w:val="none" w:sz="0" w:space="0" w:color="auto"/>
          </w:divBdr>
          <w:divsChild>
            <w:div w:id="676736472">
              <w:marLeft w:val="0"/>
              <w:marRight w:val="0"/>
              <w:marTop w:val="0"/>
              <w:marBottom w:val="0"/>
              <w:divBdr>
                <w:top w:val="none" w:sz="0" w:space="0" w:color="auto"/>
                <w:left w:val="none" w:sz="0" w:space="0" w:color="auto"/>
                <w:bottom w:val="none" w:sz="0" w:space="0" w:color="auto"/>
                <w:right w:val="none" w:sz="0" w:space="0" w:color="auto"/>
              </w:divBdr>
            </w:div>
          </w:divsChild>
        </w:div>
        <w:div w:id="1357730895">
          <w:marLeft w:val="0"/>
          <w:marRight w:val="0"/>
          <w:marTop w:val="0"/>
          <w:marBottom w:val="0"/>
          <w:divBdr>
            <w:top w:val="none" w:sz="0" w:space="0" w:color="auto"/>
            <w:left w:val="none" w:sz="0" w:space="0" w:color="auto"/>
            <w:bottom w:val="none" w:sz="0" w:space="0" w:color="auto"/>
            <w:right w:val="none" w:sz="0" w:space="0" w:color="auto"/>
          </w:divBdr>
          <w:divsChild>
            <w:div w:id="357589087">
              <w:marLeft w:val="0"/>
              <w:marRight w:val="0"/>
              <w:marTop w:val="0"/>
              <w:marBottom w:val="0"/>
              <w:divBdr>
                <w:top w:val="none" w:sz="0" w:space="0" w:color="auto"/>
                <w:left w:val="none" w:sz="0" w:space="0" w:color="auto"/>
                <w:bottom w:val="none" w:sz="0" w:space="0" w:color="auto"/>
                <w:right w:val="none" w:sz="0" w:space="0" w:color="auto"/>
              </w:divBdr>
            </w:div>
          </w:divsChild>
        </w:div>
        <w:div w:id="1378893980">
          <w:marLeft w:val="0"/>
          <w:marRight w:val="0"/>
          <w:marTop w:val="0"/>
          <w:marBottom w:val="0"/>
          <w:divBdr>
            <w:top w:val="none" w:sz="0" w:space="0" w:color="auto"/>
            <w:left w:val="none" w:sz="0" w:space="0" w:color="auto"/>
            <w:bottom w:val="none" w:sz="0" w:space="0" w:color="auto"/>
            <w:right w:val="none" w:sz="0" w:space="0" w:color="auto"/>
          </w:divBdr>
          <w:divsChild>
            <w:div w:id="1287152209">
              <w:marLeft w:val="0"/>
              <w:marRight w:val="0"/>
              <w:marTop w:val="0"/>
              <w:marBottom w:val="0"/>
              <w:divBdr>
                <w:top w:val="none" w:sz="0" w:space="0" w:color="auto"/>
                <w:left w:val="none" w:sz="0" w:space="0" w:color="auto"/>
                <w:bottom w:val="none" w:sz="0" w:space="0" w:color="auto"/>
                <w:right w:val="none" w:sz="0" w:space="0" w:color="auto"/>
              </w:divBdr>
            </w:div>
          </w:divsChild>
        </w:div>
        <w:div w:id="1454130720">
          <w:marLeft w:val="0"/>
          <w:marRight w:val="0"/>
          <w:marTop w:val="0"/>
          <w:marBottom w:val="0"/>
          <w:divBdr>
            <w:top w:val="none" w:sz="0" w:space="0" w:color="auto"/>
            <w:left w:val="none" w:sz="0" w:space="0" w:color="auto"/>
            <w:bottom w:val="none" w:sz="0" w:space="0" w:color="auto"/>
            <w:right w:val="none" w:sz="0" w:space="0" w:color="auto"/>
          </w:divBdr>
          <w:divsChild>
            <w:div w:id="1192105647">
              <w:marLeft w:val="0"/>
              <w:marRight w:val="0"/>
              <w:marTop w:val="0"/>
              <w:marBottom w:val="0"/>
              <w:divBdr>
                <w:top w:val="none" w:sz="0" w:space="0" w:color="auto"/>
                <w:left w:val="none" w:sz="0" w:space="0" w:color="auto"/>
                <w:bottom w:val="none" w:sz="0" w:space="0" w:color="auto"/>
                <w:right w:val="none" w:sz="0" w:space="0" w:color="auto"/>
              </w:divBdr>
            </w:div>
          </w:divsChild>
        </w:div>
        <w:div w:id="1500536371">
          <w:marLeft w:val="0"/>
          <w:marRight w:val="0"/>
          <w:marTop w:val="0"/>
          <w:marBottom w:val="0"/>
          <w:divBdr>
            <w:top w:val="none" w:sz="0" w:space="0" w:color="auto"/>
            <w:left w:val="none" w:sz="0" w:space="0" w:color="auto"/>
            <w:bottom w:val="none" w:sz="0" w:space="0" w:color="auto"/>
            <w:right w:val="none" w:sz="0" w:space="0" w:color="auto"/>
          </w:divBdr>
          <w:divsChild>
            <w:div w:id="283393264">
              <w:marLeft w:val="0"/>
              <w:marRight w:val="0"/>
              <w:marTop w:val="0"/>
              <w:marBottom w:val="0"/>
              <w:divBdr>
                <w:top w:val="none" w:sz="0" w:space="0" w:color="auto"/>
                <w:left w:val="none" w:sz="0" w:space="0" w:color="auto"/>
                <w:bottom w:val="none" w:sz="0" w:space="0" w:color="auto"/>
                <w:right w:val="none" w:sz="0" w:space="0" w:color="auto"/>
              </w:divBdr>
            </w:div>
          </w:divsChild>
        </w:div>
        <w:div w:id="1608349014">
          <w:marLeft w:val="0"/>
          <w:marRight w:val="0"/>
          <w:marTop w:val="0"/>
          <w:marBottom w:val="0"/>
          <w:divBdr>
            <w:top w:val="none" w:sz="0" w:space="0" w:color="auto"/>
            <w:left w:val="none" w:sz="0" w:space="0" w:color="auto"/>
            <w:bottom w:val="none" w:sz="0" w:space="0" w:color="auto"/>
            <w:right w:val="none" w:sz="0" w:space="0" w:color="auto"/>
          </w:divBdr>
          <w:divsChild>
            <w:div w:id="1747071889">
              <w:marLeft w:val="0"/>
              <w:marRight w:val="0"/>
              <w:marTop w:val="0"/>
              <w:marBottom w:val="0"/>
              <w:divBdr>
                <w:top w:val="none" w:sz="0" w:space="0" w:color="auto"/>
                <w:left w:val="none" w:sz="0" w:space="0" w:color="auto"/>
                <w:bottom w:val="none" w:sz="0" w:space="0" w:color="auto"/>
                <w:right w:val="none" w:sz="0" w:space="0" w:color="auto"/>
              </w:divBdr>
            </w:div>
          </w:divsChild>
        </w:div>
        <w:div w:id="1734573104">
          <w:marLeft w:val="0"/>
          <w:marRight w:val="0"/>
          <w:marTop w:val="0"/>
          <w:marBottom w:val="0"/>
          <w:divBdr>
            <w:top w:val="none" w:sz="0" w:space="0" w:color="auto"/>
            <w:left w:val="none" w:sz="0" w:space="0" w:color="auto"/>
            <w:bottom w:val="none" w:sz="0" w:space="0" w:color="auto"/>
            <w:right w:val="none" w:sz="0" w:space="0" w:color="auto"/>
          </w:divBdr>
          <w:divsChild>
            <w:div w:id="820661423">
              <w:marLeft w:val="0"/>
              <w:marRight w:val="0"/>
              <w:marTop w:val="0"/>
              <w:marBottom w:val="0"/>
              <w:divBdr>
                <w:top w:val="none" w:sz="0" w:space="0" w:color="auto"/>
                <w:left w:val="none" w:sz="0" w:space="0" w:color="auto"/>
                <w:bottom w:val="none" w:sz="0" w:space="0" w:color="auto"/>
                <w:right w:val="none" w:sz="0" w:space="0" w:color="auto"/>
              </w:divBdr>
            </w:div>
          </w:divsChild>
        </w:div>
        <w:div w:id="1765110231">
          <w:marLeft w:val="0"/>
          <w:marRight w:val="0"/>
          <w:marTop w:val="0"/>
          <w:marBottom w:val="0"/>
          <w:divBdr>
            <w:top w:val="none" w:sz="0" w:space="0" w:color="auto"/>
            <w:left w:val="none" w:sz="0" w:space="0" w:color="auto"/>
            <w:bottom w:val="none" w:sz="0" w:space="0" w:color="auto"/>
            <w:right w:val="none" w:sz="0" w:space="0" w:color="auto"/>
          </w:divBdr>
          <w:divsChild>
            <w:div w:id="2123919737">
              <w:marLeft w:val="0"/>
              <w:marRight w:val="0"/>
              <w:marTop w:val="0"/>
              <w:marBottom w:val="0"/>
              <w:divBdr>
                <w:top w:val="none" w:sz="0" w:space="0" w:color="auto"/>
                <w:left w:val="none" w:sz="0" w:space="0" w:color="auto"/>
                <w:bottom w:val="none" w:sz="0" w:space="0" w:color="auto"/>
                <w:right w:val="none" w:sz="0" w:space="0" w:color="auto"/>
              </w:divBdr>
            </w:div>
          </w:divsChild>
        </w:div>
        <w:div w:id="1913005874">
          <w:marLeft w:val="0"/>
          <w:marRight w:val="0"/>
          <w:marTop w:val="0"/>
          <w:marBottom w:val="0"/>
          <w:divBdr>
            <w:top w:val="none" w:sz="0" w:space="0" w:color="auto"/>
            <w:left w:val="none" w:sz="0" w:space="0" w:color="auto"/>
            <w:bottom w:val="none" w:sz="0" w:space="0" w:color="auto"/>
            <w:right w:val="none" w:sz="0" w:space="0" w:color="auto"/>
          </w:divBdr>
          <w:divsChild>
            <w:div w:id="454107244">
              <w:marLeft w:val="0"/>
              <w:marRight w:val="0"/>
              <w:marTop w:val="0"/>
              <w:marBottom w:val="0"/>
              <w:divBdr>
                <w:top w:val="none" w:sz="0" w:space="0" w:color="auto"/>
                <w:left w:val="none" w:sz="0" w:space="0" w:color="auto"/>
                <w:bottom w:val="none" w:sz="0" w:space="0" w:color="auto"/>
                <w:right w:val="none" w:sz="0" w:space="0" w:color="auto"/>
              </w:divBdr>
            </w:div>
          </w:divsChild>
        </w:div>
        <w:div w:id="1931232372">
          <w:marLeft w:val="0"/>
          <w:marRight w:val="0"/>
          <w:marTop w:val="0"/>
          <w:marBottom w:val="0"/>
          <w:divBdr>
            <w:top w:val="none" w:sz="0" w:space="0" w:color="auto"/>
            <w:left w:val="none" w:sz="0" w:space="0" w:color="auto"/>
            <w:bottom w:val="none" w:sz="0" w:space="0" w:color="auto"/>
            <w:right w:val="none" w:sz="0" w:space="0" w:color="auto"/>
          </w:divBdr>
          <w:divsChild>
            <w:div w:id="21389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3175">
      <w:bodyDiv w:val="1"/>
      <w:marLeft w:val="0"/>
      <w:marRight w:val="0"/>
      <w:marTop w:val="0"/>
      <w:marBottom w:val="0"/>
      <w:divBdr>
        <w:top w:val="none" w:sz="0" w:space="0" w:color="auto"/>
        <w:left w:val="none" w:sz="0" w:space="0" w:color="auto"/>
        <w:bottom w:val="none" w:sz="0" w:space="0" w:color="auto"/>
        <w:right w:val="none" w:sz="0" w:space="0" w:color="auto"/>
      </w:divBdr>
    </w:div>
    <w:div w:id="339359162">
      <w:bodyDiv w:val="1"/>
      <w:marLeft w:val="0"/>
      <w:marRight w:val="0"/>
      <w:marTop w:val="0"/>
      <w:marBottom w:val="0"/>
      <w:divBdr>
        <w:top w:val="none" w:sz="0" w:space="0" w:color="auto"/>
        <w:left w:val="none" w:sz="0" w:space="0" w:color="auto"/>
        <w:bottom w:val="none" w:sz="0" w:space="0" w:color="auto"/>
        <w:right w:val="none" w:sz="0" w:space="0" w:color="auto"/>
      </w:divBdr>
    </w:div>
    <w:div w:id="365452642">
      <w:bodyDiv w:val="1"/>
      <w:marLeft w:val="0"/>
      <w:marRight w:val="0"/>
      <w:marTop w:val="0"/>
      <w:marBottom w:val="0"/>
      <w:divBdr>
        <w:top w:val="none" w:sz="0" w:space="0" w:color="auto"/>
        <w:left w:val="none" w:sz="0" w:space="0" w:color="auto"/>
        <w:bottom w:val="none" w:sz="0" w:space="0" w:color="auto"/>
        <w:right w:val="none" w:sz="0" w:space="0" w:color="auto"/>
      </w:divBdr>
    </w:div>
    <w:div w:id="514655460">
      <w:bodyDiv w:val="1"/>
      <w:marLeft w:val="0"/>
      <w:marRight w:val="0"/>
      <w:marTop w:val="0"/>
      <w:marBottom w:val="0"/>
      <w:divBdr>
        <w:top w:val="none" w:sz="0" w:space="0" w:color="auto"/>
        <w:left w:val="none" w:sz="0" w:space="0" w:color="auto"/>
        <w:bottom w:val="none" w:sz="0" w:space="0" w:color="auto"/>
        <w:right w:val="none" w:sz="0" w:space="0" w:color="auto"/>
      </w:divBdr>
    </w:div>
    <w:div w:id="621765015">
      <w:bodyDiv w:val="1"/>
      <w:marLeft w:val="0"/>
      <w:marRight w:val="0"/>
      <w:marTop w:val="0"/>
      <w:marBottom w:val="0"/>
      <w:divBdr>
        <w:top w:val="none" w:sz="0" w:space="0" w:color="auto"/>
        <w:left w:val="none" w:sz="0" w:space="0" w:color="auto"/>
        <w:bottom w:val="none" w:sz="0" w:space="0" w:color="auto"/>
        <w:right w:val="none" w:sz="0" w:space="0" w:color="auto"/>
      </w:divBdr>
    </w:div>
    <w:div w:id="664628002">
      <w:bodyDiv w:val="1"/>
      <w:marLeft w:val="0"/>
      <w:marRight w:val="0"/>
      <w:marTop w:val="0"/>
      <w:marBottom w:val="0"/>
      <w:divBdr>
        <w:top w:val="none" w:sz="0" w:space="0" w:color="auto"/>
        <w:left w:val="none" w:sz="0" w:space="0" w:color="auto"/>
        <w:bottom w:val="none" w:sz="0" w:space="0" w:color="auto"/>
        <w:right w:val="none" w:sz="0" w:space="0" w:color="auto"/>
      </w:divBdr>
    </w:div>
    <w:div w:id="729118021">
      <w:bodyDiv w:val="1"/>
      <w:marLeft w:val="0"/>
      <w:marRight w:val="0"/>
      <w:marTop w:val="0"/>
      <w:marBottom w:val="0"/>
      <w:divBdr>
        <w:top w:val="none" w:sz="0" w:space="0" w:color="auto"/>
        <w:left w:val="none" w:sz="0" w:space="0" w:color="auto"/>
        <w:bottom w:val="none" w:sz="0" w:space="0" w:color="auto"/>
        <w:right w:val="none" w:sz="0" w:space="0" w:color="auto"/>
      </w:divBdr>
      <w:divsChild>
        <w:div w:id="22942031">
          <w:marLeft w:val="0"/>
          <w:marRight w:val="0"/>
          <w:marTop w:val="0"/>
          <w:marBottom w:val="0"/>
          <w:divBdr>
            <w:top w:val="none" w:sz="0" w:space="0" w:color="auto"/>
            <w:left w:val="none" w:sz="0" w:space="0" w:color="auto"/>
            <w:bottom w:val="none" w:sz="0" w:space="0" w:color="auto"/>
            <w:right w:val="none" w:sz="0" w:space="0" w:color="auto"/>
          </w:divBdr>
        </w:div>
        <w:div w:id="122503012">
          <w:marLeft w:val="0"/>
          <w:marRight w:val="0"/>
          <w:marTop w:val="0"/>
          <w:marBottom w:val="0"/>
          <w:divBdr>
            <w:top w:val="none" w:sz="0" w:space="0" w:color="auto"/>
            <w:left w:val="none" w:sz="0" w:space="0" w:color="auto"/>
            <w:bottom w:val="none" w:sz="0" w:space="0" w:color="auto"/>
            <w:right w:val="none" w:sz="0" w:space="0" w:color="auto"/>
          </w:divBdr>
        </w:div>
        <w:div w:id="145365660">
          <w:marLeft w:val="0"/>
          <w:marRight w:val="0"/>
          <w:marTop w:val="0"/>
          <w:marBottom w:val="0"/>
          <w:divBdr>
            <w:top w:val="none" w:sz="0" w:space="0" w:color="auto"/>
            <w:left w:val="none" w:sz="0" w:space="0" w:color="auto"/>
            <w:bottom w:val="none" w:sz="0" w:space="0" w:color="auto"/>
            <w:right w:val="none" w:sz="0" w:space="0" w:color="auto"/>
          </w:divBdr>
        </w:div>
        <w:div w:id="251473304">
          <w:marLeft w:val="0"/>
          <w:marRight w:val="0"/>
          <w:marTop w:val="0"/>
          <w:marBottom w:val="0"/>
          <w:divBdr>
            <w:top w:val="none" w:sz="0" w:space="0" w:color="auto"/>
            <w:left w:val="none" w:sz="0" w:space="0" w:color="auto"/>
            <w:bottom w:val="none" w:sz="0" w:space="0" w:color="auto"/>
            <w:right w:val="none" w:sz="0" w:space="0" w:color="auto"/>
          </w:divBdr>
        </w:div>
        <w:div w:id="616066055">
          <w:marLeft w:val="0"/>
          <w:marRight w:val="0"/>
          <w:marTop w:val="0"/>
          <w:marBottom w:val="0"/>
          <w:divBdr>
            <w:top w:val="none" w:sz="0" w:space="0" w:color="auto"/>
            <w:left w:val="none" w:sz="0" w:space="0" w:color="auto"/>
            <w:bottom w:val="none" w:sz="0" w:space="0" w:color="auto"/>
            <w:right w:val="none" w:sz="0" w:space="0" w:color="auto"/>
          </w:divBdr>
        </w:div>
        <w:div w:id="634989818">
          <w:marLeft w:val="0"/>
          <w:marRight w:val="0"/>
          <w:marTop w:val="0"/>
          <w:marBottom w:val="0"/>
          <w:divBdr>
            <w:top w:val="none" w:sz="0" w:space="0" w:color="auto"/>
            <w:left w:val="none" w:sz="0" w:space="0" w:color="auto"/>
            <w:bottom w:val="none" w:sz="0" w:space="0" w:color="auto"/>
            <w:right w:val="none" w:sz="0" w:space="0" w:color="auto"/>
          </w:divBdr>
        </w:div>
        <w:div w:id="1103039987">
          <w:marLeft w:val="0"/>
          <w:marRight w:val="0"/>
          <w:marTop w:val="0"/>
          <w:marBottom w:val="0"/>
          <w:divBdr>
            <w:top w:val="none" w:sz="0" w:space="0" w:color="auto"/>
            <w:left w:val="none" w:sz="0" w:space="0" w:color="auto"/>
            <w:bottom w:val="none" w:sz="0" w:space="0" w:color="auto"/>
            <w:right w:val="none" w:sz="0" w:space="0" w:color="auto"/>
          </w:divBdr>
        </w:div>
        <w:div w:id="1185173283">
          <w:marLeft w:val="0"/>
          <w:marRight w:val="0"/>
          <w:marTop w:val="0"/>
          <w:marBottom w:val="0"/>
          <w:divBdr>
            <w:top w:val="none" w:sz="0" w:space="0" w:color="auto"/>
            <w:left w:val="none" w:sz="0" w:space="0" w:color="auto"/>
            <w:bottom w:val="none" w:sz="0" w:space="0" w:color="auto"/>
            <w:right w:val="none" w:sz="0" w:space="0" w:color="auto"/>
          </w:divBdr>
        </w:div>
        <w:div w:id="1256128899">
          <w:marLeft w:val="0"/>
          <w:marRight w:val="0"/>
          <w:marTop w:val="0"/>
          <w:marBottom w:val="0"/>
          <w:divBdr>
            <w:top w:val="none" w:sz="0" w:space="0" w:color="auto"/>
            <w:left w:val="none" w:sz="0" w:space="0" w:color="auto"/>
            <w:bottom w:val="none" w:sz="0" w:space="0" w:color="auto"/>
            <w:right w:val="none" w:sz="0" w:space="0" w:color="auto"/>
          </w:divBdr>
        </w:div>
        <w:div w:id="1381050685">
          <w:marLeft w:val="0"/>
          <w:marRight w:val="0"/>
          <w:marTop w:val="0"/>
          <w:marBottom w:val="0"/>
          <w:divBdr>
            <w:top w:val="none" w:sz="0" w:space="0" w:color="auto"/>
            <w:left w:val="none" w:sz="0" w:space="0" w:color="auto"/>
            <w:bottom w:val="none" w:sz="0" w:space="0" w:color="auto"/>
            <w:right w:val="none" w:sz="0" w:space="0" w:color="auto"/>
          </w:divBdr>
        </w:div>
        <w:div w:id="1688213468">
          <w:marLeft w:val="0"/>
          <w:marRight w:val="0"/>
          <w:marTop w:val="0"/>
          <w:marBottom w:val="0"/>
          <w:divBdr>
            <w:top w:val="none" w:sz="0" w:space="0" w:color="auto"/>
            <w:left w:val="none" w:sz="0" w:space="0" w:color="auto"/>
            <w:bottom w:val="none" w:sz="0" w:space="0" w:color="auto"/>
            <w:right w:val="none" w:sz="0" w:space="0" w:color="auto"/>
          </w:divBdr>
        </w:div>
        <w:div w:id="1717044550">
          <w:marLeft w:val="0"/>
          <w:marRight w:val="0"/>
          <w:marTop w:val="0"/>
          <w:marBottom w:val="0"/>
          <w:divBdr>
            <w:top w:val="none" w:sz="0" w:space="0" w:color="auto"/>
            <w:left w:val="none" w:sz="0" w:space="0" w:color="auto"/>
            <w:bottom w:val="none" w:sz="0" w:space="0" w:color="auto"/>
            <w:right w:val="none" w:sz="0" w:space="0" w:color="auto"/>
          </w:divBdr>
        </w:div>
        <w:div w:id="1967080745">
          <w:marLeft w:val="0"/>
          <w:marRight w:val="0"/>
          <w:marTop w:val="0"/>
          <w:marBottom w:val="0"/>
          <w:divBdr>
            <w:top w:val="none" w:sz="0" w:space="0" w:color="auto"/>
            <w:left w:val="none" w:sz="0" w:space="0" w:color="auto"/>
            <w:bottom w:val="none" w:sz="0" w:space="0" w:color="auto"/>
            <w:right w:val="none" w:sz="0" w:space="0" w:color="auto"/>
          </w:divBdr>
        </w:div>
        <w:div w:id="2068798023">
          <w:marLeft w:val="0"/>
          <w:marRight w:val="0"/>
          <w:marTop w:val="0"/>
          <w:marBottom w:val="0"/>
          <w:divBdr>
            <w:top w:val="none" w:sz="0" w:space="0" w:color="auto"/>
            <w:left w:val="none" w:sz="0" w:space="0" w:color="auto"/>
            <w:bottom w:val="none" w:sz="0" w:space="0" w:color="auto"/>
            <w:right w:val="none" w:sz="0" w:space="0" w:color="auto"/>
          </w:divBdr>
        </w:div>
      </w:divsChild>
    </w:div>
    <w:div w:id="763301067">
      <w:bodyDiv w:val="1"/>
      <w:marLeft w:val="0"/>
      <w:marRight w:val="0"/>
      <w:marTop w:val="0"/>
      <w:marBottom w:val="0"/>
      <w:divBdr>
        <w:top w:val="none" w:sz="0" w:space="0" w:color="auto"/>
        <w:left w:val="none" w:sz="0" w:space="0" w:color="auto"/>
        <w:bottom w:val="none" w:sz="0" w:space="0" w:color="auto"/>
        <w:right w:val="none" w:sz="0" w:space="0" w:color="auto"/>
      </w:divBdr>
      <w:divsChild>
        <w:div w:id="148208463">
          <w:marLeft w:val="0"/>
          <w:marRight w:val="0"/>
          <w:marTop w:val="0"/>
          <w:marBottom w:val="0"/>
          <w:divBdr>
            <w:top w:val="none" w:sz="0" w:space="0" w:color="auto"/>
            <w:left w:val="none" w:sz="0" w:space="0" w:color="auto"/>
            <w:bottom w:val="none" w:sz="0" w:space="0" w:color="auto"/>
            <w:right w:val="none" w:sz="0" w:space="0" w:color="auto"/>
          </w:divBdr>
        </w:div>
      </w:divsChild>
    </w:div>
    <w:div w:id="844781538">
      <w:bodyDiv w:val="1"/>
      <w:marLeft w:val="0"/>
      <w:marRight w:val="0"/>
      <w:marTop w:val="0"/>
      <w:marBottom w:val="0"/>
      <w:divBdr>
        <w:top w:val="none" w:sz="0" w:space="0" w:color="auto"/>
        <w:left w:val="none" w:sz="0" w:space="0" w:color="auto"/>
        <w:bottom w:val="none" w:sz="0" w:space="0" w:color="auto"/>
        <w:right w:val="none" w:sz="0" w:space="0" w:color="auto"/>
      </w:divBdr>
    </w:div>
    <w:div w:id="941106234">
      <w:bodyDiv w:val="1"/>
      <w:marLeft w:val="0"/>
      <w:marRight w:val="0"/>
      <w:marTop w:val="0"/>
      <w:marBottom w:val="0"/>
      <w:divBdr>
        <w:top w:val="none" w:sz="0" w:space="0" w:color="auto"/>
        <w:left w:val="none" w:sz="0" w:space="0" w:color="auto"/>
        <w:bottom w:val="none" w:sz="0" w:space="0" w:color="auto"/>
        <w:right w:val="none" w:sz="0" w:space="0" w:color="auto"/>
      </w:divBdr>
    </w:div>
    <w:div w:id="1004430869">
      <w:bodyDiv w:val="1"/>
      <w:marLeft w:val="0"/>
      <w:marRight w:val="0"/>
      <w:marTop w:val="0"/>
      <w:marBottom w:val="0"/>
      <w:divBdr>
        <w:top w:val="none" w:sz="0" w:space="0" w:color="auto"/>
        <w:left w:val="none" w:sz="0" w:space="0" w:color="auto"/>
        <w:bottom w:val="none" w:sz="0" w:space="0" w:color="auto"/>
        <w:right w:val="none" w:sz="0" w:space="0" w:color="auto"/>
      </w:divBdr>
    </w:div>
    <w:div w:id="1097169367">
      <w:bodyDiv w:val="1"/>
      <w:marLeft w:val="0"/>
      <w:marRight w:val="0"/>
      <w:marTop w:val="0"/>
      <w:marBottom w:val="0"/>
      <w:divBdr>
        <w:top w:val="none" w:sz="0" w:space="0" w:color="auto"/>
        <w:left w:val="none" w:sz="0" w:space="0" w:color="auto"/>
        <w:bottom w:val="none" w:sz="0" w:space="0" w:color="auto"/>
        <w:right w:val="none" w:sz="0" w:space="0" w:color="auto"/>
      </w:divBdr>
    </w:div>
    <w:div w:id="1104224203">
      <w:bodyDiv w:val="1"/>
      <w:marLeft w:val="0"/>
      <w:marRight w:val="0"/>
      <w:marTop w:val="0"/>
      <w:marBottom w:val="0"/>
      <w:divBdr>
        <w:top w:val="none" w:sz="0" w:space="0" w:color="auto"/>
        <w:left w:val="none" w:sz="0" w:space="0" w:color="auto"/>
        <w:bottom w:val="none" w:sz="0" w:space="0" w:color="auto"/>
        <w:right w:val="none" w:sz="0" w:space="0" w:color="auto"/>
      </w:divBdr>
    </w:div>
    <w:div w:id="1106272206">
      <w:bodyDiv w:val="1"/>
      <w:marLeft w:val="0"/>
      <w:marRight w:val="0"/>
      <w:marTop w:val="0"/>
      <w:marBottom w:val="0"/>
      <w:divBdr>
        <w:top w:val="none" w:sz="0" w:space="0" w:color="auto"/>
        <w:left w:val="none" w:sz="0" w:space="0" w:color="auto"/>
        <w:bottom w:val="none" w:sz="0" w:space="0" w:color="auto"/>
        <w:right w:val="none" w:sz="0" w:space="0" w:color="auto"/>
      </w:divBdr>
    </w:div>
    <w:div w:id="1165436064">
      <w:bodyDiv w:val="1"/>
      <w:marLeft w:val="0"/>
      <w:marRight w:val="0"/>
      <w:marTop w:val="0"/>
      <w:marBottom w:val="0"/>
      <w:divBdr>
        <w:top w:val="none" w:sz="0" w:space="0" w:color="auto"/>
        <w:left w:val="none" w:sz="0" w:space="0" w:color="auto"/>
        <w:bottom w:val="none" w:sz="0" w:space="0" w:color="auto"/>
        <w:right w:val="none" w:sz="0" w:space="0" w:color="auto"/>
      </w:divBdr>
    </w:div>
    <w:div w:id="1215509592">
      <w:bodyDiv w:val="1"/>
      <w:marLeft w:val="0"/>
      <w:marRight w:val="0"/>
      <w:marTop w:val="0"/>
      <w:marBottom w:val="0"/>
      <w:divBdr>
        <w:top w:val="none" w:sz="0" w:space="0" w:color="auto"/>
        <w:left w:val="none" w:sz="0" w:space="0" w:color="auto"/>
        <w:bottom w:val="none" w:sz="0" w:space="0" w:color="auto"/>
        <w:right w:val="none" w:sz="0" w:space="0" w:color="auto"/>
      </w:divBdr>
    </w:div>
    <w:div w:id="1285112828">
      <w:bodyDiv w:val="1"/>
      <w:marLeft w:val="0"/>
      <w:marRight w:val="0"/>
      <w:marTop w:val="0"/>
      <w:marBottom w:val="0"/>
      <w:divBdr>
        <w:top w:val="none" w:sz="0" w:space="0" w:color="auto"/>
        <w:left w:val="none" w:sz="0" w:space="0" w:color="auto"/>
        <w:bottom w:val="none" w:sz="0" w:space="0" w:color="auto"/>
        <w:right w:val="none" w:sz="0" w:space="0" w:color="auto"/>
      </w:divBdr>
    </w:div>
    <w:div w:id="1396004736">
      <w:bodyDiv w:val="1"/>
      <w:marLeft w:val="0"/>
      <w:marRight w:val="0"/>
      <w:marTop w:val="0"/>
      <w:marBottom w:val="0"/>
      <w:divBdr>
        <w:top w:val="none" w:sz="0" w:space="0" w:color="auto"/>
        <w:left w:val="none" w:sz="0" w:space="0" w:color="auto"/>
        <w:bottom w:val="none" w:sz="0" w:space="0" w:color="auto"/>
        <w:right w:val="none" w:sz="0" w:space="0" w:color="auto"/>
      </w:divBdr>
      <w:divsChild>
        <w:div w:id="314139820">
          <w:marLeft w:val="0"/>
          <w:marRight w:val="0"/>
          <w:marTop w:val="0"/>
          <w:marBottom w:val="0"/>
          <w:divBdr>
            <w:top w:val="none" w:sz="0" w:space="0" w:color="auto"/>
            <w:left w:val="none" w:sz="0" w:space="0" w:color="auto"/>
            <w:bottom w:val="none" w:sz="0" w:space="0" w:color="auto"/>
            <w:right w:val="none" w:sz="0" w:space="0" w:color="auto"/>
          </w:divBdr>
        </w:div>
      </w:divsChild>
    </w:div>
    <w:div w:id="1480614174">
      <w:bodyDiv w:val="1"/>
      <w:marLeft w:val="0"/>
      <w:marRight w:val="0"/>
      <w:marTop w:val="0"/>
      <w:marBottom w:val="0"/>
      <w:divBdr>
        <w:top w:val="none" w:sz="0" w:space="0" w:color="auto"/>
        <w:left w:val="none" w:sz="0" w:space="0" w:color="auto"/>
        <w:bottom w:val="none" w:sz="0" w:space="0" w:color="auto"/>
        <w:right w:val="none" w:sz="0" w:space="0" w:color="auto"/>
      </w:divBdr>
    </w:div>
    <w:div w:id="1502813153">
      <w:bodyDiv w:val="1"/>
      <w:marLeft w:val="0"/>
      <w:marRight w:val="0"/>
      <w:marTop w:val="0"/>
      <w:marBottom w:val="0"/>
      <w:divBdr>
        <w:top w:val="none" w:sz="0" w:space="0" w:color="auto"/>
        <w:left w:val="none" w:sz="0" w:space="0" w:color="auto"/>
        <w:bottom w:val="none" w:sz="0" w:space="0" w:color="auto"/>
        <w:right w:val="none" w:sz="0" w:space="0" w:color="auto"/>
      </w:divBdr>
    </w:div>
    <w:div w:id="1577128450">
      <w:bodyDiv w:val="1"/>
      <w:marLeft w:val="0"/>
      <w:marRight w:val="0"/>
      <w:marTop w:val="0"/>
      <w:marBottom w:val="0"/>
      <w:divBdr>
        <w:top w:val="none" w:sz="0" w:space="0" w:color="auto"/>
        <w:left w:val="none" w:sz="0" w:space="0" w:color="auto"/>
        <w:bottom w:val="none" w:sz="0" w:space="0" w:color="auto"/>
        <w:right w:val="none" w:sz="0" w:space="0" w:color="auto"/>
      </w:divBdr>
    </w:div>
    <w:div w:id="1589803823">
      <w:bodyDiv w:val="1"/>
      <w:marLeft w:val="0"/>
      <w:marRight w:val="0"/>
      <w:marTop w:val="0"/>
      <w:marBottom w:val="0"/>
      <w:divBdr>
        <w:top w:val="none" w:sz="0" w:space="0" w:color="auto"/>
        <w:left w:val="none" w:sz="0" w:space="0" w:color="auto"/>
        <w:bottom w:val="none" w:sz="0" w:space="0" w:color="auto"/>
        <w:right w:val="none" w:sz="0" w:space="0" w:color="auto"/>
      </w:divBdr>
    </w:div>
    <w:div w:id="1637223868">
      <w:bodyDiv w:val="1"/>
      <w:marLeft w:val="0"/>
      <w:marRight w:val="0"/>
      <w:marTop w:val="0"/>
      <w:marBottom w:val="0"/>
      <w:divBdr>
        <w:top w:val="none" w:sz="0" w:space="0" w:color="auto"/>
        <w:left w:val="none" w:sz="0" w:space="0" w:color="auto"/>
        <w:bottom w:val="none" w:sz="0" w:space="0" w:color="auto"/>
        <w:right w:val="none" w:sz="0" w:space="0" w:color="auto"/>
      </w:divBdr>
    </w:div>
    <w:div w:id="1658848616">
      <w:bodyDiv w:val="1"/>
      <w:marLeft w:val="0"/>
      <w:marRight w:val="0"/>
      <w:marTop w:val="0"/>
      <w:marBottom w:val="0"/>
      <w:divBdr>
        <w:top w:val="none" w:sz="0" w:space="0" w:color="auto"/>
        <w:left w:val="none" w:sz="0" w:space="0" w:color="auto"/>
        <w:bottom w:val="none" w:sz="0" w:space="0" w:color="auto"/>
        <w:right w:val="none" w:sz="0" w:space="0" w:color="auto"/>
      </w:divBdr>
      <w:divsChild>
        <w:div w:id="981036766">
          <w:marLeft w:val="0"/>
          <w:marRight w:val="0"/>
          <w:marTop w:val="0"/>
          <w:marBottom w:val="0"/>
          <w:divBdr>
            <w:top w:val="none" w:sz="0" w:space="0" w:color="auto"/>
            <w:left w:val="none" w:sz="0" w:space="0" w:color="auto"/>
            <w:bottom w:val="none" w:sz="0" w:space="0" w:color="auto"/>
            <w:right w:val="none" w:sz="0" w:space="0" w:color="auto"/>
          </w:divBdr>
          <w:divsChild>
            <w:div w:id="1812863866">
              <w:marLeft w:val="0"/>
              <w:marRight w:val="0"/>
              <w:marTop w:val="0"/>
              <w:marBottom w:val="0"/>
              <w:divBdr>
                <w:top w:val="none" w:sz="0" w:space="0" w:color="auto"/>
                <w:left w:val="none" w:sz="0" w:space="0" w:color="auto"/>
                <w:bottom w:val="none" w:sz="0" w:space="0" w:color="auto"/>
                <w:right w:val="none" w:sz="0" w:space="0" w:color="auto"/>
              </w:divBdr>
            </w:div>
          </w:divsChild>
        </w:div>
        <w:div w:id="1161121734">
          <w:marLeft w:val="0"/>
          <w:marRight w:val="0"/>
          <w:marTop w:val="0"/>
          <w:marBottom w:val="0"/>
          <w:divBdr>
            <w:top w:val="none" w:sz="0" w:space="0" w:color="auto"/>
            <w:left w:val="none" w:sz="0" w:space="0" w:color="auto"/>
            <w:bottom w:val="none" w:sz="0" w:space="0" w:color="auto"/>
            <w:right w:val="none" w:sz="0" w:space="0" w:color="auto"/>
          </w:divBdr>
          <w:divsChild>
            <w:div w:id="782767728">
              <w:marLeft w:val="0"/>
              <w:marRight w:val="0"/>
              <w:marTop w:val="0"/>
              <w:marBottom w:val="0"/>
              <w:divBdr>
                <w:top w:val="none" w:sz="0" w:space="0" w:color="auto"/>
                <w:left w:val="none" w:sz="0" w:space="0" w:color="auto"/>
                <w:bottom w:val="none" w:sz="0" w:space="0" w:color="auto"/>
                <w:right w:val="none" w:sz="0" w:space="0" w:color="auto"/>
              </w:divBdr>
            </w:div>
          </w:divsChild>
        </w:div>
        <w:div w:id="1828091376">
          <w:marLeft w:val="0"/>
          <w:marRight w:val="0"/>
          <w:marTop w:val="0"/>
          <w:marBottom w:val="0"/>
          <w:divBdr>
            <w:top w:val="none" w:sz="0" w:space="0" w:color="auto"/>
            <w:left w:val="none" w:sz="0" w:space="0" w:color="auto"/>
            <w:bottom w:val="none" w:sz="0" w:space="0" w:color="auto"/>
            <w:right w:val="none" w:sz="0" w:space="0" w:color="auto"/>
          </w:divBdr>
          <w:divsChild>
            <w:div w:id="13410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1953">
      <w:bodyDiv w:val="1"/>
      <w:marLeft w:val="0"/>
      <w:marRight w:val="0"/>
      <w:marTop w:val="0"/>
      <w:marBottom w:val="0"/>
      <w:divBdr>
        <w:top w:val="none" w:sz="0" w:space="0" w:color="auto"/>
        <w:left w:val="none" w:sz="0" w:space="0" w:color="auto"/>
        <w:bottom w:val="none" w:sz="0" w:space="0" w:color="auto"/>
        <w:right w:val="none" w:sz="0" w:space="0" w:color="auto"/>
      </w:divBdr>
      <w:divsChild>
        <w:div w:id="28921035">
          <w:marLeft w:val="0"/>
          <w:marRight w:val="0"/>
          <w:marTop w:val="0"/>
          <w:marBottom w:val="0"/>
          <w:divBdr>
            <w:top w:val="none" w:sz="0" w:space="0" w:color="auto"/>
            <w:left w:val="none" w:sz="0" w:space="0" w:color="auto"/>
            <w:bottom w:val="none" w:sz="0" w:space="0" w:color="auto"/>
            <w:right w:val="none" w:sz="0" w:space="0" w:color="auto"/>
          </w:divBdr>
          <w:divsChild>
            <w:div w:id="609320405">
              <w:marLeft w:val="0"/>
              <w:marRight w:val="0"/>
              <w:marTop w:val="0"/>
              <w:marBottom w:val="0"/>
              <w:divBdr>
                <w:top w:val="none" w:sz="0" w:space="0" w:color="auto"/>
                <w:left w:val="none" w:sz="0" w:space="0" w:color="auto"/>
                <w:bottom w:val="none" w:sz="0" w:space="0" w:color="auto"/>
                <w:right w:val="none" w:sz="0" w:space="0" w:color="auto"/>
              </w:divBdr>
            </w:div>
          </w:divsChild>
        </w:div>
        <w:div w:id="71662098">
          <w:marLeft w:val="0"/>
          <w:marRight w:val="0"/>
          <w:marTop w:val="0"/>
          <w:marBottom w:val="0"/>
          <w:divBdr>
            <w:top w:val="none" w:sz="0" w:space="0" w:color="auto"/>
            <w:left w:val="none" w:sz="0" w:space="0" w:color="auto"/>
            <w:bottom w:val="none" w:sz="0" w:space="0" w:color="auto"/>
            <w:right w:val="none" w:sz="0" w:space="0" w:color="auto"/>
          </w:divBdr>
          <w:divsChild>
            <w:div w:id="878472006">
              <w:marLeft w:val="0"/>
              <w:marRight w:val="0"/>
              <w:marTop w:val="0"/>
              <w:marBottom w:val="0"/>
              <w:divBdr>
                <w:top w:val="none" w:sz="0" w:space="0" w:color="auto"/>
                <w:left w:val="none" w:sz="0" w:space="0" w:color="auto"/>
                <w:bottom w:val="none" w:sz="0" w:space="0" w:color="auto"/>
                <w:right w:val="none" w:sz="0" w:space="0" w:color="auto"/>
              </w:divBdr>
            </w:div>
          </w:divsChild>
        </w:div>
        <w:div w:id="117533814">
          <w:marLeft w:val="0"/>
          <w:marRight w:val="0"/>
          <w:marTop w:val="0"/>
          <w:marBottom w:val="0"/>
          <w:divBdr>
            <w:top w:val="none" w:sz="0" w:space="0" w:color="auto"/>
            <w:left w:val="none" w:sz="0" w:space="0" w:color="auto"/>
            <w:bottom w:val="none" w:sz="0" w:space="0" w:color="auto"/>
            <w:right w:val="none" w:sz="0" w:space="0" w:color="auto"/>
          </w:divBdr>
          <w:divsChild>
            <w:div w:id="1568802239">
              <w:marLeft w:val="0"/>
              <w:marRight w:val="0"/>
              <w:marTop w:val="0"/>
              <w:marBottom w:val="0"/>
              <w:divBdr>
                <w:top w:val="none" w:sz="0" w:space="0" w:color="auto"/>
                <w:left w:val="none" w:sz="0" w:space="0" w:color="auto"/>
                <w:bottom w:val="none" w:sz="0" w:space="0" w:color="auto"/>
                <w:right w:val="none" w:sz="0" w:space="0" w:color="auto"/>
              </w:divBdr>
            </w:div>
          </w:divsChild>
        </w:div>
        <w:div w:id="194467414">
          <w:marLeft w:val="0"/>
          <w:marRight w:val="0"/>
          <w:marTop w:val="0"/>
          <w:marBottom w:val="0"/>
          <w:divBdr>
            <w:top w:val="none" w:sz="0" w:space="0" w:color="auto"/>
            <w:left w:val="none" w:sz="0" w:space="0" w:color="auto"/>
            <w:bottom w:val="none" w:sz="0" w:space="0" w:color="auto"/>
            <w:right w:val="none" w:sz="0" w:space="0" w:color="auto"/>
          </w:divBdr>
          <w:divsChild>
            <w:div w:id="256183974">
              <w:marLeft w:val="0"/>
              <w:marRight w:val="0"/>
              <w:marTop w:val="0"/>
              <w:marBottom w:val="0"/>
              <w:divBdr>
                <w:top w:val="none" w:sz="0" w:space="0" w:color="auto"/>
                <w:left w:val="none" w:sz="0" w:space="0" w:color="auto"/>
                <w:bottom w:val="none" w:sz="0" w:space="0" w:color="auto"/>
                <w:right w:val="none" w:sz="0" w:space="0" w:color="auto"/>
              </w:divBdr>
            </w:div>
          </w:divsChild>
        </w:div>
        <w:div w:id="213154467">
          <w:marLeft w:val="0"/>
          <w:marRight w:val="0"/>
          <w:marTop w:val="0"/>
          <w:marBottom w:val="0"/>
          <w:divBdr>
            <w:top w:val="none" w:sz="0" w:space="0" w:color="auto"/>
            <w:left w:val="none" w:sz="0" w:space="0" w:color="auto"/>
            <w:bottom w:val="none" w:sz="0" w:space="0" w:color="auto"/>
            <w:right w:val="none" w:sz="0" w:space="0" w:color="auto"/>
          </w:divBdr>
          <w:divsChild>
            <w:div w:id="1768306876">
              <w:marLeft w:val="0"/>
              <w:marRight w:val="0"/>
              <w:marTop w:val="0"/>
              <w:marBottom w:val="0"/>
              <w:divBdr>
                <w:top w:val="none" w:sz="0" w:space="0" w:color="auto"/>
                <w:left w:val="none" w:sz="0" w:space="0" w:color="auto"/>
                <w:bottom w:val="none" w:sz="0" w:space="0" w:color="auto"/>
                <w:right w:val="none" w:sz="0" w:space="0" w:color="auto"/>
              </w:divBdr>
            </w:div>
          </w:divsChild>
        </w:div>
        <w:div w:id="270670632">
          <w:marLeft w:val="0"/>
          <w:marRight w:val="0"/>
          <w:marTop w:val="0"/>
          <w:marBottom w:val="0"/>
          <w:divBdr>
            <w:top w:val="none" w:sz="0" w:space="0" w:color="auto"/>
            <w:left w:val="none" w:sz="0" w:space="0" w:color="auto"/>
            <w:bottom w:val="none" w:sz="0" w:space="0" w:color="auto"/>
            <w:right w:val="none" w:sz="0" w:space="0" w:color="auto"/>
          </w:divBdr>
          <w:divsChild>
            <w:div w:id="817109584">
              <w:marLeft w:val="0"/>
              <w:marRight w:val="0"/>
              <w:marTop w:val="0"/>
              <w:marBottom w:val="0"/>
              <w:divBdr>
                <w:top w:val="none" w:sz="0" w:space="0" w:color="auto"/>
                <w:left w:val="none" w:sz="0" w:space="0" w:color="auto"/>
                <w:bottom w:val="none" w:sz="0" w:space="0" w:color="auto"/>
                <w:right w:val="none" w:sz="0" w:space="0" w:color="auto"/>
              </w:divBdr>
            </w:div>
          </w:divsChild>
        </w:div>
        <w:div w:id="401412289">
          <w:marLeft w:val="0"/>
          <w:marRight w:val="0"/>
          <w:marTop w:val="0"/>
          <w:marBottom w:val="0"/>
          <w:divBdr>
            <w:top w:val="none" w:sz="0" w:space="0" w:color="auto"/>
            <w:left w:val="none" w:sz="0" w:space="0" w:color="auto"/>
            <w:bottom w:val="none" w:sz="0" w:space="0" w:color="auto"/>
            <w:right w:val="none" w:sz="0" w:space="0" w:color="auto"/>
          </w:divBdr>
          <w:divsChild>
            <w:div w:id="1726634381">
              <w:marLeft w:val="0"/>
              <w:marRight w:val="0"/>
              <w:marTop w:val="0"/>
              <w:marBottom w:val="0"/>
              <w:divBdr>
                <w:top w:val="none" w:sz="0" w:space="0" w:color="auto"/>
                <w:left w:val="none" w:sz="0" w:space="0" w:color="auto"/>
                <w:bottom w:val="none" w:sz="0" w:space="0" w:color="auto"/>
                <w:right w:val="none" w:sz="0" w:space="0" w:color="auto"/>
              </w:divBdr>
            </w:div>
          </w:divsChild>
        </w:div>
        <w:div w:id="414479903">
          <w:marLeft w:val="0"/>
          <w:marRight w:val="0"/>
          <w:marTop w:val="0"/>
          <w:marBottom w:val="0"/>
          <w:divBdr>
            <w:top w:val="none" w:sz="0" w:space="0" w:color="auto"/>
            <w:left w:val="none" w:sz="0" w:space="0" w:color="auto"/>
            <w:bottom w:val="none" w:sz="0" w:space="0" w:color="auto"/>
            <w:right w:val="none" w:sz="0" w:space="0" w:color="auto"/>
          </w:divBdr>
          <w:divsChild>
            <w:div w:id="1383217287">
              <w:marLeft w:val="0"/>
              <w:marRight w:val="0"/>
              <w:marTop w:val="0"/>
              <w:marBottom w:val="0"/>
              <w:divBdr>
                <w:top w:val="none" w:sz="0" w:space="0" w:color="auto"/>
                <w:left w:val="none" w:sz="0" w:space="0" w:color="auto"/>
                <w:bottom w:val="none" w:sz="0" w:space="0" w:color="auto"/>
                <w:right w:val="none" w:sz="0" w:space="0" w:color="auto"/>
              </w:divBdr>
            </w:div>
          </w:divsChild>
        </w:div>
        <w:div w:id="440419275">
          <w:marLeft w:val="0"/>
          <w:marRight w:val="0"/>
          <w:marTop w:val="0"/>
          <w:marBottom w:val="0"/>
          <w:divBdr>
            <w:top w:val="none" w:sz="0" w:space="0" w:color="auto"/>
            <w:left w:val="none" w:sz="0" w:space="0" w:color="auto"/>
            <w:bottom w:val="none" w:sz="0" w:space="0" w:color="auto"/>
            <w:right w:val="none" w:sz="0" w:space="0" w:color="auto"/>
          </w:divBdr>
          <w:divsChild>
            <w:div w:id="876351580">
              <w:marLeft w:val="0"/>
              <w:marRight w:val="0"/>
              <w:marTop w:val="0"/>
              <w:marBottom w:val="0"/>
              <w:divBdr>
                <w:top w:val="none" w:sz="0" w:space="0" w:color="auto"/>
                <w:left w:val="none" w:sz="0" w:space="0" w:color="auto"/>
                <w:bottom w:val="none" w:sz="0" w:space="0" w:color="auto"/>
                <w:right w:val="none" w:sz="0" w:space="0" w:color="auto"/>
              </w:divBdr>
            </w:div>
          </w:divsChild>
        </w:div>
        <w:div w:id="510995716">
          <w:marLeft w:val="0"/>
          <w:marRight w:val="0"/>
          <w:marTop w:val="0"/>
          <w:marBottom w:val="0"/>
          <w:divBdr>
            <w:top w:val="none" w:sz="0" w:space="0" w:color="auto"/>
            <w:left w:val="none" w:sz="0" w:space="0" w:color="auto"/>
            <w:bottom w:val="none" w:sz="0" w:space="0" w:color="auto"/>
            <w:right w:val="none" w:sz="0" w:space="0" w:color="auto"/>
          </w:divBdr>
          <w:divsChild>
            <w:div w:id="527761986">
              <w:marLeft w:val="0"/>
              <w:marRight w:val="0"/>
              <w:marTop w:val="0"/>
              <w:marBottom w:val="0"/>
              <w:divBdr>
                <w:top w:val="none" w:sz="0" w:space="0" w:color="auto"/>
                <w:left w:val="none" w:sz="0" w:space="0" w:color="auto"/>
                <w:bottom w:val="none" w:sz="0" w:space="0" w:color="auto"/>
                <w:right w:val="none" w:sz="0" w:space="0" w:color="auto"/>
              </w:divBdr>
            </w:div>
          </w:divsChild>
        </w:div>
        <w:div w:id="577788277">
          <w:marLeft w:val="0"/>
          <w:marRight w:val="0"/>
          <w:marTop w:val="0"/>
          <w:marBottom w:val="0"/>
          <w:divBdr>
            <w:top w:val="none" w:sz="0" w:space="0" w:color="auto"/>
            <w:left w:val="none" w:sz="0" w:space="0" w:color="auto"/>
            <w:bottom w:val="none" w:sz="0" w:space="0" w:color="auto"/>
            <w:right w:val="none" w:sz="0" w:space="0" w:color="auto"/>
          </w:divBdr>
          <w:divsChild>
            <w:div w:id="1440565851">
              <w:marLeft w:val="0"/>
              <w:marRight w:val="0"/>
              <w:marTop w:val="0"/>
              <w:marBottom w:val="0"/>
              <w:divBdr>
                <w:top w:val="none" w:sz="0" w:space="0" w:color="auto"/>
                <w:left w:val="none" w:sz="0" w:space="0" w:color="auto"/>
                <w:bottom w:val="none" w:sz="0" w:space="0" w:color="auto"/>
                <w:right w:val="none" w:sz="0" w:space="0" w:color="auto"/>
              </w:divBdr>
            </w:div>
          </w:divsChild>
        </w:div>
        <w:div w:id="682589850">
          <w:marLeft w:val="0"/>
          <w:marRight w:val="0"/>
          <w:marTop w:val="0"/>
          <w:marBottom w:val="0"/>
          <w:divBdr>
            <w:top w:val="none" w:sz="0" w:space="0" w:color="auto"/>
            <w:left w:val="none" w:sz="0" w:space="0" w:color="auto"/>
            <w:bottom w:val="none" w:sz="0" w:space="0" w:color="auto"/>
            <w:right w:val="none" w:sz="0" w:space="0" w:color="auto"/>
          </w:divBdr>
          <w:divsChild>
            <w:div w:id="307900837">
              <w:marLeft w:val="0"/>
              <w:marRight w:val="0"/>
              <w:marTop w:val="0"/>
              <w:marBottom w:val="0"/>
              <w:divBdr>
                <w:top w:val="none" w:sz="0" w:space="0" w:color="auto"/>
                <w:left w:val="none" w:sz="0" w:space="0" w:color="auto"/>
                <w:bottom w:val="none" w:sz="0" w:space="0" w:color="auto"/>
                <w:right w:val="none" w:sz="0" w:space="0" w:color="auto"/>
              </w:divBdr>
            </w:div>
          </w:divsChild>
        </w:div>
        <w:div w:id="683433412">
          <w:marLeft w:val="0"/>
          <w:marRight w:val="0"/>
          <w:marTop w:val="0"/>
          <w:marBottom w:val="0"/>
          <w:divBdr>
            <w:top w:val="none" w:sz="0" w:space="0" w:color="auto"/>
            <w:left w:val="none" w:sz="0" w:space="0" w:color="auto"/>
            <w:bottom w:val="none" w:sz="0" w:space="0" w:color="auto"/>
            <w:right w:val="none" w:sz="0" w:space="0" w:color="auto"/>
          </w:divBdr>
          <w:divsChild>
            <w:div w:id="430442934">
              <w:marLeft w:val="0"/>
              <w:marRight w:val="0"/>
              <w:marTop w:val="0"/>
              <w:marBottom w:val="0"/>
              <w:divBdr>
                <w:top w:val="none" w:sz="0" w:space="0" w:color="auto"/>
                <w:left w:val="none" w:sz="0" w:space="0" w:color="auto"/>
                <w:bottom w:val="none" w:sz="0" w:space="0" w:color="auto"/>
                <w:right w:val="none" w:sz="0" w:space="0" w:color="auto"/>
              </w:divBdr>
            </w:div>
          </w:divsChild>
        </w:div>
        <w:div w:id="778568851">
          <w:marLeft w:val="0"/>
          <w:marRight w:val="0"/>
          <w:marTop w:val="0"/>
          <w:marBottom w:val="0"/>
          <w:divBdr>
            <w:top w:val="none" w:sz="0" w:space="0" w:color="auto"/>
            <w:left w:val="none" w:sz="0" w:space="0" w:color="auto"/>
            <w:bottom w:val="none" w:sz="0" w:space="0" w:color="auto"/>
            <w:right w:val="none" w:sz="0" w:space="0" w:color="auto"/>
          </w:divBdr>
          <w:divsChild>
            <w:div w:id="1653947981">
              <w:marLeft w:val="0"/>
              <w:marRight w:val="0"/>
              <w:marTop w:val="0"/>
              <w:marBottom w:val="0"/>
              <w:divBdr>
                <w:top w:val="none" w:sz="0" w:space="0" w:color="auto"/>
                <w:left w:val="none" w:sz="0" w:space="0" w:color="auto"/>
                <w:bottom w:val="none" w:sz="0" w:space="0" w:color="auto"/>
                <w:right w:val="none" w:sz="0" w:space="0" w:color="auto"/>
              </w:divBdr>
            </w:div>
          </w:divsChild>
        </w:div>
        <w:div w:id="863248770">
          <w:marLeft w:val="0"/>
          <w:marRight w:val="0"/>
          <w:marTop w:val="0"/>
          <w:marBottom w:val="0"/>
          <w:divBdr>
            <w:top w:val="none" w:sz="0" w:space="0" w:color="auto"/>
            <w:left w:val="none" w:sz="0" w:space="0" w:color="auto"/>
            <w:bottom w:val="none" w:sz="0" w:space="0" w:color="auto"/>
            <w:right w:val="none" w:sz="0" w:space="0" w:color="auto"/>
          </w:divBdr>
          <w:divsChild>
            <w:div w:id="379474738">
              <w:marLeft w:val="0"/>
              <w:marRight w:val="0"/>
              <w:marTop w:val="0"/>
              <w:marBottom w:val="0"/>
              <w:divBdr>
                <w:top w:val="none" w:sz="0" w:space="0" w:color="auto"/>
                <w:left w:val="none" w:sz="0" w:space="0" w:color="auto"/>
                <w:bottom w:val="none" w:sz="0" w:space="0" w:color="auto"/>
                <w:right w:val="none" w:sz="0" w:space="0" w:color="auto"/>
              </w:divBdr>
            </w:div>
          </w:divsChild>
        </w:div>
        <w:div w:id="927810967">
          <w:marLeft w:val="0"/>
          <w:marRight w:val="0"/>
          <w:marTop w:val="0"/>
          <w:marBottom w:val="0"/>
          <w:divBdr>
            <w:top w:val="none" w:sz="0" w:space="0" w:color="auto"/>
            <w:left w:val="none" w:sz="0" w:space="0" w:color="auto"/>
            <w:bottom w:val="none" w:sz="0" w:space="0" w:color="auto"/>
            <w:right w:val="none" w:sz="0" w:space="0" w:color="auto"/>
          </w:divBdr>
          <w:divsChild>
            <w:div w:id="481432602">
              <w:marLeft w:val="0"/>
              <w:marRight w:val="0"/>
              <w:marTop w:val="0"/>
              <w:marBottom w:val="0"/>
              <w:divBdr>
                <w:top w:val="none" w:sz="0" w:space="0" w:color="auto"/>
                <w:left w:val="none" w:sz="0" w:space="0" w:color="auto"/>
                <w:bottom w:val="none" w:sz="0" w:space="0" w:color="auto"/>
                <w:right w:val="none" w:sz="0" w:space="0" w:color="auto"/>
              </w:divBdr>
            </w:div>
          </w:divsChild>
        </w:div>
        <w:div w:id="1092432163">
          <w:marLeft w:val="0"/>
          <w:marRight w:val="0"/>
          <w:marTop w:val="0"/>
          <w:marBottom w:val="0"/>
          <w:divBdr>
            <w:top w:val="none" w:sz="0" w:space="0" w:color="auto"/>
            <w:left w:val="none" w:sz="0" w:space="0" w:color="auto"/>
            <w:bottom w:val="none" w:sz="0" w:space="0" w:color="auto"/>
            <w:right w:val="none" w:sz="0" w:space="0" w:color="auto"/>
          </w:divBdr>
          <w:divsChild>
            <w:div w:id="815605838">
              <w:marLeft w:val="0"/>
              <w:marRight w:val="0"/>
              <w:marTop w:val="0"/>
              <w:marBottom w:val="0"/>
              <w:divBdr>
                <w:top w:val="none" w:sz="0" w:space="0" w:color="auto"/>
                <w:left w:val="none" w:sz="0" w:space="0" w:color="auto"/>
                <w:bottom w:val="none" w:sz="0" w:space="0" w:color="auto"/>
                <w:right w:val="none" w:sz="0" w:space="0" w:color="auto"/>
              </w:divBdr>
            </w:div>
          </w:divsChild>
        </w:div>
        <w:div w:id="1136920496">
          <w:marLeft w:val="0"/>
          <w:marRight w:val="0"/>
          <w:marTop w:val="0"/>
          <w:marBottom w:val="0"/>
          <w:divBdr>
            <w:top w:val="none" w:sz="0" w:space="0" w:color="auto"/>
            <w:left w:val="none" w:sz="0" w:space="0" w:color="auto"/>
            <w:bottom w:val="none" w:sz="0" w:space="0" w:color="auto"/>
            <w:right w:val="none" w:sz="0" w:space="0" w:color="auto"/>
          </w:divBdr>
          <w:divsChild>
            <w:div w:id="665403171">
              <w:marLeft w:val="0"/>
              <w:marRight w:val="0"/>
              <w:marTop w:val="0"/>
              <w:marBottom w:val="0"/>
              <w:divBdr>
                <w:top w:val="none" w:sz="0" w:space="0" w:color="auto"/>
                <w:left w:val="none" w:sz="0" w:space="0" w:color="auto"/>
                <w:bottom w:val="none" w:sz="0" w:space="0" w:color="auto"/>
                <w:right w:val="none" w:sz="0" w:space="0" w:color="auto"/>
              </w:divBdr>
            </w:div>
          </w:divsChild>
        </w:div>
        <w:div w:id="1213730936">
          <w:marLeft w:val="0"/>
          <w:marRight w:val="0"/>
          <w:marTop w:val="0"/>
          <w:marBottom w:val="0"/>
          <w:divBdr>
            <w:top w:val="none" w:sz="0" w:space="0" w:color="auto"/>
            <w:left w:val="none" w:sz="0" w:space="0" w:color="auto"/>
            <w:bottom w:val="none" w:sz="0" w:space="0" w:color="auto"/>
            <w:right w:val="none" w:sz="0" w:space="0" w:color="auto"/>
          </w:divBdr>
          <w:divsChild>
            <w:div w:id="51537542">
              <w:marLeft w:val="0"/>
              <w:marRight w:val="0"/>
              <w:marTop w:val="0"/>
              <w:marBottom w:val="0"/>
              <w:divBdr>
                <w:top w:val="none" w:sz="0" w:space="0" w:color="auto"/>
                <w:left w:val="none" w:sz="0" w:space="0" w:color="auto"/>
                <w:bottom w:val="none" w:sz="0" w:space="0" w:color="auto"/>
                <w:right w:val="none" w:sz="0" w:space="0" w:color="auto"/>
              </w:divBdr>
            </w:div>
          </w:divsChild>
        </w:div>
        <w:div w:id="1220286911">
          <w:marLeft w:val="0"/>
          <w:marRight w:val="0"/>
          <w:marTop w:val="0"/>
          <w:marBottom w:val="0"/>
          <w:divBdr>
            <w:top w:val="none" w:sz="0" w:space="0" w:color="auto"/>
            <w:left w:val="none" w:sz="0" w:space="0" w:color="auto"/>
            <w:bottom w:val="none" w:sz="0" w:space="0" w:color="auto"/>
            <w:right w:val="none" w:sz="0" w:space="0" w:color="auto"/>
          </w:divBdr>
          <w:divsChild>
            <w:div w:id="1390349895">
              <w:marLeft w:val="0"/>
              <w:marRight w:val="0"/>
              <w:marTop w:val="0"/>
              <w:marBottom w:val="0"/>
              <w:divBdr>
                <w:top w:val="none" w:sz="0" w:space="0" w:color="auto"/>
                <w:left w:val="none" w:sz="0" w:space="0" w:color="auto"/>
                <w:bottom w:val="none" w:sz="0" w:space="0" w:color="auto"/>
                <w:right w:val="none" w:sz="0" w:space="0" w:color="auto"/>
              </w:divBdr>
            </w:div>
          </w:divsChild>
        </w:div>
        <w:div w:id="1264194241">
          <w:marLeft w:val="0"/>
          <w:marRight w:val="0"/>
          <w:marTop w:val="0"/>
          <w:marBottom w:val="0"/>
          <w:divBdr>
            <w:top w:val="none" w:sz="0" w:space="0" w:color="auto"/>
            <w:left w:val="none" w:sz="0" w:space="0" w:color="auto"/>
            <w:bottom w:val="none" w:sz="0" w:space="0" w:color="auto"/>
            <w:right w:val="none" w:sz="0" w:space="0" w:color="auto"/>
          </w:divBdr>
          <w:divsChild>
            <w:div w:id="1527210226">
              <w:marLeft w:val="0"/>
              <w:marRight w:val="0"/>
              <w:marTop w:val="0"/>
              <w:marBottom w:val="0"/>
              <w:divBdr>
                <w:top w:val="none" w:sz="0" w:space="0" w:color="auto"/>
                <w:left w:val="none" w:sz="0" w:space="0" w:color="auto"/>
                <w:bottom w:val="none" w:sz="0" w:space="0" w:color="auto"/>
                <w:right w:val="none" w:sz="0" w:space="0" w:color="auto"/>
              </w:divBdr>
            </w:div>
          </w:divsChild>
        </w:div>
        <w:div w:id="1282227892">
          <w:marLeft w:val="0"/>
          <w:marRight w:val="0"/>
          <w:marTop w:val="0"/>
          <w:marBottom w:val="0"/>
          <w:divBdr>
            <w:top w:val="none" w:sz="0" w:space="0" w:color="auto"/>
            <w:left w:val="none" w:sz="0" w:space="0" w:color="auto"/>
            <w:bottom w:val="none" w:sz="0" w:space="0" w:color="auto"/>
            <w:right w:val="none" w:sz="0" w:space="0" w:color="auto"/>
          </w:divBdr>
          <w:divsChild>
            <w:div w:id="1777291301">
              <w:marLeft w:val="0"/>
              <w:marRight w:val="0"/>
              <w:marTop w:val="0"/>
              <w:marBottom w:val="0"/>
              <w:divBdr>
                <w:top w:val="none" w:sz="0" w:space="0" w:color="auto"/>
                <w:left w:val="none" w:sz="0" w:space="0" w:color="auto"/>
                <w:bottom w:val="none" w:sz="0" w:space="0" w:color="auto"/>
                <w:right w:val="none" w:sz="0" w:space="0" w:color="auto"/>
              </w:divBdr>
            </w:div>
          </w:divsChild>
        </w:div>
        <w:div w:id="1284656665">
          <w:marLeft w:val="0"/>
          <w:marRight w:val="0"/>
          <w:marTop w:val="0"/>
          <w:marBottom w:val="0"/>
          <w:divBdr>
            <w:top w:val="none" w:sz="0" w:space="0" w:color="auto"/>
            <w:left w:val="none" w:sz="0" w:space="0" w:color="auto"/>
            <w:bottom w:val="none" w:sz="0" w:space="0" w:color="auto"/>
            <w:right w:val="none" w:sz="0" w:space="0" w:color="auto"/>
          </w:divBdr>
          <w:divsChild>
            <w:div w:id="1218664513">
              <w:marLeft w:val="0"/>
              <w:marRight w:val="0"/>
              <w:marTop w:val="0"/>
              <w:marBottom w:val="0"/>
              <w:divBdr>
                <w:top w:val="none" w:sz="0" w:space="0" w:color="auto"/>
                <w:left w:val="none" w:sz="0" w:space="0" w:color="auto"/>
                <w:bottom w:val="none" w:sz="0" w:space="0" w:color="auto"/>
                <w:right w:val="none" w:sz="0" w:space="0" w:color="auto"/>
              </w:divBdr>
            </w:div>
          </w:divsChild>
        </w:div>
        <w:div w:id="1376851947">
          <w:marLeft w:val="0"/>
          <w:marRight w:val="0"/>
          <w:marTop w:val="0"/>
          <w:marBottom w:val="0"/>
          <w:divBdr>
            <w:top w:val="none" w:sz="0" w:space="0" w:color="auto"/>
            <w:left w:val="none" w:sz="0" w:space="0" w:color="auto"/>
            <w:bottom w:val="none" w:sz="0" w:space="0" w:color="auto"/>
            <w:right w:val="none" w:sz="0" w:space="0" w:color="auto"/>
          </w:divBdr>
          <w:divsChild>
            <w:div w:id="429468764">
              <w:marLeft w:val="0"/>
              <w:marRight w:val="0"/>
              <w:marTop w:val="0"/>
              <w:marBottom w:val="0"/>
              <w:divBdr>
                <w:top w:val="none" w:sz="0" w:space="0" w:color="auto"/>
                <w:left w:val="none" w:sz="0" w:space="0" w:color="auto"/>
                <w:bottom w:val="none" w:sz="0" w:space="0" w:color="auto"/>
                <w:right w:val="none" w:sz="0" w:space="0" w:color="auto"/>
              </w:divBdr>
            </w:div>
          </w:divsChild>
        </w:div>
        <w:div w:id="1395274121">
          <w:marLeft w:val="0"/>
          <w:marRight w:val="0"/>
          <w:marTop w:val="0"/>
          <w:marBottom w:val="0"/>
          <w:divBdr>
            <w:top w:val="none" w:sz="0" w:space="0" w:color="auto"/>
            <w:left w:val="none" w:sz="0" w:space="0" w:color="auto"/>
            <w:bottom w:val="none" w:sz="0" w:space="0" w:color="auto"/>
            <w:right w:val="none" w:sz="0" w:space="0" w:color="auto"/>
          </w:divBdr>
          <w:divsChild>
            <w:div w:id="216552936">
              <w:marLeft w:val="0"/>
              <w:marRight w:val="0"/>
              <w:marTop w:val="0"/>
              <w:marBottom w:val="0"/>
              <w:divBdr>
                <w:top w:val="none" w:sz="0" w:space="0" w:color="auto"/>
                <w:left w:val="none" w:sz="0" w:space="0" w:color="auto"/>
                <w:bottom w:val="none" w:sz="0" w:space="0" w:color="auto"/>
                <w:right w:val="none" w:sz="0" w:space="0" w:color="auto"/>
              </w:divBdr>
            </w:div>
          </w:divsChild>
        </w:div>
        <w:div w:id="1404987303">
          <w:marLeft w:val="0"/>
          <w:marRight w:val="0"/>
          <w:marTop w:val="0"/>
          <w:marBottom w:val="0"/>
          <w:divBdr>
            <w:top w:val="none" w:sz="0" w:space="0" w:color="auto"/>
            <w:left w:val="none" w:sz="0" w:space="0" w:color="auto"/>
            <w:bottom w:val="none" w:sz="0" w:space="0" w:color="auto"/>
            <w:right w:val="none" w:sz="0" w:space="0" w:color="auto"/>
          </w:divBdr>
          <w:divsChild>
            <w:div w:id="580483653">
              <w:marLeft w:val="0"/>
              <w:marRight w:val="0"/>
              <w:marTop w:val="0"/>
              <w:marBottom w:val="0"/>
              <w:divBdr>
                <w:top w:val="none" w:sz="0" w:space="0" w:color="auto"/>
                <w:left w:val="none" w:sz="0" w:space="0" w:color="auto"/>
                <w:bottom w:val="none" w:sz="0" w:space="0" w:color="auto"/>
                <w:right w:val="none" w:sz="0" w:space="0" w:color="auto"/>
              </w:divBdr>
            </w:div>
          </w:divsChild>
        </w:div>
        <w:div w:id="1510412124">
          <w:marLeft w:val="0"/>
          <w:marRight w:val="0"/>
          <w:marTop w:val="0"/>
          <w:marBottom w:val="0"/>
          <w:divBdr>
            <w:top w:val="none" w:sz="0" w:space="0" w:color="auto"/>
            <w:left w:val="none" w:sz="0" w:space="0" w:color="auto"/>
            <w:bottom w:val="none" w:sz="0" w:space="0" w:color="auto"/>
            <w:right w:val="none" w:sz="0" w:space="0" w:color="auto"/>
          </w:divBdr>
          <w:divsChild>
            <w:div w:id="727414768">
              <w:marLeft w:val="0"/>
              <w:marRight w:val="0"/>
              <w:marTop w:val="0"/>
              <w:marBottom w:val="0"/>
              <w:divBdr>
                <w:top w:val="none" w:sz="0" w:space="0" w:color="auto"/>
                <w:left w:val="none" w:sz="0" w:space="0" w:color="auto"/>
                <w:bottom w:val="none" w:sz="0" w:space="0" w:color="auto"/>
                <w:right w:val="none" w:sz="0" w:space="0" w:color="auto"/>
              </w:divBdr>
            </w:div>
          </w:divsChild>
        </w:div>
        <w:div w:id="1547135662">
          <w:marLeft w:val="0"/>
          <w:marRight w:val="0"/>
          <w:marTop w:val="0"/>
          <w:marBottom w:val="0"/>
          <w:divBdr>
            <w:top w:val="none" w:sz="0" w:space="0" w:color="auto"/>
            <w:left w:val="none" w:sz="0" w:space="0" w:color="auto"/>
            <w:bottom w:val="none" w:sz="0" w:space="0" w:color="auto"/>
            <w:right w:val="none" w:sz="0" w:space="0" w:color="auto"/>
          </w:divBdr>
          <w:divsChild>
            <w:div w:id="2010863461">
              <w:marLeft w:val="0"/>
              <w:marRight w:val="0"/>
              <w:marTop w:val="0"/>
              <w:marBottom w:val="0"/>
              <w:divBdr>
                <w:top w:val="none" w:sz="0" w:space="0" w:color="auto"/>
                <w:left w:val="none" w:sz="0" w:space="0" w:color="auto"/>
                <w:bottom w:val="none" w:sz="0" w:space="0" w:color="auto"/>
                <w:right w:val="none" w:sz="0" w:space="0" w:color="auto"/>
              </w:divBdr>
            </w:div>
          </w:divsChild>
        </w:div>
        <w:div w:id="1641112946">
          <w:marLeft w:val="0"/>
          <w:marRight w:val="0"/>
          <w:marTop w:val="0"/>
          <w:marBottom w:val="0"/>
          <w:divBdr>
            <w:top w:val="none" w:sz="0" w:space="0" w:color="auto"/>
            <w:left w:val="none" w:sz="0" w:space="0" w:color="auto"/>
            <w:bottom w:val="none" w:sz="0" w:space="0" w:color="auto"/>
            <w:right w:val="none" w:sz="0" w:space="0" w:color="auto"/>
          </w:divBdr>
          <w:divsChild>
            <w:div w:id="1892813173">
              <w:marLeft w:val="0"/>
              <w:marRight w:val="0"/>
              <w:marTop w:val="0"/>
              <w:marBottom w:val="0"/>
              <w:divBdr>
                <w:top w:val="none" w:sz="0" w:space="0" w:color="auto"/>
                <w:left w:val="none" w:sz="0" w:space="0" w:color="auto"/>
                <w:bottom w:val="none" w:sz="0" w:space="0" w:color="auto"/>
                <w:right w:val="none" w:sz="0" w:space="0" w:color="auto"/>
              </w:divBdr>
            </w:div>
          </w:divsChild>
        </w:div>
        <w:div w:id="1685397711">
          <w:marLeft w:val="0"/>
          <w:marRight w:val="0"/>
          <w:marTop w:val="0"/>
          <w:marBottom w:val="0"/>
          <w:divBdr>
            <w:top w:val="none" w:sz="0" w:space="0" w:color="auto"/>
            <w:left w:val="none" w:sz="0" w:space="0" w:color="auto"/>
            <w:bottom w:val="none" w:sz="0" w:space="0" w:color="auto"/>
            <w:right w:val="none" w:sz="0" w:space="0" w:color="auto"/>
          </w:divBdr>
          <w:divsChild>
            <w:div w:id="1088384404">
              <w:marLeft w:val="0"/>
              <w:marRight w:val="0"/>
              <w:marTop w:val="0"/>
              <w:marBottom w:val="0"/>
              <w:divBdr>
                <w:top w:val="none" w:sz="0" w:space="0" w:color="auto"/>
                <w:left w:val="none" w:sz="0" w:space="0" w:color="auto"/>
                <w:bottom w:val="none" w:sz="0" w:space="0" w:color="auto"/>
                <w:right w:val="none" w:sz="0" w:space="0" w:color="auto"/>
              </w:divBdr>
            </w:div>
          </w:divsChild>
        </w:div>
        <w:div w:id="1862815098">
          <w:marLeft w:val="0"/>
          <w:marRight w:val="0"/>
          <w:marTop w:val="0"/>
          <w:marBottom w:val="0"/>
          <w:divBdr>
            <w:top w:val="none" w:sz="0" w:space="0" w:color="auto"/>
            <w:left w:val="none" w:sz="0" w:space="0" w:color="auto"/>
            <w:bottom w:val="none" w:sz="0" w:space="0" w:color="auto"/>
            <w:right w:val="none" w:sz="0" w:space="0" w:color="auto"/>
          </w:divBdr>
          <w:divsChild>
            <w:div w:id="883179754">
              <w:marLeft w:val="0"/>
              <w:marRight w:val="0"/>
              <w:marTop w:val="0"/>
              <w:marBottom w:val="0"/>
              <w:divBdr>
                <w:top w:val="none" w:sz="0" w:space="0" w:color="auto"/>
                <w:left w:val="none" w:sz="0" w:space="0" w:color="auto"/>
                <w:bottom w:val="none" w:sz="0" w:space="0" w:color="auto"/>
                <w:right w:val="none" w:sz="0" w:space="0" w:color="auto"/>
              </w:divBdr>
            </w:div>
          </w:divsChild>
        </w:div>
        <w:div w:id="1911500504">
          <w:marLeft w:val="0"/>
          <w:marRight w:val="0"/>
          <w:marTop w:val="0"/>
          <w:marBottom w:val="0"/>
          <w:divBdr>
            <w:top w:val="none" w:sz="0" w:space="0" w:color="auto"/>
            <w:left w:val="none" w:sz="0" w:space="0" w:color="auto"/>
            <w:bottom w:val="none" w:sz="0" w:space="0" w:color="auto"/>
            <w:right w:val="none" w:sz="0" w:space="0" w:color="auto"/>
          </w:divBdr>
          <w:divsChild>
            <w:div w:id="663435217">
              <w:marLeft w:val="0"/>
              <w:marRight w:val="0"/>
              <w:marTop w:val="0"/>
              <w:marBottom w:val="0"/>
              <w:divBdr>
                <w:top w:val="none" w:sz="0" w:space="0" w:color="auto"/>
                <w:left w:val="none" w:sz="0" w:space="0" w:color="auto"/>
                <w:bottom w:val="none" w:sz="0" w:space="0" w:color="auto"/>
                <w:right w:val="none" w:sz="0" w:space="0" w:color="auto"/>
              </w:divBdr>
            </w:div>
          </w:divsChild>
        </w:div>
        <w:div w:id="1924341259">
          <w:marLeft w:val="0"/>
          <w:marRight w:val="0"/>
          <w:marTop w:val="0"/>
          <w:marBottom w:val="0"/>
          <w:divBdr>
            <w:top w:val="none" w:sz="0" w:space="0" w:color="auto"/>
            <w:left w:val="none" w:sz="0" w:space="0" w:color="auto"/>
            <w:bottom w:val="none" w:sz="0" w:space="0" w:color="auto"/>
            <w:right w:val="none" w:sz="0" w:space="0" w:color="auto"/>
          </w:divBdr>
          <w:divsChild>
            <w:div w:id="1264387259">
              <w:marLeft w:val="0"/>
              <w:marRight w:val="0"/>
              <w:marTop w:val="0"/>
              <w:marBottom w:val="0"/>
              <w:divBdr>
                <w:top w:val="none" w:sz="0" w:space="0" w:color="auto"/>
                <w:left w:val="none" w:sz="0" w:space="0" w:color="auto"/>
                <w:bottom w:val="none" w:sz="0" w:space="0" w:color="auto"/>
                <w:right w:val="none" w:sz="0" w:space="0" w:color="auto"/>
              </w:divBdr>
            </w:div>
          </w:divsChild>
        </w:div>
        <w:div w:id="1935900479">
          <w:marLeft w:val="0"/>
          <w:marRight w:val="0"/>
          <w:marTop w:val="0"/>
          <w:marBottom w:val="0"/>
          <w:divBdr>
            <w:top w:val="none" w:sz="0" w:space="0" w:color="auto"/>
            <w:left w:val="none" w:sz="0" w:space="0" w:color="auto"/>
            <w:bottom w:val="none" w:sz="0" w:space="0" w:color="auto"/>
            <w:right w:val="none" w:sz="0" w:space="0" w:color="auto"/>
          </w:divBdr>
          <w:divsChild>
            <w:div w:id="715347950">
              <w:marLeft w:val="0"/>
              <w:marRight w:val="0"/>
              <w:marTop w:val="0"/>
              <w:marBottom w:val="0"/>
              <w:divBdr>
                <w:top w:val="none" w:sz="0" w:space="0" w:color="auto"/>
                <w:left w:val="none" w:sz="0" w:space="0" w:color="auto"/>
                <w:bottom w:val="none" w:sz="0" w:space="0" w:color="auto"/>
                <w:right w:val="none" w:sz="0" w:space="0" w:color="auto"/>
              </w:divBdr>
            </w:div>
          </w:divsChild>
        </w:div>
        <w:div w:id="2077312251">
          <w:marLeft w:val="0"/>
          <w:marRight w:val="0"/>
          <w:marTop w:val="0"/>
          <w:marBottom w:val="0"/>
          <w:divBdr>
            <w:top w:val="none" w:sz="0" w:space="0" w:color="auto"/>
            <w:left w:val="none" w:sz="0" w:space="0" w:color="auto"/>
            <w:bottom w:val="none" w:sz="0" w:space="0" w:color="auto"/>
            <w:right w:val="none" w:sz="0" w:space="0" w:color="auto"/>
          </w:divBdr>
          <w:divsChild>
            <w:div w:id="135998594">
              <w:marLeft w:val="0"/>
              <w:marRight w:val="0"/>
              <w:marTop w:val="0"/>
              <w:marBottom w:val="0"/>
              <w:divBdr>
                <w:top w:val="none" w:sz="0" w:space="0" w:color="auto"/>
                <w:left w:val="none" w:sz="0" w:space="0" w:color="auto"/>
                <w:bottom w:val="none" w:sz="0" w:space="0" w:color="auto"/>
                <w:right w:val="none" w:sz="0" w:space="0" w:color="auto"/>
              </w:divBdr>
            </w:div>
          </w:divsChild>
        </w:div>
        <w:div w:id="2123111554">
          <w:marLeft w:val="0"/>
          <w:marRight w:val="0"/>
          <w:marTop w:val="0"/>
          <w:marBottom w:val="0"/>
          <w:divBdr>
            <w:top w:val="none" w:sz="0" w:space="0" w:color="auto"/>
            <w:left w:val="none" w:sz="0" w:space="0" w:color="auto"/>
            <w:bottom w:val="none" w:sz="0" w:space="0" w:color="auto"/>
            <w:right w:val="none" w:sz="0" w:space="0" w:color="auto"/>
          </w:divBdr>
          <w:divsChild>
            <w:div w:id="5357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3753">
      <w:bodyDiv w:val="1"/>
      <w:marLeft w:val="0"/>
      <w:marRight w:val="0"/>
      <w:marTop w:val="0"/>
      <w:marBottom w:val="0"/>
      <w:divBdr>
        <w:top w:val="none" w:sz="0" w:space="0" w:color="auto"/>
        <w:left w:val="none" w:sz="0" w:space="0" w:color="auto"/>
        <w:bottom w:val="none" w:sz="0" w:space="0" w:color="auto"/>
        <w:right w:val="none" w:sz="0" w:space="0" w:color="auto"/>
      </w:divBdr>
    </w:div>
    <w:div w:id="1865511431">
      <w:bodyDiv w:val="1"/>
      <w:marLeft w:val="0"/>
      <w:marRight w:val="0"/>
      <w:marTop w:val="0"/>
      <w:marBottom w:val="0"/>
      <w:divBdr>
        <w:top w:val="none" w:sz="0" w:space="0" w:color="auto"/>
        <w:left w:val="none" w:sz="0" w:space="0" w:color="auto"/>
        <w:bottom w:val="none" w:sz="0" w:space="0" w:color="auto"/>
        <w:right w:val="none" w:sz="0" w:space="0" w:color="auto"/>
      </w:divBdr>
    </w:div>
    <w:div w:id="1902867208">
      <w:bodyDiv w:val="1"/>
      <w:marLeft w:val="0"/>
      <w:marRight w:val="0"/>
      <w:marTop w:val="0"/>
      <w:marBottom w:val="0"/>
      <w:divBdr>
        <w:top w:val="none" w:sz="0" w:space="0" w:color="auto"/>
        <w:left w:val="none" w:sz="0" w:space="0" w:color="auto"/>
        <w:bottom w:val="none" w:sz="0" w:space="0" w:color="auto"/>
        <w:right w:val="none" w:sz="0" w:space="0" w:color="auto"/>
      </w:divBdr>
    </w:div>
    <w:div w:id="2079546872">
      <w:bodyDiv w:val="1"/>
      <w:marLeft w:val="0"/>
      <w:marRight w:val="0"/>
      <w:marTop w:val="0"/>
      <w:marBottom w:val="0"/>
      <w:divBdr>
        <w:top w:val="none" w:sz="0" w:space="0" w:color="auto"/>
        <w:left w:val="none" w:sz="0" w:space="0" w:color="auto"/>
        <w:bottom w:val="none" w:sz="0" w:space="0" w:color="auto"/>
        <w:right w:val="none" w:sz="0" w:space="0" w:color="auto"/>
      </w:divBdr>
    </w:div>
    <w:div w:id="2094930369">
      <w:bodyDiv w:val="1"/>
      <w:marLeft w:val="0"/>
      <w:marRight w:val="0"/>
      <w:marTop w:val="0"/>
      <w:marBottom w:val="0"/>
      <w:divBdr>
        <w:top w:val="none" w:sz="0" w:space="0" w:color="auto"/>
        <w:left w:val="none" w:sz="0" w:space="0" w:color="auto"/>
        <w:bottom w:val="none" w:sz="0" w:space="0" w:color="auto"/>
        <w:right w:val="none" w:sz="0" w:space="0" w:color="auto"/>
      </w:divBdr>
    </w:div>
    <w:div w:id="2128741471">
      <w:bodyDiv w:val="1"/>
      <w:marLeft w:val="0"/>
      <w:marRight w:val="0"/>
      <w:marTop w:val="0"/>
      <w:marBottom w:val="0"/>
      <w:divBdr>
        <w:top w:val="none" w:sz="0" w:space="0" w:color="auto"/>
        <w:left w:val="none" w:sz="0" w:space="0" w:color="auto"/>
        <w:bottom w:val="none" w:sz="0" w:space="0" w:color="auto"/>
        <w:right w:val="none" w:sz="0" w:space="0" w:color="auto"/>
      </w:divBdr>
    </w:div>
    <w:div w:id="214527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beisgov.sharepoint.com/:w:/r/sites/ICF/Portfolio%20and%20Strategy/Transparency/Gender/21_03_24_BEIS%20ICF%20Gender%20Guidance.docx?d=w6740455230a24578bfe3c8051fe3c529&amp;csf=1&amp;web=1&amp;e=knAKbk" TargetMode="External"/><Relationship Id="rId26" Type="http://schemas.openxmlformats.org/officeDocument/2006/relationships/hyperlink" Target="https://beisgov.sharepoint.com/:w:/r/sites/ICF/Portfolio%20and%20Strategy/Project%20Monitoring%20and%20Delivery/Change%20Control/ICF%20Change%20Control%20Process_Jan%202024.docx?d=w183a025422a14f7fbeb75205f141694e&amp;csf=1&amp;web=1&amp;e=8TnAm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openknowledge.fao.org/items/6f7a67d5-a999-4a9e-a3f5-41d02ad88fea" TargetMode="External"/><Relationship Id="rId23" Type="http://schemas.openxmlformats.org/officeDocument/2006/relationships/header" Target="header3.xml"/><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penknowledge.fao.org/items/6f7a67d5-a999-4a9e-a3f5-41d02ad88fea"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cop30.br/en/news-about-cop30/tropical-forests-forever-fund-boosts-international-support-and-positions-itself-as-a-new-global-model-for-climate-finance" TargetMode="External"/><Relationship Id="rId3" Type="http://schemas.openxmlformats.org/officeDocument/2006/relationships/hyperlink" Target="https://www.fao.org/newsroom/detail/fao-UK-aim4nature-to-ecosystem-restoration/en" TargetMode="External"/><Relationship Id="rId7" Type="http://schemas.openxmlformats.org/officeDocument/2006/relationships/hyperlink" Target="https://unfccc.int/process-and-meetings/the-paris-agreement/article6" TargetMode="External"/><Relationship Id="rId2" Type="http://schemas.openxmlformats.org/officeDocument/2006/relationships/hyperlink" Target="https://www.cbd.int/gbf/targets/2" TargetMode="External"/><Relationship Id="rId1" Type="http://schemas.openxmlformats.org/officeDocument/2006/relationships/hyperlink" Target="https://publications.parliament.uk/pa/cm5804/cmselect/cmenvaud/405/report.html" TargetMode="External"/><Relationship Id="rId6" Type="http://schemas.openxmlformats.org/officeDocument/2006/relationships/hyperlink" Target="https://view.officeapps.live.com/op/view.aspx?src=https%3A%2F%2Fscience-and-innovation-network.s3.eu-west-2.amazonaws.com%2FBEIS%2BICF%2FAIM%2FAIM4Forests%2BAnnual%2BReview%2BFY23-24%2Bfinal%2Bversion.docx&amp;wdOrigin=BROWSELINK" TargetMode="External"/><Relationship Id="rId5" Type="http://schemas.openxmlformats.org/officeDocument/2006/relationships/hyperlink" Target="https://science-and-innovation-network.s3.eu-west-2.amazonaws.com/BEIS+ICF/AIM/AIM+for+Forests+Business+Case.docx" TargetMode="External"/><Relationship Id="rId10" Type="http://schemas.openxmlformats.org/officeDocument/2006/relationships/hyperlink" Target="https://www.gov.uk/" TargetMode="External"/><Relationship Id="rId4" Type="http://schemas.openxmlformats.org/officeDocument/2006/relationships/hyperlink" Target="https://www.cbd.int/gbf/targets/2" TargetMode="External"/><Relationship Id="rId9" Type="http://schemas.openxmlformats.org/officeDocument/2006/relationships/hyperlink" Target="https://view.officeapps.live.com/op/view.aspx?src=https%3A%2F%2Fscience-and-innovation-network.s3.eu-west-2.amazonaws.com%2FBEIS%2BICF%2FAIM%2FAIM%2Bfor%2BForests%2BBusiness%2BCase.docx&amp;wdOrigin=BROWSELIN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haredDFIDTemplateFolder\Project%20Management\Annual%20Revi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re Document" ma:contentTypeID="0x0101004691A8DE0991884F8E90AD6474FC737301002EDB4F82A4FD31439328CBC569C1149B" ma:contentTypeVersion="21" ma:contentTypeDescription="Create a new document." ma:contentTypeScope="" ma:versionID="a8db199c007e854cc6042756a819d245">
  <xsd:schema xmlns:xsd="http://www.w3.org/2001/XMLSchema" xmlns:xs="http://www.w3.org/2001/XMLSchema" xmlns:p="http://schemas.microsoft.com/office/2006/metadata/properties" xmlns:ns2="0f9fa326-da26-4ea8-b6a9-645e8136fe1d" xmlns:ns3="839018be-1fd5-46c8-bb5f-8e5f297ce001" xmlns:ns4="aaacb922-5235-4a66-b188-303b9b46fbd7" xmlns:ns5="b3d83fe4-f584-44c1-ada4-cced241b61b0" targetNamespace="http://schemas.microsoft.com/office/2006/metadata/properties" ma:root="true" ma:fieldsID="281e53aa03d71f3d6d4a8e6eb6a928a7" ns2:_="" ns3:_="" ns4:_="" ns5:_="">
    <xsd:import namespace="0f9fa326-da26-4ea8-b6a9-645e8136fe1d"/>
    <xsd:import namespace="839018be-1fd5-46c8-bb5f-8e5f297ce001"/>
    <xsd:import namespace="aaacb922-5235-4a66-b188-303b9b46fbd7"/>
    <xsd:import namespace="b3d83fe4-f584-44c1-ada4-cced241b61b0"/>
    <xsd:element name="properties">
      <xsd:complexType>
        <xsd:sequence>
          <xsd:element name="documentManagement">
            <xsd:complexType>
              <xsd:all>
                <xsd:element ref="ns2:c6f593ada1854b629148449de059396b" minOccurs="0"/>
                <xsd:element ref="ns3:TaxCatchAll" minOccurs="0"/>
                <xsd:element ref="ns3:TaxCatchAllLabel" minOccurs="0"/>
                <xsd:element ref="ns2:m817f42addf14c9a838da36e78800043" minOccurs="0"/>
                <xsd:element ref="ns2:h573c97cf80c4aa6b446c5363dc3ac94" minOccurs="0"/>
                <xsd:element ref="ns4:LegacyData" minOccurs="0"/>
                <xsd:element ref="ns3:_dlc_DocId" minOccurs="0"/>
                <xsd:element ref="ns3:_dlc_DocIdPersistId" minOccurs="0"/>
                <xsd:element ref="ns3:_dlc_DocIdUrl" minOccurs="0"/>
                <xsd:element ref="ns3:SharedWithUsers" minOccurs="0"/>
                <xsd:element ref="ns3:SharedWithDetails"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MediaServiceObjectDetectorVersions" minOccurs="0"/>
                <xsd:element ref="ns5:MediaServiceSearchProperties" minOccurs="0"/>
                <xsd:element ref="ns5:MediaServiceLocation" minOccurs="0"/>
                <xsd:element ref="ns5:Comments_x002f_keyele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fa326-da26-4ea8-b6a9-645e8136fe1d" elementFormDefault="qualified">
    <xsd:import namespace="http://schemas.microsoft.com/office/2006/documentManagement/types"/>
    <xsd:import namespace="http://schemas.microsoft.com/office/infopath/2007/PartnerControls"/>
    <xsd:element name="c6f593ada1854b629148449de059396b" ma:index="8" nillable="true" ma:taxonomy="true" ma:internalName="c6f593ada1854b629148449de059396b" ma:taxonomyFieldName="KIM_GovernmentBody" ma:displayName="Government Body" ma:default="3;#BEIS|b386cac2-c28c-4db4-8fca-43733d0e74ef" ma:fieldId="{c6f593ad-a185-4b62-9148-449de059396b}" ma:sspId="9b0aeba9-2bce-41c2-8545-5d12d676a674" ma:termSetId="46784332-da01-4f4a-94fa-2a245cb438b3" ma:anchorId="00000000-0000-0000-0000-000000000000" ma:open="false" ma:isKeyword="false">
      <xsd:complexType>
        <xsd:sequence>
          <xsd:element ref="pc:Terms" minOccurs="0" maxOccurs="1"/>
        </xsd:sequence>
      </xsd:complexType>
    </xsd:element>
    <xsd:element name="m817f42addf14c9a838da36e78800043" ma:index="12" nillable="true" ma:taxonomy="true" ma:internalName="m817f42addf14c9a838da36e78800043" ma:taxonomyFieldName="KIM_Function" ma:displayName="Function" ma:default="1;#Energy and Climate|67dfd3db-8e6c-4d42-96c1-aed1098cd89b" ma:fieldId="{6817f42a-ddf1-4c9a-838d-a36e78800043}" ma:sspId="9b0aeba9-2bce-41c2-8545-5d12d676a674" ma:termSetId="8a8c3714-5ee2-45f9-8c60-591b9d070299" ma:anchorId="00000000-0000-0000-0000-000000000000" ma:open="false" ma:isKeyword="false">
      <xsd:complexType>
        <xsd:sequence>
          <xsd:element ref="pc:Terms" minOccurs="0" maxOccurs="1"/>
        </xsd:sequence>
      </xsd:complexType>
    </xsd:element>
    <xsd:element name="h573c97cf80c4aa6b446c5363dc3ac94" ma:index="14" nillable="true" ma:taxonomy="true" ma:internalName="h573c97cf80c4aa6b446c5363dc3ac94" ma:taxonomyFieldName="KIM_Activity" ma:displayName="Activity" ma:default="2;#International Climate and Energy,|8ce3479e-0228-4d4b-8382-a951e8f3cec1" ma:fieldId="{1573c97c-f80c-4aa6-b446-c5363dc3ac94}" ma:sspId="9b0aeba9-2bce-41c2-8545-5d12d676a674" ma:termSetId="5c6dcaef-f335-486f-b10e-5a74f10247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9018be-1fd5-46c8-bb5f-8e5f297ce00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7848f78-89dd-4aa4-a5d3-4bc706e8013d}" ma:internalName="TaxCatchAll" ma:showField="CatchAllData" ma:web="839018be-1fd5-46c8-bb5f-8e5f297ce00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848f78-89dd-4aa4-a5d3-4bc706e8013d}" ma:internalName="TaxCatchAllLabel" ma:readOnly="true" ma:showField="CatchAllDataLabel" ma:web="839018be-1fd5-46c8-bb5f-8e5f297ce001">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6"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d83fe4-f584-44c1-ada4-cced241b61b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Location" ma:index="35" nillable="true" ma:displayName="Location" ma:indexed="true" ma:internalName="MediaServiceLocation" ma:readOnly="true">
      <xsd:simpleType>
        <xsd:restriction base="dms:Text"/>
      </xsd:simpleType>
    </xsd:element>
    <xsd:element name="Comments_x002f_keyelements" ma:index="36" nillable="true" ma:displayName="Comments/key elements" ma:description="Include info on any key points covered in key emails" ma:format="Dropdown" ma:internalName="Comments_x002f_keyele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egacyData xmlns="aaacb922-5235-4a66-b188-303b9b46fbd7">{
  "Name": "Business Case Template .docx",
  "Title": "Annual Review",
  "External": "",
  "Document Notes": "",
  "Security Classification": "OFFICIAL",
  "Handling Instructions": "",
  "Descriptor": "",
  "Government Body": "BEIS",
  "Business Unit": "",
  "Retention Label": "",
  "Date Opened": "2018-03-19T22:16:10.0000000Z",
  "Date Closed": "",
  "National Caveat": "",
  "Previous Location": "DocShares",
  "Previous Id": "",
  "Legacy Document Type": "",
  "Legacy Fileplan Target": "",
  "Legacy Numeric Class": "",
  "Legacy Folder Type": "",
  "Legacy Record Folder Identifier": "ISR-IEU-00821",
  "Legacy Copyright": "",
  "Legacy Last Modified Date": "",
  "Legacy Modifier": "",
  "Legacy Folder": "",
  "Legacy Content Type": "",
  "Legacy Expiry Review Date": "",
  "Legacy Last Action Date": "",
  "Legacy Protective Marking": "",
  "Legacy Tags": "",
  "Legacy References From Other Items": "",
  "Legacy Status on Transfer": "",
  "Legacy Date Closed": "",
  "Legacy Record Category Identifier": "",
  "Legacy Disposition as of Date": "",
  "Legacy Home Location": "",
  "Legacy Current Location": "",
  "Legacy Date File Received": "",
  "Legacy Date File Requested": "",
  "Legacy Date File Returned": "",
  "Legacy Minister": "",
  "Legacy MP": "",
  "Legacy Folder Notes": "",
  "Legacy Physical Item Location": "",
  "Legacy Request Type": "",
  "Legacy Descriptor": "",
  "Legacy Folder Document ID": "DECCISRC-122-35",
  "Legacy Document ID": "DECCISRB-214-5036",
  "Legacy References To Other Items": "",
  "Legacy Custodian": "",
  "Legacy Additional Authors": "",
  "Legacy Document Link": "",
  "Legacy Folder Link": "",
  "Legacy Physical Format": false,
  "Content Type": "Document",
  "Previous Retention Policy": "",
  "Legacy Case Reference Number": "",
  "Created": "2014-09-18T02:38:32.0000000Z",
  "Document Modified By": "i:0#.f|membership|waqas.batley@cirrus.beis.gov.uk",
  "Document Created By": "i:0#.f|membership|adam.kidson@cirrus.beis.gov.uk",
  "Document ID Value": "DECCISRB-214-5036",
  "Modified": "2019-08-01T00:40:48.0000000Z",
  "Original Location": "/sites/beis/201/Portfolio/Core Documents/Reporting Templates/Business Case Template .docx"
}</LegacyData>
    <_dlc_DocId xmlns="839018be-1fd5-46c8-bb5f-8e5f297ce001">N3MC4NMT5URJ-1164569100-20637</_dlc_DocId>
    <_dlc_DocIdUrl xmlns="839018be-1fd5-46c8-bb5f-8e5f297ce001">
      <Url>https://beisgov.sharepoint.com/sites/InternationalForests-EXT-OS/_layouts/15/DocIdRedir.aspx?ID=N3MC4NMT5URJ-1164569100-20637</Url>
      <Description>N3MC4NMT5URJ-1164569100-20637</Description>
    </_dlc_DocIdUrl>
    <_dlc_DocIdPersistId xmlns="839018be-1fd5-46c8-bb5f-8e5f297ce001">false</_dlc_DocIdPersistId>
    <TaxCatchAll xmlns="839018be-1fd5-46c8-bb5f-8e5f297ce001">
      <Value>3</Value>
      <Value>2</Value>
      <Value>1</Value>
    </TaxCatchAll>
    <SharedWithUsers xmlns="839018be-1fd5-46c8-bb5f-8e5f297ce001">
      <UserInfo>
        <DisplayName>Kadirvelarasan, Lavanya (BEIS)</DisplayName>
        <AccountId>175</AccountId>
        <AccountType/>
      </UserInfo>
      <UserInfo>
        <DisplayName>zz_Mills, Sarah (Intl Climate Finance - Investments)</DisplayName>
        <AccountId>66</AccountId>
        <AccountType/>
      </UserInfo>
      <UserInfo>
        <DisplayName>Drinkwater, Gaby (NZSI - International Net Zero)</DisplayName>
        <AccountId>96</AccountId>
        <AccountType/>
      </UserInfo>
      <UserInfo>
        <DisplayName>Davis, Owen (NZBI - Domestic)</DisplayName>
        <AccountId>245</AccountId>
        <AccountType/>
      </UserInfo>
      <UserInfo>
        <DisplayName>Walter, Poppy (NZBI - Domestic)</DisplayName>
        <AccountId>1489</AccountId>
        <AccountType/>
      </UserInfo>
      <UserInfo>
        <DisplayName>Caravani, Alice (NZSI - International Net Zero)</DisplayName>
        <AccountId>187</AccountId>
        <AccountType/>
      </UserInfo>
      <UserInfo>
        <DisplayName>Spearing, John (NZSI - International Net Zero)</DisplayName>
        <AccountId>968</AccountId>
        <AccountType/>
      </UserInfo>
      <UserInfo>
        <DisplayName>Olubodun, Lekan (NZSI - International Net Zero)</DisplayName>
        <AccountId>162</AccountId>
        <AccountType/>
      </UserInfo>
      <UserInfo>
        <DisplayName>zz_Wakefield, Elinor (NZSI - International Net Zero)</DisplayName>
        <AccountId>93</AccountId>
        <AccountType/>
      </UserInfo>
      <UserInfo>
        <DisplayName>Helm, Alfred (NZSI - International Net Zero)</DisplayName>
        <AccountId>182</AccountId>
        <AccountType/>
      </UserInfo>
      <UserInfo>
        <DisplayName>Mills, Michael (International - Climate and Energy)</DisplayName>
        <AccountId>163</AccountId>
        <AccountType/>
      </UserInfo>
      <UserInfo>
        <DisplayName>Finlay, Charlotte (Corporate Services - Commercial &amp; Operations)</DisplayName>
        <AccountId>1278</AccountId>
        <AccountType/>
      </UserInfo>
      <UserInfo>
        <DisplayName>Collyer, Lucy (NZSI - International Net Zero)</DisplayName>
        <AccountId>132</AccountId>
        <AccountType/>
      </UserInfo>
      <UserInfo>
        <DisplayName>Mcgregor2, Sam (Legal)</DisplayName>
        <AccountId>7483</AccountId>
        <AccountType/>
      </UserInfo>
      <UserInfo>
        <DisplayName>Penistone, Amanda (NZSI - International Net Zero)</DisplayName>
        <AccountId>146</AccountId>
        <AccountType/>
      </UserInfo>
      <UserInfo>
        <DisplayName>Farmer, Will (NZSI - International Net Zero)</DisplayName>
        <AccountId>142</AccountId>
        <AccountType/>
      </UserInfo>
      <UserInfo>
        <DisplayName>Evans, Rachael (BEIS)</DisplayName>
        <AccountId>8412</AccountId>
        <AccountType/>
      </UserInfo>
      <UserInfo>
        <DisplayName>Gannon, Sarah (Corporate Services - Finance)</DisplayName>
        <AccountId>196</AccountId>
        <AccountType/>
      </UserInfo>
      <UserInfo>
        <DisplayName>Cunningham, Molly (NZSI - International Net Zero)</DisplayName>
        <AccountId>5887</AccountId>
        <AccountType/>
      </UserInfo>
      <UserInfo>
        <DisplayName>Smithers, William (NZSI - International Net Zero)</DisplayName>
        <AccountId>15</AccountId>
        <AccountType/>
      </UserInfo>
    </SharedWithUsers>
    <lcf76f155ced4ddcb4097134ff3c332f xmlns="b3d83fe4-f584-44c1-ada4-cced241b61b0">
      <Terms xmlns="http://schemas.microsoft.com/office/infopath/2007/PartnerControls"/>
    </lcf76f155ced4ddcb4097134ff3c332f>
    <c6f593ada1854b629148449de059396b xmlns="0f9fa326-da26-4ea8-b6a9-645e8136fe1d">
      <Terms xmlns="http://schemas.microsoft.com/office/infopath/2007/PartnerControls">
        <TermInfo xmlns="http://schemas.microsoft.com/office/infopath/2007/PartnerControls">
          <TermName xmlns="http://schemas.microsoft.com/office/infopath/2007/PartnerControls">BEIS</TermName>
          <TermId xmlns="http://schemas.microsoft.com/office/infopath/2007/PartnerControls">b386cac2-c28c-4db4-8fca-43733d0e74ef</TermId>
        </TermInfo>
      </Terms>
    </c6f593ada1854b629148449de059396b>
    <m817f42addf14c9a838da36e78800043 xmlns="0f9fa326-da26-4ea8-b6a9-645e8136fe1d">
      <Terms xmlns="http://schemas.microsoft.com/office/infopath/2007/PartnerControls">
        <TermInfo xmlns="http://schemas.microsoft.com/office/infopath/2007/PartnerControls">
          <TermName xmlns="http://schemas.microsoft.com/office/infopath/2007/PartnerControls">Energy and Climate</TermName>
          <TermId xmlns="http://schemas.microsoft.com/office/infopath/2007/PartnerControls">67dfd3db-8e6c-4d42-96c1-aed1098cd89b</TermId>
        </TermInfo>
      </Terms>
    </m817f42addf14c9a838da36e78800043>
    <h573c97cf80c4aa6b446c5363dc3ac94 xmlns="0f9fa326-da26-4ea8-b6a9-645e8136fe1d">
      <Terms xmlns="http://schemas.microsoft.com/office/infopath/2007/PartnerControls">
        <TermInfo xmlns="http://schemas.microsoft.com/office/infopath/2007/PartnerControls">
          <TermName xmlns="http://schemas.microsoft.com/office/infopath/2007/PartnerControls">International Climate and Energy,</TermName>
          <TermId xmlns="http://schemas.microsoft.com/office/infopath/2007/PartnerControls">8ce3479e-0228-4d4b-8382-a951e8f3cec1</TermId>
        </TermInfo>
      </Terms>
    </h573c97cf80c4aa6b446c5363dc3ac94>
    <Comments_x002f_keyelements xmlns="b3d83fe4-f584-44c1-ada4-cced241b61b0" xsi:nil="true"/>
  </documentManagement>
</p:properties>
</file>

<file path=customXml/itemProps1.xml><?xml version="1.0" encoding="utf-8"?>
<ds:datastoreItem xmlns:ds="http://schemas.openxmlformats.org/officeDocument/2006/customXml" ds:itemID="{9B674140-C111-40B6-86FE-997EE2296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fa326-da26-4ea8-b6a9-645e8136fe1d"/>
    <ds:schemaRef ds:uri="839018be-1fd5-46c8-bb5f-8e5f297ce001"/>
    <ds:schemaRef ds:uri="aaacb922-5235-4a66-b188-303b9b46fbd7"/>
    <ds:schemaRef ds:uri="b3d83fe4-f584-44c1-ada4-cced241b6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F9029-FB28-4BAE-9FD1-27DA29A152C7}">
  <ds:schemaRefs>
    <ds:schemaRef ds:uri="http://schemas.openxmlformats.org/officeDocument/2006/bibliography"/>
  </ds:schemaRefs>
</ds:datastoreItem>
</file>

<file path=customXml/itemProps3.xml><?xml version="1.0" encoding="utf-8"?>
<ds:datastoreItem xmlns:ds="http://schemas.openxmlformats.org/officeDocument/2006/customXml" ds:itemID="{0D564BEC-2E4D-4D71-8DE4-2B73DFE08022}">
  <ds:schemaRefs>
    <ds:schemaRef ds:uri="http://schemas.microsoft.com/sharepoint/v3/contenttype/forms"/>
  </ds:schemaRefs>
</ds:datastoreItem>
</file>

<file path=customXml/itemProps4.xml><?xml version="1.0" encoding="utf-8"?>
<ds:datastoreItem xmlns:ds="http://schemas.openxmlformats.org/officeDocument/2006/customXml" ds:itemID="{F170216F-AEFD-4D56-A49E-4ED9B75A300B}">
  <ds:schemaRefs>
    <ds:schemaRef ds:uri="http://schemas.microsoft.com/sharepoint/events"/>
  </ds:schemaRefs>
</ds:datastoreItem>
</file>

<file path=customXml/itemProps5.xml><?xml version="1.0" encoding="utf-8"?>
<ds:datastoreItem xmlns:ds="http://schemas.openxmlformats.org/officeDocument/2006/customXml" ds:itemID="{940FBE03-1E69-4D9C-847C-B05FA08E982E}">
  <ds:schemaRefs>
    <ds:schemaRef ds:uri="http://schemas.microsoft.com/office/2006/metadata/properties"/>
    <ds:schemaRef ds:uri="http://schemas.microsoft.com/office/infopath/2007/PartnerControls"/>
    <ds:schemaRef ds:uri="aaacb922-5235-4a66-b188-303b9b46fbd7"/>
    <ds:schemaRef ds:uri="839018be-1fd5-46c8-bb5f-8e5f297ce001"/>
    <ds:schemaRef ds:uri="b3d83fe4-f584-44c1-ada4-cced241b61b0"/>
    <ds:schemaRef ds:uri="0f9fa326-da26-4ea8-b6a9-645e8136fe1d"/>
  </ds:schemaRefs>
</ds:datastoreItem>
</file>

<file path=docMetadata/LabelInfo.xml><?xml version="1.0" encoding="utf-8"?>
<clbl:labelList xmlns:clbl="http://schemas.microsoft.com/office/2020/mipLabelMetadata">
  <clbl:label id="{9e9cc48d-6fba-4c12-9882-137473def580}" enabled="1" method="Privileged" siteId="{d3a2d0d3-7cc8-4f52-bbf9-85bd43d94279}" removed="0"/>
  <clbl:label id="{ba62f585-b40f-4ab9-bafe-39150f03d124}" enabled="1" method="Standard" siteId="{cbac7005-02c1-43eb-b497-e6492d1b2dd8}" removed="0"/>
</clbl:labelList>
</file>

<file path=docProps/app.xml><?xml version="1.0" encoding="utf-8"?>
<Properties xmlns="http://schemas.openxmlformats.org/officeDocument/2006/extended-properties" xmlns:vt="http://schemas.openxmlformats.org/officeDocument/2006/docPropsVTypes">
  <Template>Annual Review</Template>
  <TotalTime>12</TotalTime>
  <Pages>115</Pages>
  <Words>39355</Words>
  <Characters>224330</Characters>
  <Application>Microsoft Office Word</Application>
  <DocSecurity>0</DocSecurity>
  <Lines>1869</Lines>
  <Paragraphs>526</Paragraphs>
  <ScaleCrop>false</ScaleCrop>
  <Company>DFID</Company>
  <LinksUpToDate>false</LinksUpToDate>
  <CharactersWithSpaces>263159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dc:title>
  <dc:subject/>
  <dc:creator>Pete Vowles</dc:creator>
  <cp:keywords/>
  <cp:lastModifiedBy>Stringer, Fiona (Energy Security)</cp:lastModifiedBy>
  <cp:revision>112</cp:revision>
  <cp:lastPrinted>2011-11-14T07:13:00Z</cp:lastPrinted>
  <dcterms:created xsi:type="dcterms:W3CDTF">2025-09-29T13:39:00Z</dcterms:created>
  <dcterms:modified xsi:type="dcterms:W3CDTF">2026-04-15T12:40:00Z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Document Type">
    <vt:lpwstr>Annual review</vt:lpwstr>
  </property>
  <property fmtid="{D5CDD505-2E9C-101B-9397-08002B2CF9AE}" pid="3" name="ContentTypeId">
    <vt:lpwstr>0x0101004691A8DE0991884F8E90AD6474FC737301002EDB4F82A4FD31439328CBC569C1149B</vt:lpwstr>
  </property>
  <property fmtid="{D5CDD505-2E9C-101B-9397-08002B2CF9AE}" pid="4" name="DECC Team">
    <vt:lpwstr/>
  </property>
  <property fmtid="{D5CDD505-2E9C-101B-9397-08002B2CF9AE}" pid="5" name="Paper File">
    <vt:bool>false</vt:bool>
  </property>
  <property fmtid="{D5CDD505-2E9C-101B-9397-08002B2CF9AE}" pid="6" name="Physical Item Location">
    <vt:lpwstr/>
  </property>
  <property fmtid="{D5CDD505-2E9C-101B-9397-08002B2CF9AE}" pid="7" name="dlc_EmailCC">
    <vt:lpwstr/>
  </property>
  <property fmtid="{D5CDD505-2E9C-101B-9397-08002B2CF9AE}" pid="8" name="dlc_EmailSubject">
    <vt:lpwstr/>
  </property>
  <property fmtid="{D5CDD505-2E9C-101B-9397-08002B2CF9AE}" pid="9" name="dlc_EmailTo">
    <vt:lpwstr/>
  </property>
  <property fmtid="{D5CDD505-2E9C-101B-9397-08002B2CF9AE}" pid="10" name="cx_originalversion">
    <vt:lpwstr>3.0</vt:lpwstr>
  </property>
  <property fmtid="{D5CDD505-2E9C-101B-9397-08002B2CF9AE}" pid="11" name="Barcode">
    <vt:lpwstr/>
  </property>
  <property fmtid="{D5CDD505-2E9C-101B-9397-08002B2CF9AE}" pid="12" name="Linked Folders">
    <vt:lpwstr/>
  </property>
  <property fmtid="{D5CDD505-2E9C-101B-9397-08002B2CF9AE}" pid="13" name="IconOverlay">
    <vt:lpwstr/>
  </property>
  <property fmtid="{D5CDD505-2E9C-101B-9397-08002B2CF9AE}" pid="14" name="Class Notes">
    <vt:lpwstr/>
  </property>
  <property fmtid="{D5CDD505-2E9C-101B-9397-08002B2CF9AE}" pid="15" name="Security Classification">
    <vt:lpwstr/>
  </property>
  <property fmtid="{D5CDD505-2E9C-101B-9397-08002B2CF9AE}" pid="16" name="dlc_EmailFrom">
    <vt:lpwstr/>
  </property>
  <property fmtid="{D5CDD505-2E9C-101B-9397-08002B2CF9AE}" pid="17" name="Notes1">
    <vt:lpwstr/>
  </property>
  <property fmtid="{D5CDD505-2E9C-101B-9397-08002B2CF9AE}" pid="18" name="CX_RelocationTimestamp">
    <vt:lpwstr>2015-08-18T14:39:29Z</vt:lpwstr>
  </property>
  <property fmtid="{D5CDD505-2E9C-101B-9397-08002B2CF9AE}" pid="19" name="CX_RelocationUser">
    <vt:lpwstr>Rollason Hannah (International Climate Change)</vt:lpwstr>
  </property>
  <property fmtid="{D5CDD505-2E9C-101B-9397-08002B2CF9AE}" pid="20" name="CX_RelocationOperation">
    <vt:lpwstr>Cut</vt:lpwstr>
  </property>
  <property fmtid="{D5CDD505-2E9C-101B-9397-08002B2CF9AE}" pid="21" name="CX_RelocationReason">
    <vt:lpwstr>Moving into new DECC Shares structure </vt:lpwstr>
  </property>
  <property fmtid="{D5CDD505-2E9C-101B-9397-08002B2CF9AE}" pid="22" name="Business Unit">
    <vt:lpwstr>2;#BEIS|594de1fb-2f2e-49e8-a305-5172f7f325d0</vt:lpwstr>
  </property>
  <property fmtid="{D5CDD505-2E9C-101B-9397-08002B2CF9AE}" pid="23" name="AuthorIds_UIVersion_4614">
    <vt:lpwstr>30905</vt:lpwstr>
  </property>
  <property fmtid="{D5CDD505-2E9C-101B-9397-08002B2CF9AE}" pid="24" name="MSIP_Label_ba62f585-b40f-4ab9-bafe-39150f03d124_Enabled">
    <vt:lpwstr>true</vt:lpwstr>
  </property>
  <property fmtid="{D5CDD505-2E9C-101B-9397-08002B2CF9AE}" pid="25" name="MSIP_Label_ba62f585-b40f-4ab9-bafe-39150f03d124_SetDate">
    <vt:lpwstr>2020-08-17T14:10:03Z</vt:lpwstr>
  </property>
  <property fmtid="{D5CDD505-2E9C-101B-9397-08002B2CF9AE}" pid="26" name="MSIP_Label_ba62f585-b40f-4ab9-bafe-39150f03d124_Method">
    <vt:lpwstr>Standard</vt:lpwstr>
  </property>
  <property fmtid="{D5CDD505-2E9C-101B-9397-08002B2CF9AE}" pid="27" name="MSIP_Label_ba62f585-b40f-4ab9-bafe-39150f03d124_Name">
    <vt:lpwstr>OFFICIAL</vt:lpwstr>
  </property>
  <property fmtid="{D5CDD505-2E9C-101B-9397-08002B2CF9AE}" pid="28" name="MSIP_Label_ba62f585-b40f-4ab9-bafe-39150f03d124_SiteId">
    <vt:lpwstr>cbac7005-02c1-43eb-b497-e6492d1b2dd8</vt:lpwstr>
  </property>
  <property fmtid="{D5CDD505-2E9C-101B-9397-08002B2CF9AE}" pid="29" name="MSIP_Label_ba62f585-b40f-4ab9-bafe-39150f03d124_ActionId">
    <vt:lpwstr>319e70b5-8c42-4b6f-8080-0000b4d64400</vt:lpwstr>
  </property>
  <property fmtid="{D5CDD505-2E9C-101B-9397-08002B2CF9AE}" pid="30" name="MSIP_Label_ba62f585-b40f-4ab9-bafe-39150f03d124_ContentBits">
    <vt:lpwstr>0</vt:lpwstr>
  </property>
  <property fmtid="{D5CDD505-2E9C-101B-9397-08002B2CF9AE}" pid="31" name="_dlc_DocIdItemGuid">
    <vt:lpwstr>1b001f7c-bfa1-493f-9f5c-1d343201b0dc</vt:lpwstr>
  </property>
  <property fmtid="{D5CDD505-2E9C-101B-9397-08002B2CF9AE}" pid="32" name="MediaServiceImageTags">
    <vt:lpwstr/>
  </property>
  <property fmtid="{D5CDD505-2E9C-101B-9397-08002B2CF9AE}" pid="33" name="Business_x0020_Unit">
    <vt:lpwstr>2;#BEIS|594de1fb-2f2e-49e8-a305-5172f7f325d0</vt:lpwstr>
  </property>
  <property fmtid="{D5CDD505-2E9C-101B-9397-08002B2CF9AE}" pid="34" name="KIM_Activity">
    <vt:lpwstr>2;#International Climate and Energy,|8ce3479e-0228-4d4b-8382-a951e8f3cec1</vt:lpwstr>
  </property>
  <property fmtid="{D5CDD505-2E9C-101B-9397-08002B2CF9AE}" pid="35" name="KIM_GovernmentBody">
    <vt:lpwstr>3;#BEIS|b386cac2-c28c-4db4-8fca-43733d0e74ef</vt:lpwstr>
  </property>
  <property fmtid="{D5CDD505-2E9C-101B-9397-08002B2CF9AE}" pid="36" name="KIM_Function">
    <vt:lpwstr>1;#Energy and Climate|67dfd3db-8e6c-4d42-96c1-aed1098cd89b</vt:lpwstr>
  </property>
  <property fmtid="{D5CDD505-2E9C-101B-9397-08002B2CF9AE}" pid="37" name="docLang">
    <vt:lpwstr>en</vt:lpwstr>
  </property>
  <property fmtid="{D5CDD505-2E9C-101B-9397-08002B2CF9AE}" pid="38" name="ClassificationContentMarkingHeaderShapeIds">
    <vt:lpwstr>3df3d319,8930669,7edc5995</vt:lpwstr>
  </property>
  <property fmtid="{D5CDD505-2E9C-101B-9397-08002B2CF9AE}" pid="39" name="ClassificationContentMarkingHeaderFontProps">
    <vt:lpwstr>#000000,10,Calibri</vt:lpwstr>
  </property>
  <property fmtid="{D5CDD505-2E9C-101B-9397-08002B2CF9AE}" pid="40" name="ClassificationContentMarkingHeaderText">
    <vt:lpwstr>OFFICIAL</vt:lpwstr>
  </property>
  <property fmtid="{D5CDD505-2E9C-101B-9397-08002B2CF9AE}" pid="41" name="ClassificationContentMarkingFooterShapeIds">
    <vt:lpwstr>e09fbf9,6d93e888,7bf51ddd</vt:lpwstr>
  </property>
  <property fmtid="{D5CDD505-2E9C-101B-9397-08002B2CF9AE}" pid="42" name="ClassificationContentMarkingFooterFontProps">
    <vt:lpwstr>#000000,10,Calibri</vt:lpwstr>
  </property>
  <property fmtid="{D5CDD505-2E9C-101B-9397-08002B2CF9AE}" pid="43" name="ClassificationContentMarkingFooterText">
    <vt:lpwstr>OFFICIAL</vt:lpwstr>
  </property>
</Properties>
</file>