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C0E8" w14:textId="77777777" w:rsidR="00C67FEB" w:rsidRDefault="00C67FEB" w:rsidP="003D222C">
      <w:pPr>
        <w:rPr>
          <w:sz w:val="22"/>
          <w:szCs w:val="22"/>
          <w:u w:val="single"/>
        </w:rPr>
      </w:pPr>
    </w:p>
    <w:p w14:paraId="38EC76C4" w14:textId="77777777" w:rsidR="00885BB9" w:rsidRDefault="00885BB9" w:rsidP="00885BB9">
      <w:pPr>
        <w:pStyle w:val="BEISTitle"/>
      </w:pPr>
    </w:p>
    <w:p w14:paraId="0A34EE9B" w14:textId="77777777" w:rsidR="00885BB9" w:rsidRDefault="00885BB9" w:rsidP="00885BB9">
      <w:pPr>
        <w:pStyle w:val="BEISTitle"/>
      </w:pPr>
    </w:p>
    <w:p w14:paraId="76C49B04" w14:textId="77777777" w:rsidR="00885BB9" w:rsidRDefault="00885BB9" w:rsidP="00885BB9">
      <w:pPr>
        <w:pStyle w:val="BEISTitle"/>
      </w:pPr>
    </w:p>
    <w:p w14:paraId="7C7FEA78" w14:textId="77777777" w:rsidR="00885BB9" w:rsidRDefault="00885BB9" w:rsidP="00885BB9">
      <w:pPr>
        <w:pStyle w:val="BEISTitle"/>
      </w:pPr>
    </w:p>
    <w:p w14:paraId="64C9A776" w14:textId="77777777" w:rsidR="00D80C6C" w:rsidRDefault="00D80C6C" w:rsidP="00885BB9">
      <w:pPr>
        <w:pStyle w:val="BEISTitle"/>
      </w:pPr>
    </w:p>
    <w:p w14:paraId="6C63CC07" w14:textId="79692427" w:rsidR="00964968" w:rsidRDefault="00095E87" w:rsidP="00964968">
      <w:pPr>
        <w:pStyle w:val="BEISTitle"/>
      </w:pPr>
      <w:r>
        <w:t>Accelerating Innovative Monitoring for Forests (AIM4Forests) Annual Review 2025</w:t>
      </w:r>
    </w:p>
    <w:p w14:paraId="624DAC73" w14:textId="3BC335B7" w:rsidR="00C67FEB" w:rsidRDefault="00C67FEB">
      <w:pPr>
        <w:spacing w:after="160" w:line="259" w:lineRule="auto"/>
        <w:rPr>
          <w:sz w:val="22"/>
          <w:szCs w:val="22"/>
          <w:u w:val="single"/>
        </w:rPr>
      </w:pPr>
    </w:p>
    <w:p w14:paraId="4AF08E4A" w14:textId="20AFDEDA" w:rsidR="007D1D64" w:rsidRDefault="007D1D64">
      <w:pPr>
        <w:spacing w:after="160" w:line="259" w:lineRule="auto"/>
        <w:rPr>
          <w:sz w:val="22"/>
          <w:szCs w:val="22"/>
        </w:rPr>
      </w:pPr>
    </w:p>
    <w:p w14:paraId="160505CC" w14:textId="77777777" w:rsidR="007D1D64" w:rsidRPr="007D1D64" w:rsidRDefault="007D1D64">
      <w:pPr>
        <w:spacing w:after="160" w:line="259" w:lineRule="auto"/>
        <w:rPr>
          <w:sz w:val="22"/>
          <w:szCs w:val="22"/>
        </w:rPr>
      </w:pPr>
    </w:p>
    <w:p w14:paraId="6ED798D0" w14:textId="77777777" w:rsidR="00090217" w:rsidRDefault="00090217" w:rsidP="003D222C">
      <w:pPr>
        <w:rPr>
          <w:sz w:val="22"/>
          <w:szCs w:val="22"/>
          <w:u w:val="single"/>
        </w:rPr>
      </w:pPr>
    </w:p>
    <w:p w14:paraId="1F841114" w14:textId="027A752E" w:rsidR="007D1D64" w:rsidRDefault="007D1D64" w:rsidP="007D1D64">
      <w:pPr>
        <w:spacing w:after="160" w:line="259" w:lineRule="auto"/>
        <w:rPr>
          <w:sz w:val="22"/>
          <w:szCs w:val="22"/>
        </w:rPr>
      </w:pPr>
    </w:p>
    <w:p w14:paraId="744BC35C" w14:textId="77777777" w:rsidR="007D1D64" w:rsidRDefault="007D1D64">
      <w:pPr>
        <w:spacing w:after="160" w:line="259" w:lineRule="auto"/>
        <w:rPr>
          <w:sz w:val="22"/>
          <w:szCs w:val="22"/>
        </w:rPr>
      </w:pPr>
    </w:p>
    <w:p w14:paraId="2EEE1272" w14:textId="0FA2D180" w:rsidR="007D1D64" w:rsidRDefault="007D1D64">
      <w:pPr>
        <w:spacing w:after="160" w:line="259" w:lineRule="auto"/>
        <w:rPr>
          <w:sz w:val="22"/>
          <w:szCs w:val="22"/>
        </w:rPr>
      </w:pPr>
      <w:r>
        <w:rPr>
          <w:sz w:val="22"/>
          <w:szCs w:val="22"/>
        </w:rPr>
        <w:br w:type="page"/>
      </w:r>
    </w:p>
    <w:p w14:paraId="1FB1C90B" w14:textId="21AF7FBD" w:rsidR="007D1D64" w:rsidRDefault="007D1D64" w:rsidP="007D1D64">
      <w:pPr>
        <w:spacing w:after="160" w:line="259" w:lineRule="auto"/>
        <w:rPr>
          <w:sz w:val="22"/>
          <w:szCs w:val="22"/>
        </w:rPr>
      </w:pPr>
    </w:p>
    <w:p w14:paraId="6FC09FA9" w14:textId="77777777" w:rsidR="007D1D64" w:rsidRPr="007D1D64" w:rsidRDefault="007D1D64" w:rsidP="007D1D64">
      <w:pPr>
        <w:spacing w:after="160" w:line="259" w:lineRule="auto"/>
        <w:rPr>
          <w:sz w:val="22"/>
          <w:szCs w:val="22"/>
        </w:rPr>
      </w:pPr>
    </w:p>
    <w:p w14:paraId="40B4FF2C" w14:textId="77777777" w:rsidR="00112E33" w:rsidRDefault="00112E33" w:rsidP="007D1D64">
      <w:pPr>
        <w:spacing w:after="160" w:line="259" w:lineRule="auto"/>
        <w:rPr>
          <w:sz w:val="22"/>
          <w:szCs w:val="22"/>
        </w:rPr>
      </w:pPr>
    </w:p>
    <w:p w14:paraId="01A42860" w14:textId="77777777" w:rsidR="00112E33" w:rsidRDefault="00112E33" w:rsidP="007D1D64">
      <w:pPr>
        <w:spacing w:after="160" w:line="259" w:lineRule="auto"/>
        <w:rPr>
          <w:sz w:val="22"/>
          <w:szCs w:val="22"/>
        </w:rPr>
      </w:pPr>
    </w:p>
    <w:p w14:paraId="4A8FCC2A" w14:textId="77777777" w:rsidR="00112E33" w:rsidRDefault="00112E33" w:rsidP="007D1D64">
      <w:pPr>
        <w:spacing w:after="160" w:line="259" w:lineRule="auto"/>
        <w:rPr>
          <w:sz w:val="22"/>
          <w:szCs w:val="22"/>
        </w:rPr>
      </w:pPr>
    </w:p>
    <w:p w14:paraId="31553A3C" w14:textId="77777777" w:rsidR="00112E33" w:rsidRDefault="00112E33" w:rsidP="007D1D64">
      <w:pPr>
        <w:spacing w:after="160" w:line="259" w:lineRule="auto"/>
        <w:rPr>
          <w:sz w:val="22"/>
          <w:szCs w:val="22"/>
        </w:rPr>
      </w:pPr>
    </w:p>
    <w:p w14:paraId="1E72DB9D" w14:textId="77777777" w:rsidR="00112E33" w:rsidRDefault="00112E33" w:rsidP="007D1D64">
      <w:pPr>
        <w:spacing w:after="160" w:line="259" w:lineRule="auto"/>
        <w:rPr>
          <w:sz w:val="22"/>
          <w:szCs w:val="22"/>
        </w:rPr>
      </w:pPr>
    </w:p>
    <w:p w14:paraId="716930C2" w14:textId="77777777" w:rsidR="00112E33" w:rsidRDefault="00112E33" w:rsidP="007D1D64">
      <w:pPr>
        <w:spacing w:after="160" w:line="259" w:lineRule="auto"/>
        <w:rPr>
          <w:sz w:val="22"/>
          <w:szCs w:val="22"/>
        </w:rPr>
      </w:pPr>
    </w:p>
    <w:p w14:paraId="3ABDAEFF" w14:textId="77777777" w:rsidR="00112E33" w:rsidRDefault="00112E33" w:rsidP="007D1D64">
      <w:pPr>
        <w:spacing w:after="160" w:line="259" w:lineRule="auto"/>
        <w:rPr>
          <w:sz w:val="22"/>
          <w:szCs w:val="22"/>
        </w:rPr>
      </w:pPr>
    </w:p>
    <w:p w14:paraId="0884299F" w14:textId="77777777" w:rsidR="00112E33" w:rsidRDefault="00112E33" w:rsidP="007D1D64">
      <w:pPr>
        <w:spacing w:after="160" w:line="259" w:lineRule="auto"/>
        <w:rPr>
          <w:sz w:val="22"/>
          <w:szCs w:val="22"/>
        </w:rPr>
      </w:pPr>
    </w:p>
    <w:p w14:paraId="3BF57744" w14:textId="77777777" w:rsidR="00112E33" w:rsidRDefault="00112E33" w:rsidP="007D1D64">
      <w:pPr>
        <w:spacing w:after="160" w:line="259" w:lineRule="auto"/>
        <w:rPr>
          <w:sz w:val="22"/>
          <w:szCs w:val="22"/>
        </w:rPr>
      </w:pPr>
    </w:p>
    <w:p w14:paraId="70B1D846" w14:textId="77777777" w:rsidR="00112E33" w:rsidRDefault="00112E33" w:rsidP="007D1D64">
      <w:pPr>
        <w:spacing w:after="160" w:line="259" w:lineRule="auto"/>
        <w:rPr>
          <w:sz w:val="22"/>
          <w:szCs w:val="22"/>
        </w:rPr>
      </w:pPr>
    </w:p>
    <w:p w14:paraId="5C64FB7B" w14:textId="77777777" w:rsidR="00112E33" w:rsidRDefault="00112E33" w:rsidP="007D1D64">
      <w:pPr>
        <w:spacing w:after="160" w:line="259" w:lineRule="auto"/>
        <w:rPr>
          <w:sz w:val="22"/>
          <w:szCs w:val="22"/>
        </w:rPr>
      </w:pPr>
    </w:p>
    <w:p w14:paraId="7997CC66" w14:textId="77777777" w:rsidR="00112E33" w:rsidRDefault="00112E33" w:rsidP="007D1D64">
      <w:pPr>
        <w:spacing w:after="160" w:line="259" w:lineRule="auto"/>
        <w:rPr>
          <w:sz w:val="22"/>
          <w:szCs w:val="22"/>
        </w:rPr>
      </w:pPr>
    </w:p>
    <w:p w14:paraId="629D0223" w14:textId="77777777" w:rsidR="00112E33" w:rsidRDefault="00112E33" w:rsidP="007D1D64">
      <w:pPr>
        <w:spacing w:after="160" w:line="259" w:lineRule="auto"/>
        <w:rPr>
          <w:sz w:val="22"/>
          <w:szCs w:val="22"/>
        </w:rPr>
      </w:pPr>
    </w:p>
    <w:p w14:paraId="7B71C4CA" w14:textId="77777777" w:rsidR="00112E33" w:rsidRDefault="00112E33" w:rsidP="007D1D64">
      <w:pPr>
        <w:spacing w:after="160" w:line="259" w:lineRule="auto"/>
        <w:rPr>
          <w:sz w:val="22"/>
          <w:szCs w:val="22"/>
        </w:rPr>
      </w:pPr>
    </w:p>
    <w:p w14:paraId="7C0186E9" w14:textId="3865E746" w:rsidR="00112E33" w:rsidRDefault="00112E33" w:rsidP="007D1D64">
      <w:pPr>
        <w:spacing w:after="160" w:line="259" w:lineRule="auto"/>
        <w:rPr>
          <w:sz w:val="22"/>
          <w:szCs w:val="22"/>
        </w:rPr>
      </w:pPr>
    </w:p>
    <w:p w14:paraId="0E213DCA" w14:textId="77777777" w:rsidR="00112E33" w:rsidRDefault="00112E33" w:rsidP="007D1D64">
      <w:pPr>
        <w:spacing w:after="160" w:line="259" w:lineRule="auto"/>
        <w:rPr>
          <w:sz w:val="22"/>
          <w:szCs w:val="22"/>
        </w:rPr>
      </w:pPr>
    </w:p>
    <w:p w14:paraId="7F45EBE4" w14:textId="77777777" w:rsidR="00112E33" w:rsidRDefault="00112E33" w:rsidP="007D1D64">
      <w:pPr>
        <w:spacing w:after="160" w:line="259" w:lineRule="auto"/>
        <w:rPr>
          <w:sz w:val="22"/>
          <w:szCs w:val="22"/>
        </w:rPr>
      </w:pPr>
    </w:p>
    <w:p w14:paraId="5F38EC95" w14:textId="77777777" w:rsidR="00112E33" w:rsidRDefault="00112E33" w:rsidP="007D1D64">
      <w:pPr>
        <w:spacing w:after="160" w:line="259" w:lineRule="auto"/>
        <w:rPr>
          <w:sz w:val="22"/>
          <w:szCs w:val="22"/>
        </w:rPr>
      </w:pPr>
    </w:p>
    <w:p w14:paraId="0FDC2684" w14:textId="77777777" w:rsidR="00112E33" w:rsidRDefault="00112E33" w:rsidP="007D1D64">
      <w:pPr>
        <w:spacing w:after="160" w:line="259" w:lineRule="auto"/>
        <w:rPr>
          <w:sz w:val="22"/>
          <w:szCs w:val="22"/>
        </w:rPr>
      </w:pPr>
    </w:p>
    <w:p w14:paraId="1E5D0624" w14:textId="77777777" w:rsidR="00112E33" w:rsidRDefault="00112E33" w:rsidP="007D1D64">
      <w:pPr>
        <w:spacing w:after="160" w:line="259" w:lineRule="auto"/>
        <w:rPr>
          <w:sz w:val="22"/>
          <w:szCs w:val="22"/>
        </w:rPr>
      </w:pPr>
    </w:p>
    <w:p w14:paraId="59AFB796" w14:textId="6367C0D1" w:rsidR="00112E33" w:rsidRDefault="00112E33" w:rsidP="007D1D64">
      <w:pPr>
        <w:spacing w:after="160" w:line="259" w:lineRule="auto"/>
        <w:rPr>
          <w:sz w:val="22"/>
          <w:szCs w:val="22"/>
        </w:rPr>
      </w:pPr>
      <w:r>
        <w:rPr>
          <w:noProof/>
        </w:rPr>
        <w:drawing>
          <wp:inline distT="0" distB="0" distL="0" distR="0" wp14:anchorId="6721D763" wp14:editId="1850EFF9">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4BBA0357" w14:textId="76356651" w:rsidR="007D1D64" w:rsidRPr="007D1D64" w:rsidRDefault="007D1D64" w:rsidP="007D1D64">
      <w:pPr>
        <w:spacing w:after="160" w:line="259" w:lineRule="auto"/>
        <w:rPr>
          <w:sz w:val="22"/>
          <w:szCs w:val="22"/>
        </w:rPr>
      </w:pPr>
      <w:r w:rsidRPr="007D1D64">
        <w:rPr>
          <w:sz w:val="22"/>
          <w:szCs w:val="22"/>
        </w:rPr>
        <w:t>© Crown copyright 20</w:t>
      </w:r>
      <w:r w:rsidR="00095E87">
        <w:rPr>
          <w:sz w:val="22"/>
          <w:szCs w:val="22"/>
        </w:rPr>
        <w:t>26</w:t>
      </w:r>
    </w:p>
    <w:p w14:paraId="3A1EFEA4" w14:textId="779BDFEB" w:rsidR="007D1D64" w:rsidRPr="007D1D64" w:rsidRDefault="007D1D64" w:rsidP="007D1D64">
      <w:pPr>
        <w:spacing w:after="160" w:line="259" w:lineRule="auto"/>
        <w:rPr>
          <w:sz w:val="22"/>
          <w:szCs w:val="22"/>
        </w:rPr>
      </w:pPr>
      <w:r w:rsidRPr="007D1D64">
        <w:rPr>
          <w:sz w:val="22"/>
          <w:szCs w:val="22"/>
        </w:rPr>
        <w:t xml:space="preserve">This publication is licensed under the terms of the Open Government Licence v3.0 except where otherwise stated. To view this licence, visit </w:t>
      </w:r>
      <w:hyperlink r:id="rId13" w:history="1">
        <w:r w:rsidRPr="00D56ED4">
          <w:rPr>
            <w:rStyle w:val="Hyperlink"/>
            <w:sz w:val="22"/>
            <w:szCs w:val="22"/>
          </w:rPr>
          <w:t>nationalarchives.gov.uk/doc/open-government-licence/version/3</w:t>
        </w:r>
      </w:hyperlink>
      <w:r w:rsidRPr="007D1D64">
        <w:rPr>
          <w:sz w:val="22"/>
          <w:szCs w:val="22"/>
        </w:rPr>
        <w:t xml:space="preserve"> or write to the Information Policy Team, The National Archives, Kew, London TW9 4DU, or email: </w:t>
      </w:r>
      <w:hyperlink r:id="rId14" w:history="1">
        <w:r w:rsidR="009E1EAF" w:rsidRPr="00236685">
          <w:rPr>
            <w:rStyle w:val="Hyperlink"/>
            <w:sz w:val="22"/>
            <w:szCs w:val="22"/>
          </w:rPr>
          <w:t>psi@nationalarchives.gsi.gov.uk</w:t>
        </w:r>
      </w:hyperlink>
      <w:r w:rsidRPr="007D1D64">
        <w:rPr>
          <w:sz w:val="22"/>
          <w:szCs w:val="22"/>
        </w:rPr>
        <w:t>.</w:t>
      </w:r>
      <w:r w:rsidR="009E1EAF">
        <w:rPr>
          <w:sz w:val="22"/>
          <w:szCs w:val="22"/>
        </w:rPr>
        <w:t xml:space="preserve"> </w:t>
      </w:r>
    </w:p>
    <w:p w14:paraId="521BB1D8" w14:textId="77777777" w:rsidR="007D1D64" w:rsidRPr="007D1D64" w:rsidRDefault="007D1D64" w:rsidP="007D1D64">
      <w:pPr>
        <w:spacing w:after="160" w:line="259" w:lineRule="auto"/>
        <w:rPr>
          <w:sz w:val="22"/>
          <w:szCs w:val="22"/>
        </w:rPr>
      </w:pPr>
      <w:r w:rsidRPr="007D1D64">
        <w:rPr>
          <w:sz w:val="22"/>
          <w:szCs w:val="22"/>
        </w:rPr>
        <w:t>Where we have identified any third-party copyright information you will need to obtain permission from the copyright holders concerned.</w:t>
      </w:r>
    </w:p>
    <w:p w14:paraId="0B828443" w14:textId="77777777" w:rsidR="007D1D64" w:rsidRPr="007D1D64" w:rsidRDefault="007D1D64" w:rsidP="007D1D64">
      <w:pPr>
        <w:spacing w:after="160" w:line="259" w:lineRule="auto"/>
        <w:rPr>
          <w:sz w:val="22"/>
          <w:szCs w:val="22"/>
        </w:rPr>
      </w:pPr>
      <w:r w:rsidRPr="007D1D64">
        <w:rPr>
          <w:sz w:val="22"/>
          <w:szCs w:val="22"/>
        </w:rPr>
        <w:t xml:space="preserve">Any enquiries regarding this publication should be sent to us at: </w:t>
      </w:r>
    </w:p>
    <w:p w14:paraId="5F0B07D2" w14:textId="0E9D6D15" w:rsidR="007D1D64" w:rsidRDefault="00A62D44">
      <w:pPr>
        <w:spacing w:after="160" w:line="259" w:lineRule="auto"/>
        <w:rPr>
          <w:sz w:val="22"/>
          <w:szCs w:val="22"/>
        </w:rPr>
      </w:pPr>
      <w:hyperlink r:id="rId15" w:history="1">
        <w:r w:rsidRPr="00236685">
          <w:rPr>
            <w:rStyle w:val="Hyperlink"/>
            <w:sz w:val="22"/>
            <w:szCs w:val="22"/>
          </w:rPr>
          <w:t>ODA-Transparency@beis.gov.uk</w:t>
        </w:r>
      </w:hyperlink>
      <w:r>
        <w:rPr>
          <w:sz w:val="22"/>
          <w:szCs w:val="22"/>
        </w:rPr>
        <w:t xml:space="preserve"> </w:t>
      </w:r>
      <w:r w:rsidR="007D1D64">
        <w:rPr>
          <w:sz w:val="22"/>
          <w:szCs w:val="22"/>
        </w:rPr>
        <w:br w:type="page"/>
      </w:r>
    </w:p>
    <w:sdt>
      <w:sdtPr>
        <w:rPr>
          <w:rFonts w:ascii="Arial" w:eastAsia="Times New Roman" w:hAnsi="Arial" w:cs="Times New Roman"/>
          <w:color w:val="auto"/>
          <w:sz w:val="24"/>
          <w:szCs w:val="24"/>
          <w:lang w:val="en-GB"/>
        </w:rPr>
        <w:id w:val="348870563"/>
        <w:docPartObj>
          <w:docPartGallery w:val="Table of Contents"/>
          <w:docPartUnique/>
        </w:docPartObj>
      </w:sdtPr>
      <w:sdtContent>
        <w:p w14:paraId="52C8021F" w14:textId="7479CA6B" w:rsidR="001B14BA" w:rsidRDefault="001B14BA">
          <w:pPr>
            <w:pStyle w:val="TOCHeading"/>
            <w:rPr>
              <w:rFonts w:ascii="Arial" w:hAnsi="Arial" w:cs="Arial"/>
              <w:color w:val="002060"/>
              <w:sz w:val="76"/>
              <w:szCs w:val="76"/>
            </w:rPr>
          </w:pPr>
          <w:r w:rsidRPr="68D6447C">
            <w:rPr>
              <w:rFonts w:ascii="Arial" w:hAnsi="Arial" w:cs="Arial"/>
              <w:color w:val="002060"/>
              <w:sz w:val="76"/>
              <w:szCs w:val="76"/>
            </w:rPr>
            <w:t>Contents</w:t>
          </w:r>
        </w:p>
        <w:p w14:paraId="7F576620" w14:textId="77777777" w:rsidR="0030176F" w:rsidRPr="0030176F" w:rsidRDefault="0030176F" w:rsidP="0030176F">
          <w:pPr>
            <w:rPr>
              <w:lang w:val="en-US"/>
            </w:rPr>
          </w:pPr>
        </w:p>
        <w:p w14:paraId="4A531AFB" w14:textId="7964F4C0" w:rsidR="159F08A2" w:rsidRDefault="159F08A2" w:rsidP="159F08A2">
          <w:pPr>
            <w:pStyle w:val="TOC1"/>
            <w:tabs>
              <w:tab w:val="right" w:leader="dot" w:pos="9016"/>
            </w:tabs>
            <w:rPr>
              <w:rFonts w:cs="Arial"/>
              <w:b/>
              <w:bCs/>
              <w:noProof/>
              <w:lang w:eastAsia="en-GB"/>
            </w:rPr>
          </w:pPr>
        </w:p>
        <w:p w14:paraId="16DC4374" w14:textId="5E23603A" w:rsidR="0039001D" w:rsidRDefault="008316ED">
          <w:pPr>
            <w:pStyle w:val="TOC1"/>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TOC \o "1-3" \z \u \h</w:instrText>
          </w:r>
          <w:r>
            <w:fldChar w:fldCharType="separate"/>
          </w:r>
          <w:hyperlink w:anchor="_Toc228283625" w:history="1">
            <w:r w:rsidR="0039001D" w:rsidRPr="00CD1837">
              <w:rPr>
                <w:rStyle w:val="Hyperlink"/>
                <w:rFonts w:cs="Arial"/>
                <w:b/>
                <w:bCs/>
                <w:noProof/>
                <w:lang w:eastAsia="en-GB"/>
              </w:rPr>
              <w:t>Section A: Summary and overview</w:t>
            </w:r>
            <w:r w:rsidR="0039001D">
              <w:rPr>
                <w:noProof/>
                <w:webHidden/>
              </w:rPr>
              <w:tab/>
            </w:r>
            <w:r w:rsidR="0039001D">
              <w:rPr>
                <w:noProof/>
                <w:webHidden/>
              </w:rPr>
              <w:fldChar w:fldCharType="begin"/>
            </w:r>
            <w:r w:rsidR="0039001D">
              <w:rPr>
                <w:noProof/>
                <w:webHidden/>
              </w:rPr>
              <w:instrText xml:space="preserve"> PAGEREF _Toc228283625 \h </w:instrText>
            </w:r>
            <w:r w:rsidR="0039001D">
              <w:rPr>
                <w:noProof/>
                <w:webHidden/>
              </w:rPr>
            </w:r>
            <w:r w:rsidR="0039001D">
              <w:rPr>
                <w:noProof/>
                <w:webHidden/>
              </w:rPr>
              <w:fldChar w:fldCharType="separate"/>
            </w:r>
            <w:r w:rsidR="0039001D">
              <w:rPr>
                <w:noProof/>
                <w:webHidden/>
              </w:rPr>
              <w:t>4</w:t>
            </w:r>
            <w:r w:rsidR="0039001D">
              <w:rPr>
                <w:noProof/>
                <w:webHidden/>
              </w:rPr>
              <w:fldChar w:fldCharType="end"/>
            </w:r>
          </w:hyperlink>
        </w:p>
        <w:p w14:paraId="1B146EB8" w14:textId="50CE28A5"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26" w:history="1">
            <w:r w:rsidRPr="00CD1837">
              <w:rPr>
                <w:rStyle w:val="Hyperlink"/>
                <w:noProof/>
              </w:rPr>
              <w:t>Description of programme</w:t>
            </w:r>
            <w:r>
              <w:rPr>
                <w:noProof/>
                <w:webHidden/>
              </w:rPr>
              <w:tab/>
            </w:r>
            <w:r>
              <w:rPr>
                <w:noProof/>
                <w:webHidden/>
              </w:rPr>
              <w:fldChar w:fldCharType="begin"/>
            </w:r>
            <w:r>
              <w:rPr>
                <w:noProof/>
                <w:webHidden/>
              </w:rPr>
              <w:instrText xml:space="preserve"> PAGEREF _Toc228283626 \h </w:instrText>
            </w:r>
            <w:r>
              <w:rPr>
                <w:noProof/>
                <w:webHidden/>
              </w:rPr>
            </w:r>
            <w:r>
              <w:rPr>
                <w:noProof/>
                <w:webHidden/>
              </w:rPr>
              <w:fldChar w:fldCharType="separate"/>
            </w:r>
            <w:r>
              <w:rPr>
                <w:noProof/>
                <w:webHidden/>
              </w:rPr>
              <w:t>4</w:t>
            </w:r>
            <w:r>
              <w:rPr>
                <w:noProof/>
                <w:webHidden/>
              </w:rPr>
              <w:fldChar w:fldCharType="end"/>
            </w:r>
          </w:hyperlink>
        </w:p>
        <w:p w14:paraId="79E83772" w14:textId="0B615E4D"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27" w:history="1">
            <w:r w:rsidRPr="00CD1837">
              <w:rPr>
                <w:rStyle w:val="Hyperlink"/>
                <w:noProof/>
              </w:rPr>
              <w:t>Summary of progress and supporting narrative for the overall score</w:t>
            </w:r>
            <w:r>
              <w:rPr>
                <w:noProof/>
                <w:webHidden/>
              </w:rPr>
              <w:tab/>
            </w:r>
            <w:r>
              <w:rPr>
                <w:noProof/>
                <w:webHidden/>
              </w:rPr>
              <w:fldChar w:fldCharType="begin"/>
            </w:r>
            <w:r>
              <w:rPr>
                <w:noProof/>
                <w:webHidden/>
              </w:rPr>
              <w:instrText xml:space="preserve"> PAGEREF _Toc228283627 \h </w:instrText>
            </w:r>
            <w:r>
              <w:rPr>
                <w:noProof/>
                <w:webHidden/>
              </w:rPr>
            </w:r>
            <w:r>
              <w:rPr>
                <w:noProof/>
                <w:webHidden/>
              </w:rPr>
              <w:fldChar w:fldCharType="separate"/>
            </w:r>
            <w:r>
              <w:rPr>
                <w:noProof/>
                <w:webHidden/>
              </w:rPr>
              <w:t>5</w:t>
            </w:r>
            <w:r>
              <w:rPr>
                <w:noProof/>
                <w:webHidden/>
              </w:rPr>
              <w:fldChar w:fldCharType="end"/>
            </w:r>
          </w:hyperlink>
        </w:p>
        <w:p w14:paraId="5CA40FDE" w14:textId="02E980E3"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28" w:history="1">
            <w:r w:rsidRPr="00CD1837">
              <w:rPr>
                <w:rStyle w:val="Hyperlink"/>
                <w:noProof/>
              </w:rPr>
              <w:t>Progress against recommendations from the last review</w:t>
            </w:r>
            <w:r>
              <w:rPr>
                <w:noProof/>
                <w:webHidden/>
              </w:rPr>
              <w:tab/>
            </w:r>
            <w:r>
              <w:rPr>
                <w:noProof/>
                <w:webHidden/>
              </w:rPr>
              <w:fldChar w:fldCharType="begin"/>
            </w:r>
            <w:r>
              <w:rPr>
                <w:noProof/>
                <w:webHidden/>
              </w:rPr>
              <w:instrText xml:space="preserve"> PAGEREF _Toc228283628 \h </w:instrText>
            </w:r>
            <w:r>
              <w:rPr>
                <w:noProof/>
                <w:webHidden/>
              </w:rPr>
            </w:r>
            <w:r>
              <w:rPr>
                <w:noProof/>
                <w:webHidden/>
              </w:rPr>
              <w:fldChar w:fldCharType="separate"/>
            </w:r>
            <w:r>
              <w:rPr>
                <w:noProof/>
                <w:webHidden/>
              </w:rPr>
              <w:t>7</w:t>
            </w:r>
            <w:r>
              <w:rPr>
                <w:noProof/>
                <w:webHidden/>
              </w:rPr>
              <w:fldChar w:fldCharType="end"/>
            </w:r>
          </w:hyperlink>
        </w:p>
        <w:p w14:paraId="1D019071" w14:textId="19BB2C9D"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29" w:history="1">
            <w:r w:rsidRPr="00CD1837">
              <w:rPr>
                <w:rStyle w:val="Hyperlink"/>
                <w:noProof/>
              </w:rPr>
              <w:t>Major lessons and recommendations for the year ahead</w:t>
            </w:r>
            <w:r>
              <w:rPr>
                <w:noProof/>
                <w:webHidden/>
              </w:rPr>
              <w:tab/>
            </w:r>
            <w:r>
              <w:rPr>
                <w:noProof/>
                <w:webHidden/>
              </w:rPr>
              <w:fldChar w:fldCharType="begin"/>
            </w:r>
            <w:r>
              <w:rPr>
                <w:noProof/>
                <w:webHidden/>
              </w:rPr>
              <w:instrText xml:space="preserve"> PAGEREF _Toc228283629 \h </w:instrText>
            </w:r>
            <w:r>
              <w:rPr>
                <w:noProof/>
                <w:webHidden/>
              </w:rPr>
            </w:r>
            <w:r>
              <w:rPr>
                <w:noProof/>
                <w:webHidden/>
              </w:rPr>
              <w:fldChar w:fldCharType="separate"/>
            </w:r>
            <w:r>
              <w:rPr>
                <w:noProof/>
                <w:webHidden/>
              </w:rPr>
              <w:t>10</w:t>
            </w:r>
            <w:r>
              <w:rPr>
                <w:noProof/>
                <w:webHidden/>
              </w:rPr>
              <w:fldChar w:fldCharType="end"/>
            </w:r>
          </w:hyperlink>
        </w:p>
        <w:p w14:paraId="600EFBE4" w14:textId="0F45D20A" w:rsidR="0039001D" w:rsidRDefault="0039001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8283630" w:history="1">
            <w:r w:rsidRPr="00CD1837">
              <w:rPr>
                <w:rStyle w:val="Hyperlink"/>
                <w:rFonts w:cs="Arial"/>
                <w:b/>
                <w:bCs/>
                <w:noProof/>
                <w:lang w:eastAsia="en-GB"/>
              </w:rPr>
              <w:t>Section B: Theory of change and progress towards outcomes</w:t>
            </w:r>
            <w:r>
              <w:rPr>
                <w:noProof/>
                <w:webHidden/>
              </w:rPr>
              <w:tab/>
            </w:r>
            <w:r>
              <w:rPr>
                <w:noProof/>
                <w:webHidden/>
              </w:rPr>
              <w:fldChar w:fldCharType="begin"/>
            </w:r>
            <w:r>
              <w:rPr>
                <w:noProof/>
                <w:webHidden/>
              </w:rPr>
              <w:instrText xml:space="preserve"> PAGEREF _Toc228283630 \h </w:instrText>
            </w:r>
            <w:r>
              <w:rPr>
                <w:noProof/>
                <w:webHidden/>
              </w:rPr>
            </w:r>
            <w:r>
              <w:rPr>
                <w:noProof/>
                <w:webHidden/>
              </w:rPr>
              <w:fldChar w:fldCharType="separate"/>
            </w:r>
            <w:r>
              <w:rPr>
                <w:noProof/>
                <w:webHidden/>
              </w:rPr>
              <w:t>12</w:t>
            </w:r>
            <w:r>
              <w:rPr>
                <w:noProof/>
                <w:webHidden/>
              </w:rPr>
              <w:fldChar w:fldCharType="end"/>
            </w:r>
          </w:hyperlink>
        </w:p>
        <w:p w14:paraId="39E2468D" w14:textId="464AC2F1"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31" w:history="1">
            <w:r w:rsidRPr="00CD1837">
              <w:rPr>
                <w:rStyle w:val="Hyperlink"/>
                <w:noProof/>
              </w:rPr>
              <w:t>Summary of the programme’s theory of change, including any changes to outcome and impact indicators from the original business case</w:t>
            </w:r>
            <w:r>
              <w:rPr>
                <w:noProof/>
                <w:webHidden/>
              </w:rPr>
              <w:tab/>
            </w:r>
            <w:r>
              <w:rPr>
                <w:noProof/>
                <w:webHidden/>
              </w:rPr>
              <w:fldChar w:fldCharType="begin"/>
            </w:r>
            <w:r>
              <w:rPr>
                <w:noProof/>
                <w:webHidden/>
              </w:rPr>
              <w:instrText xml:space="preserve"> PAGEREF _Toc228283631 \h </w:instrText>
            </w:r>
            <w:r>
              <w:rPr>
                <w:noProof/>
                <w:webHidden/>
              </w:rPr>
            </w:r>
            <w:r>
              <w:rPr>
                <w:noProof/>
                <w:webHidden/>
              </w:rPr>
              <w:fldChar w:fldCharType="separate"/>
            </w:r>
            <w:r>
              <w:rPr>
                <w:noProof/>
                <w:webHidden/>
              </w:rPr>
              <w:t>12</w:t>
            </w:r>
            <w:r>
              <w:rPr>
                <w:noProof/>
                <w:webHidden/>
              </w:rPr>
              <w:fldChar w:fldCharType="end"/>
            </w:r>
          </w:hyperlink>
        </w:p>
        <w:p w14:paraId="38B95834" w14:textId="618A0ED7"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32" w:history="1">
            <w:r w:rsidRPr="00CD1837">
              <w:rPr>
                <w:rStyle w:val="Hyperlink"/>
                <w:noProof/>
              </w:rPr>
              <w:t>Progress against the expected outcomes and impact, and actions planned for the year ahead</w:t>
            </w:r>
            <w:r>
              <w:rPr>
                <w:noProof/>
                <w:webHidden/>
              </w:rPr>
              <w:tab/>
            </w:r>
            <w:r>
              <w:rPr>
                <w:noProof/>
                <w:webHidden/>
              </w:rPr>
              <w:fldChar w:fldCharType="begin"/>
            </w:r>
            <w:r>
              <w:rPr>
                <w:noProof/>
                <w:webHidden/>
              </w:rPr>
              <w:instrText xml:space="preserve"> PAGEREF _Toc228283632 \h </w:instrText>
            </w:r>
            <w:r>
              <w:rPr>
                <w:noProof/>
                <w:webHidden/>
              </w:rPr>
            </w:r>
            <w:r>
              <w:rPr>
                <w:noProof/>
                <w:webHidden/>
              </w:rPr>
              <w:fldChar w:fldCharType="separate"/>
            </w:r>
            <w:r>
              <w:rPr>
                <w:noProof/>
                <w:webHidden/>
              </w:rPr>
              <w:t>13</w:t>
            </w:r>
            <w:r>
              <w:rPr>
                <w:noProof/>
                <w:webHidden/>
              </w:rPr>
              <w:fldChar w:fldCharType="end"/>
            </w:r>
          </w:hyperlink>
        </w:p>
        <w:p w14:paraId="39799995" w14:textId="23F0059E"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33" w:history="1">
            <w:r w:rsidRPr="00CD1837">
              <w:rPr>
                <w:rStyle w:val="Hyperlink"/>
                <w:noProof/>
              </w:rPr>
              <w:t>Logframe updates since the last review</w:t>
            </w:r>
            <w:r>
              <w:rPr>
                <w:noProof/>
                <w:webHidden/>
              </w:rPr>
              <w:tab/>
            </w:r>
            <w:r>
              <w:rPr>
                <w:noProof/>
                <w:webHidden/>
              </w:rPr>
              <w:fldChar w:fldCharType="begin"/>
            </w:r>
            <w:r>
              <w:rPr>
                <w:noProof/>
                <w:webHidden/>
              </w:rPr>
              <w:instrText xml:space="preserve"> PAGEREF _Toc228283633 \h </w:instrText>
            </w:r>
            <w:r>
              <w:rPr>
                <w:noProof/>
                <w:webHidden/>
              </w:rPr>
            </w:r>
            <w:r>
              <w:rPr>
                <w:noProof/>
                <w:webHidden/>
              </w:rPr>
              <w:fldChar w:fldCharType="separate"/>
            </w:r>
            <w:r>
              <w:rPr>
                <w:noProof/>
                <w:webHidden/>
              </w:rPr>
              <w:t>16</w:t>
            </w:r>
            <w:r>
              <w:rPr>
                <w:noProof/>
                <w:webHidden/>
              </w:rPr>
              <w:fldChar w:fldCharType="end"/>
            </w:r>
          </w:hyperlink>
        </w:p>
        <w:p w14:paraId="0905C90A" w14:textId="03CFEFCB" w:rsidR="0039001D" w:rsidRDefault="0039001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8283634" w:history="1">
            <w:r w:rsidRPr="00CD1837">
              <w:rPr>
                <w:rStyle w:val="Hyperlink"/>
                <w:rFonts w:cs="Arial"/>
                <w:b/>
                <w:bCs/>
                <w:noProof/>
                <w:lang w:eastAsia="en-GB"/>
              </w:rPr>
              <w:t>Section C: Output scoring</w:t>
            </w:r>
            <w:r>
              <w:rPr>
                <w:noProof/>
                <w:webHidden/>
              </w:rPr>
              <w:tab/>
            </w:r>
            <w:r>
              <w:rPr>
                <w:noProof/>
                <w:webHidden/>
              </w:rPr>
              <w:fldChar w:fldCharType="begin"/>
            </w:r>
            <w:r>
              <w:rPr>
                <w:noProof/>
                <w:webHidden/>
              </w:rPr>
              <w:instrText xml:space="preserve"> PAGEREF _Toc228283634 \h </w:instrText>
            </w:r>
            <w:r>
              <w:rPr>
                <w:noProof/>
                <w:webHidden/>
              </w:rPr>
            </w:r>
            <w:r>
              <w:rPr>
                <w:noProof/>
                <w:webHidden/>
              </w:rPr>
              <w:fldChar w:fldCharType="separate"/>
            </w:r>
            <w:r>
              <w:rPr>
                <w:noProof/>
                <w:webHidden/>
              </w:rPr>
              <w:t>17</w:t>
            </w:r>
            <w:r>
              <w:rPr>
                <w:noProof/>
                <w:webHidden/>
              </w:rPr>
              <w:fldChar w:fldCharType="end"/>
            </w:r>
          </w:hyperlink>
        </w:p>
        <w:p w14:paraId="3DFE4B4A" w14:textId="31C1D562"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35" w:history="1">
            <w:r w:rsidRPr="00CD1837">
              <w:rPr>
                <w:rStyle w:val="Hyperlink"/>
                <w:noProof/>
              </w:rPr>
              <w:t>Output 1: Forest monitoring integrates latest technical knowledge as disseminated through open-access learning programmes, leverages innovative platforms and global datasets, and is guided by aligned methodologies.</w:t>
            </w:r>
            <w:r>
              <w:rPr>
                <w:noProof/>
                <w:webHidden/>
              </w:rPr>
              <w:tab/>
            </w:r>
            <w:r>
              <w:rPr>
                <w:noProof/>
                <w:webHidden/>
              </w:rPr>
              <w:fldChar w:fldCharType="begin"/>
            </w:r>
            <w:r>
              <w:rPr>
                <w:noProof/>
                <w:webHidden/>
              </w:rPr>
              <w:instrText xml:space="preserve"> PAGEREF _Toc228283635 \h </w:instrText>
            </w:r>
            <w:r>
              <w:rPr>
                <w:noProof/>
                <w:webHidden/>
              </w:rPr>
            </w:r>
            <w:r>
              <w:rPr>
                <w:noProof/>
                <w:webHidden/>
              </w:rPr>
              <w:fldChar w:fldCharType="separate"/>
            </w:r>
            <w:r>
              <w:rPr>
                <w:noProof/>
                <w:webHidden/>
              </w:rPr>
              <w:t>17</w:t>
            </w:r>
            <w:r>
              <w:rPr>
                <w:noProof/>
                <w:webHidden/>
              </w:rPr>
              <w:fldChar w:fldCharType="end"/>
            </w:r>
          </w:hyperlink>
        </w:p>
        <w:p w14:paraId="5F9B3ABC" w14:textId="1DBB2732"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36" w:history="1">
            <w:r w:rsidRPr="00CD1837">
              <w:rPr>
                <w:rStyle w:val="Hyperlink"/>
                <w:noProof/>
              </w:rPr>
              <w:t>Output 2: Forest Communities and Indigenous People are empowered to participate in forest monitoring and MRV for emerging carbon standards through a community of practice</w:t>
            </w:r>
            <w:r>
              <w:rPr>
                <w:noProof/>
                <w:webHidden/>
              </w:rPr>
              <w:tab/>
            </w:r>
            <w:r>
              <w:rPr>
                <w:noProof/>
                <w:webHidden/>
              </w:rPr>
              <w:fldChar w:fldCharType="begin"/>
            </w:r>
            <w:r>
              <w:rPr>
                <w:noProof/>
                <w:webHidden/>
              </w:rPr>
              <w:instrText xml:space="preserve"> PAGEREF _Toc228283636 \h </w:instrText>
            </w:r>
            <w:r>
              <w:rPr>
                <w:noProof/>
                <w:webHidden/>
              </w:rPr>
            </w:r>
            <w:r>
              <w:rPr>
                <w:noProof/>
                <w:webHidden/>
              </w:rPr>
              <w:fldChar w:fldCharType="separate"/>
            </w:r>
            <w:r>
              <w:rPr>
                <w:noProof/>
                <w:webHidden/>
              </w:rPr>
              <w:t>19</w:t>
            </w:r>
            <w:r>
              <w:rPr>
                <w:noProof/>
                <w:webHidden/>
              </w:rPr>
              <w:fldChar w:fldCharType="end"/>
            </w:r>
          </w:hyperlink>
        </w:p>
        <w:p w14:paraId="61292ADE" w14:textId="0F1BBEA1"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37" w:history="1">
            <w:r w:rsidRPr="00CD1837">
              <w:rPr>
                <w:rStyle w:val="Hyperlink"/>
                <w:noProof/>
              </w:rPr>
              <w:t>Output 3: Countries address technical and functional gaps and develop forest monitoring systems that are sustainable, robust, relevant to policy priorities and accessible to all.</w:t>
            </w:r>
            <w:r>
              <w:rPr>
                <w:noProof/>
                <w:webHidden/>
              </w:rPr>
              <w:tab/>
            </w:r>
            <w:r>
              <w:rPr>
                <w:noProof/>
                <w:webHidden/>
              </w:rPr>
              <w:fldChar w:fldCharType="begin"/>
            </w:r>
            <w:r>
              <w:rPr>
                <w:noProof/>
                <w:webHidden/>
              </w:rPr>
              <w:instrText xml:space="preserve"> PAGEREF _Toc228283637 \h </w:instrText>
            </w:r>
            <w:r>
              <w:rPr>
                <w:noProof/>
                <w:webHidden/>
              </w:rPr>
            </w:r>
            <w:r>
              <w:rPr>
                <w:noProof/>
                <w:webHidden/>
              </w:rPr>
              <w:fldChar w:fldCharType="separate"/>
            </w:r>
            <w:r>
              <w:rPr>
                <w:noProof/>
                <w:webHidden/>
              </w:rPr>
              <w:t>21</w:t>
            </w:r>
            <w:r>
              <w:rPr>
                <w:noProof/>
                <w:webHidden/>
              </w:rPr>
              <w:fldChar w:fldCharType="end"/>
            </w:r>
          </w:hyperlink>
        </w:p>
        <w:p w14:paraId="035E680F" w14:textId="0BEF4801" w:rsidR="0039001D" w:rsidRDefault="0039001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8283638" w:history="1">
            <w:r w:rsidRPr="00CD1837">
              <w:rPr>
                <w:rStyle w:val="Hyperlink"/>
                <w:rFonts w:cs="Arial"/>
                <w:b/>
                <w:bCs/>
                <w:noProof/>
                <w:lang w:eastAsia="en-GB"/>
              </w:rPr>
              <w:t>Section D: Programme performance not captured by outputs</w:t>
            </w:r>
            <w:r>
              <w:rPr>
                <w:noProof/>
                <w:webHidden/>
              </w:rPr>
              <w:tab/>
            </w:r>
            <w:r>
              <w:rPr>
                <w:noProof/>
                <w:webHidden/>
              </w:rPr>
              <w:fldChar w:fldCharType="begin"/>
            </w:r>
            <w:r>
              <w:rPr>
                <w:noProof/>
                <w:webHidden/>
              </w:rPr>
              <w:instrText xml:space="preserve"> PAGEREF _Toc228283638 \h </w:instrText>
            </w:r>
            <w:r>
              <w:rPr>
                <w:noProof/>
                <w:webHidden/>
              </w:rPr>
            </w:r>
            <w:r>
              <w:rPr>
                <w:noProof/>
                <w:webHidden/>
              </w:rPr>
              <w:fldChar w:fldCharType="separate"/>
            </w:r>
            <w:r>
              <w:rPr>
                <w:noProof/>
                <w:webHidden/>
              </w:rPr>
              <w:t>24</w:t>
            </w:r>
            <w:r>
              <w:rPr>
                <w:noProof/>
                <w:webHidden/>
              </w:rPr>
              <w:fldChar w:fldCharType="end"/>
            </w:r>
          </w:hyperlink>
        </w:p>
        <w:p w14:paraId="57CAC005" w14:textId="1876CB5D" w:rsidR="0039001D" w:rsidRDefault="0039001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8283639" w:history="1">
            <w:r w:rsidRPr="00CD1837">
              <w:rPr>
                <w:rStyle w:val="Hyperlink"/>
                <w:rFonts w:cs="Arial"/>
                <w:b/>
                <w:bCs/>
                <w:noProof/>
                <w:lang w:eastAsia="en-GB"/>
              </w:rPr>
              <w:t>Section E: Risk</w:t>
            </w:r>
            <w:r>
              <w:rPr>
                <w:noProof/>
                <w:webHidden/>
              </w:rPr>
              <w:tab/>
            </w:r>
            <w:r>
              <w:rPr>
                <w:noProof/>
                <w:webHidden/>
              </w:rPr>
              <w:fldChar w:fldCharType="begin"/>
            </w:r>
            <w:r>
              <w:rPr>
                <w:noProof/>
                <w:webHidden/>
              </w:rPr>
              <w:instrText xml:space="preserve"> PAGEREF _Toc228283639 \h </w:instrText>
            </w:r>
            <w:r>
              <w:rPr>
                <w:noProof/>
                <w:webHidden/>
              </w:rPr>
            </w:r>
            <w:r>
              <w:rPr>
                <w:noProof/>
                <w:webHidden/>
              </w:rPr>
              <w:fldChar w:fldCharType="separate"/>
            </w:r>
            <w:r>
              <w:rPr>
                <w:noProof/>
                <w:webHidden/>
              </w:rPr>
              <w:t>25</w:t>
            </w:r>
            <w:r>
              <w:rPr>
                <w:noProof/>
                <w:webHidden/>
              </w:rPr>
              <w:fldChar w:fldCharType="end"/>
            </w:r>
          </w:hyperlink>
        </w:p>
        <w:p w14:paraId="18355EFA" w14:textId="475C6787"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40" w:history="1">
            <w:r w:rsidRPr="00CD1837">
              <w:rPr>
                <w:rStyle w:val="Hyperlink"/>
                <w:noProof/>
              </w:rPr>
              <w:t>Overall risk rating</w:t>
            </w:r>
            <w:r>
              <w:rPr>
                <w:noProof/>
                <w:webHidden/>
              </w:rPr>
              <w:tab/>
            </w:r>
            <w:r>
              <w:rPr>
                <w:noProof/>
                <w:webHidden/>
              </w:rPr>
              <w:fldChar w:fldCharType="begin"/>
            </w:r>
            <w:r>
              <w:rPr>
                <w:noProof/>
                <w:webHidden/>
              </w:rPr>
              <w:instrText xml:space="preserve"> PAGEREF _Toc228283640 \h </w:instrText>
            </w:r>
            <w:r>
              <w:rPr>
                <w:noProof/>
                <w:webHidden/>
              </w:rPr>
            </w:r>
            <w:r>
              <w:rPr>
                <w:noProof/>
                <w:webHidden/>
              </w:rPr>
              <w:fldChar w:fldCharType="separate"/>
            </w:r>
            <w:r>
              <w:rPr>
                <w:noProof/>
                <w:webHidden/>
              </w:rPr>
              <w:t>25</w:t>
            </w:r>
            <w:r>
              <w:rPr>
                <w:noProof/>
                <w:webHidden/>
              </w:rPr>
              <w:fldChar w:fldCharType="end"/>
            </w:r>
          </w:hyperlink>
        </w:p>
        <w:p w14:paraId="52896A85" w14:textId="7783959E"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41" w:history="1">
            <w:r w:rsidRPr="00CD1837">
              <w:rPr>
                <w:rStyle w:val="Hyperlink"/>
                <w:noProof/>
              </w:rPr>
              <w:t>Overview of risk management</w:t>
            </w:r>
            <w:r>
              <w:rPr>
                <w:noProof/>
                <w:webHidden/>
              </w:rPr>
              <w:tab/>
            </w:r>
            <w:r>
              <w:rPr>
                <w:noProof/>
                <w:webHidden/>
              </w:rPr>
              <w:fldChar w:fldCharType="begin"/>
            </w:r>
            <w:r>
              <w:rPr>
                <w:noProof/>
                <w:webHidden/>
              </w:rPr>
              <w:instrText xml:space="preserve"> PAGEREF _Toc228283641 \h </w:instrText>
            </w:r>
            <w:r>
              <w:rPr>
                <w:noProof/>
                <w:webHidden/>
              </w:rPr>
            </w:r>
            <w:r>
              <w:rPr>
                <w:noProof/>
                <w:webHidden/>
              </w:rPr>
              <w:fldChar w:fldCharType="separate"/>
            </w:r>
            <w:r>
              <w:rPr>
                <w:noProof/>
                <w:webHidden/>
              </w:rPr>
              <w:t>25</w:t>
            </w:r>
            <w:r>
              <w:rPr>
                <w:noProof/>
                <w:webHidden/>
              </w:rPr>
              <w:fldChar w:fldCharType="end"/>
            </w:r>
          </w:hyperlink>
        </w:p>
        <w:p w14:paraId="7CC85804" w14:textId="0BBB66A2"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42" w:history="1">
            <w:r w:rsidRPr="00CD1837">
              <w:rPr>
                <w:rStyle w:val="Hyperlink"/>
                <w:noProof/>
              </w:rPr>
              <w:t>Current risks</w:t>
            </w:r>
            <w:r>
              <w:rPr>
                <w:noProof/>
                <w:webHidden/>
              </w:rPr>
              <w:tab/>
            </w:r>
            <w:r>
              <w:rPr>
                <w:noProof/>
                <w:webHidden/>
              </w:rPr>
              <w:fldChar w:fldCharType="begin"/>
            </w:r>
            <w:r>
              <w:rPr>
                <w:noProof/>
                <w:webHidden/>
              </w:rPr>
              <w:instrText xml:space="preserve"> PAGEREF _Toc228283642 \h </w:instrText>
            </w:r>
            <w:r>
              <w:rPr>
                <w:noProof/>
                <w:webHidden/>
              </w:rPr>
            </w:r>
            <w:r>
              <w:rPr>
                <w:noProof/>
                <w:webHidden/>
              </w:rPr>
              <w:fldChar w:fldCharType="separate"/>
            </w:r>
            <w:r>
              <w:rPr>
                <w:noProof/>
                <w:webHidden/>
              </w:rPr>
              <w:t>25</w:t>
            </w:r>
            <w:r>
              <w:rPr>
                <w:noProof/>
                <w:webHidden/>
              </w:rPr>
              <w:fldChar w:fldCharType="end"/>
            </w:r>
          </w:hyperlink>
        </w:p>
        <w:p w14:paraId="2CE57A48" w14:textId="1E20FB2F" w:rsidR="0039001D" w:rsidRDefault="0039001D">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8283643" w:history="1">
            <w:r w:rsidRPr="00CD1837">
              <w:rPr>
                <w:rStyle w:val="Hyperlink"/>
                <w:noProof/>
              </w:rPr>
              <w:t>Outstanding actions from risk assessment</w:t>
            </w:r>
            <w:r>
              <w:rPr>
                <w:noProof/>
                <w:webHidden/>
              </w:rPr>
              <w:tab/>
            </w:r>
            <w:r>
              <w:rPr>
                <w:noProof/>
                <w:webHidden/>
              </w:rPr>
              <w:fldChar w:fldCharType="begin"/>
            </w:r>
            <w:r>
              <w:rPr>
                <w:noProof/>
                <w:webHidden/>
              </w:rPr>
              <w:instrText xml:space="preserve"> PAGEREF _Toc228283643 \h </w:instrText>
            </w:r>
            <w:r>
              <w:rPr>
                <w:noProof/>
                <w:webHidden/>
              </w:rPr>
            </w:r>
            <w:r>
              <w:rPr>
                <w:noProof/>
                <w:webHidden/>
              </w:rPr>
              <w:fldChar w:fldCharType="separate"/>
            </w:r>
            <w:r>
              <w:rPr>
                <w:noProof/>
                <w:webHidden/>
              </w:rPr>
              <w:t>26</w:t>
            </w:r>
            <w:r>
              <w:rPr>
                <w:noProof/>
                <w:webHidden/>
              </w:rPr>
              <w:fldChar w:fldCharType="end"/>
            </w:r>
          </w:hyperlink>
        </w:p>
        <w:p w14:paraId="7A90D420" w14:textId="26656402" w:rsidR="0039001D" w:rsidRDefault="0039001D">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28283644" w:history="1">
            <w:r w:rsidRPr="00CD1837">
              <w:rPr>
                <w:rStyle w:val="Hyperlink"/>
                <w:rFonts w:cs="Arial"/>
                <w:b/>
                <w:bCs/>
                <w:noProof/>
                <w:lang w:eastAsia="en-GB"/>
              </w:rPr>
              <w:t>Section F: Programme management: delivery, VfM, commercial and financial performance</w:t>
            </w:r>
            <w:r>
              <w:rPr>
                <w:noProof/>
                <w:webHidden/>
              </w:rPr>
              <w:tab/>
            </w:r>
            <w:r>
              <w:rPr>
                <w:noProof/>
                <w:webHidden/>
              </w:rPr>
              <w:fldChar w:fldCharType="begin"/>
            </w:r>
            <w:r>
              <w:rPr>
                <w:noProof/>
                <w:webHidden/>
              </w:rPr>
              <w:instrText xml:space="preserve"> PAGEREF _Toc228283644 \h </w:instrText>
            </w:r>
            <w:r>
              <w:rPr>
                <w:noProof/>
                <w:webHidden/>
              </w:rPr>
            </w:r>
            <w:r>
              <w:rPr>
                <w:noProof/>
                <w:webHidden/>
              </w:rPr>
              <w:fldChar w:fldCharType="separate"/>
            </w:r>
            <w:r>
              <w:rPr>
                <w:noProof/>
                <w:webHidden/>
              </w:rPr>
              <w:t>27</w:t>
            </w:r>
            <w:r>
              <w:rPr>
                <w:noProof/>
                <w:webHidden/>
              </w:rPr>
              <w:fldChar w:fldCharType="end"/>
            </w:r>
          </w:hyperlink>
        </w:p>
        <w:p w14:paraId="3556A830" w14:textId="2126C3C4" w:rsidR="008316ED" w:rsidRDefault="008316ED" w:rsidP="68D6447C">
          <w:pPr>
            <w:pStyle w:val="TOC1"/>
            <w:tabs>
              <w:tab w:val="right" w:leader="dot" w:pos="9015"/>
            </w:tabs>
            <w:rPr>
              <w:rStyle w:val="Hyperlink"/>
              <w:noProof/>
              <w:kern w:val="2"/>
              <w:lang w:eastAsia="en-GB"/>
              <w14:ligatures w14:val="standardContextual"/>
            </w:rPr>
          </w:pPr>
          <w:r>
            <w:fldChar w:fldCharType="end"/>
          </w:r>
        </w:p>
      </w:sdtContent>
    </w:sdt>
    <w:p w14:paraId="52C25FCB" w14:textId="587EFE12" w:rsidR="00316D0D" w:rsidRDefault="00316D0D" w:rsidP="6B35B4D8">
      <w:pPr>
        <w:pStyle w:val="TOC1"/>
        <w:tabs>
          <w:tab w:val="right" w:leader="dot" w:pos="9015"/>
        </w:tabs>
        <w:rPr>
          <w:rStyle w:val="Hyperlink"/>
          <w:noProof/>
          <w:kern w:val="2"/>
          <w:lang w:eastAsia="en-GB"/>
          <w14:ligatures w14:val="standardContextual"/>
        </w:rPr>
      </w:pPr>
    </w:p>
    <w:p w14:paraId="2412FD0E" w14:textId="05E1BDE0" w:rsidR="00DB4AAF" w:rsidRDefault="00DB4AAF" w:rsidP="527A8EFF">
      <w:pPr>
        <w:pStyle w:val="TOC2"/>
        <w:tabs>
          <w:tab w:val="right" w:leader="dot" w:pos="9015"/>
        </w:tabs>
        <w:rPr>
          <w:rStyle w:val="Hyperlink"/>
          <w:noProof/>
          <w:kern w:val="2"/>
          <w:lang w:eastAsia="en-GB"/>
          <w14:ligatures w14:val="standardContextual"/>
        </w:rPr>
      </w:pPr>
    </w:p>
    <w:p w14:paraId="5E063C9F" w14:textId="0782D2F0" w:rsidR="001B14BA" w:rsidRDefault="001B14BA" w:rsidP="00276517">
      <w:pPr>
        <w:spacing w:line="276" w:lineRule="auto"/>
      </w:pPr>
    </w:p>
    <w:p w14:paraId="5329C57B" w14:textId="77E53EDE" w:rsidR="008D3049" w:rsidRDefault="008D3049">
      <w:pPr>
        <w:spacing w:after="160" w:line="259" w:lineRule="auto"/>
        <w:rPr>
          <w:sz w:val="22"/>
          <w:szCs w:val="22"/>
        </w:rPr>
      </w:pPr>
    </w:p>
    <w:p w14:paraId="07D3ACBE" w14:textId="1381FD75" w:rsidR="008D3049" w:rsidRDefault="00B06671">
      <w:pPr>
        <w:spacing w:after="160" w:line="259" w:lineRule="auto"/>
        <w:rPr>
          <w:sz w:val="22"/>
          <w:szCs w:val="22"/>
        </w:rPr>
      </w:pPr>
      <w:r w:rsidRPr="1BC7AFA5">
        <w:rPr>
          <w:sz w:val="22"/>
          <w:szCs w:val="22"/>
        </w:rPr>
        <w:br w:type="page"/>
      </w:r>
    </w:p>
    <w:tbl>
      <w:tblPr>
        <w:tblStyle w:val="TableGrid"/>
        <w:tblW w:w="0" w:type="auto"/>
        <w:tblLook w:val="04A0" w:firstRow="1" w:lastRow="0" w:firstColumn="1" w:lastColumn="0" w:noHBand="0" w:noVBand="1"/>
      </w:tblPr>
      <w:tblGrid>
        <w:gridCol w:w="9016"/>
      </w:tblGrid>
      <w:tr w:rsidR="00397703" w14:paraId="65DE13A0" w14:textId="77777777" w:rsidTr="5302A23D">
        <w:tc>
          <w:tcPr>
            <w:tcW w:w="9016" w:type="dxa"/>
            <w:shd w:val="clear" w:color="auto" w:fill="DEEAF6" w:themeFill="accent5" w:themeFillTint="33"/>
          </w:tcPr>
          <w:p w14:paraId="7DC76797" w14:textId="0E0DB8F4" w:rsidR="00495286" w:rsidRDefault="789BD016" w:rsidP="006C516E">
            <w:bookmarkStart w:id="0" w:name="_Toc225240728"/>
            <w:bookmarkStart w:id="1" w:name="_Toc228283625"/>
            <w:r w:rsidRPr="5302A23D">
              <w:rPr>
                <w:rStyle w:val="Heading1Char"/>
                <w:rFonts w:ascii="Arial" w:hAnsi="Arial" w:cs="Arial"/>
                <w:b/>
                <w:bCs/>
                <w:color w:val="auto"/>
              </w:rPr>
              <w:lastRenderedPageBreak/>
              <w:t>Section A: Summary and overview</w:t>
            </w:r>
            <w:bookmarkEnd w:id="0"/>
            <w:bookmarkEnd w:id="1"/>
            <w:r>
              <w:t xml:space="preserve"> </w:t>
            </w:r>
          </w:p>
        </w:tc>
      </w:tr>
    </w:tbl>
    <w:p w14:paraId="006A5D19" w14:textId="77777777" w:rsidR="00495286" w:rsidRDefault="00495286" w:rsidP="006C516E"/>
    <w:tbl>
      <w:tblPr>
        <w:tblStyle w:val="TableGrid"/>
        <w:tblW w:w="0" w:type="auto"/>
        <w:tblLook w:val="04A0" w:firstRow="1" w:lastRow="0" w:firstColumn="1" w:lastColumn="0" w:noHBand="0" w:noVBand="1"/>
      </w:tblPr>
      <w:tblGrid>
        <w:gridCol w:w="3397"/>
        <w:gridCol w:w="2410"/>
        <w:gridCol w:w="3209"/>
      </w:tblGrid>
      <w:tr w:rsidR="00FF25ED" w:rsidRPr="003F6641" w14:paraId="2869ADA5" w14:textId="77777777" w:rsidTr="00FC16A6">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346F2EF8" w14:textId="1B98670B" w:rsidR="004D2FC0" w:rsidRPr="003F6641" w:rsidRDefault="004D2FC0" w:rsidP="00FC16A6">
            <w:pPr>
              <w:rPr>
                <w:rFonts w:cs="Arial"/>
                <w:b/>
                <w:sz w:val="22"/>
                <w:szCs w:val="22"/>
              </w:rPr>
            </w:pPr>
            <w:r w:rsidRPr="003F6641">
              <w:rPr>
                <w:rFonts w:cs="Arial"/>
                <w:b/>
                <w:sz w:val="22"/>
                <w:szCs w:val="22"/>
              </w:rPr>
              <w:t xml:space="preserve">Title:  </w:t>
            </w:r>
            <w:r w:rsidR="00095E87">
              <w:rPr>
                <w:rFonts w:cs="Arial"/>
                <w:b/>
                <w:sz w:val="22"/>
                <w:szCs w:val="22"/>
              </w:rPr>
              <w:t>Accelerating Innovative Monitoring for Forests (AIM4Forests)</w:t>
            </w:r>
          </w:p>
        </w:tc>
      </w:tr>
      <w:tr w:rsidR="0014270C" w:rsidRPr="003F6641" w14:paraId="109A3418" w14:textId="77777777" w:rsidTr="00FC16A6">
        <w:trPr>
          <w:trHeight w:val="413"/>
        </w:trPr>
        <w:tc>
          <w:tcPr>
            <w:tcW w:w="5807"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9376CB4" w14:textId="753CF4B3" w:rsidR="004D2FC0" w:rsidRPr="003F6641" w:rsidRDefault="004D2FC0" w:rsidP="00FC16A6">
            <w:pPr>
              <w:rPr>
                <w:rFonts w:cs="Arial"/>
                <w:b/>
                <w:sz w:val="22"/>
                <w:szCs w:val="22"/>
              </w:rPr>
            </w:pPr>
            <w:r w:rsidRPr="003F6641">
              <w:rPr>
                <w:rFonts w:cs="Arial"/>
                <w:b/>
                <w:sz w:val="22"/>
                <w:szCs w:val="22"/>
              </w:rPr>
              <w:t xml:space="preserve">Programme Value £ (full life): </w:t>
            </w:r>
            <w:r w:rsidR="00095E87">
              <w:rPr>
                <w:rFonts w:cs="Arial"/>
                <w:b/>
                <w:sz w:val="22"/>
                <w:szCs w:val="22"/>
              </w:rPr>
              <w:t>£</w:t>
            </w:r>
            <w:r w:rsidR="000E7FBD">
              <w:rPr>
                <w:rFonts w:cs="Arial"/>
                <w:b/>
                <w:sz w:val="22"/>
                <w:szCs w:val="22"/>
              </w:rPr>
              <w:t xml:space="preserve">48,400,000 </w:t>
            </w:r>
            <w:r w:rsidR="000E7FBD" w:rsidRPr="00033570">
              <w:rPr>
                <w:rFonts w:cs="Arial"/>
                <w:bCs/>
                <w:sz w:val="22"/>
                <w:szCs w:val="22"/>
              </w:rPr>
              <w:t>(including additional £7,</w:t>
            </w:r>
            <w:r w:rsidR="00033570" w:rsidRPr="00033570">
              <w:rPr>
                <w:rFonts w:cs="Arial"/>
                <w:bCs/>
                <w:sz w:val="22"/>
                <w:szCs w:val="22"/>
              </w:rPr>
              <w:t>0</w:t>
            </w:r>
            <w:r w:rsidR="000E7FBD" w:rsidRPr="00033570">
              <w:rPr>
                <w:rFonts w:cs="Arial"/>
                <w:bCs/>
                <w:sz w:val="22"/>
                <w:szCs w:val="22"/>
              </w:rPr>
              <w:t>00,000</w:t>
            </w:r>
            <w:r w:rsidR="00033570" w:rsidRPr="00033570">
              <w:rPr>
                <w:rFonts w:cs="Arial"/>
                <w:bCs/>
                <w:sz w:val="22"/>
                <w:szCs w:val="22"/>
              </w:rPr>
              <w:t xml:space="preserve"> in </w:t>
            </w:r>
            <w:r w:rsidR="4BAA9160" w:rsidRPr="3C5C5C02">
              <w:rPr>
                <w:rFonts w:cs="Arial"/>
                <w:sz w:val="22"/>
                <w:szCs w:val="22"/>
              </w:rPr>
              <w:t>March 2025</w:t>
            </w:r>
            <w:r w:rsidR="00C25647" w:rsidRPr="00033570">
              <w:rPr>
                <w:rFonts w:cs="Arial"/>
                <w:bCs/>
                <w:sz w:val="22"/>
                <w:szCs w:val="22"/>
              </w:rPr>
              <w:t xml:space="preserve"> and £16,900,000</w:t>
            </w:r>
            <w:r w:rsidR="00033570" w:rsidRPr="00033570">
              <w:rPr>
                <w:rFonts w:cs="Arial"/>
                <w:bCs/>
                <w:sz w:val="22"/>
                <w:szCs w:val="22"/>
              </w:rPr>
              <w:t xml:space="preserve"> in November </w:t>
            </w:r>
            <w:r w:rsidR="00033570" w:rsidRPr="3C5C5C02">
              <w:rPr>
                <w:rFonts w:cs="Arial"/>
                <w:sz w:val="22"/>
                <w:szCs w:val="22"/>
              </w:rPr>
              <w:t>202</w:t>
            </w:r>
            <w:r w:rsidR="54D012D6" w:rsidRPr="3C5C5C02">
              <w:rPr>
                <w:rFonts w:cs="Arial"/>
                <w:sz w:val="22"/>
                <w:szCs w:val="22"/>
              </w:rPr>
              <w:t>5</w:t>
            </w:r>
            <w:r w:rsidR="00033570" w:rsidRPr="00033570">
              <w:rPr>
                <w:rFonts w:cs="Arial"/>
                <w:bCs/>
                <w:sz w:val="22"/>
                <w:szCs w:val="22"/>
              </w:rPr>
              <w:t>)</w:t>
            </w:r>
          </w:p>
        </w:tc>
        <w:tc>
          <w:tcPr>
            <w:tcW w:w="3209"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5E522675" w14:textId="69A242A7" w:rsidR="00033570" w:rsidRPr="003F6641" w:rsidRDefault="004D2FC0" w:rsidP="00FC16A6">
            <w:pPr>
              <w:rPr>
                <w:rFonts w:cs="Arial"/>
                <w:b/>
                <w:sz w:val="22"/>
                <w:szCs w:val="22"/>
              </w:rPr>
            </w:pPr>
            <w:r w:rsidRPr="003F6641">
              <w:rPr>
                <w:rFonts w:cs="Arial"/>
                <w:b/>
                <w:sz w:val="22"/>
                <w:szCs w:val="22"/>
              </w:rPr>
              <w:t xml:space="preserve">Review date: </w:t>
            </w:r>
            <w:r w:rsidR="00033570">
              <w:rPr>
                <w:rFonts w:cs="Arial"/>
                <w:b/>
                <w:sz w:val="22"/>
                <w:szCs w:val="22"/>
              </w:rPr>
              <w:t>January 2025 – December 2025</w:t>
            </w:r>
          </w:p>
        </w:tc>
      </w:tr>
      <w:tr w:rsidR="006F5770" w:rsidRPr="003F6641" w14:paraId="4F6467CB" w14:textId="77777777" w:rsidTr="00FC16A6">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06CD2B2E" w14:textId="6EB26FB7" w:rsidR="00033570" w:rsidRPr="00033570" w:rsidRDefault="004D2FC0" w:rsidP="00033570">
            <w:pPr>
              <w:rPr>
                <w:rFonts w:cs="Arial"/>
                <w:sz w:val="22"/>
                <w:szCs w:val="22"/>
                <w:lang w:val="fr-FR"/>
              </w:rPr>
            </w:pPr>
            <w:r w:rsidRPr="00033570">
              <w:rPr>
                <w:rFonts w:cs="Arial"/>
                <w:b/>
                <w:sz w:val="22"/>
                <w:szCs w:val="22"/>
                <w:lang w:val="fr-FR"/>
              </w:rPr>
              <w:t xml:space="preserve">Programme Code: </w:t>
            </w:r>
            <w:r w:rsidR="00033570" w:rsidRPr="00033570">
              <w:rPr>
                <w:rFonts w:cs="Arial"/>
                <w:b/>
                <w:sz w:val="22"/>
                <w:szCs w:val="22"/>
                <w:lang w:val="fr-FR"/>
              </w:rPr>
              <w:t>GB-GOV-25-ICF-0046-AIM</w:t>
            </w:r>
          </w:p>
          <w:p w14:paraId="07FE2881" w14:textId="304EC56D" w:rsidR="004D2FC0" w:rsidRPr="00033570" w:rsidRDefault="004D2FC0" w:rsidP="00FC16A6">
            <w:pPr>
              <w:rPr>
                <w:rFonts w:cs="Arial"/>
                <w:sz w:val="22"/>
                <w:szCs w:val="22"/>
                <w:lang w:val="fr-FR"/>
              </w:rPr>
            </w:pP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3C649775" w14:textId="0AF1B77E" w:rsidR="004D2FC0" w:rsidRPr="003F6641" w:rsidRDefault="004D2FC0" w:rsidP="00FC16A6">
            <w:pPr>
              <w:rPr>
                <w:rFonts w:cs="Arial"/>
                <w:b/>
                <w:sz w:val="22"/>
                <w:szCs w:val="22"/>
              </w:rPr>
            </w:pPr>
            <w:r w:rsidRPr="003F6641">
              <w:rPr>
                <w:rFonts w:cs="Arial"/>
                <w:b/>
                <w:sz w:val="22"/>
                <w:szCs w:val="22"/>
              </w:rPr>
              <w:t>Programme start date:</w:t>
            </w:r>
            <w:r w:rsidRPr="003F6641">
              <w:rPr>
                <w:rFonts w:cs="Arial"/>
                <w:sz w:val="22"/>
                <w:szCs w:val="22"/>
              </w:rPr>
              <w:t xml:space="preserve"> </w:t>
            </w:r>
            <w:r w:rsidR="00033570">
              <w:rPr>
                <w:rFonts w:cs="Arial"/>
                <w:sz w:val="22"/>
                <w:szCs w:val="22"/>
              </w:rPr>
              <w:t>April 2023</w:t>
            </w:r>
          </w:p>
        </w:tc>
        <w:tc>
          <w:tcPr>
            <w:tcW w:w="3209" w:type="dxa"/>
            <w:tcBorders>
              <w:top w:val="dotted" w:sz="2" w:space="0" w:color="000000" w:themeColor="text1"/>
              <w:left w:val="dotted" w:sz="2" w:space="0" w:color="000000" w:themeColor="text1"/>
              <w:bottom w:val="single" w:sz="4" w:space="0" w:color="auto"/>
              <w:right w:val="single" w:sz="4" w:space="0" w:color="auto"/>
            </w:tcBorders>
            <w:hideMark/>
          </w:tcPr>
          <w:p w14:paraId="7A133EFD" w14:textId="4BC5BF5C" w:rsidR="004D2FC0" w:rsidRPr="003F6641" w:rsidRDefault="004D2FC0" w:rsidP="00FC16A6">
            <w:pPr>
              <w:rPr>
                <w:rFonts w:cs="Arial"/>
                <w:b/>
                <w:sz w:val="22"/>
                <w:szCs w:val="22"/>
              </w:rPr>
            </w:pPr>
            <w:r w:rsidRPr="003F6641">
              <w:rPr>
                <w:rFonts w:cs="Arial"/>
                <w:b/>
                <w:sz w:val="22"/>
                <w:szCs w:val="22"/>
              </w:rPr>
              <w:t>Programme end date:</w:t>
            </w:r>
            <w:r w:rsidRPr="003F6641">
              <w:rPr>
                <w:rFonts w:cs="Arial"/>
                <w:sz w:val="22"/>
                <w:szCs w:val="22"/>
              </w:rPr>
              <w:t xml:space="preserve"> </w:t>
            </w:r>
            <w:r w:rsidR="00033570">
              <w:rPr>
                <w:rFonts w:cs="Arial"/>
                <w:sz w:val="22"/>
                <w:szCs w:val="22"/>
              </w:rPr>
              <w:t>December 2030 (extension in November 2026)</w:t>
            </w:r>
          </w:p>
        </w:tc>
      </w:tr>
    </w:tbl>
    <w:p w14:paraId="44D21F6A" w14:textId="77777777" w:rsidR="004D2FC0" w:rsidRPr="003F6641" w:rsidRDefault="004D2FC0" w:rsidP="004D2FC0">
      <w:pPr>
        <w:rPr>
          <w:rFonts w:cs="Arial"/>
          <w:b/>
          <w:sz w:val="22"/>
          <w:szCs w:val="22"/>
        </w:rPr>
      </w:pPr>
    </w:p>
    <w:tbl>
      <w:tblPr>
        <w:tblStyle w:val="TableGrid"/>
        <w:tblW w:w="9016" w:type="dxa"/>
        <w:tblLook w:val="04A0" w:firstRow="1" w:lastRow="0" w:firstColumn="1" w:lastColumn="0" w:noHBand="0" w:noVBand="1"/>
      </w:tblPr>
      <w:tblGrid>
        <w:gridCol w:w="2337"/>
        <w:gridCol w:w="1155"/>
        <w:gridCol w:w="1032"/>
        <w:gridCol w:w="1140"/>
        <w:gridCol w:w="615"/>
        <w:gridCol w:w="732"/>
        <w:gridCol w:w="720"/>
        <w:gridCol w:w="690"/>
        <w:gridCol w:w="595"/>
      </w:tblGrid>
      <w:tr w:rsidR="006F5770" w:rsidRPr="003F6641" w14:paraId="397F49F6" w14:textId="77777777" w:rsidTr="3C5C5C02">
        <w:tc>
          <w:tcPr>
            <w:tcW w:w="233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0C093D" w14:textId="77777777" w:rsidR="004D2FC0" w:rsidRPr="000425EB" w:rsidRDefault="004D2FC0" w:rsidP="00FC16A6">
            <w:pPr>
              <w:rPr>
                <w:rFonts w:cs="Arial"/>
                <w:b/>
                <w:bCs/>
                <w:sz w:val="22"/>
                <w:szCs w:val="22"/>
              </w:rPr>
            </w:pPr>
            <w:r w:rsidRPr="000425EB">
              <w:rPr>
                <w:rFonts w:cs="Arial"/>
                <w:b/>
                <w:bCs/>
                <w:sz w:val="22"/>
                <w:szCs w:val="22"/>
              </w:rPr>
              <w:t>Year</w:t>
            </w:r>
          </w:p>
        </w:tc>
        <w:tc>
          <w:tcPr>
            <w:tcW w:w="1155" w:type="dxa"/>
            <w:tcBorders>
              <w:top w:val="single" w:sz="4" w:space="0" w:color="auto"/>
              <w:left w:val="single" w:sz="4" w:space="0" w:color="auto"/>
              <w:bottom w:val="single" w:sz="4" w:space="0" w:color="auto"/>
              <w:right w:val="single" w:sz="4" w:space="0" w:color="auto"/>
            </w:tcBorders>
          </w:tcPr>
          <w:p w14:paraId="04CB39F0" w14:textId="5BDB039B" w:rsidR="004D2FC0" w:rsidRPr="00033570" w:rsidRDefault="00033570" w:rsidP="00FC16A6">
            <w:pPr>
              <w:rPr>
                <w:rFonts w:cs="Arial"/>
                <w:b/>
                <w:sz w:val="18"/>
                <w:szCs w:val="18"/>
              </w:rPr>
            </w:pPr>
            <w:r w:rsidRPr="00033570">
              <w:rPr>
                <w:rFonts w:cs="Arial"/>
                <w:b/>
                <w:sz w:val="18"/>
                <w:szCs w:val="18"/>
              </w:rPr>
              <w:t>FY23</w:t>
            </w:r>
          </w:p>
        </w:tc>
        <w:tc>
          <w:tcPr>
            <w:tcW w:w="1032" w:type="dxa"/>
            <w:tcBorders>
              <w:top w:val="single" w:sz="4" w:space="0" w:color="auto"/>
              <w:left w:val="single" w:sz="4" w:space="0" w:color="auto"/>
              <w:bottom w:val="single" w:sz="4" w:space="0" w:color="auto"/>
              <w:right w:val="single" w:sz="4" w:space="0" w:color="auto"/>
            </w:tcBorders>
          </w:tcPr>
          <w:p w14:paraId="037A5853" w14:textId="7552742D" w:rsidR="004D2FC0" w:rsidRPr="00033570" w:rsidRDefault="00033570" w:rsidP="00FC16A6">
            <w:pPr>
              <w:rPr>
                <w:rFonts w:cs="Arial"/>
                <w:b/>
                <w:sz w:val="18"/>
                <w:szCs w:val="18"/>
              </w:rPr>
            </w:pPr>
            <w:r w:rsidRPr="00033570">
              <w:rPr>
                <w:rFonts w:cs="Arial"/>
                <w:b/>
                <w:sz w:val="18"/>
                <w:szCs w:val="18"/>
              </w:rPr>
              <w:t>FY24</w:t>
            </w:r>
          </w:p>
        </w:tc>
        <w:tc>
          <w:tcPr>
            <w:tcW w:w="1140" w:type="dxa"/>
            <w:tcBorders>
              <w:top w:val="single" w:sz="4" w:space="0" w:color="auto"/>
              <w:left w:val="single" w:sz="4" w:space="0" w:color="auto"/>
              <w:bottom w:val="single" w:sz="4" w:space="0" w:color="auto"/>
              <w:right w:val="single" w:sz="4" w:space="0" w:color="auto"/>
            </w:tcBorders>
          </w:tcPr>
          <w:p w14:paraId="079B1B1B" w14:textId="0272092D" w:rsidR="004D2FC0" w:rsidRPr="00033570" w:rsidRDefault="00033570" w:rsidP="00FC16A6">
            <w:pPr>
              <w:rPr>
                <w:rFonts w:cs="Arial"/>
                <w:b/>
                <w:sz w:val="18"/>
                <w:szCs w:val="18"/>
              </w:rPr>
            </w:pPr>
            <w:r>
              <w:rPr>
                <w:rFonts w:cs="Arial"/>
                <w:b/>
                <w:sz w:val="18"/>
                <w:szCs w:val="18"/>
              </w:rPr>
              <w:t>FY25</w:t>
            </w:r>
          </w:p>
        </w:tc>
        <w:tc>
          <w:tcPr>
            <w:tcW w:w="615" w:type="dxa"/>
            <w:tcBorders>
              <w:top w:val="single" w:sz="4" w:space="0" w:color="auto"/>
              <w:left w:val="single" w:sz="4" w:space="0" w:color="auto"/>
              <w:bottom w:val="single" w:sz="4" w:space="0" w:color="auto"/>
              <w:right w:val="single" w:sz="4" w:space="0" w:color="auto"/>
            </w:tcBorders>
          </w:tcPr>
          <w:p w14:paraId="646BA210" w14:textId="77777777" w:rsidR="004D2FC0" w:rsidRPr="00033570" w:rsidRDefault="004D2FC0" w:rsidP="00FC16A6">
            <w:pPr>
              <w:rPr>
                <w:rFonts w:cs="Arial"/>
                <w:b/>
                <w:sz w:val="18"/>
                <w:szCs w:val="18"/>
              </w:rPr>
            </w:pPr>
          </w:p>
        </w:tc>
        <w:tc>
          <w:tcPr>
            <w:tcW w:w="732" w:type="dxa"/>
            <w:tcBorders>
              <w:top w:val="single" w:sz="4" w:space="0" w:color="auto"/>
              <w:left w:val="single" w:sz="4" w:space="0" w:color="auto"/>
              <w:bottom w:val="single" w:sz="4" w:space="0" w:color="auto"/>
              <w:right w:val="single" w:sz="4" w:space="0" w:color="auto"/>
            </w:tcBorders>
          </w:tcPr>
          <w:p w14:paraId="1035360D" w14:textId="77777777" w:rsidR="004D2FC0" w:rsidRPr="00033570" w:rsidRDefault="004D2FC0" w:rsidP="00FC16A6">
            <w:pPr>
              <w:rPr>
                <w:rFonts w:cs="Arial"/>
                <w:b/>
                <w:sz w:val="18"/>
                <w:szCs w:val="18"/>
              </w:rPr>
            </w:pPr>
          </w:p>
        </w:tc>
        <w:tc>
          <w:tcPr>
            <w:tcW w:w="720" w:type="dxa"/>
            <w:tcBorders>
              <w:top w:val="single" w:sz="4" w:space="0" w:color="auto"/>
              <w:left w:val="single" w:sz="4" w:space="0" w:color="auto"/>
              <w:bottom w:val="single" w:sz="4" w:space="0" w:color="auto"/>
              <w:right w:val="single" w:sz="4" w:space="0" w:color="auto"/>
            </w:tcBorders>
          </w:tcPr>
          <w:p w14:paraId="64675C53" w14:textId="77777777" w:rsidR="004D2FC0" w:rsidRPr="00033570" w:rsidRDefault="004D2FC0" w:rsidP="00FC16A6">
            <w:pPr>
              <w:rPr>
                <w:rFonts w:cs="Arial"/>
                <w:b/>
                <w:sz w:val="18"/>
                <w:szCs w:val="18"/>
              </w:rPr>
            </w:pPr>
          </w:p>
        </w:tc>
        <w:tc>
          <w:tcPr>
            <w:tcW w:w="690" w:type="dxa"/>
            <w:tcBorders>
              <w:top w:val="single" w:sz="4" w:space="0" w:color="auto"/>
              <w:left w:val="single" w:sz="4" w:space="0" w:color="auto"/>
              <w:bottom w:val="single" w:sz="4" w:space="0" w:color="auto"/>
              <w:right w:val="single" w:sz="4" w:space="0" w:color="auto"/>
            </w:tcBorders>
          </w:tcPr>
          <w:p w14:paraId="6C4DC08E" w14:textId="77777777" w:rsidR="004D2FC0" w:rsidRPr="00033570" w:rsidRDefault="004D2FC0" w:rsidP="00FC16A6">
            <w:pPr>
              <w:rPr>
                <w:rFonts w:cs="Arial"/>
                <w:b/>
                <w:sz w:val="18"/>
                <w:szCs w:val="18"/>
              </w:rPr>
            </w:pPr>
          </w:p>
        </w:tc>
        <w:tc>
          <w:tcPr>
            <w:tcW w:w="595" w:type="dxa"/>
            <w:tcBorders>
              <w:top w:val="single" w:sz="4" w:space="0" w:color="auto"/>
              <w:left w:val="single" w:sz="4" w:space="0" w:color="auto"/>
              <w:bottom w:val="single" w:sz="4" w:space="0" w:color="auto"/>
              <w:right w:val="single" w:sz="4" w:space="0" w:color="auto"/>
            </w:tcBorders>
          </w:tcPr>
          <w:p w14:paraId="7DE0F0B5" w14:textId="77777777" w:rsidR="004D2FC0" w:rsidRPr="00033570" w:rsidRDefault="004D2FC0" w:rsidP="00FC16A6">
            <w:pPr>
              <w:rPr>
                <w:rFonts w:cs="Arial"/>
                <w:b/>
                <w:sz w:val="18"/>
                <w:szCs w:val="18"/>
              </w:rPr>
            </w:pPr>
          </w:p>
        </w:tc>
      </w:tr>
      <w:tr w:rsidR="006F5770" w:rsidRPr="003F6641" w14:paraId="461D6177" w14:textId="77777777" w:rsidTr="3C5C5C02">
        <w:tc>
          <w:tcPr>
            <w:tcW w:w="233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454618" w14:textId="77777777" w:rsidR="004D2FC0" w:rsidRPr="000425EB" w:rsidRDefault="004D2FC0" w:rsidP="00FC16A6">
            <w:pPr>
              <w:rPr>
                <w:rFonts w:cs="Arial"/>
                <w:b/>
                <w:bCs/>
                <w:sz w:val="22"/>
                <w:szCs w:val="22"/>
              </w:rPr>
            </w:pPr>
            <w:r w:rsidRPr="000425EB">
              <w:rPr>
                <w:rFonts w:cs="Arial"/>
                <w:b/>
                <w:bCs/>
                <w:sz w:val="22"/>
                <w:szCs w:val="22"/>
              </w:rPr>
              <w:t>Overall Output Score</w:t>
            </w:r>
          </w:p>
        </w:tc>
        <w:tc>
          <w:tcPr>
            <w:tcW w:w="1155" w:type="dxa"/>
            <w:tcBorders>
              <w:top w:val="single" w:sz="4" w:space="0" w:color="auto"/>
              <w:left w:val="single" w:sz="4" w:space="0" w:color="auto"/>
              <w:bottom w:val="single" w:sz="4" w:space="0" w:color="auto"/>
              <w:right w:val="single" w:sz="4" w:space="0" w:color="auto"/>
            </w:tcBorders>
          </w:tcPr>
          <w:p w14:paraId="739EFDDA" w14:textId="49C46822" w:rsidR="004D2FC0" w:rsidRPr="00033570" w:rsidRDefault="00033570" w:rsidP="00FC16A6">
            <w:pPr>
              <w:rPr>
                <w:rFonts w:cs="Arial"/>
                <w:b/>
                <w:sz w:val="18"/>
                <w:szCs w:val="18"/>
              </w:rPr>
            </w:pPr>
            <w:r w:rsidRPr="00033570">
              <w:rPr>
                <w:rFonts w:cs="Arial"/>
                <w:b/>
                <w:sz w:val="18"/>
                <w:szCs w:val="18"/>
              </w:rPr>
              <w:t>A+</w:t>
            </w:r>
          </w:p>
        </w:tc>
        <w:tc>
          <w:tcPr>
            <w:tcW w:w="1032" w:type="dxa"/>
            <w:tcBorders>
              <w:top w:val="single" w:sz="4" w:space="0" w:color="auto"/>
              <w:left w:val="single" w:sz="4" w:space="0" w:color="auto"/>
              <w:bottom w:val="single" w:sz="4" w:space="0" w:color="auto"/>
              <w:right w:val="single" w:sz="4" w:space="0" w:color="auto"/>
            </w:tcBorders>
          </w:tcPr>
          <w:p w14:paraId="357D8D0E" w14:textId="6545769C" w:rsidR="004D2FC0" w:rsidRPr="00033570" w:rsidRDefault="00033570" w:rsidP="00FC16A6">
            <w:pPr>
              <w:rPr>
                <w:rFonts w:cs="Arial"/>
                <w:b/>
                <w:sz w:val="18"/>
                <w:szCs w:val="18"/>
              </w:rPr>
            </w:pPr>
            <w:r w:rsidRPr="00033570">
              <w:rPr>
                <w:rFonts w:cs="Arial"/>
                <w:b/>
                <w:sz w:val="18"/>
                <w:szCs w:val="18"/>
              </w:rPr>
              <w:t>A+</w:t>
            </w:r>
          </w:p>
        </w:tc>
        <w:tc>
          <w:tcPr>
            <w:tcW w:w="1140" w:type="dxa"/>
            <w:tcBorders>
              <w:top w:val="single" w:sz="4" w:space="0" w:color="auto"/>
              <w:left w:val="single" w:sz="4" w:space="0" w:color="auto"/>
              <w:bottom w:val="single" w:sz="4" w:space="0" w:color="auto"/>
              <w:right w:val="single" w:sz="4" w:space="0" w:color="auto"/>
            </w:tcBorders>
          </w:tcPr>
          <w:p w14:paraId="2C992B7A" w14:textId="4F03C19E" w:rsidR="004D2FC0" w:rsidRPr="00033570" w:rsidRDefault="24C7601D" w:rsidP="00FC16A6">
            <w:pPr>
              <w:rPr>
                <w:rFonts w:cs="Arial"/>
                <w:b/>
                <w:sz w:val="18"/>
                <w:szCs w:val="18"/>
              </w:rPr>
            </w:pPr>
            <w:r w:rsidRPr="2D9A211C">
              <w:rPr>
                <w:rFonts w:cs="Arial"/>
                <w:b/>
                <w:bCs/>
                <w:sz w:val="18"/>
                <w:szCs w:val="18"/>
              </w:rPr>
              <w:t>A+</w:t>
            </w:r>
          </w:p>
        </w:tc>
        <w:tc>
          <w:tcPr>
            <w:tcW w:w="615" w:type="dxa"/>
            <w:tcBorders>
              <w:top w:val="single" w:sz="4" w:space="0" w:color="auto"/>
              <w:left w:val="single" w:sz="4" w:space="0" w:color="auto"/>
              <w:bottom w:val="single" w:sz="4" w:space="0" w:color="auto"/>
              <w:right w:val="single" w:sz="4" w:space="0" w:color="auto"/>
            </w:tcBorders>
          </w:tcPr>
          <w:p w14:paraId="0B25B58D" w14:textId="77777777" w:rsidR="004D2FC0" w:rsidRPr="00033570" w:rsidRDefault="004D2FC0" w:rsidP="00FC16A6">
            <w:pPr>
              <w:rPr>
                <w:rFonts w:cs="Arial"/>
                <w:b/>
                <w:sz w:val="18"/>
                <w:szCs w:val="18"/>
              </w:rPr>
            </w:pPr>
          </w:p>
        </w:tc>
        <w:tc>
          <w:tcPr>
            <w:tcW w:w="732" w:type="dxa"/>
            <w:tcBorders>
              <w:top w:val="single" w:sz="4" w:space="0" w:color="auto"/>
              <w:left w:val="single" w:sz="4" w:space="0" w:color="auto"/>
              <w:bottom w:val="single" w:sz="4" w:space="0" w:color="auto"/>
              <w:right w:val="single" w:sz="4" w:space="0" w:color="auto"/>
            </w:tcBorders>
          </w:tcPr>
          <w:p w14:paraId="40B2879D" w14:textId="77777777" w:rsidR="004D2FC0" w:rsidRPr="00033570" w:rsidRDefault="004D2FC0" w:rsidP="00FC16A6">
            <w:pPr>
              <w:rPr>
                <w:rFonts w:cs="Arial"/>
                <w:b/>
                <w:sz w:val="18"/>
                <w:szCs w:val="18"/>
              </w:rPr>
            </w:pPr>
          </w:p>
        </w:tc>
        <w:tc>
          <w:tcPr>
            <w:tcW w:w="720" w:type="dxa"/>
            <w:tcBorders>
              <w:top w:val="single" w:sz="4" w:space="0" w:color="auto"/>
              <w:left w:val="single" w:sz="4" w:space="0" w:color="auto"/>
              <w:bottom w:val="single" w:sz="4" w:space="0" w:color="auto"/>
              <w:right w:val="single" w:sz="4" w:space="0" w:color="auto"/>
            </w:tcBorders>
          </w:tcPr>
          <w:p w14:paraId="1C095E04" w14:textId="77777777" w:rsidR="004D2FC0" w:rsidRPr="00033570" w:rsidRDefault="004D2FC0" w:rsidP="00FC16A6">
            <w:pPr>
              <w:rPr>
                <w:rFonts w:cs="Arial"/>
                <w:b/>
                <w:sz w:val="18"/>
                <w:szCs w:val="18"/>
              </w:rPr>
            </w:pPr>
          </w:p>
        </w:tc>
        <w:tc>
          <w:tcPr>
            <w:tcW w:w="690" w:type="dxa"/>
            <w:tcBorders>
              <w:top w:val="single" w:sz="4" w:space="0" w:color="auto"/>
              <w:left w:val="single" w:sz="4" w:space="0" w:color="auto"/>
              <w:bottom w:val="single" w:sz="4" w:space="0" w:color="auto"/>
              <w:right w:val="single" w:sz="4" w:space="0" w:color="auto"/>
            </w:tcBorders>
          </w:tcPr>
          <w:p w14:paraId="2E6879F9" w14:textId="77777777" w:rsidR="004D2FC0" w:rsidRPr="00033570" w:rsidRDefault="004D2FC0" w:rsidP="00FC16A6">
            <w:pPr>
              <w:rPr>
                <w:rFonts w:cs="Arial"/>
                <w:b/>
                <w:sz w:val="18"/>
                <w:szCs w:val="18"/>
              </w:rPr>
            </w:pPr>
          </w:p>
        </w:tc>
        <w:tc>
          <w:tcPr>
            <w:tcW w:w="595" w:type="dxa"/>
            <w:tcBorders>
              <w:top w:val="single" w:sz="4" w:space="0" w:color="auto"/>
              <w:left w:val="single" w:sz="4" w:space="0" w:color="auto"/>
              <w:bottom w:val="single" w:sz="4" w:space="0" w:color="auto"/>
              <w:right w:val="single" w:sz="4" w:space="0" w:color="auto"/>
            </w:tcBorders>
          </w:tcPr>
          <w:p w14:paraId="791C19F9" w14:textId="77777777" w:rsidR="004D2FC0" w:rsidRPr="00033570" w:rsidRDefault="004D2FC0" w:rsidP="00FC16A6">
            <w:pPr>
              <w:rPr>
                <w:rFonts w:cs="Arial"/>
                <w:b/>
                <w:sz w:val="18"/>
                <w:szCs w:val="18"/>
              </w:rPr>
            </w:pPr>
          </w:p>
        </w:tc>
      </w:tr>
      <w:tr w:rsidR="006F5770" w:rsidRPr="003F6641" w14:paraId="58491621" w14:textId="77777777" w:rsidTr="3C5C5C02">
        <w:trPr>
          <w:trHeight w:val="309"/>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30DD62" w14:textId="77777777" w:rsidR="004D2FC0" w:rsidRPr="000425EB" w:rsidRDefault="004D2FC0" w:rsidP="00FC16A6">
            <w:pPr>
              <w:rPr>
                <w:rFonts w:cs="Arial"/>
                <w:b/>
                <w:bCs/>
                <w:sz w:val="22"/>
                <w:szCs w:val="22"/>
              </w:rPr>
            </w:pPr>
            <w:r w:rsidRPr="000425EB">
              <w:rPr>
                <w:rFonts w:cs="Arial"/>
                <w:b/>
                <w:bCs/>
                <w:sz w:val="22"/>
                <w:szCs w:val="22"/>
              </w:rPr>
              <w:t xml:space="preserve">Risk Rating </w:t>
            </w:r>
          </w:p>
        </w:tc>
        <w:tc>
          <w:tcPr>
            <w:tcW w:w="1155" w:type="dxa"/>
            <w:tcBorders>
              <w:top w:val="single" w:sz="4" w:space="0" w:color="auto"/>
              <w:left w:val="single" w:sz="4" w:space="0" w:color="auto"/>
              <w:bottom w:val="single" w:sz="4" w:space="0" w:color="auto"/>
              <w:right w:val="single" w:sz="4" w:space="0" w:color="auto"/>
            </w:tcBorders>
          </w:tcPr>
          <w:p w14:paraId="1DA9D990" w14:textId="59AD7633" w:rsidR="004D2FC0" w:rsidRPr="00033570" w:rsidRDefault="00033570" w:rsidP="00FC16A6">
            <w:pPr>
              <w:rPr>
                <w:rFonts w:cs="Arial"/>
                <w:b/>
                <w:sz w:val="18"/>
                <w:szCs w:val="18"/>
              </w:rPr>
            </w:pPr>
            <w:r w:rsidRPr="00033570">
              <w:rPr>
                <w:rFonts w:cs="Arial"/>
                <w:b/>
                <w:sz w:val="18"/>
                <w:szCs w:val="18"/>
              </w:rPr>
              <w:t>Moderate</w:t>
            </w:r>
          </w:p>
        </w:tc>
        <w:tc>
          <w:tcPr>
            <w:tcW w:w="1032" w:type="dxa"/>
            <w:tcBorders>
              <w:top w:val="single" w:sz="4" w:space="0" w:color="auto"/>
              <w:left w:val="single" w:sz="4" w:space="0" w:color="auto"/>
              <w:bottom w:val="single" w:sz="4" w:space="0" w:color="auto"/>
              <w:right w:val="single" w:sz="4" w:space="0" w:color="auto"/>
            </w:tcBorders>
          </w:tcPr>
          <w:p w14:paraId="180C1E97" w14:textId="18DE770E" w:rsidR="004D2FC0" w:rsidRPr="00033570" w:rsidRDefault="00033570" w:rsidP="00FC16A6">
            <w:pPr>
              <w:rPr>
                <w:rFonts w:cs="Arial"/>
                <w:b/>
                <w:sz w:val="18"/>
                <w:szCs w:val="18"/>
              </w:rPr>
            </w:pPr>
            <w:r w:rsidRPr="00033570">
              <w:rPr>
                <w:rFonts w:cs="Arial"/>
                <w:b/>
                <w:sz w:val="18"/>
                <w:szCs w:val="18"/>
              </w:rPr>
              <w:t>Moderate</w:t>
            </w:r>
          </w:p>
        </w:tc>
        <w:tc>
          <w:tcPr>
            <w:tcW w:w="1140" w:type="dxa"/>
            <w:tcBorders>
              <w:top w:val="single" w:sz="4" w:space="0" w:color="auto"/>
              <w:left w:val="single" w:sz="4" w:space="0" w:color="auto"/>
              <w:bottom w:val="single" w:sz="4" w:space="0" w:color="auto"/>
              <w:right w:val="single" w:sz="4" w:space="0" w:color="auto"/>
            </w:tcBorders>
          </w:tcPr>
          <w:p w14:paraId="23FE3FF4" w14:textId="6957A0D1" w:rsidR="004D2FC0" w:rsidRPr="00033570" w:rsidRDefault="526ED3A2" w:rsidP="00FC16A6">
            <w:pPr>
              <w:rPr>
                <w:rFonts w:cs="Arial"/>
                <w:b/>
                <w:sz w:val="18"/>
                <w:szCs w:val="18"/>
              </w:rPr>
            </w:pPr>
            <w:r w:rsidRPr="2D9A211C">
              <w:rPr>
                <w:rFonts w:cs="Arial"/>
                <w:b/>
                <w:bCs/>
                <w:sz w:val="18"/>
                <w:szCs w:val="18"/>
              </w:rPr>
              <w:t>Moderate</w:t>
            </w:r>
          </w:p>
        </w:tc>
        <w:tc>
          <w:tcPr>
            <w:tcW w:w="615" w:type="dxa"/>
            <w:tcBorders>
              <w:top w:val="single" w:sz="4" w:space="0" w:color="auto"/>
              <w:left w:val="single" w:sz="4" w:space="0" w:color="auto"/>
              <w:bottom w:val="single" w:sz="4" w:space="0" w:color="auto"/>
              <w:right w:val="single" w:sz="4" w:space="0" w:color="auto"/>
            </w:tcBorders>
          </w:tcPr>
          <w:p w14:paraId="6BE836D9" w14:textId="77777777" w:rsidR="004D2FC0" w:rsidRPr="00033570" w:rsidRDefault="004D2FC0" w:rsidP="00FC16A6">
            <w:pPr>
              <w:rPr>
                <w:rFonts w:cs="Arial"/>
                <w:b/>
                <w:sz w:val="18"/>
                <w:szCs w:val="18"/>
              </w:rPr>
            </w:pPr>
          </w:p>
        </w:tc>
        <w:tc>
          <w:tcPr>
            <w:tcW w:w="732" w:type="dxa"/>
            <w:tcBorders>
              <w:top w:val="single" w:sz="4" w:space="0" w:color="auto"/>
              <w:left w:val="single" w:sz="4" w:space="0" w:color="auto"/>
              <w:bottom w:val="single" w:sz="4" w:space="0" w:color="auto"/>
              <w:right w:val="single" w:sz="4" w:space="0" w:color="auto"/>
            </w:tcBorders>
          </w:tcPr>
          <w:p w14:paraId="468D2069" w14:textId="77777777" w:rsidR="004D2FC0" w:rsidRPr="00033570" w:rsidRDefault="004D2FC0" w:rsidP="00FC16A6">
            <w:pPr>
              <w:rPr>
                <w:rFonts w:cs="Arial"/>
                <w:b/>
                <w:sz w:val="18"/>
                <w:szCs w:val="18"/>
              </w:rPr>
            </w:pPr>
          </w:p>
        </w:tc>
        <w:tc>
          <w:tcPr>
            <w:tcW w:w="720" w:type="dxa"/>
            <w:tcBorders>
              <w:top w:val="single" w:sz="4" w:space="0" w:color="auto"/>
              <w:left w:val="single" w:sz="4" w:space="0" w:color="auto"/>
              <w:bottom w:val="single" w:sz="4" w:space="0" w:color="auto"/>
              <w:right w:val="single" w:sz="4" w:space="0" w:color="auto"/>
            </w:tcBorders>
          </w:tcPr>
          <w:p w14:paraId="2F214678" w14:textId="77777777" w:rsidR="004D2FC0" w:rsidRPr="00033570" w:rsidRDefault="004D2FC0" w:rsidP="00FC16A6">
            <w:pPr>
              <w:rPr>
                <w:rFonts w:cs="Arial"/>
                <w:b/>
                <w:sz w:val="18"/>
                <w:szCs w:val="18"/>
              </w:rPr>
            </w:pPr>
          </w:p>
        </w:tc>
        <w:tc>
          <w:tcPr>
            <w:tcW w:w="690" w:type="dxa"/>
            <w:tcBorders>
              <w:top w:val="single" w:sz="4" w:space="0" w:color="auto"/>
              <w:left w:val="single" w:sz="4" w:space="0" w:color="auto"/>
              <w:bottom w:val="single" w:sz="4" w:space="0" w:color="auto"/>
              <w:right w:val="single" w:sz="4" w:space="0" w:color="auto"/>
            </w:tcBorders>
          </w:tcPr>
          <w:p w14:paraId="2A9939C5" w14:textId="77777777" w:rsidR="004D2FC0" w:rsidRPr="00033570" w:rsidRDefault="004D2FC0" w:rsidP="00FC16A6">
            <w:pPr>
              <w:rPr>
                <w:rFonts w:cs="Arial"/>
                <w:b/>
                <w:sz w:val="18"/>
                <w:szCs w:val="18"/>
              </w:rPr>
            </w:pPr>
          </w:p>
        </w:tc>
        <w:tc>
          <w:tcPr>
            <w:tcW w:w="595" w:type="dxa"/>
            <w:tcBorders>
              <w:top w:val="single" w:sz="4" w:space="0" w:color="auto"/>
              <w:left w:val="single" w:sz="4" w:space="0" w:color="auto"/>
              <w:bottom w:val="single" w:sz="4" w:space="0" w:color="auto"/>
              <w:right w:val="single" w:sz="4" w:space="0" w:color="auto"/>
            </w:tcBorders>
          </w:tcPr>
          <w:p w14:paraId="5349FBAE" w14:textId="77777777" w:rsidR="004D2FC0" w:rsidRPr="00033570" w:rsidRDefault="004D2FC0" w:rsidP="00FC16A6">
            <w:pPr>
              <w:rPr>
                <w:rFonts w:cs="Arial"/>
                <w:b/>
                <w:sz w:val="18"/>
                <w:szCs w:val="18"/>
              </w:rPr>
            </w:pPr>
          </w:p>
        </w:tc>
      </w:tr>
    </w:tbl>
    <w:p w14:paraId="06E2DA9D" w14:textId="77777777" w:rsidR="004D2FC0" w:rsidRPr="003F6641" w:rsidRDefault="004D2FC0" w:rsidP="004D2FC0">
      <w:pPr>
        <w:rPr>
          <w:rFonts w:cs="Arial"/>
          <w:b/>
          <w:sz w:val="22"/>
          <w:szCs w:val="22"/>
        </w:rPr>
      </w:pPr>
    </w:p>
    <w:tbl>
      <w:tblPr>
        <w:tblStyle w:val="TableGrid"/>
        <w:tblW w:w="0" w:type="auto"/>
        <w:tblInd w:w="-5" w:type="dxa"/>
        <w:tblLook w:val="04A0" w:firstRow="1" w:lastRow="0" w:firstColumn="1" w:lastColumn="0" w:noHBand="0" w:noVBand="1"/>
      </w:tblPr>
      <w:tblGrid>
        <w:gridCol w:w="3969"/>
        <w:gridCol w:w="5052"/>
      </w:tblGrid>
      <w:tr w:rsidR="00DD5A0E" w:rsidRPr="003F6641" w14:paraId="4FEBD36E" w14:textId="77777777" w:rsidTr="6F3FE58C">
        <w:trPr>
          <w:trHeight w:val="355"/>
        </w:trPr>
        <w:tc>
          <w:tcPr>
            <w:tcW w:w="3969" w:type="dxa"/>
            <w:shd w:val="clear" w:color="auto" w:fill="DEEAF6" w:themeFill="accent5" w:themeFillTint="33"/>
            <w:hideMark/>
          </w:tcPr>
          <w:p w14:paraId="47E97EB8" w14:textId="77777777" w:rsidR="004D2FC0" w:rsidRPr="000425EB" w:rsidRDefault="004D2FC0" w:rsidP="00FC16A6">
            <w:pPr>
              <w:rPr>
                <w:rFonts w:cs="Arial"/>
                <w:b/>
                <w:sz w:val="22"/>
                <w:szCs w:val="22"/>
              </w:rPr>
            </w:pPr>
            <w:r w:rsidRPr="000425EB">
              <w:rPr>
                <w:rFonts w:cs="Arial"/>
                <w:b/>
                <w:sz w:val="22"/>
                <w:szCs w:val="22"/>
              </w:rPr>
              <w:t xml:space="preserve">Link to Business Case: </w:t>
            </w:r>
          </w:p>
        </w:tc>
        <w:tc>
          <w:tcPr>
            <w:tcW w:w="5052" w:type="dxa"/>
          </w:tcPr>
          <w:p w14:paraId="6F45C51C" w14:textId="77777777" w:rsidR="004D2FC0" w:rsidRDefault="00D37598" w:rsidP="00FC16A6">
            <w:pPr>
              <w:rPr>
                <w:rFonts w:cs="Arial"/>
                <w:bCs/>
                <w:i/>
                <w:iCs/>
                <w:sz w:val="22"/>
                <w:szCs w:val="22"/>
              </w:rPr>
            </w:pPr>
            <w:hyperlink r:id="rId16" w:tgtFrame="_blank" w:history="1">
              <w:r w:rsidRPr="00D37598">
                <w:rPr>
                  <w:rStyle w:val="Hyperlink"/>
                  <w:rFonts w:cs="Arial"/>
                  <w:bCs/>
                  <w:i/>
                  <w:iCs/>
                  <w:sz w:val="22"/>
                  <w:szCs w:val="22"/>
                </w:rPr>
                <w:t>AIM4Forests Business Case </w:t>
              </w:r>
            </w:hyperlink>
            <w:r w:rsidRPr="00D37598">
              <w:rPr>
                <w:rFonts w:cs="Arial"/>
                <w:bCs/>
                <w:i/>
                <w:iCs/>
                <w:sz w:val="22"/>
                <w:szCs w:val="22"/>
                <w:u w:val="single"/>
              </w:rPr>
              <w:t> </w:t>
            </w:r>
            <w:r w:rsidRPr="00D37598">
              <w:rPr>
                <w:rFonts w:cs="Arial"/>
                <w:bCs/>
                <w:i/>
                <w:iCs/>
                <w:sz w:val="22"/>
                <w:szCs w:val="22"/>
              </w:rPr>
              <w:t> </w:t>
            </w:r>
          </w:p>
          <w:p w14:paraId="52CAFA29" w14:textId="36B1BE07" w:rsidR="00AA3774" w:rsidRPr="003F6641" w:rsidRDefault="00AA3774" w:rsidP="38201916">
            <w:pPr>
              <w:rPr>
                <w:rFonts w:cs="Arial"/>
                <w:i/>
                <w:iCs/>
                <w:sz w:val="22"/>
                <w:szCs w:val="22"/>
              </w:rPr>
            </w:pPr>
            <w:r w:rsidRPr="38201916">
              <w:rPr>
                <w:rFonts w:cs="Arial"/>
                <w:i/>
                <w:iCs/>
                <w:sz w:val="22"/>
                <w:szCs w:val="22"/>
              </w:rPr>
              <w:t xml:space="preserve">AIM4Forests Extension Business Case </w:t>
            </w:r>
          </w:p>
        </w:tc>
      </w:tr>
      <w:tr w:rsidR="00DD5A0E" w:rsidRPr="003F6641" w14:paraId="728A7692" w14:textId="77777777" w:rsidTr="6F3FE58C">
        <w:trPr>
          <w:trHeight w:val="403"/>
        </w:trPr>
        <w:tc>
          <w:tcPr>
            <w:tcW w:w="3969" w:type="dxa"/>
            <w:shd w:val="clear" w:color="auto" w:fill="DEEAF6" w:themeFill="accent5" w:themeFillTint="33"/>
            <w:hideMark/>
          </w:tcPr>
          <w:p w14:paraId="251B0951" w14:textId="77777777" w:rsidR="004D2FC0" w:rsidRPr="000425EB" w:rsidRDefault="004D2FC0" w:rsidP="00FC16A6">
            <w:pPr>
              <w:rPr>
                <w:rFonts w:cs="Arial"/>
                <w:b/>
                <w:i/>
                <w:sz w:val="22"/>
                <w:szCs w:val="22"/>
              </w:rPr>
            </w:pPr>
            <w:r w:rsidRPr="000425EB">
              <w:rPr>
                <w:rFonts w:cs="Arial"/>
                <w:b/>
                <w:sz w:val="22"/>
                <w:szCs w:val="22"/>
              </w:rPr>
              <w:t xml:space="preserve">Link to Logframe: </w:t>
            </w:r>
          </w:p>
        </w:tc>
        <w:tc>
          <w:tcPr>
            <w:tcW w:w="5052" w:type="dxa"/>
          </w:tcPr>
          <w:p w14:paraId="1941208D" w14:textId="525B40CB" w:rsidR="004D2FC0" w:rsidRPr="003F6641" w:rsidRDefault="004D2FC0" w:rsidP="38201916">
            <w:pPr>
              <w:rPr>
                <w:rFonts w:cs="Arial"/>
                <w:i/>
                <w:iCs/>
                <w:sz w:val="22"/>
                <w:szCs w:val="22"/>
              </w:rPr>
            </w:pPr>
          </w:p>
        </w:tc>
      </w:tr>
      <w:tr w:rsidR="00DD5A0E" w:rsidRPr="003F6641" w14:paraId="240D100A" w14:textId="77777777" w:rsidTr="6F3FE58C">
        <w:trPr>
          <w:trHeight w:val="403"/>
        </w:trPr>
        <w:tc>
          <w:tcPr>
            <w:tcW w:w="3969" w:type="dxa"/>
            <w:shd w:val="clear" w:color="auto" w:fill="DEEAF6" w:themeFill="accent5" w:themeFillTint="33"/>
          </w:tcPr>
          <w:p w14:paraId="44F3A577" w14:textId="7C02D07E" w:rsidR="004D2FC0" w:rsidRPr="000425EB" w:rsidRDefault="004D2FC0" w:rsidP="6F3FE58C">
            <w:pPr>
              <w:rPr>
                <w:rFonts w:cs="Arial"/>
                <w:sz w:val="22"/>
                <w:szCs w:val="22"/>
              </w:rPr>
            </w:pPr>
            <w:r w:rsidRPr="6F3FE58C">
              <w:rPr>
                <w:rFonts w:cs="Arial"/>
                <w:b/>
                <w:bCs/>
                <w:sz w:val="22"/>
                <w:szCs w:val="22"/>
              </w:rPr>
              <w:t>Link to previous Annual Review</w:t>
            </w:r>
          </w:p>
        </w:tc>
        <w:tc>
          <w:tcPr>
            <w:tcW w:w="5052" w:type="dxa"/>
          </w:tcPr>
          <w:p w14:paraId="521FABC2" w14:textId="6288757D" w:rsidR="004D2FC0" w:rsidRPr="003F6641" w:rsidRDefault="008E27C9" w:rsidP="00FC16A6">
            <w:pPr>
              <w:rPr>
                <w:rFonts w:cs="Arial"/>
                <w:bCs/>
                <w:i/>
                <w:iCs/>
                <w:sz w:val="22"/>
                <w:szCs w:val="22"/>
              </w:rPr>
            </w:pPr>
            <w:hyperlink r:id="rId17" w:history="1">
              <w:r w:rsidRPr="008E27C9">
                <w:rPr>
                  <w:rStyle w:val="Hyperlink"/>
                  <w:rFonts w:cs="Arial"/>
                  <w:bCs/>
                  <w:i/>
                  <w:iCs/>
                  <w:sz w:val="22"/>
                  <w:szCs w:val="22"/>
                </w:rPr>
                <w:t>AIM4Forests Annual Review 2024</w:t>
              </w:r>
            </w:hyperlink>
          </w:p>
        </w:tc>
      </w:tr>
    </w:tbl>
    <w:p w14:paraId="5A54EF7F" w14:textId="77777777" w:rsidR="004D2FC0" w:rsidRPr="006C516E" w:rsidRDefault="004D2FC0" w:rsidP="006C516E"/>
    <w:p w14:paraId="7A642962" w14:textId="3F1E20BB" w:rsidR="003D222C" w:rsidRDefault="003D222C" w:rsidP="004D5FD5">
      <w:pPr>
        <w:jc w:val="both"/>
      </w:pPr>
      <w:bookmarkStart w:id="2" w:name="_Toc228283626"/>
      <w:r w:rsidRPr="5302A23D">
        <w:rPr>
          <w:rStyle w:val="Heading2Char"/>
        </w:rPr>
        <w:t>Description of programme</w:t>
      </w:r>
      <w:bookmarkEnd w:id="2"/>
      <w:r>
        <w:t xml:space="preserve"> </w:t>
      </w:r>
    </w:p>
    <w:p w14:paraId="38478AE0" w14:textId="77777777" w:rsidR="00E673D5" w:rsidRPr="009E3F6E" w:rsidRDefault="00E673D5" w:rsidP="004D5FD5">
      <w:pPr>
        <w:jc w:val="both"/>
      </w:pPr>
    </w:p>
    <w:p w14:paraId="1200E210" w14:textId="77777777" w:rsidR="00E673D5" w:rsidRPr="00E673D5" w:rsidRDefault="00E673D5" w:rsidP="00E673D5">
      <w:pPr>
        <w:jc w:val="both"/>
        <w:rPr>
          <w:rFonts w:cs="Arial"/>
          <w:bCs/>
          <w:sz w:val="22"/>
          <w:szCs w:val="22"/>
        </w:rPr>
      </w:pPr>
      <w:r w:rsidRPr="00E673D5">
        <w:rPr>
          <w:rFonts w:cs="Arial"/>
          <w:bCs/>
          <w:sz w:val="22"/>
          <w:szCs w:val="22"/>
        </w:rPr>
        <w:t>The Accelerating Innovative Monitoring for Forests (AIM4Forests) Programme was launched by the UK in April 2023, in partnership with The Food and Agriculture Organisation of the United Nations (FAO).  </w:t>
      </w:r>
    </w:p>
    <w:p w14:paraId="46ED3BC1" w14:textId="77777777" w:rsidR="00E673D5" w:rsidRPr="00E673D5" w:rsidRDefault="00E673D5" w:rsidP="00E673D5">
      <w:pPr>
        <w:jc w:val="both"/>
        <w:rPr>
          <w:rFonts w:cs="Arial"/>
          <w:bCs/>
          <w:sz w:val="22"/>
          <w:szCs w:val="22"/>
        </w:rPr>
      </w:pPr>
      <w:r w:rsidRPr="00E673D5">
        <w:rPr>
          <w:rFonts w:cs="Arial"/>
          <w:bCs/>
          <w:sz w:val="22"/>
          <w:szCs w:val="22"/>
        </w:rPr>
        <w:t> </w:t>
      </w:r>
    </w:p>
    <w:p w14:paraId="161A40F2" w14:textId="003496AC" w:rsidR="00E673D5" w:rsidRPr="00E673D5" w:rsidRDefault="00E673D5" w:rsidP="00E673D5">
      <w:pPr>
        <w:jc w:val="both"/>
        <w:rPr>
          <w:rFonts w:cs="Arial"/>
          <w:bCs/>
          <w:sz w:val="22"/>
          <w:szCs w:val="22"/>
        </w:rPr>
      </w:pPr>
      <w:r w:rsidRPr="00E673D5">
        <w:rPr>
          <w:rFonts w:cs="Arial"/>
          <w:bCs/>
          <w:sz w:val="22"/>
          <w:szCs w:val="22"/>
        </w:rPr>
        <w:t>The UK signed a Standard Administrative Arrangement with the United Nations </w:t>
      </w:r>
      <w:hyperlink r:id="rId18" w:tgtFrame="_blank" w:history="1">
        <w:r w:rsidRPr="00E673D5">
          <w:rPr>
            <w:rStyle w:val="Hyperlink"/>
            <w:rFonts w:cs="Arial"/>
            <w:bCs/>
            <w:sz w:val="22"/>
            <w:szCs w:val="22"/>
          </w:rPr>
          <w:t>Multi-Partner Trust Fund (MPTF) -Office</w:t>
        </w:r>
      </w:hyperlink>
      <w:r w:rsidRPr="00E673D5">
        <w:rPr>
          <w:rFonts w:cs="Arial"/>
          <w:bCs/>
          <w:sz w:val="22"/>
          <w:szCs w:val="22"/>
        </w:rPr>
        <w:t> i</w:t>
      </w:r>
      <w:r>
        <w:rPr>
          <w:rFonts w:cs="Arial"/>
          <w:bCs/>
          <w:sz w:val="22"/>
          <w:szCs w:val="22"/>
        </w:rPr>
        <w:t>nitially i</w:t>
      </w:r>
      <w:r w:rsidRPr="00E673D5">
        <w:rPr>
          <w:rFonts w:cs="Arial"/>
          <w:bCs/>
          <w:sz w:val="22"/>
          <w:szCs w:val="22"/>
        </w:rPr>
        <w:t>nvesting £24.5m into the five-year global programme which aims to support forest monitoring based on modern monitoring technologies and technical innovation, as well as the use of space data and remote sensing. Alongside leveraging technology and innovation, AIM4Forests will also prioritise ensuring that capacity is transferred to forest countries and their communities. The programme also has a dedicated work area focused on enhancing the participation of Indigenous Peoples and Local Communities (IP &amp; LC) within forest monitoring and forest carbon standards. </w:t>
      </w:r>
    </w:p>
    <w:p w14:paraId="083A31A0" w14:textId="77777777" w:rsidR="00E673D5" w:rsidRPr="00E673D5" w:rsidRDefault="00E673D5" w:rsidP="00E673D5">
      <w:pPr>
        <w:jc w:val="both"/>
        <w:rPr>
          <w:rFonts w:cs="Arial"/>
          <w:bCs/>
          <w:sz w:val="22"/>
          <w:szCs w:val="22"/>
        </w:rPr>
      </w:pPr>
      <w:r w:rsidRPr="00E673D5">
        <w:rPr>
          <w:rFonts w:cs="Arial"/>
          <w:bCs/>
          <w:sz w:val="22"/>
          <w:szCs w:val="22"/>
        </w:rPr>
        <w:t> </w:t>
      </w:r>
    </w:p>
    <w:p w14:paraId="62DD04CE" w14:textId="3E122C10" w:rsidR="00E673D5" w:rsidRPr="00E673D5" w:rsidRDefault="00E673D5" w:rsidP="00E673D5">
      <w:pPr>
        <w:jc w:val="both"/>
        <w:rPr>
          <w:rFonts w:cs="Arial"/>
          <w:bCs/>
          <w:sz w:val="22"/>
          <w:szCs w:val="22"/>
        </w:rPr>
      </w:pPr>
      <w:r w:rsidRPr="00E673D5">
        <w:rPr>
          <w:rFonts w:cs="Arial"/>
          <w:bCs/>
          <w:sz w:val="22"/>
          <w:szCs w:val="22"/>
        </w:rPr>
        <w:t>The main goals of AIM4Forests include:</w:t>
      </w:r>
    </w:p>
    <w:p w14:paraId="540E50F0" w14:textId="77777777" w:rsidR="00E673D5" w:rsidRPr="00E673D5" w:rsidRDefault="00E673D5" w:rsidP="00E673D5">
      <w:pPr>
        <w:numPr>
          <w:ilvl w:val="0"/>
          <w:numId w:val="20"/>
        </w:numPr>
        <w:jc w:val="both"/>
        <w:rPr>
          <w:rFonts w:cs="Arial"/>
          <w:bCs/>
          <w:sz w:val="22"/>
          <w:szCs w:val="22"/>
        </w:rPr>
      </w:pPr>
      <w:r w:rsidRPr="00E673D5">
        <w:rPr>
          <w:rFonts w:cs="Arial"/>
          <w:bCs/>
          <w:sz w:val="22"/>
          <w:szCs w:val="22"/>
        </w:rPr>
        <w:t>Addressing the remaining technical and institutional gaps, as well as embedding National Forest Monitoring Systems (NFMS) that are fit for purpose into national institutions; </w:t>
      </w:r>
    </w:p>
    <w:p w14:paraId="4443FBED" w14:textId="77777777" w:rsidR="00E673D5" w:rsidRPr="00E673D5" w:rsidRDefault="00E673D5" w:rsidP="00E673D5">
      <w:pPr>
        <w:numPr>
          <w:ilvl w:val="0"/>
          <w:numId w:val="21"/>
        </w:numPr>
        <w:jc w:val="both"/>
        <w:rPr>
          <w:rFonts w:cs="Arial"/>
          <w:bCs/>
          <w:sz w:val="22"/>
          <w:szCs w:val="22"/>
        </w:rPr>
      </w:pPr>
      <w:r w:rsidRPr="00E673D5">
        <w:rPr>
          <w:rFonts w:cs="Arial"/>
          <w:bCs/>
          <w:sz w:val="22"/>
          <w:szCs w:val="22"/>
        </w:rPr>
        <w:t>Accelerating the alignment, innovation, and deployment of high-integrity datasets to overcome Measurement Reporting and Verification (MRV) methodological challenges; and, </w:t>
      </w:r>
    </w:p>
    <w:p w14:paraId="7F248CC9" w14:textId="77777777" w:rsidR="00E673D5" w:rsidRPr="00E673D5" w:rsidRDefault="00E673D5" w:rsidP="00E673D5">
      <w:pPr>
        <w:numPr>
          <w:ilvl w:val="0"/>
          <w:numId w:val="22"/>
        </w:numPr>
        <w:jc w:val="both"/>
        <w:rPr>
          <w:rFonts w:cs="Arial"/>
          <w:bCs/>
          <w:sz w:val="22"/>
          <w:szCs w:val="22"/>
        </w:rPr>
      </w:pPr>
      <w:r w:rsidRPr="00E673D5">
        <w:rPr>
          <w:rFonts w:cs="Arial"/>
          <w:bCs/>
          <w:sz w:val="22"/>
          <w:szCs w:val="22"/>
        </w:rPr>
        <w:t>Enhancing the participation of Indigenous Peoples and Local Communities in forest monitoring and associated opportunities. </w:t>
      </w:r>
    </w:p>
    <w:p w14:paraId="3839E51E" w14:textId="77777777" w:rsidR="00E673D5" w:rsidRPr="00E673D5" w:rsidRDefault="00E673D5" w:rsidP="00E673D5">
      <w:pPr>
        <w:jc w:val="both"/>
        <w:rPr>
          <w:rFonts w:cs="Arial"/>
          <w:bCs/>
          <w:sz w:val="22"/>
          <w:szCs w:val="22"/>
        </w:rPr>
      </w:pPr>
      <w:r w:rsidRPr="00E673D5">
        <w:rPr>
          <w:rFonts w:cs="Arial"/>
          <w:bCs/>
          <w:sz w:val="22"/>
          <w:szCs w:val="22"/>
        </w:rPr>
        <w:t> </w:t>
      </w:r>
    </w:p>
    <w:p w14:paraId="0FC10742" w14:textId="646B02CF" w:rsidR="004358D9" w:rsidRPr="004358D9" w:rsidRDefault="00E673D5" w:rsidP="1929BB69">
      <w:pPr>
        <w:jc w:val="both"/>
        <w:rPr>
          <w:rFonts w:cs="Arial"/>
          <w:b/>
          <w:bCs/>
          <w:sz w:val="22"/>
          <w:szCs w:val="22"/>
        </w:rPr>
      </w:pPr>
      <w:r w:rsidRPr="00E673D5">
        <w:rPr>
          <w:rFonts w:cs="Arial"/>
          <w:bCs/>
          <w:sz w:val="22"/>
          <w:szCs w:val="22"/>
        </w:rPr>
        <w:t xml:space="preserve">In March 2025, a seventh output was added to the programme </w:t>
      </w:r>
      <w:r w:rsidR="004166D7">
        <w:rPr>
          <w:rFonts w:cs="Arial"/>
          <w:bCs/>
          <w:sz w:val="22"/>
          <w:szCs w:val="22"/>
        </w:rPr>
        <w:t xml:space="preserve">focused on forest monitoring for </w:t>
      </w:r>
      <w:r w:rsidR="006E761E">
        <w:rPr>
          <w:rFonts w:cs="Arial"/>
          <w:bCs/>
          <w:sz w:val="22"/>
          <w:szCs w:val="22"/>
        </w:rPr>
        <w:t xml:space="preserve">ecosystem </w:t>
      </w:r>
      <w:r w:rsidR="004166D7">
        <w:rPr>
          <w:rFonts w:cs="Arial"/>
          <w:bCs/>
          <w:sz w:val="22"/>
          <w:szCs w:val="22"/>
        </w:rPr>
        <w:t>nature restoration (AIM4NatuR</w:t>
      </w:r>
      <w:r w:rsidR="00F526A2">
        <w:rPr>
          <w:rFonts w:cs="Arial"/>
          <w:bCs/>
          <w:sz w:val="22"/>
          <w:szCs w:val="22"/>
        </w:rPr>
        <w:t>e</w:t>
      </w:r>
      <w:r w:rsidR="004166D7">
        <w:rPr>
          <w:rFonts w:cs="Arial"/>
          <w:bCs/>
          <w:sz w:val="22"/>
          <w:szCs w:val="22"/>
        </w:rPr>
        <w:t xml:space="preserve"> - Accelerating</w:t>
      </w:r>
      <w:r w:rsidRPr="00E673D5">
        <w:rPr>
          <w:rFonts w:cs="Arial"/>
          <w:bCs/>
          <w:sz w:val="22"/>
          <w:szCs w:val="22"/>
        </w:rPr>
        <w:t xml:space="preserve"> </w:t>
      </w:r>
      <w:r w:rsidR="004166D7">
        <w:rPr>
          <w:rFonts w:cs="Arial"/>
          <w:bCs/>
          <w:sz w:val="22"/>
          <w:szCs w:val="22"/>
        </w:rPr>
        <w:t>In</w:t>
      </w:r>
      <w:r w:rsidRPr="00E673D5">
        <w:rPr>
          <w:rFonts w:cs="Arial"/>
          <w:bCs/>
          <w:sz w:val="22"/>
          <w:szCs w:val="22"/>
        </w:rPr>
        <w:t xml:space="preserve">novative </w:t>
      </w:r>
      <w:r w:rsidR="004166D7">
        <w:rPr>
          <w:rFonts w:cs="Arial"/>
          <w:bCs/>
          <w:sz w:val="22"/>
          <w:szCs w:val="22"/>
        </w:rPr>
        <w:t>M</w:t>
      </w:r>
      <w:r w:rsidRPr="00E673D5">
        <w:rPr>
          <w:rFonts w:cs="Arial"/>
          <w:bCs/>
          <w:sz w:val="22"/>
          <w:szCs w:val="22"/>
        </w:rPr>
        <w:t xml:space="preserve">onitoring for </w:t>
      </w:r>
      <w:r w:rsidR="004166D7">
        <w:rPr>
          <w:rFonts w:cs="Arial"/>
          <w:bCs/>
          <w:sz w:val="22"/>
          <w:szCs w:val="22"/>
        </w:rPr>
        <w:t>N</w:t>
      </w:r>
      <w:r w:rsidRPr="00E673D5">
        <w:rPr>
          <w:rFonts w:cs="Arial"/>
          <w:bCs/>
          <w:sz w:val="22"/>
          <w:szCs w:val="22"/>
        </w:rPr>
        <w:t xml:space="preserve">ature </w:t>
      </w:r>
      <w:r w:rsidR="00F526A2">
        <w:rPr>
          <w:rFonts w:cs="Arial"/>
          <w:bCs/>
          <w:sz w:val="22"/>
          <w:szCs w:val="22"/>
        </w:rPr>
        <w:t>R</w:t>
      </w:r>
      <w:r w:rsidRPr="00E673D5">
        <w:rPr>
          <w:rFonts w:cs="Arial"/>
          <w:bCs/>
          <w:sz w:val="22"/>
          <w:szCs w:val="22"/>
        </w:rPr>
        <w:t>estoration. Under this output, monitoring for nature restoration is advanced through a global dataset, ensuring transparent monitoring and Kunming-Montreal Global Biodiversity Framework reporting, thereby enabling the implementation of restoration commitments. This new output was added outside of the review period for this annual review but has resulted in an additional £7 million of funding for the programme (taking the total to £31</w:t>
      </w:r>
      <w:r w:rsidR="004358D9">
        <w:rPr>
          <w:rFonts w:cs="Arial"/>
          <w:bCs/>
          <w:sz w:val="22"/>
          <w:szCs w:val="22"/>
        </w:rPr>
        <w:t>.5</w:t>
      </w:r>
      <w:r w:rsidRPr="00E673D5">
        <w:rPr>
          <w:rFonts w:cs="Arial"/>
          <w:bCs/>
          <w:sz w:val="22"/>
          <w:szCs w:val="22"/>
        </w:rPr>
        <w:t> million)</w:t>
      </w:r>
      <w:r w:rsidR="00D33FC5">
        <w:rPr>
          <w:rFonts w:cs="Arial"/>
          <w:bCs/>
          <w:sz w:val="22"/>
          <w:szCs w:val="22"/>
        </w:rPr>
        <w:t xml:space="preserve">. </w:t>
      </w:r>
    </w:p>
    <w:p w14:paraId="63B7AA1E" w14:textId="35BB3E60" w:rsidR="004358D9" w:rsidRPr="004358D9" w:rsidRDefault="004358D9" w:rsidP="1929BB69">
      <w:pPr>
        <w:jc w:val="both"/>
        <w:rPr>
          <w:rFonts w:cs="Arial"/>
          <w:sz w:val="22"/>
          <w:szCs w:val="22"/>
        </w:rPr>
      </w:pPr>
    </w:p>
    <w:p w14:paraId="4E4267BE" w14:textId="73E87B31" w:rsidR="004358D9" w:rsidRPr="004358D9" w:rsidRDefault="00AA3774" w:rsidP="00E673D5">
      <w:pPr>
        <w:jc w:val="both"/>
        <w:rPr>
          <w:rFonts w:cs="Arial"/>
          <w:b/>
          <w:sz w:val="22"/>
          <w:szCs w:val="22"/>
        </w:rPr>
      </w:pPr>
      <w:r>
        <w:rPr>
          <w:rFonts w:cs="Arial"/>
          <w:bCs/>
          <w:sz w:val="22"/>
          <w:szCs w:val="22"/>
        </w:rPr>
        <w:t xml:space="preserve">In November 2025, an extension Business Case was approved and announced at </w:t>
      </w:r>
      <w:r w:rsidR="006E761E">
        <w:rPr>
          <w:rFonts w:cs="Arial"/>
          <w:bCs/>
          <w:sz w:val="22"/>
          <w:szCs w:val="22"/>
        </w:rPr>
        <w:t xml:space="preserve">the UNFCCC </w:t>
      </w:r>
      <w:r>
        <w:rPr>
          <w:rFonts w:cs="Arial"/>
          <w:bCs/>
          <w:sz w:val="22"/>
          <w:szCs w:val="22"/>
        </w:rPr>
        <w:t xml:space="preserve">COP30. </w:t>
      </w:r>
      <w:r w:rsidRPr="00AA3774">
        <w:rPr>
          <w:rFonts w:cs="Arial"/>
          <w:bCs/>
          <w:sz w:val="22"/>
          <w:szCs w:val="22"/>
        </w:rPr>
        <w:t xml:space="preserve">This new extension </w:t>
      </w:r>
      <w:r>
        <w:rPr>
          <w:rFonts w:cs="Arial"/>
          <w:bCs/>
          <w:sz w:val="22"/>
          <w:szCs w:val="22"/>
        </w:rPr>
        <w:t>adds additional funding (£16.9m)</w:t>
      </w:r>
      <w:r w:rsidR="003B37DB">
        <w:rPr>
          <w:rFonts w:cs="Arial"/>
          <w:bCs/>
          <w:sz w:val="22"/>
          <w:szCs w:val="22"/>
        </w:rPr>
        <w:t xml:space="preserve"> </w:t>
      </w:r>
      <w:r w:rsidR="003B1D81">
        <w:rPr>
          <w:rFonts w:cs="Arial"/>
          <w:bCs/>
          <w:sz w:val="22"/>
          <w:szCs w:val="22"/>
        </w:rPr>
        <w:t xml:space="preserve">and adds further finance to </w:t>
      </w:r>
      <w:r w:rsidR="006E761E">
        <w:rPr>
          <w:rFonts w:cs="Arial"/>
          <w:bCs/>
          <w:sz w:val="22"/>
          <w:szCs w:val="22"/>
        </w:rPr>
        <w:t>an additional Accelerating Innovative Monitoring for Forests and Commodities (</w:t>
      </w:r>
      <w:r w:rsidR="003B1D81">
        <w:rPr>
          <w:rFonts w:cs="Arial"/>
          <w:bCs/>
          <w:sz w:val="22"/>
          <w:szCs w:val="22"/>
        </w:rPr>
        <w:t>AIM4Commodities</w:t>
      </w:r>
      <w:r w:rsidR="006E761E">
        <w:rPr>
          <w:rFonts w:cs="Arial"/>
          <w:bCs/>
          <w:sz w:val="22"/>
          <w:szCs w:val="22"/>
        </w:rPr>
        <w:t>)</w:t>
      </w:r>
      <w:r w:rsidR="003B1D81">
        <w:rPr>
          <w:rFonts w:cs="Arial"/>
          <w:bCs/>
          <w:sz w:val="22"/>
          <w:szCs w:val="22"/>
        </w:rPr>
        <w:t xml:space="preserve"> Output, </w:t>
      </w:r>
      <w:proofErr w:type="gramStart"/>
      <w:r w:rsidR="003B1D81">
        <w:rPr>
          <w:rFonts w:cs="Arial"/>
          <w:bCs/>
          <w:sz w:val="22"/>
          <w:szCs w:val="22"/>
        </w:rPr>
        <w:t>in order to</w:t>
      </w:r>
      <w:proofErr w:type="gramEnd"/>
      <w:r w:rsidR="003B1D81">
        <w:rPr>
          <w:rFonts w:cs="Arial"/>
          <w:bCs/>
          <w:sz w:val="22"/>
          <w:szCs w:val="22"/>
        </w:rPr>
        <w:t xml:space="preserve"> </w:t>
      </w:r>
      <w:r w:rsidRPr="00AA3774">
        <w:rPr>
          <w:rFonts w:cs="Arial"/>
          <w:bCs/>
          <w:sz w:val="22"/>
          <w:szCs w:val="22"/>
        </w:rPr>
        <w:t>bring transparency to global sustainable land-use</w:t>
      </w:r>
      <w:r w:rsidR="003B1D81">
        <w:rPr>
          <w:rFonts w:cs="Arial"/>
          <w:bCs/>
          <w:sz w:val="22"/>
          <w:szCs w:val="22"/>
        </w:rPr>
        <w:t xml:space="preserve"> and</w:t>
      </w:r>
      <w:r w:rsidRPr="00AA3774">
        <w:rPr>
          <w:rFonts w:cs="Arial"/>
          <w:bCs/>
          <w:sz w:val="22"/>
          <w:szCs w:val="22"/>
        </w:rPr>
        <w:t xml:space="preserve"> commodity production</w:t>
      </w:r>
      <w:r w:rsidR="003B1D81">
        <w:rPr>
          <w:rFonts w:cs="Arial"/>
          <w:bCs/>
          <w:sz w:val="22"/>
          <w:szCs w:val="22"/>
        </w:rPr>
        <w:t>.</w:t>
      </w:r>
      <w:r w:rsidR="003B37DB">
        <w:rPr>
          <w:rFonts w:cs="Arial"/>
          <w:bCs/>
          <w:sz w:val="22"/>
          <w:szCs w:val="22"/>
        </w:rPr>
        <w:t xml:space="preserve"> The funding will also extend the programme by two years, as well as provide further</w:t>
      </w:r>
      <w:r w:rsidR="003B1D81">
        <w:rPr>
          <w:rFonts w:cs="Arial"/>
          <w:bCs/>
          <w:sz w:val="22"/>
          <w:szCs w:val="22"/>
        </w:rPr>
        <w:t xml:space="preserve"> </w:t>
      </w:r>
      <w:r w:rsidR="003B37DB">
        <w:rPr>
          <w:rFonts w:cs="Arial"/>
          <w:bCs/>
          <w:sz w:val="22"/>
          <w:szCs w:val="22"/>
        </w:rPr>
        <w:t>emphasis on providing</w:t>
      </w:r>
      <w:r w:rsidR="003B1D81">
        <w:rPr>
          <w:rFonts w:cs="Arial"/>
          <w:bCs/>
          <w:sz w:val="22"/>
          <w:szCs w:val="22"/>
        </w:rPr>
        <w:t xml:space="preserve"> direct country technical assistance, </w:t>
      </w:r>
      <w:r w:rsidR="003B37DB">
        <w:rPr>
          <w:rFonts w:cs="Arial"/>
          <w:bCs/>
          <w:sz w:val="22"/>
          <w:szCs w:val="22"/>
        </w:rPr>
        <w:t xml:space="preserve">both of </w:t>
      </w:r>
      <w:r w:rsidR="003B1D81">
        <w:rPr>
          <w:rFonts w:cs="Arial"/>
          <w:bCs/>
          <w:sz w:val="22"/>
          <w:szCs w:val="22"/>
        </w:rPr>
        <w:t>which w</w:t>
      </w:r>
      <w:r w:rsidR="003B37DB">
        <w:rPr>
          <w:rFonts w:cs="Arial"/>
          <w:bCs/>
          <w:sz w:val="22"/>
          <w:szCs w:val="22"/>
        </w:rPr>
        <w:t>ere findings</w:t>
      </w:r>
      <w:r w:rsidR="003B1D81">
        <w:rPr>
          <w:rFonts w:cs="Arial"/>
          <w:bCs/>
          <w:sz w:val="22"/>
          <w:szCs w:val="22"/>
        </w:rPr>
        <w:t xml:space="preserve"> identified in the</w:t>
      </w:r>
      <w:r w:rsidR="00A9687B">
        <w:rPr>
          <w:rFonts w:cs="Arial"/>
          <w:bCs/>
          <w:sz w:val="22"/>
          <w:szCs w:val="22"/>
        </w:rPr>
        <w:t xml:space="preserve"> recent</w:t>
      </w:r>
      <w:r w:rsidR="003B1D81">
        <w:rPr>
          <w:rFonts w:cs="Arial"/>
          <w:bCs/>
          <w:sz w:val="22"/>
          <w:szCs w:val="22"/>
        </w:rPr>
        <w:t xml:space="preserve"> </w:t>
      </w:r>
      <w:hyperlink r:id="rId19">
        <w:r w:rsidR="0C8B157A" w:rsidRPr="337203DD">
          <w:rPr>
            <w:rStyle w:val="Hyperlink"/>
            <w:rFonts w:cs="Arial"/>
            <w:sz w:val="22"/>
            <w:szCs w:val="22"/>
          </w:rPr>
          <w:t>Mid-Term Review</w:t>
        </w:r>
      </w:hyperlink>
      <w:r w:rsidR="281A4C25" w:rsidRPr="337203DD">
        <w:rPr>
          <w:rFonts w:cs="Arial"/>
          <w:sz w:val="22"/>
          <w:szCs w:val="22"/>
        </w:rPr>
        <w:t xml:space="preserve"> as a gap in current funding</w:t>
      </w:r>
      <w:r w:rsidR="16A4B5F7" w:rsidRPr="337203DD">
        <w:rPr>
          <w:rFonts w:cs="Arial"/>
          <w:sz w:val="22"/>
          <w:szCs w:val="22"/>
        </w:rPr>
        <w:t xml:space="preserve"> and timeline</w:t>
      </w:r>
      <w:r w:rsidR="281A4C25" w:rsidRPr="337203DD">
        <w:rPr>
          <w:rFonts w:cs="Arial"/>
          <w:sz w:val="22"/>
          <w:szCs w:val="22"/>
        </w:rPr>
        <w:t xml:space="preserve"> expectations. </w:t>
      </w:r>
      <w:r w:rsidR="004358D9">
        <w:rPr>
          <w:rFonts w:cs="Arial"/>
          <w:bCs/>
          <w:sz w:val="22"/>
          <w:szCs w:val="22"/>
        </w:rPr>
        <w:t>This will continue to better</w:t>
      </w:r>
      <w:r w:rsidRPr="00AA3774">
        <w:rPr>
          <w:rFonts w:cs="Arial"/>
          <w:bCs/>
          <w:sz w:val="22"/>
          <w:szCs w:val="22"/>
        </w:rPr>
        <w:t xml:space="preserve"> enable countries to </w:t>
      </w:r>
      <w:r w:rsidR="004358D9">
        <w:rPr>
          <w:rFonts w:cs="Arial"/>
          <w:bCs/>
          <w:sz w:val="22"/>
          <w:szCs w:val="22"/>
        </w:rPr>
        <w:t xml:space="preserve">connect data with national climate and nature commitments, as well as </w:t>
      </w:r>
      <w:r w:rsidRPr="00AA3774">
        <w:rPr>
          <w:rFonts w:cs="Arial"/>
          <w:bCs/>
          <w:sz w:val="22"/>
          <w:szCs w:val="22"/>
        </w:rPr>
        <w:t>access critical finance opportunities for their forests (</w:t>
      </w:r>
      <w:r w:rsidR="004358D9">
        <w:rPr>
          <w:rFonts w:cs="Arial"/>
          <w:bCs/>
          <w:sz w:val="22"/>
          <w:szCs w:val="22"/>
        </w:rPr>
        <w:t>including through</w:t>
      </w:r>
      <w:r w:rsidRPr="00AA3774">
        <w:rPr>
          <w:rFonts w:cs="Arial"/>
          <w:bCs/>
          <w:sz w:val="22"/>
          <w:szCs w:val="22"/>
        </w:rPr>
        <w:t xml:space="preserve"> REDD+ results-based payments and the new T</w:t>
      </w:r>
      <w:r w:rsidR="004358D9">
        <w:rPr>
          <w:rFonts w:cs="Arial"/>
          <w:bCs/>
          <w:sz w:val="22"/>
          <w:szCs w:val="22"/>
        </w:rPr>
        <w:t>ropical Forest Forever Facility</w:t>
      </w:r>
      <w:r w:rsidRPr="00AA3774">
        <w:rPr>
          <w:rFonts w:cs="Arial"/>
          <w:bCs/>
          <w:sz w:val="22"/>
          <w:szCs w:val="22"/>
        </w:rPr>
        <w:t>), all while showcasing UK leadership in forests, science, and innovation.</w:t>
      </w:r>
      <w:r w:rsidR="004358D9" w:rsidRPr="004358D9">
        <w:rPr>
          <w:rFonts w:cs="Arial"/>
          <w:b/>
          <w:sz w:val="22"/>
          <w:szCs w:val="22"/>
        </w:rPr>
        <w:t xml:space="preserve"> This brings total funding in AIM4Forests to £48,400,000</w:t>
      </w:r>
      <w:r w:rsidR="516B0F52" w:rsidRPr="337203DD">
        <w:rPr>
          <w:rFonts w:cs="Arial"/>
          <w:b/>
          <w:bCs/>
          <w:sz w:val="22"/>
          <w:szCs w:val="22"/>
        </w:rPr>
        <w:t xml:space="preserve"> </w:t>
      </w:r>
      <w:r w:rsidR="516B0F52" w:rsidRPr="337203DD">
        <w:rPr>
          <w:rFonts w:cs="Arial"/>
          <w:sz w:val="22"/>
          <w:szCs w:val="22"/>
        </w:rPr>
        <w:t>as of the end of 2025</w:t>
      </w:r>
      <w:r w:rsidR="281A4C25" w:rsidRPr="337203DD">
        <w:rPr>
          <w:rFonts w:cs="Arial"/>
          <w:b/>
          <w:bCs/>
          <w:sz w:val="22"/>
          <w:szCs w:val="22"/>
        </w:rPr>
        <w:t xml:space="preserve">. </w:t>
      </w:r>
    </w:p>
    <w:p w14:paraId="293FE091" w14:textId="77777777" w:rsidR="00AA3774" w:rsidRPr="00E673D5" w:rsidRDefault="00AA3774" w:rsidP="00E673D5">
      <w:pPr>
        <w:jc w:val="both"/>
        <w:rPr>
          <w:rFonts w:cs="Arial"/>
          <w:bCs/>
          <w:sz w:val="22"/>
          <w:szCs w:val="22"/>
        </w:rPr>
      </w:pPr>
    </w:p>
    <w:p w14:paraId="4336DBE2" w14:textId="2CC55353" w:rsidR="00E673D5" w:rsidRPr="00E673D5" w:rsidRDefault="00E673D5" w:rsidP="00E673D5">
      <w:pPr>
        <w:jc w:val="both"/>
        <w:rPr>
          <w:rFonts w:cs="Arial"/>
          <w:bCs/>
          <w:sz w:val="22"/>
          <w:szCs w:val="22"/>
        </w:rPr>
      </w:pPr>
      <w:r w:rsidRPr="00E673D5">
        <w:rPr>
          <w:rFonts w:cs="Arial"/>
          <w:bCs/>
          <w:sz w:val="22"/>
          <w:szCs w:val="22"/>
        </w:rPr>
        <w:t>The AIM4Forests Programme intends to support over 20 countries to institutionalise </w:t>
      </w:r>
      <w:proofErr w:type="gramStart"/>
      <w:r w:rsidRPr="00E673D5">
        <w:rPr>
          <w:rFonts w:cs="Arial"/>
          <w:bCs/>
          <w:sz w:val="22"/>
          <w:szCs w:val="22"/>
        </w:rPr>
        <w:t>NFMS, and</w:t>
      </w:r>
      <w:proofErr w:type="gramEnd"/>
      <w:r w:rsidRPr="00E673D5">
        <w:rPr>
          <w:rFonts w:cs="Arial"/>
          <w:bCs/>
          <w:sz w:val="22"/>
          <w:szCs w:val="22"/>
        </w:rPr>
        <w:t> provide high-integrity MRV through modern monitoring technologies, enabling participation in forest accounting standards (such as </w:t>
      </w:r>
      <w:hyperlink r:id="rId20">
        <w:r w:rsidR="60ADE816" w:rsidRPr="3924C822">
          <w:rPr>
            <w:rStyle w:val="Hyperlink"/>
            <w:rFonts w:cs="Arial"/>
            <w:sz w:val="22"/>
            <w:szCs w:val="22"/>
          </w:rPr>
          <w:t>TREES</w:t>
        </w:r>
      </w:hyperlink>
      <w:r w:rsidRPr="00E673D5">
        <w:rPr>
          <w:rFonts w:cs="Arial"/>
          <w:bCs/>
          <w:sz w:val="22"/>
          <w:szCs w:val="22"/>
        </w:rPr>
        <w:t>) and reducing Greenhouse Gas (GHG) emissions from the forest and land use sector.</w:t>
      </w:r>
      <w:r w:rsidR="00FD3677">
        <w:rPr>
          <w:rFonts w:cs="Arial"/>
          <w:bCs/>
          <w:sz w:val="22"/>
          <w:szCs w:val="22"/>
        </w:rPr>
        <w:t xml:space="preserve"> </w:t>
      </w:r>
      <w:r w:rsidR="00FD3677" w:rsidRPr="00FD3677">
        <w:rPr>
          <w:rFonts w:cs="Arial"/>
          <w:bCs/>
          <w:sz w:val="22"/>
          <w:szCs w:val="22"/>
        </w:rPr>
        <w:t>The extension enables further work to support countries</w:t>
      </w:r>
      <w:r w:rsidR="74F8461F" w:rsidRPr="3924C822">
        <w:rPr>
          <w:rFonts w:cs="Arial"/>
          <w:sz w:val="22"/>
          <w:szCs w:val="22"/>
        </w:rPr>
        <w:t xml:space="preserve"> to 2030 –</w:t>
      </w:r>
      <w:r w:rsidR="00FD3677" w:rsidRPr="00FD3677">
        <w:rPr>
          <w:rFonts w:cs="Arial"/>
          <w:bCs/>
          <w:sz w:val="22"/>
          <w:szCs w:val="22"/>
        </w:rPr>
        <w:t xml:space="preserve"> with nature restoration reporting (up to 40 countries), with improved traceability and transparency on commodity production (up to 20 countries), and by increasing the expected volume of forest carbon credits produced, verified and transactabl</w:t>
      </w:r>
      <w:r w:rsidR="00FD3677">
        <w:rPr>
          <w:rFonts w:cs="Arial"/>
          <w:bCs/>
          <w:sz w:val="22"/>
          <w:szCs w:val="22"/>
        </w:rPr>
        <w:t>e</w:t>
      </w:r>
      <w:r w:rsidR="00FD3677" w:rsidRPr="00FD3677">
        <w:rPr>
          <w:rFonts w:cs="Arial"/>
          <w:bCs/>
          <w:sz w:val="22"/>
          <w:szCs w:val="22"/>
        </w:rPr>
        <w:t xml:space="preserve">. </w:t>
      </w:r>
    </w:p>
    <w:p w14:paraId="2A9E3FE6" w14:textId="77777777" w:rsidR="00E673D5" w:rsidRPr="00E673D5" w:rsidRDefault="00E673D5" w:rsidP="00E673D5">
      <w:pPr>
        <w:jc w:val="both"/>
        <w:rPr>
          <w:rFonts w:cs="Arial"/>
          <w:bCs/>
          <w:sz w:val="22"/>
          <w:szCs w:val="22"/>
        </w:rPr>
      </w:pPr>
      <w:r w:rsidRPr="00E673D5">
        <w:rPr>
          <w:rFonts w:cs="Arial"/>
          <w:bCs/>
          <w:sz w:val="22"/>
          <w:szCs w:val="22"/>
        </w:rPr>
        <w:t> </w:t>
      </w:r>
    </w:p>
    <w:p w14:paraId="614E733F" w14:textId="5C3D79AE" w:rsidR="00E673D5" w:rsidRPr="00E673D5" w:rsidRDefault="00E673D5" w:rsidP="00E673D5">
      <w:pPr>
        <w:jc w:val="both"/>
        <w:rPr>
          <w:rFonts w:cs="Arial"/>
          <w:bCs/>
          <w:sz w:val="22"/>
          <w:szCs w:val="22"/>
        </w:rPr>
      </w:pPr>
      <w:r w:rsidRPr="00E673D5">
        <w:rPr>
          <w:rFonts w:cs="Arial"/>
          <w:bCs/>
          <w:sz w:val="22"/>
          <w:szCs w:val="22"/>
        </w:rPr>
        <w:t>The Programme is delivered through the FAO’s Forest Monitoring and Data Platforms team, in collaboration with the UN-REDD Programme</w:t>
      </w:r>
      <w:r w:rsidR="00AF1902">
        <w:rPr>
          <w:rFonts w:cs="Arial"/>
          <w:bCs/>
          <w:sz w:val="22"/>
          <w:szCs w:val="22"/>
        </w:rPr>
        <w:t xml:space="preserve"> (Output 1.4</w:t>
      </w:r>
      <w:r w:rsidR="00D04C8C">
        <w:rPr>
          <w:rStyle w:val="FootnoteReference"/>
          <w:rFonts w:cs="Arial"/>
          <w:bCs/>
          <w:sz w:val="22"/>
          <w:szCs w:val="22"/>
        </w:rPr>
        <w:footnoteReference w:id="2"/>
      </w:r>
      <w:r w:rsidR="00AF1902">
        <w:rPr>
          <w:rFonts w:cs="Arial"/>
          <w:bCs/>
          <w:sz w:val="22"/>
          <w:szCs w:val="22"/>
        </w:rPr>
        <w:t>)</w:t>
      </w:r>
      <w:r w:rsidRPr="00E673D5">
        <w:rPr>
          <w:rFonts w:cs="Arial"/>
          <w:bCs/>
          <w:sz w:val="22"/>
          <w:szCs w:val="22"/>
        </w:rPr>
        <w:t xml:space="preserve"> and the Global Forest Observations Initiative (GFOI) ensuring linkage and coordination relating to high-quality and accurate data and policy-relevant monitoring systems.</w:t>
      </w:r>
      <w:r w:rsidR="00AF1902">
        <w:rPr>
          <w:rFonts w:cs="Arial"/>
          <w:bCs/>
          <w:sz w:val="22"/>
          <w:szCs w:val="22"/>
        </w:rPr>
        <w:t xml:space="preserve"> </w:t>
      </w:r>
      <w:r w:rsidRPr="00E673D5">
        <w:rPr>
          <w:rFonts w:cs="Arial"/>
          <w:bCs/>
          <w:sz w:val="22"/>
          <w:szCs w:val="22"/>
        </w:rPr>
        <w:t> </w:t>
      </w:r>
    </w:p>
    <w:p w14:paraId="19A81BC5" w14:textId="77777777" w:rsidR="00E673D5" w:rsidRPr="00E673D5" w:rsidRDefault="00E673D5" w:rsidP="00E673D5">
      <w:pPr>
        <w:jc w:val="both"/>
        <w:rPr>
          <w:rFonts w:cs="Arial"/>
          <w:bCs/>
          <w:sz w:val="22"/>
          <w:szCs w:val="22"/>
        </w:rPr>
      </w:pPr>
      <w:r w:rsidRPr="00E673D5">
        <w:rPr>
          <w:rFonts w:cs="Arial"/>
          <w:bCs/>
          <w:sz w:val="22"/>
          <w:szCs w:val="22"/>
        </w:rPr>
        <w:t> </w:t>
      </w:r>
    </w:p>
    <w:p w14:paraId="613E0CE9" w14:textId="1D74ECD2" w:rsidR="00E673D5" w:rsidRPr="00E673D5" w:rsidRDefault="00ED6832" w:rsidP="00E673D5">
      <w:pPr>
        <w:jc w:val="both"/>
        <w:rPr>
          <w:rFonts w:cs="Arial"/>
          <w:bCs/>
          <w:sz w:val="22"/>
          <w:szCs w:val="22"/>
        </w:rPr>
      </w:pPr>
      <w:r>
        <w:rPr>
          <w:rFonts w:cs="Arial"/>
          <w:bCs/>
          <w:sz w:val="22"/>
          <w:szCs w:val="22"/>
        </w:rPr>
        <w:t xml:space="preserve">The </w:t>
      </w:r>
      <w:r w:rsidR="00E673D5" w:rsidRPr="00E673D5">
        <w:rPr>
          <w:rFonts w:cs="Arial"/>
          <w:bCs/>
          <w:sz w:val="22"/>
          <w:szCs w:val="22"/>
        </w:rPr>
        <w:t>GFOI are leading on developing a Country-Led Planning (CLP) approach, funded through AIM4Forests. The CLP seeks to help countries to strengthen the functional and technical aspects of their national forest monitoring systems (NFMS) and associated emissions measurement, reporting and verification (MRV) procedures. The </w:t>
      </w:r>
      <w:proofErr w:type="gramStart"/>
      <w:r w:rsidR="00E673D5" w:rsidRPr="00E673D5">
        <w:rPr>
          <w:rFonts w:cs="Arial"/>
          <w:bCs/>
          <w:sz w:val="22"/>
          <w:szCs w:val="22"/>
        </w:rPr>
        <w:t>ultimate goal</w:t>
      </w:r>
      <w:proofErr w:type="gramEnd"/>
      <w:r w:rsidR="00E673D5" w:rsidRPr="00E673D5">
        <w:rPr>
          <w:rFonts w:cs="Arial"/>
          <w:bCs/>
          <w:sz w:val="22"/>
          <w:szCs w:val="22"/>
        </w:rPr>
        <w:t> of the CLP is to support developing countries to embed their NFMS and associated MRV procedures within their national institutions, so they can be operationalised and sustained with national resources over time. </w:t>
      </w:r>
      <w:r w:rsidR="00710B94">
        <w:rPr>
          <w:rFonts w:cs="Arial"/>
          <w:bCs/>
          <w:sz w:val="22"/>
          <w:szCs w:val="22"/>
        </w:rPr>
        <w:t>This is critical for the transformational impact of the AIM4Forests programme.</w:t>
      </w:r>
    </w:p>
    <w:p w14:paraId="6F9482AB" w14:textId="77777777" w:rsidR="003D222C" w:rsidRPr="00D80C6C" w:rsidRDefault="003D222C" w:rsidP="004D5FD5">
      <w:pPr>
        <w:jc w:val="both"/>
        <w:rPr>
          <w:rFonts w:cs="Arial"/>
          <w:b/>
          <w:sz w:val="22"/>
          <w:szCs w:val="22"/>
        </w:rPr>
      </w:pPr>
    </w:p>
    <w:p w14:paraId="58574625" w14:textId="77777777" w:rsidR="009E3F6E" w:rsidRDefault="009E3F6E" w:rsidP="004D5FD5">
      <w:pPr>
        <w:jc w:val="both"/>
      </w:pPr>
    </w:p>
    <w:p w14:paraId="5276E7EE" w14:textId="1DA8799F" w:rsidR="003D222C" w:rsidRPr="009E3F6E" w:rsidRDefault="003D222C" w:rsidP="004D5FD5">
      <w:pPr>
        <w:jc w:val="both"/>
      </w:pPr>
      <w:bookmarkStart w:id="3" w:name="_Toc228283627"/>
      <w:r w:rsidRPr="5302A23D">
        <w:rPr>
          <w:rStyle w:val="Heading2Char"/>
        </w:rPr>
        <w:t>Summary of progress and supporting narrative for the overall score</w:t>
      </w:r>
      <w:bookmarkEnd w:id="3"/>
      <w:r w:rsidR="00A86616">
        <w:t xml:space="preserve"> </w:t>
      </w:r>
    </w:p>
    <w:p w14:paraId="36AC6569" w14:textId="77777777" w:rsidR="003D222C" w:rsidRDefault="003D222C" w:rsidP="004D5FD5">
      <w:pPr>
        <w:jc w:val="both"/>
        <w:rPr>
          <w:rFonts w:cs="Arial"/>
          <w:b/>
          <w:sz w:val="22"/>
          <w:szCs w:val="22"/>
        </w:rPr>
      </w:pPr>
    </w:p>
    <w:p w14:paraId="6D3E1626" w14:textId="41E8AFAF" w:rsidR="10856100" w:rsidRDefault="3549BB4D" w:rsidP="7B766EC7">
      <w:pPr>
        <w:jc w:val="both"/>
        <w:rPr>
          <w:rFonts w:cs="Arial"/>
          <w:sz w:val="22"/>
          <w:szCs w:val="22"/>
        </w:rPr>
      </w:pPr>
      <w:r w:rsidRPr="6F3FE58C">
        <w:rPr>
          <w:rFonts w:cs="Arial"/>
          <w:b/>
          <w:bCs/>
          <w:sz w:val="22"/>
          <w:szCs w:val="22"/>
        </w:rPr>
        <w:t>T</w:t>
      </w:r>
      <w:r w:rsidR="2117A9DE" w:rsidRPr="6F3FE58C">
        <w:rPr>
          <w:rFonts w:cs="Arial"/>
          <w:b/>
          <w:bCs/>
          <w:sz w:val="22"/>
          <w:szCs w:val="22"/>
        </w:rPr>
        <w:t>he AIM4Forests Programme has achieved an ‘A+’ score for progress in 2025.</w:t>
      </w:r>
      <w:r w:rsidR="048761CA" w:rsidRPr="6F3FE58C">
        <w:rPr>
          <w:rFonts w:cs="Arial"/>
          <w:b/>
          <w:bCs/>
          <w:sz w:val="22"/>
          <w:szCs w:val="22"/>
        </w:rPr>
        <w:t xml:space="preserve"> </w:t>
      </w:r>
      <w:r w:rsidR="048761CA" w:rsidRPr="6F3FE58C">
        <w:rPr>
          <w:rFonts w:cs="Arial"/>
          <w:sz w:val="22"/>
          <w:szCs w:val="22"/>
        </w:rPr>
        <w:t>The A+ reflects both the positive annual performance as well as a notable positive trajectory towards longer-term transformational change.</w:t>
      </w:r>
      <w:r w:rsidR="3F87CAA4" w:rsidRPr="6F3FE58C">
        <w:rPr>
          <w:rFonts w:cs="Arial"/>
          <w:sz w:val="22"/>
          <w:szCs w:val="22"/>
        </w:rPr>
        <w:t xml:space="preserve"> </w:t>
      </w:r>
      <w:r w:rsidR="5400C642" w:rsidRPr="6F3FE58C">
        <w:rPr>
          <w:rFonts w:cs="Arial"/>
          <w:sz w:val="22"/>
          <w:szCs w:val="22"/>
        </w:rPr>
        <w:t>The programme continues to demonstrate strong delivery momentum and relevance, with substantial positive progress on</w:t>
      </w:r>
      <w:r w:rsidR="473D69AB" w:rsidRPr="6F3FE58C">
        <w:rPr>
          <w:rFonts w:cs="Arial"/>
          <w:sz w:val="22"/>
          <w:szCs w:val="22"/>
        </w:rPr>
        <w:t xml:space="preserve"> intended</w:t>
      </w:r>
      <w:r w:rsidR="5400C642" w:rsidRPr="6F3FE58C">
        <w:rPr>
          <w:rFonts w:cs="Arial"/>
          <w:sz w:val="22"/>
          <w:szCs w:val="22"/>
        </w:rPr>
        <w:t xml:space="preserve"> </w:t>
      </w:r>
      <w:r w:rsidR="6E12C6B6" w:rsidRPr="6F3FE58C">
        <w:rPr>
          <w:rFonts w:cs="Arial"/>
          <w:sz w:val="22"/>
          <w:szCs w:val="22"/>
        </w:rPr>
        <w:t xml:space="preserve">outcomes and outputs. </w:t>
      </w:r>
      <w:r w:rsidR="0B302A61" w:rsidRPr="6F3FE58C">
        <w:rPr>
          <w:rFonts w:cs="Arial"/>
          <w:sz w:val="22"/>
          <w:szCs w:val="22"/>
        </w:rPr>
        <w:t>There is</w:t>
      </w:r>
      <w:r w:rsidR="00624409" w:rsidRPr="6F3FE58C">
        <w:rPr>
          <w:rFonts w:cs="Arial"/>
          <w:sz w:val="22"/>
          <w:szCs w:val="22"/>
        </w:rPr>
        <w:t xml:space="preserve"> continued</w:t>
      </w:r>
      <w:r w:rsidR="0B302A61" w:rsidRPr="6F3FE58C">
        <w:rPr>
          <w:rFonts w:cs="Arial"/>
          <w:sz w:val="22"/>
          <w:szCs w:val="22"/>
        </w:rPr>
        <w:t xml:space="preserve"> good evidence to show how AIM4Forests has delivered against the Theory of Change, transferring technical capacity development into impacts for forest countries and communities. </w:t>
      </w:r>
      <w:r w:rsidR="09555870" w:rsidRPr="6F3FE58C">
        <w:rPr>
          <w:rFonts w:cs="Arial"/>
          <w:sz w:val="22"/>
          <w:szCs w:val="22"/>
        </w:rPr>
        <w:t xml:space="preserve">The A+ score reflects consistent over‑performance across </w:t>
      </w:r>
      <w:proofErr w:type="gramStart"/>
      <w:r w:rsidR="09555870" w:rsidRPr="6F3FE58C">
        <w:rPr>
          <w:rFonts w:cs="Arial"/>
          <w:sz w:val="22"/>
          <w:szCs w:val="22"/>
        </w:rPr>
        <w:t>the majority of</w:t>
      </w:r>
      <w:proofErr w:type="gramEnd"/>
      <w:r w:rsidR="09555870" w:rsidRPr="6F3FE58C">
        <w:rPr>
          <w:rFonts w:cs="Arial"/>
          <w:sz w:val="22"/>
          <w:szCs w:val="22"/>
        </w:rPr>
        <w:t xml:space="preserve"> indicators, with almost all outputs meeting or exceeding expectations and all three outcome sets either meeting or exceeding targets.</w:t>
      </w:r>
      <w:r w:rsidR="00624409" w:rsidRPr="6F3FE58C">
        <w:rPr>
          <w:rFonts w:cs="Arial"/>
          <w:sz w:val="22"/>
          <w:szCs w:val="22"/>
        </w:rPr>
        <w:t xml:space="preserve"> </w:t>
      </w:r>
      <w:r w:rsidR="007D48CF" w:rsidRPr="6F3FE58C">
        <w:rPr>
          <w:rFonts w:cs="Arial"/>
          <w:sz w:val="22"/>
          <w:szCs w:val="22"/>
        </w:rPr>
        <w:t xml:space="preserve">Progress in 2025 has been </w:t>
      </w:r>
      <w:r w:rsidR="001535F8" w:rsidRPr="6F3FE58C">
        <w:rPr>
          <w:rFonts w:cs="Arial"/>
          <w:sz w:val="22"/>
          <w:szCs w:val="22"/>
        </w:rPr>
        <w:t xml:space="preserve">a </w:t>
      </w:r>
      <w:r w:rsidR="007D48CF" w:rsidRPr="6F3FE58C">
        <w:rPr>
          <w:rFonts w:cs="Arial"/>
          <w:sz w:val="22"/>
          <w:szCs w:val="22"/>
        </w:rPr>
        <w:t>notabl</w:t>
      </w:r>
      <w:r w:rsidR="001535F8" w:rsidRPr="6F3FE58C">
        <w:rPr>
          <w:rFonts w:cs="Arial"/>
          <w:sz w:val="22"/>
          <w:szCs w:val="22"/>
        </w:rPr>
        <w:t>y strong year for the programme</w:t>
      </w:r>
      <w:r w:rsidR="007D48CF" w:rsidRPr="6F3FE58C">
        <w:rPr>
          <w:rFonts w:cs="Arial"/>
          <w:sz w:val="22"/>
          <w:szCs w:val="22"/>
        </w:rPr>
        <w:t>, and there ha</w:t>
      </w:r>
      <w:r w:rsidR="00B95B6B" w:rsidRPr="6F3FE58C">
        <w:rPr>
          <w:rFonts w:cs="Arial"/>
          <w:sz w:val="22"/>
          <w:szCs w:val="22"/>
        </w:rPr>
        <w:t xml:space="preserve">s been key acceleration of </w:t>
      </w:r>
      <w:r w:rsidR="001535F8" w:rsidRPr="6F3FE58C">
        <w:rPr>
          <w:rFonts w:cs="Arial"/>
          <w:sz w:val="22"/>
          <w:szCs w:val="22"/>
        </w:rPr>
        <w:t>intended goals on AIM4Forests over the past year, even with some upwards adjustments of milestones the previous year to</w:t>
      </w:r>
      <w:r w:rsidR="00085F11" w:rsidRPr="6F3FE58C">
        <w:rPr>
          <w:rFonts w:cs="Arial"/>
          <w:sz w:val="22"/>
          <w:szCs w:val="22"/>
        </w:rPr>
        <w:t xml:space="preserve"> maintain ambition. It is recommended that the programme team (FAO and DESNZ) </w:t>
      </w:r>
      <w:r w:rsidR="00370315" w:rsidRPr="6F3FE58C">
        <w:rPr>
          <w:rFonts w:cs="Arial"/>
          <w:sz w:val="22"/>
          <w:szCs w:val="22"/>
        </w:rPr>
        <w:t xml:space="preserve">discuss again further ambitious upward adjustments to reflect this continued overachievement. </w:t>
      </w:r>
    </w:p>
    <w:p w14:paraId="21DCCE98" w14:textId="2A04D02A" w:rsidR="5167DA10" w:rsidRDefault="5167DA10" w:rsidP="5167DA10">
      <w:pPr>
        <w:jc w:val="both"/>
        <w:rPr>
          <w:rFonts w:cs="Arial"/>
          <w:sz w:val="22"/>
          <w:szCs w:val="22"/>
        </w:rPr>
      </w:pPr>
    </w:p>
    <w:p w14:paraId="37F9711E" w14:textId="585B84AD" w:rsidR="5167DA10" w:rsidRDefault="1735C123" w:rsidP="5167DA10">
      <w:pPr>
        <w:jc w:val="both"/>
        <w:rPr>
          <w:rFonts w:cs="Arial"/>
          <w:sz w:val="22"/>
          <w:szCs w:val="22"/>
        </w:rPr>
      </w:pPr>
      <w:r w:rsidRPr="11C4AC32">
        <w:rPr>
          <w:rFonts w:cs="Arial"/>
          <w:sz w:val="22"/>
          <w:szCs w:val="22"/>
        </w:rPr>
        <w:lastRenderedPageBreak/>
        <w:t>Progress on AIM4Forests in 2025 has demonstrated:</w:t>
      </w:r>
    </w:p>
    <w:p w14:paraId="6DB0E83D" w14:textId="1830858B" w:rsidR="1735C123" w:rsidRDefault="175E28AF" w:rsidP="11C4AC32">
      <w:pPr>
        <w:pStyle w:val="ListParagraph"/>
        <w:numPr>
          <w:ilvl w:val="0"/>
          <w:numId w:val="48"/>
        </w:numPr>
        <w:jc w:val="both"/>
        <w:rPr>
          <w:rFonts w:cs="Arial"/>
          <w:sz w:val="22"/>
          <w:szCs w:val="22"/>
        </w:rPr>
      </w:pPr>
      <w:r w:rsidRPr="1497BDF0">
        <w:rPr>
          <w:rFonts w:cs="Arial"/>
          <w:sz w:val="22"/>
          <w:szCs w:val="22"/>
        </w:rPr>
        <w:t>Delivery at scale and pace</w:t>
      </w:r>
      <w:r w:rsidR="11373767" w:rsidRPr="1497BDF0">
        <w:rPr>
          <w:rFonts w:cs="Arial"/>
          <w:sz w:val="22"/>
          <w:szCs w:val="22"/>
        </w:rPr>
        <w:t>: The programme continues to demonstrate strong delivery, with rapid uptake and expansion of activities, tools, platforms and deployment of products. Delivery continues to accelerate</w:t>
      </w:r>
      <w:r w:rsidR="00397703">
        <w:rPr>
          <w:rFonts w:cs="Arial"/>
          <w:sz w:val="22"/>
          <w:szCs w:val="22"/>
        </w:rPr>
        <w:t xml:space="preserve"> year on year</w:t>
      </w:r>
      <w:r w:rsidR="11373767" w:rsidRPr="1497BDF0">
        <w:rPr>
          <w:rFonts w:cs="Arial"/>
          <w:sz w:val="22"/>
          <w:szCs w:val="22"/>
        </w:rPr>
        <w:t xml:space="preserve"> as the programme advances, reflecting effective management and performance.</w:t>
      </w:r>
    </w:p>
    <w:p w14:paraId="036AEE7C" w14:textId="7D4FB48B" w:rsidR="1735C123" w:rsidRDefault="56D591A9" w:rsidP="451880B9">
      <w:pPr>
        <w:pStyle w:val="ListParagraph"/>
        <w:numPr>
          <w:ilvl w:val="0"/>
          <w:numId w:val="48"/>
        </w:numPr>
        <w:jc w:val="both"/>
        <w:rPr>
          <w:rFonts w:cs="Arial"/>
          <w:sz w:val="22"/>
          <w:szCs w:val="22"/>
        </w:rPr>
      </w:pPr>
      <w:r w:rsidRPr="7A0F07C5">
        <w:rPr>
          <w:rFonts w:cs="Arial"/>
          <w:sz w:val="22"/>
          <w:szCs w:val="22"/>
        </w:rPr>
        <w:t>T</w:t>
      </w:r>
      <w:r w:rsidR="1735C123" w:rsidRPr="7A0F07C5">
        <w:rPr>
          <w:rFonts w:cs="Arial"/>
          <w:sz w:val="22"/>
          <w:szCs w:val="22"/>
        </w:rPr>
        <w:t>echnical credibility and innovation</w:t>
      </w:r>
      <w:r w:rsidR="1F59FBD3" w:rsidRPr="7A0F07C5">
        <w:rPr>
          <w:rFonts w:cs="Arial"/>
          <w:sz w:val="22"/>
          <w:szCs w:val="22"/>
        </w:rPr>
        <w:t>: The programme has progressed in addressing core forest monitoring and MRV challenges through the development and deployment of high‑integrity datasets, open‑source tools, aligned methodologies and targeted technical assistance. This includes innovations in uncertainty analysis, restoration monitoring, deforestation risk assessment and data governance.</w:t>
      </w:r>
    </w:p>
    <w:p w14:paraId="09D3F507" w14:textId="74B28CA6" w:rsidR="1735C123" w:rsidRDefault="51BE6BF9" w:rsidP="451880B9">
      <w:pPr>
        <w:pStyle w:val="ListParagraph"/>
        <w:numPr>
          <w:ilvl w:val="0"/>
          <w:numId w:val="48"/>
        </w:numPr>
        <w:jc w:val="both"/>
        <w:rPr>
          <w:rFonts w:cs="Arial"/>
          <w:sz w:val="22"/>
          <w:szCs w:val="22"/>
        </w:rPr>
      </w:pPr>
      <w:r w:rsidRPr="39673576">
        <w:rPr>
          <w:rFonts w:cs="Arial"/>
          <w:sz w:val="22"/>
          <w:szCs w:val="22"/>
        </w:rPr>
        <w:t>C</w:t>
      </w:r>
      <w:r w:rsidR="1735C123" w:rsidRPr="39673576">
        <w:rPr>
          <w:rFonts w:cs="Arial"/>
          <w:sz w:val="22"/>
          <w:szCs w:val="22"/>
        </w:rPr>
        <w:t>ontribution to climate and nature outcomes</w:t>
      </w:r>
      <w:r w:rsidR="7E6E6AF9" w:rsidRPr="39673576">
        <w:rPr>
          <w:rFonts w:cs="Arial"/>
          <w:sz w:val="22"/>
          <w:szCs w:val="22"/>
        </w:rPr>
        <w:t>: The programme has supported countries to report significant volumes of emissions reductions under reputable carbon standards and UNFCCC reporting contexts, as well as began support under AIM4NatuR</w:t>
      </w:r>
      <w:r w:rsidR="00F96412">
        <w:rPr>
          <w:rFonts w:cs="Arial"/>
          <w:sz w:val="22"/>
          <w:szCs w:val="22"/>
        </w:rPr>
        <w:t>e</w:t>
      </w:r>
      <w:r w:rsidR="7E6E6AF9" w:rsidRPr="39673576">
        <w:rPr>
          <w:rFonts w:cs="Arial"/>
          <w:sz w:val="22"/>
          <w:szCs w:val="22"/>
        </w:rPr>
        <w:t xml:space="preserve"> on ecosystem system restoration monitoring under international nature commitments. </w:t>
      </w:r>
    </w:p>
    <w:p w14:paraId="416F2DA2" w14:textId="1E299DD2" w:rsidR="1735C123" w:rsidRDefault="4F43F6E0" w:rsidP="451880B9">
      <w:pPr>
        <w:pStyle w:val="ListParagraph"/>
        <w:numPr>
          <w:ilvl w:val="0"/>
          <w:numId w:val="48"/>
        </w:numPr>
        <w:jc w:val="both"/>
        <w:rPr>
          <w:rFonts w:cs="Arial"/>
          <w:sz w:val="22"/>
          <w:szCs w:val="22"/>
        </w:rPr>
      </w:pPr>
      <w:r w:rsidRPr="48D0E1AE">
        <w:rPr>
          <w:rFonts w:cs="Arial"/>
          <w:sz w:val="22"/>
          <w:szCs w:val="22"/>
        </w:rPr>
        <w:t>Positive acceleration of p</w:t>
      </w:r>
      <w:r w:rsidR="1735C123" w:rsidRPr="48D0E1AE">
        <w:rPr>
          <w:rFonts w:cs="Arial"/>
          <w:sz w:val="22"/>
          <w:szCs w:val="22"/>
        </w:rPr>
        <w:t>rogress on inclusion and participatory process</w:t>
      </w:r>
      <w:r w:rsidR="684CD3E2" w:rsidRPr="48D0E1AE">
        <w:rPr>
          <w:rFonts w:cs="Arial"/>
          <w:sz w:val="22"/>
          <w:szCs w:val="22"/>
        </w:rPr>
        <w:t>: 2025 saw advances in the Indigenous‑led Communities of Practices, south‑south exchange</w:t>
      </w:r>
      <w:r w:rsidR="7D736A9A" w:rsidRPr="48D0E1AE">
        <w:rPr>
          <w:rFonts w:cs="Arial"/>
          <w:sz w:val="22"/>
          <w:szCs w:val="22"/>
        </w:rPr>
        <w:t>s</w:t>
      </w:r>
      <w:r w:rsidR="684CD3E2" w:rsidRPr="48D0E1AE">
        <w:rPr>
          <w:rFonts w:cs="Arial"/>
          <w:sz w:val="22"/>
          <w:szCs w:val="22"/>
        </w:rPr>
        <w:t xml:space="preserve">, and the integration of IPLC indicators into international reporting frameworks. </w:t>
      </w:r>
    </w:p>
    <w:p w14:paraId="4A2EE266" w14:textId="5B943888" w:rsidR="1735C123" w:rsidRDefault="1735C123" w:rsidP="451880B9">
      <w:pPr>
        <w:pStyle w:val="ListParagraph"/>
        <w:numPr>
          <w:ilvl w:val="0"/>
          <w:numId w:val="48"/>
        </w:numPr>
        <w:jc w:val="both"/>
        <w:rPr>
          <w:rFonts w:cs="Arial"/>
          <w:sz w:val="22"/>
          <w:szCs w:val="22"/>
        </w:rPr>
      </w:pPr>
      <w:r w:rsidRPr="6F3FE58C">
        <w:rPr>
          <w:rFonts w:cs="Arial"/>
          <w:sz w:val="22"/>
          <w:szCs w:val="22"/>
        </w:rPr>
        <w:t>Early indications of system-level, transformational impact</w:t>
      </w:r>
      <w:r w:rsidR="53702940" w:rsidRPr="6F3FE58C">
        <w:rPr>
          <w:rFonts w:cs="Arial"/>
          <w:sz w:val="22"/>
          <w:szCs w:val="22"/>
        </w:rPr>
        <w:t xml:space="preserve">: </w:t>
      </w:r>
      <w:r w:rsidR="65CF80BE" w:rsidRPr="6F3FE58C">
        <w:rPr>
          <w:rFonts w:cs="Arial"/>
          <w:sz w:val="22"/>
          <w:szCs w:val="22"/>
        </w:rPr>
        <w:t>This is the first year AIM4Forests has started to demonstrate a contribution to long-term transformational change under the Impact Statement. Country‑Led Planning is supporting the embedding of National Forest Monitoring Systems within national institutions, while policy and legislative impacts in several countries</w:t>
      </w:r>
      <w:r w:rsidR="75CFED4C" w:rsidRPr="6F3FE58C">
        <w:rPr>
          <w:rFonts w:cs="Arial"/>
          <w:sz w:val="22"/>
          <w:szCs w:val="22"/>
        </w:rPr>
        <w:t xml:space="preserve"> have started to</w:t>
      </w:r>
      <w:r w:rsidR="65CF80BE" w:rsidRPr="6F3FE58C">
        <w:rPr>
          <w:rFonts w:cs="Arial"/>
          <w:sz w:val="22"/>
          <w:szCs w:val="22"/>
        </w:rPr>
        <w:t xml:space="preserve"> demonstrate early transformational effects</w:t>
      </w:r>
      <w:r w:rsidR="00C71452" w:rsidRPr="6F3FE58C">
        <w:rPr>
          <w:rFonts w:cs="Arial"/>
          <w:sz w:val="22"/>
          <w:szCs w:val="22"/>
        </w:rPr>
        <w:t xml:space="preserve"> that could start to see continued domestic support beyond the funding parameters of the programme</w:t>
      </w:r>
      <w:r w:rsidR="65CF80BE" w:rsidRPr="6F3FE58C">
        <w:rPr>
          <w:rFonts w:cs="Arial"/>
          <w:sz w:val="22"/>
          <w:szCs w:val="22"/>
        </w:rPr>
        <w:t>. The programme’s influence on international frameworks for biodiversity, commodities and forest finance further reinforces its strategic importance and long‑term impact potential</w:t>
      </w:r>
      <w:r w:rsidR="00CA4676" w:rsidRPr="6F3FE58C">
        <w:rPr>
          <w:rFonts w:cs="Arial"/>
          <w:sz w:val="22"/>
          <w:szCs w:val="22"/>
        </w:rPr>
        <w:t xml:space="preserve"> and relevance</w:t>
      </w:r>
      <w:r w:rsidR="65CF80BE" w:rsidRPr="6F3FE58C">
        <w:rPr>
          <w:rFonts w:cs="Arial"/>
          <w:sz w:val="22"/>
          <w:szCs w:val="22"/>
        </w:rPr>
        <w:t>.</w:t>
      </w:r>
    </w:p>
    <w:p w14:paraId="75A604E1" w14:textId="3E98177F" w:rsidR="613A0D2F" w:rsidRDefault="613A0D2F" w:rsidP="238BB560">
      <w:pPr>
        <w:jc w:val="both"/>
        <w:rPr>
          <w:rFonts w:cs="Arial"/>
          <w:sz w:val="22"/>
          <w:szCs w:val="22"/>
        </w:rPr>
      </w:pPr>
      <w:r w:rsidRPr="55E59F3F">
        <w:rPr>
          <w:rFonts w:cs="Arial"/>
          <w:sz w:val="22"/>
          <w:szCs w:val="22"/>
        </w:rPr>
        <w:t>Some</w:t>
      </w:r>
      <w:r w:rsidR="0C16CA16" w:rsidRPr="55E59F3F">
        <w:rPr>
          <w:rFonts w:cs="Arial"/>
          <w:sz w:val="22"/>
          <w:szCs w:val="22"/>
        </w:rPr>
        <w:t xml:space="preserve"> 2025</w:t>
      </w:r>
      <w:r w:rsidRPr="55E59F3F">
        <w:rPr>
          <w:rFonts w:cs="Arial"/>
          <w:sz w:val="22"/>
          <w:szCs w:val="22"/>
        </w:rPr>
        <w:t xml:space="preserve"> highlights include:</w:t>
      </w:r>
    </w:p>
    <w:p w14:paraId="68535931" w14:textId="1C6DB708" w:rsidR="613A0D2F" w:rsidRDefault="695A09DD" w:rsidP="238BB560">
      <w:pPr>
        <w:pStyle w:val="ListParagraph"/>
        <w:numPr>
          <w:ilvl w:val="0"/>
          <w:numId w:val="47"/>
        </w:numPr>
        <w:jc w:val="both"/>
        <w:rPr>
          <w:rFonts w:cs="Arial"/>
          <w:sz w:val="22"/>
          <w:szCs w:val="22"/>
        </w:rPr>
      </w:pPr>
      <w:r w:rsidRPr="20339AF0">
        <w:rPr>
          <w:rFonts w:cs="Arial"/>
          <w:sz w:val="22"/>
          <w:szCs w:val="22"/>
        </w:rPr>
        <w:t>G</w:t>
      </w:r>
      <w:r w:rsidR="0F379422" w:rsidRPr="20339AF0">
        <w:rPr>
          <w:rFonts w:cs="Arial"/>
          <w:sz w:val="22"/>
          <w:szCs w:val="22"/>
        </w:rPr>
        <w:t xml:space="preserve">lobal Forest Observation Initiative (GFOI) </w:t>
      </w:r>
      <w:r w:rsidR="3BB58F0B" w:rsidRPr="20339AF0">
        <w:rPr>
          <w:rFonts w:cs="Arial"/>
          <w:sz w:val="22"/>
          <w:szCs w:val="22"/>
        </w:rPr>
        <w:t>Plenary:</w:t>
      </w:r>
      <w:r w:rsidR="6FCD6A36" w:rsidRPr="20339AF0">
        <w:rPr>
          <w:rFonts w:cs="Arial"/>
          <w:sz w:val="22"/>
          <w:szCs w:val="22"/>
        </w:rPr>
        <w:t xml:space="preserve"> AIM4Forests has played a central role </w:t>
      </w:r>
      <w:r w:rsidR="4258595D" w:rsidRPr="20339AF0">
        <w:rPr>
          <w:rFonts w:cs="Arial"/>
          <w:sz w:val="22"/>
          <w:szCs w:val="22"/>
        </w:rPr>
        <w:t>in supporting the GFOI Plenary</w:t>
      </w:r>
      <w:r w:rsidR="00E8289E">
        <w:rPr>
          <w:rFonts w:cs="Arial"/>
          <w:sz w:val="22"/>
          <w:szCs w:val="22"/>
        </w:rPr>
        <w:t>, hosted in Bali in November 2025</w:t>
      </w:r>
      <w:r w:rsidR="6FCD6A36" w:rsidRPr="20339AF0">
        <w:rPr>
          <w:rFonts w:cs="Arial"/>
          <w:sz w:val="22"/>
          <w:szCs w:val="22"/>
        </w:rPr>
        <w:t xml:space="preserve">, enabling countries to share practical experience, lessons learned and innovations on forest monitoring, MRV and institutionalisation of National Forest Monitoring Systems. These exchanges have strengthened peer‑to‑peer learning, reinforced country ownership, and accelerated uptake of good practice across regions. </w:t>
      </w:r>
    </w:p>
    <w:p w14:paraId="602DDF31" w14:textId="43C54739" w:rsidR="695A09DD" w:rsidRDefault="695A09DD" w:rsidP="7E791B85">
      <w:pPr>
        <w:pStyle w:val="ListParagraph"/>
        <w:numPr>
          <w:ilvl w:val="0"/>
          <w:numId w:val="47"/>
        </w:numPr>
        <w:jc w:val="both"/>
        <w:rPr>
          <w:rFonts w:cs="Arial"/>
          <w:sz w:val="22"/>
          <w:szCs w:val="22"/>
        </w:rPr>
      </w:pPr>
      <w:r w:rsidRPr="6EE14EDF">
        <w:rPr>
          <w:rFonts w:cs="Arial"/>
          <w:sz w:val="22"/>
          <w:szCs w:val="22"/>
        </w:rPr>
        <w:t>AIM4NatuR</w:t>
      </w:r>
      <w:r w:rsidR="00F96412">
        <w:rPr>
          <w:rFonts w:cs="Arial"/>
          <w:sz w:val="22"/>
          <w:szCs w:val="22"/>
        </w:rPr>
        <w:t>e</w:t>
      </w:r>
      <w:r w:rsidR="39FA71BF" w:rsidRPr="6EE14EDF">
        <w:rPr>
          <w:rFonts w:cs="Arial"/>
          <w:sz w:val="22"/>
          <w:szCs w:val="22"/>
        </w:rPr>
        <w:t>:</w:t>
      </w:r>
      <w:r w:rsidR="1CFDD698" w:rsidRPr="6EE14EDF">
        <w:rPr>
          <w:rFonts w:cs="Arial"/>
          <w:sz w:val="22"/>
          <w:szCs w:val="22"/>
        </w:rPr>
        <w:t xml:space="preserve"> The launch and rapid </w:t>
      </w:r>
      <w:r w:rsidR="0325216D" w:rsidRPr="6EE14EDF">
        <w:rPr>
          <w:rFonts w:cs="Arial"/>
          <w:sz w:val="22"/>
          <w:szCs w:val="22"/>
        </w:rPr>
        <w:t>implement</w:t>
      </w:r>
      <w:r w:rsidR="1CFDD698" w:rsidRPr="6EE14EDF">
        <w:rPr>
          <w:rFonts w:cs="Arial"/>
          <w:sz w:val="22"/>
          <w:szCs w:val="22"/>
        </w:rPr>
        <w:t>ation of AIM4NatuR</w:t>
      </w:r>
      <w:r w:rsidR="00F96412">
        <w:rPr>
          <w:rFonts w:cs="Arial"/>
          <w:sz w:val="22"/>
          <w:szCs w:val="22"/>
        </w:rPr>
        <w:t>e</w:t>
      </w:r>
      <w:r w:rsidR="1CFDD698" w:rsidRPr="6EE14EDF">
        <w:rPr>
          <w:rFonts w:cs="Arial"/>
          <w:sz w:val="22"/>
          <w:szCs w:val="22"/>
        </w:rPr>
        <w:t xml:space="preserve"> represents a significant expansion of the programme’s scope and relevance, responding directly to emerging global priorities on nature restoration and biodiversity. In its first year of implementation, AIM4NatuR</w:t>
      </w:r>
      <w:r w:rsidR="00F96412">
        <w:rPr>
          <w:rFonts w:cs="Arial"/>
          <w:sz w:val="22"/>
          <w:szCs w:val="22"/>
        </w:rPr>
        <w:t>e</w:t>
      </w:r>
      <w:r w:rsidR="1CFDD698" w:rsidRPr="6EE14EDF">
        <w:rPr>
          <w:rFonts w:cs="Arial"/>
          <w:sz w:val="22"/>
          <w:szCs w:val="22"/>
        </w:rPr>
        <w:t xml:space="preserve"> has supported countries to strengthen monitoring of ecosystem restoration and to engage with reporting requirements under the Kunming‑Montreal Global Biodiversity Framework. Progress to date demonstrates </w:t>
      </w:r>
      <w:r w:rsidR="4EED68E1" w:rsidRPr="6EE14EDF">
        <w:rPr>
          <w:rFonts w:cs="Arial"/>
          <w:sz w:val="22"/>
          <w:szCs w:val="22"/>
        </w:rPr>
        <w:t>the ability of the programme, and the delivery partner,</w:t>
      </w:r>
      <w:r w:rsidR="1CFDD698" w:rsidRPr="6EE14EDF">
        <w:rPr>
          <w:rFonts w:cs="Arial"/>
          <w:sz w:val="22"/>
          <w:szCs w:val="22"/>
        </w:rPr>
        <w:t xml:space="preserve"> to adapt quickly to new policy frameworks, mobilise technical expertise, and lay the foundations for long‑term, transparent reporting on nature outcomes alongside climate mitigation.</w:t>
      </w:r>
    </w:p>
    <w:p w14:paraId="57877EB6" w14:textId="1ACCDE0B" w:rsidR="1497BDF0" w:rsidRDefault="39FA71BF" w:rsidP="03CF89A6">
      <w:pPr>
        <w:pStyle w:val="ListParagraph"/>
        <w:numPr>
          <w:ilvl w:val="0"/>
          <w:numId w:val="47"/>
        </w:numPr>
        <w:jc w:val="both"/>
        <w:rPr>
          <w:rFonts w:cs="Arial"/>
          <w:sz w:val="22"/>
          <w:szCs w:val="22"/>
        </w:rPr>
      </w:pPr>
      <w:r w:rsidRPr="48D0E1AE">
        <w:rPr>
          <w:rFonts w:cs="Arial"/>
          <w:sz w:val="22"/>
          <w:szCs w:val="22"/>
        </w:rPr>
        <w:t xml:space="preserve">Tailorable </w:t>
      </w:r>
      <w:r w:rsidR="0052BE08" w:rsidRPr="48D0E1AE">
        <w:rPr>
          <w:rFonts w:cs="Arial"/>
          <w:sz w:val="22"/>
          <w:szCs w:val="22"/>
        </w:rPr>
        <w:t>country technical assistance for new opportunities:</w:t>
      </w:r>
      <w:r w:rsidR="4C48BB0F" w:rsidRPr="48D0E1AE">
        <w:rPr>
          <w:rFonts w:cs="Arial"/>
          <w:sz w:val="22"/>
          <w:szCs w:val="22"/>
        </w:rPr>
        <w:t xml:space="preserve"> </w:t>
      </w:r>
      <w:r w:rsidR="74869009" w:rsidRPr="48D0E1AE">
        <w:rPr>
          <w:rFonts w:cs="Arial"/>
          <w:sz w:val="22"/>
          <w:szCs w:val="22"/>
        </w:rPr>
        <w:t>AIM4Forests has continued to deliver tailored, country‑driven technical assistance, enabling countries to respond to evolving opportunities in forest finance and international policy. This includes support linked to REDD+ results‑based payments, ART/TREES, emerging Article 6 pathways, and innovative mechanisms such as the Tropical Forest Forever Facility. By aligning technical assistance with national priorities and readiness levels, the programme is helping countries to connect improved forest monitoring systems with concrete finance and policy outcomes, strengthening both impact and sustainability.</w:t>
      </w:r>
    </w:p>
    <w:p w14:paraId="448EFA38" w14:textId="4E693301" w:rsidR="4C48BB0F" w:rsidRDefault="4C48BB0F" w:rsidP="0E6919B3">
      <w:pPr>
        <w:pStyle w:val="ListParagraph"/>
        <w:numPr>
          <w:ilvl w:val="0"/>
          <w:numId w:val="47"/>
        </w:numPr>
        <w:jc w:val="both"/>
        <w:rPr>
          <w:rFonts w:cs="Arial"/>
          <w:sz w:val="22"/>
          <w:szCs w:val="22"/>
        </w:rPr>
      </w:pPr>
      <w:r w:rsidRPr="0A8847CD">
        <w:rPr>
          <w:rFonts w:cs="Arial"/>
          <w:sz w:val="22"/>
          <w:szCs w:val="22"/>
        </w:rPr>
        <w:lastRenderedPageBreak/>
        <w:t>Mid-Term Review</w:t>
      </w:r>
      <w:r w:rsidR="00B350EF">
        <w:rPr>
          <w:rStyle w:val="FootnoteReference"/>
          <w:rFonts w:cs="Arial"/>
          <w:sz w:val="22"/>
          <w:szCs w:val="22"/>
        </w:rPr>
        <w:footnoteReference w:id="3"/>
      </w:r>
      <w:r w:rsidRPr="0A8847CD">
        <w:rPr>
          <w:rFonts w:cs="Arial"/>
          <w:sz w:val="22"/>
          <w:szCs w:val="22"/>
        </w:rPr>
        <w:t>:</w:t>
      </w:r>
      <w:r w:rsidR="42AAA18C" w:rsidRPr="0A8847CD">
        <w:rPr>
          <w:rFonts w:cs="Arial"/>
          <w:sz w:val="22"/>
          <w:szCs w:val="22"/>
        </w:rPr>
        <w:t xml:space="preserve"> The Mid‑Term Review provided an independent validation of the programme’s strategic direction and delivery model, while also identifying areas for refinement to maximise long‑term impact. AIM4Forests has</w:t>
      </w:r>
      <w:r w:rsidR="00ADFDDF" w:rsidRPr="0A8847CD">
        <w:rPr>
          <w:rFonts w:cs="Arial"/>
          <w:sz w:val="22"/>
          <w:szCs w:val="22"/>
        </w:rPr>
        <w:t xml:space="preserve"> already begun </w:t>
      </w:r>
      <w:r w:rsidR="42AAA18C" w:rsidRPr="0A8847CD">
        <w:rPr>
          <w:rFonts w:cs="Arial"/>
          <w:sz w:val="22"/>
          <w:szCs w:val="22"/>
        </w:rPr>
        <w:t>respond</w:t>
      </w:r>
      <w:r w:rsidR="38663DB4" w:rsidRPr="0A8847CD">
        <w:rPr>
          <w:rFonts w:cs="Arial"/>
          <w:sz w:val="22"/>
          <w:szCs w:val="22"/>
        </w:rPr>
        <w:t>ing</w:t>
      </w:r>
      <w:r w:rsidR="42AAA18C" w:rsidRPr="0A8847CD">
        <w:rPr>
          <w:rFonts w:cs="Arial"/>
          <w:sz w:val="22"/>
          <w:szCs w:val="22"/>
        </w:rPr>
        <w:t xml:space="preserve"> constructively to these findings, with key recommendations reflected in the Extension Business Case, including extending the programme timeline, strengthening country‑level technical assistance, and sharpening the focus on institutionalisation and sustainability.</w:t>
      </w:r>
    </w:p>
    <w:p w14:paraId="3FE91B1C" w14:textId="67D0526B" w:rsidR="3D29A54A" w:rsidRDefault="3D29A54A" w:rsidP="257FA7D9">
      <w:pPr>
        <w:jc w:val="both"/>
        <w:rPr>
          <w:rFonts w:cs="Arial"/>
          <w:sz w:val="22"/>
          <w:szCs w:val="22"/>
        </w:rPr>
      </w:pPr>
      <w:r w:rsidRPr="2739E3CF">
        <w:rPr>
          <w:rFonts w:cs="Arial"/>
          <w:sz w:val="22"/>
          <w:szCs w:val="22"/>
        </w:rPr>
        <w:t xml:space="preserve">While there is positive progress, areas where the programme could be </w:t>
      </w:r>
      <w:r w:rsidR="0057278E" w:rsidRPr="2739E3CF">
        <w:rPr>
          <w:rFonts w:cs="Arial"/>
          <w:sz w:val="22"/>
          <w:szCs w:val="22"/>
        </w:rPr>
        <w:t>strengthened</w:t>
      </w:r>
      <w:r w:rsidRPr="2739E3CF">
        <w:rPr>
          <w:rFonts w:cs="Arial"/>
          <w:sz w:val="22"/>
          <w:szCs w:val="22"/>
        </w:rPr>
        <w:t xml:space="preserve"> include the following, and these will be incorporated within the recommendations for this year: </w:t>
      </w:r>
    </w:p>
    <w:p w14:paraId="2FDCF30F" w14:textId="0E08D12B" w:rsidR="3D29A54A" w:rsidRDefault="50E61A38" w:rsidP="257FA7D9">
      <w:pPr>
        <w:pStyle w:val="ListParagraph"/>
        <w:numPr>
          <w:ilvl w:val="0"/>
          <w:numId w:val="46"/>
        </w:numPr>
        <w:jc w:val="both"/>
        <w:rPr>
          <w:rFonts w:cs="Arial"/>
          <w:sz w:val="22"/>
          <w:szCs w:val="22"/>
        </w:rPr>
      </w:pPr>
      <w:r w:rsidRPr="004C3327">
        <w:rPr>
          <w:rFonts w:cs="Arial"/>
          <w:b/>
          <w:bCs/>
          <w:sz w:val="22"/>
          <w:szCs w:val="22"/>
        </w:rPr>
        <w:t xml:space="preserve">Realign Theory of Change </w:t>
      </w:r>
      <w:r w:rsidR="004C3327">
        <w:rPr>
          <w:rFonts w:cs="Arial"/>
          <w:b/>
          <w:bCs/>
          <w:sz w:val="22"/>
          <w:szCs w:val="22"/>
        </w:rPr>
        <w:t>and</w:t>
      </w:r>
      <w:r w:rsidRPr="004C3327">
        <w:rPr>
          <w:rFonts w:cs="Arial"/>
          <w:b/>
          <w:bCs/>
          <w:sz w:val="22"/>
          <w:szCs w:val="22"/>
        </w:rPr>
        <w:t xml:space="preserve"> delivery expectations</w:t>
      </w:r>
      <w:r w:rsidRPr="27960483">
        <w:rPr>
          <w:rFonts w:cs="Arial"/>
          <w:sz w:val="22"/>
          <w:szCs w:val="22"/>
        </w:rPr>
        <w:t>, including</w:t>
      </w:r>
      <w:r w:rsidR="38DF05D2" w:rsidRPr="27960483">
        <w:rPr>
          <w:rFonts w:cs="Arial"/>
          <w:sz w:val="22"/>
          <w:szCs w:val="22"/>
        </w:rPr>
        <w:t xml:space="preserve"> clarifying indicators based on the Extension Business Case,</w:t>
      </w:r>
      <w:r w:rsidRPr="27960483">
        <w:rPr>
          <w:rFonts w:cs="Arial"/>
          <w:sz w:val="22"/>
          <w:szCs w:val="22"/>
        </w:rPr>
        <w:t xml:space="preserve"> </w:t>
      </w:r>
      <w:r w:rsidR="004C3327">
        <w:rPr>
          <w:rFonts w:cs="Arial"/>
          <w:sz w:val="22"/>
          <w:szCs w:val="22"/>
        </w:rPr>
        <w:t xml:space="preserve">and </w:t>
      </w:r>
      <w:r w:rsidRPr="27960483">
        <w:rPr>
          <w:rFonts w:cs="Arial"/>
          <w:sz w:val="22"/>
          <w:szCs w:val="22"/>
        </w:rPr>
        <w:t xml:space="preserve">reviewing milestones and targets for areas which have strongly over-achieved. </w:t>
      </w:r>
    </w:p>
    <w:p w14:paraId="4B58B8C4" w14:textId="1868888F" w:rsidR="2739E3CF" w:rsidRDefault="177FD085" w:rsidP="2739E3CF">
      <w:pPr>
        <w:pStyle w:val="ListParagraph"/>
        <w:numPr>
          <w:ilvl w:val="0"/>
          <w:numId w:val="46"/>
        </w:numPr>
        <w:jc w:val="both"/>
        <w:rPr>
          <w:rFonts w:cs="Arial"/>
          <w:sz w:val="22"/>
          <w:szCs w:val="22"/>
        </w:rPr>
      </w:pPr>
      <w:r w:rsidRPr="004C3327">
        <w:rPr>
          <w:rFonts w:cs="Arial"/>
          <w:b/>
          <w:bCs/>
          <w:sz w:val="22"/>
          <w:szCs w:val="22"/>
        </w:rPr>
        <w:t>Advancing</w:t>
      </w:r>
      <w:r w:rsidR="337A65A6" w:rsidRPr="004C3327">
        <w:rPr>
          <w:rFonts w:cs="Arial"/>
          <w:b/>
          <w:bCs/>
          <w:sz w:val="22"/>
          <w:szCs w:val="22"/>
        </w:rPr>
        <w:t xml:space="preserve"> country technical assistance for long-term impacts</w:t>
      </w:r>
      <w:r w:rsidR="337A65A6" w:rsidRPr="6A4BCD58">
        <w:rPr>
          <w:rFonts w:cs="Arial"/>
          <w:sz w:val="22"/>
          <w:szCs w:val="22"/>
        </w:rPr>
        <w:t>, including</w:t>
      </w:r>
      <w:r w:rsidR="45B875BB" w:rsidRPr="6A4BCD58">
        <w:rPr>
          <w:rFonts w:cs="Arial"/>
          <w:sz w:val="22"/>
          <w:szCs w:val="22"/>
        </w:rPr>
        <w:t xml:space="preserve"> assessing country work-planning,</w:t>
      </w:r>
      <w:r w:rsidR="004C3327">
        <w:rPr>
          <w:rFonts w:cs="Arial"/>
          <w:sz w:val="22"/>
          <w:szCs w:val="22"/>
        </w:rPr>
        <w:t xml:space="preserve"> gender considerations,</w:t>
      </w:r>
      <w:r w:rsidR="45B875BB" w:rsidRPr="6A4BCD58">
        <w:rPr>
          <w:rFonts w:cs="Arial"/>
          <w:sz w:val="22"/>
          <w:szCs w:val="22"/>
        </w:rPr>
        <w:t xml:space="preserve"> and</w:t>
      </w:r>
      <w:r w:rsidR="337A65A6" w:rsidRPr="6A4BCD58">
        <w:rPr>
          <w:rFonts w:cs="Arial"/>
          <w:sz w:val="22"/>
          <w:szCs w:val="22"/>
        </w:rPr>
        <w:t xml:space="preserve"> ensuring</w:t>
      </w:r>
      <w:r w:rsidRPr="6A4BCD58">
        <w:rPr>
          <w:rFonts w:cs="Arial"/>
          <w:sz w:val="22"/>
          <w:szCs w:val="22"/>
        </w:rPr>
        <w:t xml:space="preserve"> Country-Led Planning processes</w:t>
      </w:r>
      <w:r w:rsidR="004C3327">
        <w:rPr>
          <w:rFonts w:cs="Arial"/>
          <w:sz w:val="22"/>
          <w:szCs w:val="22"/>
        </w:rPr>
        <w:t xml:space="preserve"> and </w:t>
      </w:r>
      <w:r w:rsidR="568C1784" w:rsidRPr="6A4BCD58">
        <w:rPr>
          <w:rFonts w:cs="Arial"/>
          <w:sz w:val="22"/>
          <w:szCs w:val="22"/>
        </w:rPr>
        <w:t>lessons learned are effectively</w:t>
      </w:r>
      <w:r w:rsidRPr="6A4BCD58">
        <w:rPr>
          <w:rFonts w:cs="Arial"/>
          <w:sz w:val="22"/>
          <w:szCs w:val="22"/>
        </w:rPr>
        <w:t xml:space="preserve"> transfer</w:t>
      </w:r>
      <w:r w:rsidR="587D6134" w:rsidRPr="6A4BCD58">
        <w:rPr>
          <w:rFonts w:cs="Arial"/>
          <w:sz w:val="22"/>
          <w:szCs w:val="22"/>
        </w:rPr>
        <w:t>red</w:t>
      </w:r>
      <w:r w:rsidRPr="6A4BCD58">
        <w:rPr>
          <w:rFonts w:cs="Arial"/>
          <w:sz w:val="22"/>
          <w:szCs w:val="22"/>
        </w:rPr>
        <w:t>, including through further South-South Exchanges</w:t>
      </w:r>
      <w:r w:rsidR="004C3327">
        <w:rPr>
          <w:rFonts w:cs="Arial"/>
          <w:sz w:val="22"/>
          <w:szCs w:val="22"/>
        </w:rPr>
        <w:t xml:space="preserve"> and opportunities for replication</w:t>
      </w:r>
      <w:r w:rsidR="1463F95F" w:rsidRPr="6A4BCD58">
        <w:rPr>
          <w:rFonts w:cs="Arial"/>
          <w:sz w:val="22"/>
          <w:szCs w:val="22"/>
        </w:rPr>
        <w:t>.</w:t>
      </w:r>
    </w:p>
    <w:p w14:paraId="7B570BA3" w14:textId="77777777" w:rsidR="003D222C" w:rsidRPr="00D80C6C" w:rsidRDefault="003D222C" w:rsidP="004D5FD5">
      <w:pPr>
        <w:pStyle w:val="Heading2"/>
        <w:jc w:val="both"/>
      </w:pPr>
      <w:bookmarkStart w:id="4" w:name="_Toc228283628"/>
      <w:r>
        <w:t>Progress against recommendations from the last review</w:t>
      </w:r>
      <w:bookmarkEnd w:id="4"/>
    </w:p>
    <w:p w14:paraId="55666261" w14:textId="77777777" w:rsidR="003D222C" w:rsidRPr="00D80C6C" w:rsidRDefault="003D222C" w:rsidP="004D5FD5">
      <w:pPr>
        <w:jc w:val="both"/>
        <w:rPr>
          <w:rFonts w:cs="Arial"/>
          <w:b/>
          <w:sz w:val="22"/>
          <w:szCs w:val="22"/>
        </w:rPr>
      </w:pPr>
    </w:p>
    <w:tbl>
      <w:tblPr>
        <w:tblStyle w:val="TableGrid"/>
        <w:tblW w:w="9016" w:type="dxa"/>
        <w:tblLook w:val="04A0" w:firstRow="1" w:lastRow="0" w:firstColumn="1" w:lastColumn="0" w:noHBand="0" w:noVBand="1"/>
      </w:tblPr>
      <w:tblGrid>
        <w:gridCol w:w="6225"/>
        <w:gridCol w:w="2791"/>
      </w:tblGrid>
      <w:tr w:rsidR="008B1763" w:rsidRPr="00D80C6C" w14:paraId="70C21392" w14:textId="77777777" w:rsidTr="6F3FE58C">
        <w:tc>
          <w:tcPr>
            <w:tcW w:w="6225" w:type="dxa"/>
            <w:shd w:val="clear" w:color="auto" w:fill="DEEAF6" w:themeFill="accent5" w:themeFillTint="33"/>
          </w:tcPr>
          <w:p w14:paraId="53D8F37C" w14:textId="77777777" w:rsidR="003D222C" w:rsidRPr="00D80C6C" w:rsidRDefault="003D222C" w:rsidP="00C676D1">
            <w:pPr>
              <w:rPr>
                <w:rFonts w:cs="Arial"/>
                <w:b/>
                <w:sz w:val="22"/>
                <w:szCs w:val="22"/>
              </w:rPr>
            </w:pPr>
            <w:r w:rsidRPr="00D80C6C">
              <w:rPr>
                <w:rFonts w:cs="Arial"/>
                <w:b/>
                <w:sz w:val="22"/>
                <w:szCs w:val="22"/>
              </w:rPr>
              <w:t>Recommendation</w:t>
            </w:r>
          </w:p>
        </w:tc>
        <w:tc>
          <w:tcPr>
            <w:tcW w:w="2791" w:type="dxa"/>
            <w:shd w:val="clear" w:color="auto" w:fill="DEEAF6" w:themeFill="accent5" w:themeFillTint="33"/>
          </w:tcPr>
          <w:p w14:paraId="4501CA7E" w14:textId="77777777" w:rsidR="003D222C" w:rsidRPr="00D80C6C" w:rsidRDefault="003D222C" w:rsidP="00C676D1">
            <w:pPr>
              <w:rPr>
                <w:rFonts w:cs="Arial"/>
                <w:b/>
                <w:sz w:val="22"/>
                <w:szCs w:val="22"/>
              </w:rPr>
            </w:pPr>
            <w:r w:rsidRPr="00D80C6C">
              <w:rPr>
                <w:rFonts w:cs="Arial"/>
                <w:b/>
                <w:sz w:val="22"/>
                <w:szCs w:val="22"/>
              </w:rPr>
              <w:t>Progress</w:t>
            </w:r>
          </w:p>
        </w:tc>
      </w:tr>
      <w:tr w:rsidR="008B1763" w:rsidRPr="00D80C6C" w14:paraId="3B8F7C7F" w14:textId="77777777" w:rsidTr="6F3FE58C">
        <w:tc>
          <w:tcPr>
            <w:tcW w:w="6225" w:type="dxa"/>
          </w:tcPr>
          <w:p w14:paraId="70E42F61" w14:textId="77777777" w:rsidR="00704833" w:rsidRPr="00704833" w:rsidRDefault="00704833" w:rsidP="00C676D1">
            <w:pPr>
              <w:rPr>
                <w:rFonts w:cs="Arial"/>
                <w:sz w:val="22"/>
                <w:szCs w:val="22"/>
              </w:rPr>
            </w:pPr>
            <w:r w:rsidRPr="00704833">
              <w:rPr>
                <w:rFonts w:cs="Arial"/>
                <w:b/>
                <w:bCs/>
                <w:sz w:val="22"/>
                <w:szCs w:val="22"/>
              </w:rPr>
              <w:t>Recommendation 1</w:t>
            </w:r>
            <w:r w:rsidRPr="00704833">
              <w:rPr>
                <w:rFonts w:cs="Arial"/>
                <w:sz w:val="22"/>
                <w:szCs w:val="22"/>
              </w:rPr>
              <w:t>: Logframe Revisions – UK DESNZ and FAO will work to deliver Logframe revisions as follows:  </w:t>
            </w:r>
          </w:p>
          <w:p w14:paraId="7CFA988A" w14:textId="26B719BF" w:rsidR="00704833" w:rsidRPr="00704833" w:rsidRDefault="00704833" w:rsidP="00C676D1">
            <w:pPr>
              <w:numPr>
                <w:ilvl w:val="0"/>
                <w:numId w:val="23"/>
              </w:numPr>
              <w:rPr>
                <w:rFonts w:cs="Arial"/>
                <w:sz w:val="22"/>
                <w:szCs w:val="22"/>
              </w:rPr>
            </w:pPr>
            <w:r w:rsidRPr="00704833">
              <w:rPr>
                <w:rFonts w:cs="Arial"/>
                <w:sz w:val="22"/>
                <w:szCs w:val="22"/>
              </w:rPr>
              <w:t>Update Output Indicator 2.5: Recommend that the starting level should be score 3 (instead of score 1), and as activities were only able to start in late 2024, the scoring should be expected to remain at score 3 in 2025 and to reach score 5 only in 2028.</w:t>
            </w:r>
          </w:p>
          <w:p w14:paraId="34BAF386" w14:textId="77777777" w:rsidR="00704833" w:rsidRPr="00704833" w:rsidRDefault="00704833" w:rsidP="00C676D1">
            <w:pPr>
              <w:numPr>
                <w:ilvl w:val="0"/>
                <w:numId w:val="24"/>
              </w:numPr>
              <w:rPr>
                <w:rFonts w:cs="Arial"/>
                <w:sz w:val="22"/>
                <w:szCs w:val="22"/>
              </w:rPr>
            </w:pPr>
            <w:r w:rsidRPr="00704833">
              <w:rPr>
                <w:rFonts w:cs="Arial"/>
                <w:sz w:val="22"/>
                <w:szCs w:val="22"/>
              </w:rPr>
              <w:t>Modify Output Indicator 3.3: Recommend that this should be disaggregated into five sub-indicators to not only track overall counts of countries receiving technical assistance, but to collect information on the work areas in those countries  </w:t>
            </w:r>
          </w:p>
          <w:p w14:paraId="031D2C3B" w14:textId="77777777" w:rsidR="00704833" w:rsidRPr="00704833" w:rsidRDefault="00704833" w:rsidP="00C676D1">
            <w:pPr>
              <w:numPr>
                <w:ilvl w:val="0"/>
                <w:numId w:val="25"/>
              </w:numPr>
              <w:rPr>
                <w:rFonts w:cs="Arial"/>
                <w:sz w:val="22"/>
                <w:szCs w:val="22"/>
              </w:rPr>
            </w:pPr>
            <w:r w:rsidRPr="00704833">
              <w:rPr>
                <w:rFonts w:cs="Arial"/>
                <w:sz w:val="22"/>
                <w:szCs w:val="22"/>
              </w:rPr>
              <w:t>New Outcome Indicator 2.4: Recommend creating a new Output Indicator 2.4 to reflect the additional activities under the new Output 7 on nature restoration  </w:t>
            </w:r>
          </w:p>
          <w:p w14:paraId="11369107" w14:textId="77777777" w:rsidR="00704833" w:rsidRPr="00704833" w:rsidRDefault="00704833" w:rsidP="00C676D1">
            <w:pPr>
              <w:numPr>
                <w:ilvl w:val="0"/>
                <w:numId w:val="26"/>
              </w:numPr>
              <w:rPr>
                <w:rFonts w:cs="Arial"/>
                <w:sz w:val="22"/>
                <w:szCs w:val="22"/>
              </w:rPr>
            </w:pPr>
            <w:r w:rsidRPr="00704833">
              <w:rPr>
                <w:rFonts w:cs="Arial"/>
                <w:sz w:val="22"/>
                <w:szCs w:val="22"/>
              </w:rPr>
              <w:t>New Output Indicators 1.7,1.8,1.9: Recommend creating new Output Indicators to reflect additional activities under the new Output 7 on nature restoration  </w:t>
            </w:r>
          </w:p>
          <w:p w14:paraId="756678DB" w14:textId="77777777" w:rsidR="00704833" w:rsidRPr="00704833" w:rsidRDefault="00704833" w:rsidP="00C676D1">
            <w:pPr>
              <w:numPr>
                <w:ilvl w:val="0"/>
                <w:numId w:val="27"/>
              </w:numPr>
              <w:rPr>
                <w:rFonts w:cs="Arial"/>
                <w:sz w:val="22"/>
                <w:szCs w:val="22"/>
              </w:rPr>
            </w:pPr>
            <w:r w:rsidRPr="00704833">
              <w:rPr>
                <w:rFonts w:cs="Arial"/>
                <w:sz w:val="22"/>
                <w:szCs w:val="22"/>
              </w:rPr>
              <w:t>Update numbering on Output Indicator 1: Recommend swapping Output Indicators 1.4 and 1.5 as the sequence between indicators would then be more logical </w:t>
            </w:r>
          </w:p>
          <w:p w14:paraId="77376D0E" w14:textId="77777777" w:rsidR="00704833" w:rsidRPr="00704833" w:rsidRDefault="00704833" w:rsidP="00C676D1">
            <w:pPr>
              <w:numPr>
                <w:ilvl w:val="0"/>
                <w:numId w:val="28"/>
              </w:numPr>
              <w:rPr>
                <w:rFonts w:cs="Arial"/>
                <w:sz w:val="22"/>
                <w:szCs w:val="22"/>
              </w:rPr>
            </w:pPr>
            <w:r w:rsidRPr="00704833">
              <w:rPr>
                <w:rFonts w:cs="Arial"/>
                <w:sz w:val="22"/>
                <w:szCs w:val="22"/>
              </w:rPr>
              <w:t>Update Output Indicator 1.4: Recommend replacing “percentage of users” with a survey meant to gather qualitative data as the data for percentage of returning users is not available </w:t>
            </w:r>
          </w:p>
          <w:p w14:paraId="245FA9E6" w14:textId="77777777" w:rsidR="00704833" w:rsidRPr="00704833" w:rsidRDefault="00704833" w:rsidP="00C676D1">
            <w:pPr>
              <w:numPr>
                <w:ilvl w:val="0"/>
                <w:numId w:val="29"/>
              </w:numPr>
              <w:rPr>
                <w:rFonts w:cs="Arial"/>
                <w:sz w:val="22"/>
                <w:szCs w:val="22"/>
              </w:rPr>
            </w:pPr>
            <w:r w:rsidRPr="00704833">
              <w:rPr>
                <w:rFonts w:cs="Arial"/>
                <w:sz w:val="22"/>
                <w:szCs w:val="22"/>
              </w:rPr>
              <w:t>Update number on Output Indicator 2: Recommend amending so that the current 2.4 becomes 2.1 to ensure sequence is more logical </w:t>
            </w:r>
          </w:p>
          <w:p w14:paraId="0505A11E" w14:textId="77777777" w:rsidR="00704833" w:rsidRPr="00704833" w:rsidRDefault="00704833" w:rsidP="00C676D1">
            <w:pPr>
              <w:numPr>
                <w:ilvl w:val="0"/>
                <w:numId w:val="30"/>
              </w:numPr>
              <w:rPr>
                <w:rFonts w:cs="Arial"/>
                <w:sz w:val="22"/>
                <w:szCs w:val="22"/>
              </w:rPr>
            </w:pPr>
            <w:r w:rsidRPr="00704833">
              <w:rPr>
                <w:rFonts w:cs="Arial"/>
                <w:sz w:val="22"/>
                <w:szCs w:val="22"/>
              </w:rPr>
              <w:lastRenderedPageBreak/>
              <w:t>Amendment Output 3: Recommend amending Output Indicator 3.1 to differentiate between countries where (a) CLP process is initiated and (b) where progress is being made; and remove CLP from Output 3.5  </w:t>
            </w:r>
          </w:p>
          <w:p w14:paraId="4402B718" w14:textId="77777777" w:rsidR="00704833" w:rsidRPr="00704833" w:rsidRDefault="00704833" w:rsidP="00C676D1">
            <w:pPr>
              <w:numPr>
                <w:ilvl w:val="0"/>
                <w:numId w:val="31"/>
              </w:numPr>
              <w:rPr>
                <w:rFonts w:cs="Arial"/>
                <w:sz w:val="22"/>
                <w:szCs w:val="22"/>
              </w:rPr>
            </w:pPr>
            <w:r w:rsidRPr="00704833">
              <w:rPr>
                <w:rFonts w:cs="Arial"/>
                <w:sz w:val="22"/>
                <w:szCs w:val="22"/>
              </w:rPr>
              <w:t>Strengthen Output Indicator 3.4: Recommend that this is amended to also require development capacity building trajectories and to reflect that the separation of technical and institutional capacities, and development of assessment and exist strategies, is artificial.  </w:t>
            </w:r>
          </w:p>
          <w:p w14:paraId="3736DA3A" w14:textId="77777777" w:rsidR="00704833" w:rsidRPr="00704833" w:rsidRDefault="00704833" w:rsidP="00C676D1">
            <w:pPr>
              <w:numPr>
                <w:ilvl w:val="0"/>
                <w:numId w:val="32"/>
              </w:numPr>
              <w:rPr>
                <w:rFonts w:cs="Arial"/>
                <w:sz w:val="22"/>
                <w:szCs w:val="22"/>
              </w:rPr>
            </w:pPr>
            <w:r w:rsidRPr="00704833">
              <w:rPr>
                <w:rFonts w:cs="Arial"/>
                <w:sz w:val="22"/>
                <w:szCs w:val="22"/>
              </w:rPr>
              <w:t>Increase target for Output Indicator 3.4: This output has already achieved the target for 25/26 so recommend considering whether this target can be revised upwards </w:t>
            </w:r>
          </w:p>
          <w:p w14:paraId="4E5EB9FD" w14:textId="77777777" w:rsidR="00704833" w:rsidRPr="00704833" w:rsidRDefault="00704833" w:rsidP="00C676D1">
            <w:pPr>
              <w:numPr>
                <w:ilvl w:val="0"/>
                <w:numId w:val="33"/>
              </w:numPr>
              <w:rPr>
                <w:rFonts w:cs="Arial"/>
                <w:sz w:val="22"/>
                <w:szCs w:val="22"/>
              </w:rPr>
            </w:pPr>
            <w:r w:rsidRPr="00704833">
              <w:rPr>
                <w:rFonts w:cs="Arial"/>
                <w:sz w:val="22"/>
                <w:szCs w:val="22"/>
              </w:rPr>
              <w:t>Amend Output Indicator 2.4: Recommend reducing the count of "technical materials" to only representing training materials and excluding scoping studies or studies on. Clarify that deployment pathways are</w:t>
            </w:r>
            <w:proofErr w:type="gramStart"/>
            <w:r w:rsidRPr="00704833">
              <w:rPr>
                <w:rFonts w:cs="Arial"/>
                <w:sz w:val="22"/>
                <w:szCs w:val="22"/>
              </w:rPr>
              <w:t>, in reality, simply</w:t>
            </w:r>
            <w:proofErr w:type="gramEnd"/>
            <w:r w:rsidRPr="00704833">
              <w:rPr>
                <w:rFonts w:cs="Arial"/>
                <w:sz w:val="22"/>
                <w:szCs w:val="22"/>
              </w:rPr>
              <w:t> learning events </w:t>
            </w:r>
          </w:p>
          <w:p w14:paraId="2311ED5D" w14:textId="77777777" w:rsidR="00704833" w:rsidRPr="00704833" w:rsidRDefault="00704833" w:rsidP="00C676D1">
            <w:pPr>
              <w:numPr>
                <w:ilvl w:val="0"/>
                <w:numId w:val="34"/>
              </w:numPr>
              <w:rPr>
                <w:rFonts w:cs="Arial"/>
                <w:sz w:val="22"/>
                <w:szCs w:val="22"/>
              </w:rPr>
            </w:pPr>
            <w:r w:rsidRPr="00704833">
              <w:rPr>
                <w:rFonts w:cs="Arial"/>
                <w:sz w:val="22"/>
                <w:szCs w:val="22"/>
              </w:rPr>
              <w:t>Amend Outcome Indicator 1.2: Recommend amending to specify number of country submissions supported to cover forestry and land use categories in UNFCCC reporting (including against the NDC), to better reflect the technical assistance provided to support UNFCCC reporting </w:t>
            </w:r>
          </w:p>
          <w:p w14:paraId="6075B309" w14:textId="77777777" w:rsidR="003D222C" w:rsidRPr="00D80C6C" w:rsidRDefault="003D222C" w:rsidP="00C676D1">
            <w:pPr>
              <w:rPr>
                <w:rFonts w:cs="Arial"/>
                <w:b/>
                <w:sz w:val="22"/>
                <w:szCs w:val="22"/>
              </w:rPr>
            </w:pPr>
          </w:p>
        </w:tc>
        <w:tc>
          <w:tcPr>
            <w:tcW w:w="2791" w:type="dxa"/>
          </w:tcPr>
          <w:p w14:paraId="1E6248CC" w14:textId="4115A120" w:rsidR="00DA088B" w:rsidRPr="00544B76" w:rsidRDefault="00544B76" w:rsidP="00C676D1">
            <w:pPr>
              <w:rPr>
                <w:rFonts w:cs="Arial"/>
                <w:sz w:val="22"/>
                <w:szCs w:val="22"/>
              </w:rPr>
            </w:pPr>
            <w:r w:rsidRPr="00DA088B">
              <w:rPr>
                <w:rFonts w:cs="Arial"/>
                <w:b/>
                <w:bCs/>
                <w:sz w:val="22"/>
                <w:szCs w:val="22"/>
              </w:rPr>
              <w:lastRenderedPageBreak/>
              <w:t>Achieved</w:t>
            </w:r>
            <w:r>
              <w:rPr>
                <w:rFonts w:cs="Arial"/>
                <w:sz w:val="22"/>
                <w:szCs w:val="22"/>
              </w:rPr>
              <w:t xml:space="preserve"> – logframe revisions were undertaken in new logframe </w:t>
            </w:r>
            <w:r w:rsidR="00DA088B">
              <w:rPr>
                <w:rFonts w:cs="Arial"/>
                <w:sz w:val="22"/>
                <w:szCs w:val="22"/>
              </w:rPr>
              <w:t xml:space="preserve">updates </w:t>
            </w:r>
            <w:r>
              <w:rPr>
                <w:rFonts w:cs="Arial"/>
                <w:sz w:val="22"/>
                <w:szCs w:val="22"/>
              </w:rPr>
              <w:t>(for 2025</w:t>
            </w:r>
            <w:r w:rsidR="00DA088B">
              <w:rPr>
                <w:rFonts w:cs="Arial"/>
                <w:sz w:val="22"/>
                <w:szCs w:val="22"/>
              </w:rPr>
              <w:t>, this Annual Review,</w:t>
            </w:r>
            <w:r>
              <w:rPr>
                <w:rFonts w:cs="Arial"/>
                <w:sz w:val="22"/>
                <w:szCs w:val="22"/>
              </w:rPr>
              <w:t xml:space="preserve"> reporting). </w:t>
            </w:r>
          </w:p>
        </w:tc>
      </w:tr>
      <w:tr w:rsidR="008B1763" w:rsidRPr="00D80C6C" w14:paraId="2483F714" w14:textId="77777777" w:rsidTr="6F3FE58C">
        <w:tc>
          <w:tcPr>
            <w:tcW w:w="6225" w:type="dxa"/>
          </w:tcPr>
          <w:p w14:paraId="25E1262C" w14:textId="0655544E" w:rsidR="00D0302B" w:rsidRPr="00914717" w:rsidRDefault="00914717" w:rsidP="00C676D1">
            <w:pPr>
              <w:rPr>
                <w:rFonts w:cs="Arial"/>
                <w:sz w:val="22"/>
                <w:szCs w:val="22"/>
              </w:rPr>
            </w:pPr>
            <w:r w:rsidRPr="008A03D2">
              <w:rPr>
                <w:rFonts w:cs="Arial"/>
                <w:b/>
                <w:bCs/>
                <w:sz w:val="22"/>
                <w:szCs w:val="22"/>
              </w:rPr>
              <w:t>Recommendation 2</w:t>
            </w:r>
            <w:r w:rsidRPr="00914717">
              <w:rPr>
                <w:rFonts w:cs="Arial"/>
                <w:sz w:val="22"/>
                <w:szCs w:val="22"/>
              </w:rPr>
              <w:t>: Engage with the planned Mid-Term Review including implementing the relevant changes to the programme and associated logframe </w:t>
            </w:r>
          </w:p>
        </w:tc>
        <w:tc>
          <w:tcPr>
            <w:tcW w:w="2791" w:type="dxa"/>
          </w:tcPr>
          <w:p w14:paraId="49823DA6" w14:textId="7D626065" w:rsidR="00D0302B" w:rsidRPr="00DA088B" w:rsidRDefault="00DA088B" w:rsidP="00C676D1">
            <w:pPr>
              <w:rPr>
                <w:rFonts w:cs="Arial"/>
                <w:sz w:val="22"/>
                <w:szCs w:val="22"/>
              </w:rPr>
            </w:pPr>
            <w:r w:rsidRPr="000C0269">
              <w:rPr>
                <w:rFonts w:cs="Arial"/>
                <w:b/>
                <w:bCs/>
                <w:sz w:val="22"/>
                <w:szCs w:val="22"/>
              </w:rPr>
              <w:t>Achieved.</w:t>
            </w:r>
            <w:r>
              <w:rPr>
                <w:rFonts w:cs="Arial"/>
                <w:sz w:val="22"/>
                <w:szCs w:val="22"/>
              </w:rPr>
              <w:t xml:space="preserve"> </w:t>
            </w:r>
            <w:hyperlink r:id="rId21" w:history="1">
              <w:r w:rsidRPr="00A9687B">
                <w:rPr>
                  <w:rStyle w:val="Hyperlink"/>
                  <w:rFonts w:cs="Arial"/>
                  <w:sz w:val="22"/>
                  <w:szCs w:val="22"/>
                </w:rPr>
                <w:t>Mid-Term Review</w:t>
              </w:r>
            </w:hyperlink>
            <w:r>
              <w:rPr>
                <w:rFonts w:cs="Arial"/>
                <w:sz w:val="22"/>
                <w:szCs w:val="22"/>
              </w:rPr>
              <w:t xml:space="preserve"> was complete</w:t>
            </w:r>
            <w:r w:rsidR="00A948A7">
              <w:rPr>
                <w:rFonts w:cs="Arial"/>
                <w:sz w:val="22"/>
                <w:szCs w:val="22"/>
              </w:rPr>
              <w:t xml:space="preserve"> and programme team responded. Recommendations from the Mid-Term Review were taken through to the AIM4Forests Extension Business Case process</w:t>
            </w:r>
            <w:r w:rsidR="000C0269">
              <w:rPr>
                <w:rFonts w:cs="Arial"/>
                <w:sz w:val="22"/>
                <w:szCs w:val="22"/>
              </w:rPr>
              <w:t>, which incorporated many of these (including extending the term of the programme to 2030, and adding additional finance to support country work</w:t>
            </w:r>
            <w:r w:rsidR="008B1763">
              <w:rPr>
                <w:rFonts w:cs="Arial"/>
                <w:sz w:val="22"/>
                <w:szCs w:val="22"/>
              </w:rPr>
              <w:t xml:space="preserve"> and alignment of commodities work</w:t>
            </w:r>
            <w:r w:rsidR="000C0269">
              <w:rPr>
                <w:rFonts w:cs="Arial"/>
                <w:sz w:val="22"/>
                <w:szCs w:val="22"/>
              </w:rPr>
              <w:t xml:space="preserve">). </w:t>
            </w:r>
          </w:p>
        </w:tc>
      </w:tr>
      <w:tr w:rsidR="008B1763" w:rsidRPr="00D80C6C" w14:paraId="76F25969" w14:textId="77777777" w:rsidTr="6F3FE58C">
        <w:tc>
          <w:tcPr>
            <w:tcW w:w="6225" w:type="dxa"/>
          </w:tcPr>
          <w:p w14:paraId="76FFE955" w14:textId="56688C5A" w:rsidR="00D0302B" w:rsidRPr="00D80C6C" w:rsidRDefault="00C676D1" w:rsidP="00C676D1">
            <w:pPr>
              <w:rPr>
                <w:rFonts w:cs="Arial"/>
                <w:b/>
                <w:sz w:val="22"/>
                <w:szCs w:val="22"/>
              </w:rPr>
            </w:pPr>
            <w:r w:rsidRPr="00C676D1">
              <w:rPr>
                <w:rFonts w:cs="Arial"/>
                <w:b/>
                <w:bCs/>
                <w:sz w:val="22"/>
                <w:szCs w:val="22"/>
              </w:rPr>
              <w:t>Recommendation 3: </w:t>
            </w:r>
            <w:r w:rsidRPr="008A03D2">
              <w:rPr>
                <w:rFonts w:cs="Arial"/>
                <w:bCs/>
                <w:sz w:val="22"/>
                <w:szCs w:val="22"/>
              </w:rPr>
              <w:t>Reflect the new Output 7 on nature restoration in the logframe</w:t>
            </w:r>
            <w:r w:rsidRPr="00C676D1">
              <w:rPr>
                <w:rFonts w:cs="Arial"/>
                <w:b/>
                <w:sz w:val="22"/>
                <w:szCs w:val="22"/>
              </w:rPr>
              <w:t>  </w:t>
            </w:r>
          </w:p>
        </w:tc>
        <w:tc>
          <w:tcPr>
            <w:tcW w:w="2791" w:type="dxa"/>
          </w:tcPr>
          <w:p w14:paraId="52A74AED" w14:textId="345AFC4D" w:rsidR="00D0302B" w:rsidRPr="00A9687B" w:rsidRDefault="00A9687B" w:rsidP="00C676D1">
            <w:pPr>
              <w:rPr>
                <w:rFonts w:cs="Arial"/>
                <w:sz w:val="22"/>
                <w:szCs w:val="22"/>
              </w:rPr>
            </w:pPr>
            <w:r w:rsidRPr="00A9687B">
              <w:rPr>
                <w:rFonts w:cs="Arial"/>
                <w:b/>
                <w:bCs/>
                <w:sz w:val="22"/>
                <w:szCs w:val="22"/>
              </w:rPr>
              <w:t>Achieved.</w:t>
            </w:r>
            <w:r>
              <w:rPr>
                <w:rFonts w:cs="Arial"/>
                <w:sz w:val="22"/>
                <w:szCs w:val="22"/>
              </w:rPr>
              <w:t xml:space="preserve"> Output 7 reflected in both the updated Theory of Change and updated logframe. </w:t>
            </w:r>
          </w:p>
        </w:tc>
      </w:tr>
      <w:tr w:rsidR="008B1763" w:rsidRPr="00D80C6C" w14:paraId="184A9C10" w14:textId="77777777" w:rsidTr="6F3FE58C">
        <w:tc>
          <w:tcPr>
            <w:tcW w:w="6225" w:type="dxa"/>
          </w:tcPr>
          <w:p w14:paraId="67674246" w14:textId="50AC7C65" w:rsidR="00C676D1" w:rsidRPr="00D80C6C" w:rsidRDefault="00C676D1" w:rsidP="00C676D1">
            <w:pPr>
              <w:rPr>
                <w:rFonts w:cs="Arial"/>
                <w:b/>
                <w:sz w:val="22"/>
                <w:szCs w:val="22"/>
              </w:rPr>
            </w:pPr>
            <w:r w:rsidRPr="00C676D1">
              <w:rPr>
                <w:rFonts w:cs="Arial"/>
                <w:b/>
                <w:bCs/>
                <w:sz w:val="22"/>
                <w:szCs w:val="22"/>
              </w:rPr>
              <w:t>Recommendation 4: </w:t>
            </w:r>
            <w:r w:rsidRPr="008A03D2">
              <w:rPr>
                <w:rFonts w:cs="Arial"/>
                <w:bCs/>
                <w:sz w:val="22"/>
                <w:szCs w:val="22"/>
              </w:rPr>
              <w:t>Continue work to</w:t>
            </w:r>
            <w:r w:rsidR="001337AD">
              <w:rPr>
                <w:rFonts w:cs="Arial"/>
                <w:bCs/>
                <w:sz w:val="22"/>
                <w:szCs w:val="22"/>
              </w:rPr>
              <w:t xml:space="preserve"> </w:t>
            </w:r>
            <w:r w:rsidRPr="008A03D2">
              <w:rPr>
                <w:rFonts w:cs="Arial"/>
                <w:bCs/>
                <w:sz w:val="22"/>
                <w:szCs w:val="22"/>
              </w:rPr>
              <w:t>implement</w:t>
            </w:r>
            <w:r w:rsidR="001337AD">
              <w:rPr>
                <w:rFonts w:cs="Arial"/>
                <w:bCs/>
                <w:sz w:val="22"/>
                <w:szCs w:val="22"/>
              </w:rPr>
              <w:t xml:space="preserve"> </w:t>
            </w:r>
            <w:r w:rsidR="00544B76">
              <w:rPr>
                <w:rFonts w:cs="Arial"/>
                <w:bCs/>
                <w:sz w:val="22"/>
                <w:szCs w:val="22"/>
              </w:rPr>
              <w:t>r</w:t>
            </w:r>
            <w:r w:rsidRPr="008A03D2">
              <w:rPr>
                <w:rFonts w:cs="Arial"/>
                <w:bCs/>
                <w:sz w:val="22"/>
                <w:szCs w:val="22"/>
              </w:rPr>
              <w:t>ecommendation 2 from the previous Annual Revie</w:t>
            </w:r>
            <w:r w:rsidR="001337AD">
              <w:rPr>
                <w:rFonts w:cs="Arial"/>
                <w:bCs/>
                <w:sz w:val="22"/>
                <w:szCs w:val="22"/>
              </w:rPr>
              <w:t>w. (</w:t>
            </w:r>
            <w:r w:rsidR="001337AD" w:rsidRPr="001337AD">
              <w:rPr>
                <w:rFonts w:cs="Arial"/>
                <w:bCs/>
                <w:sz w:val="22"/>
                <w:szCs w:val="22"/>
              </w:rPr>
              <w:t>UK DESNZ</w:t>
            </w:r>
            <w:r w:rsidR="00A9687B">
              <w:rPr>
                <w:rFonts w:cs="Arial"/>
                <w:bCs/>
                <w:sz w:val="22"/>
                <w:szCs w:val="22"/>
              </w:rPr>
              <w:t xml:space="preserve"> </w:t>
            </w:r>
            <w:r w:rsidR="001337AD" w:rsidRPr="001337AD">
              <w:rPr>
                <w:rFonts w:cs="Arial"/>
                <w:bCs/>
                <w:sz w:val="22"/>
                <w:szCs w:val="22"/>
              </w:rPr>
              <w:t xml:space="preserve">and FAO to work together to accelerate progress on IP &amp; LC work under AIM4Forests, including ensuring that one event showcasing IP &amp; LC stewardship is held and one South-South IP &amp; LC MRV exchange takes place in 2024 </w:t>
            </w:r>
            <w:r w:rsidR="001337AD" w:rsidRPr="001337AD">
              <w:rPr>
                <w:rFonts w:cs="Arial"/>
                <w:bCs/>
                <w:sz w:val="22"/>
                <w:szCs w:val="22"/>
              </w:rPr>
              <w:lastRenderedPageBreak/>
              <w:t xml:space="preserve">(likely in the second half of 2024). Progress is critical on Output Set 2 over the next calendar year and beyond, and it is essential that the programme </w:t>
            </w:r>
            <w:proofErr w:type="gramStart"/>
            <w:r w:rsidR="001337AD" w:rsidRPr="001337AD">
              <w:rPr>
                <w:rFonts w:cs="Arial"/>
                <w:bCs/>
                <w:sz w:val="22"/>
                <w:szCs w:val="22"/>
              </w:rPr>
              <w:t>is able to</w:t>
            </w:r>
            <w:proofErr w:type="gramEnd"/>
            <w:r w:rsidR="001337AD" w:rsidRPr="001337AD">
              <w:rPr>
                <w:rFonts w:cs="Arial"/>
                <w:bCs/>
                <w:sz w:val="22"/>
                <w:szCs w:val="22"/>
              </w:rPr>
              <w:t xml:space="preserve"> deliver. DESNZ and FAO will work together on delivering and coordinating this output, including ensuring lessons learned are embedded for relevance and coherence of work, and ensuring continued engagement with broader IP &amp; LC stakeholder groups.</w:t>
            </w:r>
            <w:r w:rsidR="001337AD">
              <w:rPr>
                <w:rFonts w:cs="Arial"/>
                <w:bCs/>
                <w:sz w:val="22"/>
                <w:szCs w:val="22"/>
              </w:rPr>
              <w:t>)</w:t>
            </w:r>
          </w:p>
        </w:tc>
        <w:tc>
          <w:tcPr>
            <w:tcW w:w="2791" w:type="dxa"/>
          </w:tcPr>
          <w:p w14:paraId="7F6672AF" w14:textId="154F2804" w:rsidR="00C676D1" w:rsidRPr="003822C2" w:rsidRDefault="00A9687B" w:rsidP="003822C2">
            <w:pPr>
              <w:rPr>
                <w:rFonts w:cs="Arial"/>
                <w:sz w:val="22"/>
                <w:szCs w:val="22"/>
              </w:rPr>
            </w:pPr>
            <w:r w:rsidRPr="00A9687B">
              <w:rPr>
                <w:rFonts w:cs="Arial"/>
                <w:b/>
                <w:bCs/>
                <w:sz w:val="22"/>
                <w:szCs w:val="22"/>
              </w:rPr>
              <w:lastRenderedPageBreak/>
              <w:t>Achieved.</w:t>
            </w:r>
            <w:r w:rsidR="003822C2">
              <w:rPr>
                <w:rFonts w:cs="Arial"/>
                <w:b/>
                <w:bCs/>
                <w:sz w:val="22"/>
                <w:szCs w:val="22"/>
              </w:rPr>
              <w:t xml:space="preserve"> </w:t>
            </w:r>
            <w:r w:rsidR="003822C2">
              <w:rPr>
                <w:rFonts w:cs="Arial"/>
                <w:sz w:val="22"/>
                <w:szCs w:val="22"/>
              </w:rPr>
              <w:t xml:space="preserve">Progress on IP &amp; LC activities has advanced in the last year - </w:t>
            </w:r>
            <w:r w:rsidR="003822C2" w:rsidRPr="003822C2">
              <w:rPr>
                <w:rFonts w:cs="Arial"/>
                <w:sz w:val="22"/>
                <w:szCs w:val="22"/>
              </w:rPr>
              <w:t xml:space="preserve">all five performance indicators </w:t>
            </w:r>
            <w:r w:rsidR="003822C2">
              <w:rPr>
                <w:rFonts w:cs="Arial"/>
                <w:sz w:val="22"/>
                <w:szCs w:val="22"/>
              </w:rPr>
              <w:t xml:space="preserve">within this output have </w:t>
            </w:r>
            <w:r w:rsidR="003822C2" w:rsidRPr="003822C2">
              <w:rPr>
                <w:rFonts w:cs="Arial"/>
                <w:sz w:val="22"/>
                <w:szCs w:val="22"/>
              </w:rPr>
              <w:t xml:space="preserve">met or </w:t>
            </w:r>
            <w:r w:rsidR="003822C2" w:rsidRPr="003822C2">
              <w:rPr>
                <w:rFonts w:cs="Arial"/>
                <w:sz w:val="22"/>
                <w:szCs w:val="22"/>
              </w:rPr>
              <w:lastRenderedPageBreak/>
              <w:t>exceeded expectations, meaning that the IP-led regional Communities of Practice as well as the CBD indicator work are progressing as planned.</w:t>
            </w:r>
          </w:p>
        </w:tc>
      </w:tr>
      <w:tr w:rsidR="008B1763" w:rsidRPr="00D80C6C" w14:paraId="63909915" w14:textId="77777777" w:rsidTr="6F3FE58C">
        <w:tc>
          <w:tcPr>
            <w:tcW w:w="6225" w:type="dxa"/>
          </w:tcPr>
          <w:p w14:paraId="1CE6A19B" w14:textId="4F9C0D94" w:rsidR="00C676D1" w:rsidRPr="00D80C6C" w:rsidRDefault="008A03D2" w:rsidP="00C676D1">
            <w:pPr>
              <w:rPr>
                <w:rFonts w:cs="Arial"/>
                <w:b/>
                <w:sz w:val="22"/>
                <w:szCs w:val="22"/>
              </w:rPr>
            </w:pPr>
            <w:r w:rsidRPr="008A03D2">
              <w:rPr>
                <w:rFonts w:cs="Arial"/>
                <w:b/>
                <w:bCs/>
                <w:sz w:val="22"/>
                <w:szCs w:val="22"/>
              </w:rPr>
              <w:lastRenderedPageBreak/>
              <w:t>Recommendation 5: </w:t>
            </w:r>
            <w:r w:rsidRPr="00544B76">
              <w:rPr>
                <w:rFonts w:cs="Arial"/>
                <w:bCs/>
                <w:sz w:val="22"/>
                <w:szCs w:val="22"/>
              </w:rPr>
              <w:t>Continue work to implement Recommendation 3 from the previous Annual Review and ensure oversight and coordination on the interlinks between the AIM4Forests country technical assistance packages and the CLP programme </w:t>
            </w:r>
            <w:r w:rsidR="00544B76" w:rsidRPr="00544B76">
              <w:rPr>
                <w:rFonts w:cs="Arial"/>
                <w:bCs/>
                <w:sz w:val="22"/>
                <w:szCs w:val="22"/>
              </w:rPr>
              <w:t>(To encourage Country-Led Planning (CLP) uptake and acceleration this year, GFOI to provide clear communications on how forest countries and technical assistance providers can engage with, and utilise, the CLP process, including via workshop (s) planned for 2024. FAO Delivery Team and DESNZ to consider routes to accelerate CLP implementation, as well as through information dissemination and to promote CLP for coordination, including through engagements with international partners.)</w:t>
            </w:r>
          </w:p>
        </w:tc>
        <w:tc>
          <w:tcPr>
            <w:tcW w:w="2791" w:type="dxa"/>
          </w:tcPr>
          <w:p w14:paraId="51A26B1F" w14:textId="4E9C46B7" w:rsidR="00891660" w:rsidRPr="0038557F" w:rsidRDefault="4CF14AFD" w:rsidP="00C676D1">
            <w:pPr>
              <w:rPr>
                <w:rFonts w:cs="Arial"/>
                <w:sz w:val="22"/>
                <w:szCs w:val="22"/>
              </w:rPr>
            </w:pPr>
            <w:r w:rsidRPr="6F3FE58C">
              <w:rPr>
                <w:rFonts w:cs="Arial"/>
                <w:b/>
                <w:bCs/>
                <w:sz w:val="22"/>
                <w:szCs w:val="22"/>
              </w:rPr>
              <w:t xml:space="preserve">Partially </w:t>
            </w:r>
            <w:r w:rsidR="28CB3441" w:rsidRPr="6F3FE58C">
              <w:rPr>
                <w:rFonts w:cs="Arial"/>
                <w:b/>
                <w:bCs/>
                <w:sz w:val="22"/>
                <w:szCs w:val="22"/>
              </w:rPr>
              <w:t>Achieved and</w:t>
            </w:r>
            <w:r w:rsidR="037876E0" w:rsidRPr="6F3FE58C">
              <w:rPr>
                <w:rFonts w:cs="Arial"/>
                <w:b/>
                <w:bCs/>
                <w:sz w:val="22"/>
                <w:szCs w:val="22"/>
              </w:rPr>
              <w:t xml:space="preserve"> rolled</w:t>
            </w:r>
            <w:r w:rsidR="1D4964DE" w:rsidRPr="6F3FE58C">
              <w:rPr>
                <w:rFonts w:cs="Arial"/>
                <w:b/>
                <w:bCs/>
                <w:sz w:val="22"/>
                <w:szCs w:val="22"/>
              </w:rPr>
              <w:t xml:space="preserve"> </w:t>
            </w:r>
            <w:r w:rsidR="037876E0" w:rsidRPr="6F3FE58C">
              <w:rPr>
                <w:rFonts w:cs="Arial"/>
                <w:b/>
                <w:bCs/>
                <w:sz w:val="22"/>
                <w:szCs w:val="22"/>
              </w:rPr>
              <w:t>over</w:t>
            </w:r>
            <w:r w:rsidR="7768F97A" w:rsidRPr="6F3FE58C">
              <w:rPr>
                <w:rFonts w:cs="Arial"/>
                <w:b/>
                <w:bCs/>
                <w:sz w:val="22"/>
                <w:szCs w:val="22"/>
              </w:rPr>
              <w:t xml:space="preserve"> </w:t>
            </w:r>
            <w:r w:rsidR="767678C7" w:rsidRPr="6F3FE58C">
              <w:rPr>
                <w:rFonts w:cs="Arial"/>
                <w:b/>
                <w:bCs/>
                <w:sz w:val="22"/>
                <w:szCs w:val="22"/>
              </w:rPr>
              <w:t>–</w:t>
            </w:r>
            <w:r w:rsidR="7768F97A" w:rsidRPr="6F3FE58C">
              <w:rPr>
                <w:rFonts w:cs="Arial"/>
                <w:b/>
                <w:bCs/>
                <w:sz w:val="22"/>
                <w:szCs w:val="22"/>
              </w:rPr>
              <w:t xml:space="preserve"> </w:t>
            </w:r>
            <w:r w:rsidR="767678C7" w:rsidRPr="6F3FE58C">
              <w:rPr>
                <w:rFonts w:cs="Arial"/>
                <w:b/>
                <w:bCs/>
                <w:sz w:val="22"/>
                <w:szCs w:val="22"/>
              </w:rPr>
              <w:t>CLP has provided further communications and alignment opportunities, but lessons show that this is yet to be fully embedded or replicated in other forums</w:t>
            </w:r>
            <w:r w:rsidR="037876E0" w:rsidRPr="6F3FE58C">
              <w:rPr>
                <w:rFonts w:cs="Arial"/>
                <w:b/>
                <w:bCs/>
                <w:sz w:val="22"/>
                <w:szCs w:val="22"/>
              </w:rPr>
              <w:t>.</w:t>
            </w:r>
            <w:r w:rsidR="1E72BD2E" w:rsidRPr="6F3FE58C">
              <w:rPr>
                <w:rFonts w:cs="Arial"/>
                <w:b/>
                <w:bCs/>
                <w:sz w:val="22"/>
                <w:szCs w:val="22"/>
              </w:rPr>
              <w:t xml:space="preserve"> </w:t>
            </w:r>
            <w:r w:rsidR="0038557F" w:rsidRPr="6F3FE58C">
              <w:rPr>
                <w:rFonts w:cs="Arial"/>
                <w:sz w:val="22"/>
                <w:szCs w:val="22"/>
              </w:rPr>
              <w:t>Some progress on Country-Led Planning has been slightly below expectations. For example, the impact of US ODA funding cuts on engagement in the GFOI</w:t>
            </w:r>
            <w:r w:rsidR="0010243F" w:rsidRPr="6F3FE58C">
              <w:rPr>
                <w:rFonts w:cs="Arial"/>
                <w:sz w:val="22"/>
                <w:szCs w:val="22"/>
              </w:rPr>
              <w:t xml:space="preserve"> has also impacted engagement with Country-Led Planning by other initiatives. However, there should continue to be emphasis on translating CLP to be useable for other entities. Recommend continuing to disseminate and distribute learnings from CLP beyond the programme</w:t>
            </w:r>
          </w:p>
          <w:p w14:paraId="601B597F" w14:textId="77777777" w:rsidR="00891660" w:rsidRDefault="00891660" w:rsidP="00C676D1">
            <w:pPr>
              <w:rPr>
                <w:rFonts w:cs="Arial"/>
                <w:b/>
                <w:bCs/>
                <w:sz w:val="22"/>
                <w:szCs w:val="22"/>
              </w:rPr>
            </w:pPr>
          </w:p>
          <w:p w14:paraId="56D2799E" w14:textId="52D9DA28" w:rsidR="00C676D1" w:rsidRPr="00B503D7" w:rsidRDefault="00B503D7" w:rsidP="00C676D1">
            <w:pPr>
              <w:rPr>
                <w:rFonts w:cs="Arial"/>
                <w:sz w:val="22"/>
                <w:szCs w:val="22"/>
              </w:rPr>
            </w:pPr>
            <w:r>
              <w:rPr>
                <w:rFonts w:cs="Arial"/>
                <w:sz w:val="22"/>
                <w:szCs w:val="22"/>
              </w:rPr>
              <w:t xml:space="preserve">The AIM4Forests Mid-Term Review also identified the need to interlink </w:t>
            </w:r>
            <w:r w:rsidR="00891660">
              <w:rPr>
                <w:rFonts w:cs="Arial"/>
                <w:sz w:val="22"/>
                <w:szCs w:val="22"/>
              </w:rPr>
              <w:t xml:space="preserve">County-Led Planning (CLP) and Technical Assistance (TA) work. </w:t>
            </w:r>
            <w:r w:rsidR="00DB4325">
              <w:rPr>
                <w:rFonts w:cs="Arial"/>
                <w:sz w:val="22"/>
                <w:szCs w:val="22"/>
              </w:rPr>
              <w:t xml:space="preserve">Recommend including CLP activities in overall country workplans for 2026 onwards. </w:t>
            </w:r>
          </w:p>
        </w:tc>
      </w:tr>
      <w:tr w:rsidR="008B1763" w:rsidRPr="00D80C6C" w14:paraId="759C6474" w14:textId="77777777" w:rsidTr="6F3FE58C">
        <w:tc>
          <w:tcPr>
            <w:tcW w:w="6225" w:type="dxa"/>
          </w:tcPr>
          <w:p w14:paraId="611AEEDB" w14:textId="5AF5F01C" w:rsidR="00C676D1" w:rsidRPr="00D80C6C" w:rsidRDefault="008A03D2" w:rsidP="00C676D1">
            <w:pPr>
              <w:rPr>
                <w:rFonts w:cs="Arial"/>
                <w:b/>
                <w:sz w:val="22"/>
                <w:szCs w:val="22"/>
              </w:rPr>
            </w:pPr>
            <w:r w:rsidRPr="008A03D2">
              <w:rPr>
                <w:rFonts w:cs="Arial"/>
                <w:b/>
                <w:bCs/>
                <w:sz w:val="22"/>
                <w:szCs w:val="22"/>
              </w:rPr>
              <w:t>Recommendation 6: </w:t>
            </w:r>
            <w:r w:rsidRPr="008A03D2">
              <w:rPr>
                <w:rFonts w:cs="Arial"/>
                <w:b/>
                <w:sz w:val="22"/>
                <w:szCs w:val="22"/>
              </w:rPr>
              <w:t> </w:t>
            </w:r>
            <w:r w:rsidRPr="00544B76">
              <w:rPr>
                <w:rFonts w:cs="Arial"/>
                <w:bCs/>
                <w:sz w:val="22"/>
                <w:szCs w:val="22"/>
              </w:rPr>
              <w:t>DESNZ and FAO should agree to, and implement a plan to manage the anticipated budget shortfall on Programme Output 5</w:t>
            </w:r>
            <w:r w:rsidRPr="008A03D2">
              <w:rPr>
                <w:rFonts w:cs="Arial"/>
                <w:b/>
                <w:sz w:val="22"/>
                <w:szCs w:val="22"/>
              </w:rPr>
              <w:t> </w:t>
            </w:r>
          </w:p>
        </w:tc>
        <w:tc>
          <w:tcPr>
            <w:tcW w:w="2791" w:type="dxa"/>
          </w:tcPr>
          <w:p w14:paraId="614A2C8F" w14:textId="6D905116" w:rsidR="00C676D1" w:rsidRPr="00544B76" w:rsidRDefault="00E42CDB" w:rsidP="00C676D1">
            <w:pPr>
              <w:rPr>
                <w:rFonts w:cs="Arial"/>
                <w:sz w:val="22"/>
                <w:szCs w:val="22"/>
              </w:rPr>
            </w:pPr>
            <w:r w:rsidRPr="00E42CDB">
              <w:rPr>
                <w:rFonts w:cs="Arial"/>
                <w:b/>
                <w:bCs/>
                <w:sz w:val="22"/>
                <w:szCs w:val="22"/>
              </w:rPr>
              <w:t>Achieved.</w:t>
            </w:r>
            <w:r>
              <w:rPr>
                <w:rFonts w:cs="Arial"/>
                <w:sz w:val="22"/>
                <w:szCs w:val="22"/>
              </w:rPr>
              <w:t xml:space="preserve"> Additional funding was approved during the </w:t>
            </w:r>
            <w:r w:rsidR="00D758C0">
              <w:rPr>
                <w:rFonts w:cs="Arial"/>
                <w:sz w:val="22"/>
                <w:szCs w:val="22"/>
              </w:rPr>
              <w:t xml:space="preserve">Change Request and </w:t>
            </w:r>
            <w:r>
              <w:rPr>
                <w:rFonts w:cs="Arial"/>
                <w:sz w:val="22"/>
                <w:szCs w:val="22"/>
              </w:rPr>
              <w:t>Extension Business Case process – adding a further</w:t>
            </w:r>
            <w:r w:rsidR="00D758C0">
              <w:rPr>
                <w:rFonts w:cs="Arial"/>
                <w:sz w:val="22"/>
                <w:szCs w:val="22"/>
              </w:rPr>
              <w:t xml:space="preserve"> £7m, and</w:t>
            </w:r>
            <w:r>
              <w:rPr>
                <w:rFonts w:cs="Arial"/>
                <w:sz w:val="22"/>
                <w:szCs w:val="22"/>
              </w:rPr>
              <w:t xml:space="preserve"> £16.9m to the AIM4Forests programme, as well as extending the term by two years, now to 2030. </w:t>
            </w:r>
          </w:p>
        </w:tc>
      </w:tr>
    </w:tbl>
    <w:p w14:paraId="449A1E23" w14:textId="77777777" w:rsidR="00E42CDB" w:rsidRDefault="00E42CDB" w:rsidP="004D5FD5">
      <w:pPr>
        <w:jc w:val="both"/>
        <w:rPr>
          <w:rStyle w:val="Heading2Char"/>
        </w:rPr>
      </w:pPr>
    </w:p>
    <w:p w14:paraId="788BE7E1" w14:textId="1E3BCCB1" w:rsidR="003D222C" w:rsidRPr="009E3F6E" w:rsidRDefault="003D222C" w:rsidP="004D5FD5">
      <w:pPr>
        <w:jc w:val="both"/>
      </w:pPr>
      <w:bookmarkStart w:id="5" w:name="_Toc228283629"/>
      <w:r w:rsidRPr="5302A23D">
        <w:rPr>
          <w:rStyle w:val="Heading2Char"/>
        </w:rPr>
        <w:t>Major lessons and recommendations for the year ahead</w:t>
      </w:r>
      <w:bookmarkEnd w:id="5"/>
      <w:r>
        <w:t xml:space="preserve"> </w:t>
      </w:r>
    </w:p>
    <w:p w14:paraId="773A77CC" w14:textId="1912BB68" w:rsidR="00D0302B" w:rsidRDefault="00D0302B" w:rsidP="004D5FD5">
      <w:pPr>
        <w:jc w:val="both"/>
        <w:rPr>
          <w:rFonts w:cs="Arial"/>
          <w:sz w:val="22"/>
          <w:szCs w:val="22"/>
        </w:rPr>
      </w:pPr>
    </w:p>
    <w:tbl>
      <w:tblPr>
        <w:tblStyle w:val="TableGrid"/>
        <w:tblW w:w="9016" w:type="dxa"/>
        <w:tblLook w:val="04A0" w:firstRow="1" w:lastRow="0" w:firstColumn="1" w:lastColumn="0" w:noHBand="0" w:noVBand="1"/>
      </w:tblPr>
      <w:tblGrid>
        <w:gridCol w:w="6362"/>
        <w:gridCol w:w="2654"/>
      </w:tblGrid>
      <w:tr w:rsidR="008B1763" w:rsidRPr="00D80C6C" w14:paraId="4B25CB90" w14:textId="77777777" w:rsidTr="6F3FE58C">
        <w:tc>
          <w:tcPr>
            <w:tcW w:w="6362" w:type="dxa"/>
            <w:shd w:val="clear" w:color="auto" w:fill="DEEAF6" w:themeFill="accent5" w:themeFillTint="33"/>
          </w:tcPr>
          <w:p w14:paraId="321EF4D2" w14:textId="3D979080" w:rsidR="00D0302B" w:rsidRPr="00D80C6C" w:rsidRDefault="20CE3A89" w:rsidP="6F3FE58C">
            <w:pPr>
              <w:jc w:val="both"/>
              <w:rPr>
                <w:rFonts w:cs="Arial"/>
                <w:b/>
                <w:bCs/>
                <w:sz w:val="22"/>
                <w:szCs w:val="22"/>
              </w:rPr>
            </w:pPr>
            <w:r w:rsidRPr="6F3FE58C">
              <w:rPr>
                <w:rFonts w:cs="Arial"/>
                <w:b/>
                <w:bCs/>
                <w:sz w:val="22"/>
                <w:szCs w:val="22"/>
              </w:rPr>
              <w:t>Recommendation</w:t>
            </w:r>
          </w:p>
        </w:tc>
        <w:tc>
          <w:tcPr>
            <w:tcW w:w="2654" w:type="dxa"/>
            <w:shd w:val="clear" w:color="auto" w:fill="DEEAF6" w:themeFill="accent5" w:themeFillTint="33"/>
          </w:tcPr>
          <w:p w14:paraId="68A2DDD9" w14:textId="3FAD9E3D" w:rsidR="00D0302B" w:rsidRPr="00D80C6C" w:rsidRDefault="00D0302B" w:rsidP="004D5FD5">
            <w:pPr>
              <w:jc w:val="both"/>
              <w:rPr>
                <w:rFonts w:cs="Arial"/>
                <w:b/>
                <w:sz w:val="22"/>
                <w:szCs w:val="22"/>
              </w:rPr>
            </w:pPr>
            <w:r>
              <w:rPr>
                <w:rFonts w:cs="Arial"/>
                <w:b/>
                <w:sz w:val="22"/>
                <w:szCs w:val="22"/>
              </w:rPr>
              <w:t>Deadline</w:t>
            </w:r>
          </w:p>
        </w:tc>
      </w:tr>
      <w:tr w:rsidR="008B1763" w:rsidRPr="00D80C6C" w14:paraId="2775F316" w14:textId="77777777" w:rsidTr="6F3FE58C">
        <w:tc>
          <w:tcPr>
            <w:tcW w:w="6362" w:type="dxa"/>
          </w:tcPr>
          <w:p w14:paraId="03FF2537" w14:textId="5C722D0D" w:rsidR="00D0302B" w:rsidRPr="00380FD2" w:rsidRDefault="00380FD2" w:rsidP="004D5FD5">
            <w:pPr>
              <w:jc w:val="both"/>
              <w:rPr>
                <w:rFonts w:cs="Arial"/>
                <w:bCs/>
                <w:sz w:val="22"/>
                <w:szCs w:val="22"/>
              </w:rPr>
            </w:pPr>
            <w:r>
              <w:rPr>
                <w:rFonts w:cs="Arial"/>
                <w:b/>
                <w:sz w:val="22"/>
                <w:szCs w:val="22"/>
              </w:rPr>
              <w:t>Recommendation 1</w:t>
            </w:r>
            <w:r w:rsidR="00B8513F">
              <w:rPr>
                <w:rFonts w:cs="Arial"/>
                <w:b/>
                <w:sz w:val="22"/>
                <w:szCs w:val="22"/>
              </w:rPr>
              <w:t xml:space="preserve"> [Logframe]</w:t>
            </w:r>
            <w:r>
              <w:rPr>
                <w:rFonts w:cs="Arial"/>
                <w:b/>
                <w:sz w:val="22"/>
                <w:szCs w:val="22"/>
              </w:rPr>
              <w:t xml:space="preserve">: </w:t>
            </w:r>
            <w:r>
              <w:rPr>
                <w:rFonts w:cs="Arial"/>
                <w:bCs/>
                <w:sz w:val="22"/>
                <w:szCs w:val="22"/>
              </w:rPr>
              <w:t xml:space="preserve">Finalise and sign off updated Theory of Change and associated logframe reporting for 2026 onwards. </w:t>
            </w:r>
            <w:r w:rsidR="00F44B3C">
              <w:rPr>
                <w:rFonts w:cs="Arial"/>
                <w:bCs/>
                <w:sz w:val="22"/>
                <w:szCs w:val="22"/>
              </w:rPr>
              <w:t xml:space="preserve">During the Extension Business Case process, </w:t>
            </w:r>
            <w:r w:rsidR="00FC3A24">
              <w:rPr>
                <w:rFonts w:cs="Arial"/>
                <w:bCs/>
                <w:sz w:val="22"/>
                <w:szCs w:val="22"/>
              </w:rPr>
              <w:t xml:space="preserve">draft </w:t>
            </w:r>
            <w:r w:rsidR="00F44B3C">
              <w:rPr>
                <w:rFonts w:cs="Arial"/>
                <w:bCs/>
                <w:sz w:val="22"/>
                <w:szCs w:val="22"/>
              </w:rPr>
              <w:t xml:space="preserve">logframe updates were undertaken to embed new activities and extend the logframe to 2030 (as the programme has been extended by two years). </w:t>
            </w:r>
            <w:r w:rsidR="001C138B">
              <w:rPr>
                <w:rFonts w:cs="Arial"/>
                <w:bCs/>
                <w:sz w:val="22"/>
                <w:szCs w:val="22"/>
              </w:rPr>
              <w:t xml:space="preserve">There are ongoing discussions on finalising this logframe, and these should conclude </w:t>
            </w:r>
            <w:r w:rsidR="00FC3A24">
              <w:rPr>
                <w:rFonts w:cs="Arial"/>
                <w:bCs/>
                <w:sz w:val="22"/>
                <w:szCs w:val="22"/>
              </w:rPr>
              <w:t>following the AIM4Forests March 2026 Steering Committee.</w:t>
            </w:r>
            <w:r w:rsidR="00F56DAD">
              <w:rPr>
                <w:rFonts w:cs="Arial"/>
                <w:bCs/>
                <w:sz w:val="22"/>
                <w:szCs w:val="22"/>
              </w:rPr>
              <w:t xml:space="preserve"> </w:t>
            </w:r>
          </w:p>
        </w:tc>
        <w:tc>
          <w:tcPr>
            <w:tcW w:w="2654" w:type="dxa"/>
          </w:tcPr>
          <w:p w14:paraId="3D8DA150" w14:textId="77777777" w:rsidR="00D0302B" w:rsidRDefault="00FC3A24" w:rsidP="004D5FD5">
            <w:pPr>
              <w:jc w:val="both"/>
              <w:rPr>
                <w:rFonts w:cs="Arial"/>
                <w:sz w:val="22"/>
                <w:szCs w:val="22"/>
              </w:rPr>
            </w:pPr>
            <w:r>
              <w:rPr>
                <w:rFonts w:cs="Arial"/>
                <w:sz w:val="22"/>
                <w:szCs w:val="22"/>
              </w:rPr>
              <w:t>April 2026.</w:t>
            </w:r>
          </w:p>
          <w:p w14:paraId="27570797" w14:textId="77777777" w:rsidR="007203AF" w:rsidRPr="007203AF" w:rsidRDefault="007203AF" w:rsidP="007203AF">
            <w:pPr>
              <w:rPr>
                <w:rFonts w:cs="Arial"/>
                <w:sz w:val="22"/>
                <w:szCs w:val="22"/>
              </w:rPr>
            </w:pPr>
          </w:p>
          <w:p w14:paraId="14F46E61" w14:textId="77777777" w:rsidR="007203AF" w:rsidRPr="007203AF" w:rsidRDefault="007203AF" w:rsidP="007203AF">
            <w:pPr>
              <w:rPr>
                <w:rFonts w:cs="Arial"/>
                <w:sz w:val="22"/>
                <w:szCs w:val="22"/>
              </w:rPr>
            </w:pPr>
          </w:p>
          <w:p w14:paraId="78C23769" w14:textId="77777777" w:rsidR="007203AF" w:rsidRPr="007203AF" w:rsidRDefault="007203AF" w:rsidP="007203AF">
            <w:pPr>
              <w:rPr>
                <w:rFonts w:cs="Arial"/>
                <w:sz w:val="22"/>
                <w:szCs w:val="22"/>
              </w:rPr>
            </w:pPr>
          </w:p>
          <w:p w14:paraId="729C47B5" w14:textId="77777777" w:rsidR="007203AF" w:rsidRPr="007203AF" w:rsidRDefault="007203AF" w:rsidP="007203AF">
            <w:pPr>
              <w:rPr>
                <w:rFonts w:cs="Arial"/>
                <w:sz w:val="22"/>
                <w:szCs w:val="22"/>
              </w:rPr>
            </w:pPr>
          </w:p>
          <w:p w14:paraId="40BD4A83" w14:textId="77777777" w:rsidR="007203AF" w:rsidRDefault="007203AF" w:rsidP="007203AF">
            <w:pPr>
              <w:rPr>
                <w:rFonts w:cs="Arial"/>
                <w:sz w:val="22"/>
                <w:szCs w:val="22"/>
              </w:rPr>
            </w:pPr>
          </w:p>
          <w:p w14:paraId="6E43508C" w14:textId="230F0D83" w:rsidR="007203AF" w:rsidRPr="007203AF" w:rsidRDefault="007203AF" w:rsidP="007203AF">
            <w:pPr>
              <w:jc w:val="right"/>
              <w:rPr>
                <w:rFonts w:cs="Arial"/>
                <w:sz w:val="22"/>
                <w:szCs w:val="22"/>
              </w:rPr>
            </w:pPr>
          </w:p>
        </w:tc>
      </w:tr>
      <w:tr w:rsidR="008B1763" w:rsidRPr="00D80C6C" w14:paraId="1A7BBA1B" w14:textId="77777777" w:rsidTr="6F3FE58C">
        <w:tc>
          <w:tcPr>
            <w:tcW w:w="6362" w:type="dxa"/>
          </w:tcPr>
          <w:p w14:paraId="211A4089" w14:textId="291AF4BB" w:rsidR="00B8513F" w:rsidRPr="00B8513F" w:rsidRDefault="00B8513F" w:rsidP="00B8513F">
            <w:pPr>
              <w:jc w:val="both"/>
              <w:rPr>
                <w:rFonts w:cs="Arial"/>
                <w:bCs/>
                <w:sz w:val="22"/>
                <w:szCs w:val="22"/>
              </w:rPr>
            </w:pPr>
            <w:r>
              <w:rPr>
                <w:rFonts w:cs="Arial"/>
                <w:b/>
                <w:sz w:val="22"/>
                <w:szCs w:val="22"/>
              </w:rPr>
              <w:t xml:space="preserve">Recommendation 2: [Logframe]: </w:t>
            </w:r>
            <w:r w:rsidR="00D2414B">
              <w:rPr>
                <w:rFonts w:cs="Arial"/>
                <w:bCs/>
                <w:sz w:val="22"/>
                <w:szCs w:val="22"/>
              </w:rPr>
              <w:t>There has been some difficulties with reporting on ICF Key Performance Indicators</w:t>
            </w:r>
            <w:r w:rsidR="008257D4">
              <w:rPr>
                <w:rFonts w:cs="Arial"/>
                <w:bCs/>
                <w:sz w:val="22"/>
                <w:szCs w:val="22"/>
              </w:rPr>
              <w:t>, notable KPI 5</w:t>
            </w:r>
            <w:r w:rsidR="00D2414B">
              <w:rPr>
                <w:rFonts w:cs="Arial"/>
                <w:bCs/>
                <w:sz w:val="22"/>
                <w:szCs w:val="22"/>
              </w:rPr>
              <w:t xml:space="preserve">. </w:t>
            </w:r>
            <w:r w:rsidRPr="00B8513F">
              <w:rPr>
                <w:rFonts w:cs="Arial"/>
                <w:bCs/>
                <w:sz w:val="22"/>
                <w:szCs w:val="22"/>
              </w:rPr>
              <w:t xml:space="preserve">To clarify </w:t>
            </w:r>
            <w:r w:rsidR="008257D4">
              <w:rPr>
                <w:rFonts w:cs="Arial"/>
                <w:bCs/>
                <w:sz w:val="22"/>
                <w:szCs w:val="22"/>
              </w:rPr>
              <w:t>these</w:t>
            </w:r>
            <w:r w:rsidRPr="00B8513F">
              <w:rPr>
                <w:rFonts w:cs="Arial"/>
                <w:bCs/>
                <w:sz w:val="22"/>
                <w:szCs w:val="22"/>
              </w:rPr>
              <w:t xml:space="preserve"> reporting lines</w:t>
            </w:r>
            <w:r w:rsidR="008C0008">
              <w:rPr>
                <w:rFonts w:cs="Arial"/>
                <w:bCs/>
                <w:sz w:val="22"/>
                <w:szCs w:val="22"/>
              </w:rPr>
              <w:t xml:space="preserve"> on </w:t>
            </w:r>
            <w:r w:rsidR="00D2414B">
              <w:rPr>
                <w:rFonts w:cs="Arial"/>
                <w:bCs/>
                <w:sz w:val="22"/>
                <w:szCs w:val="22"/>
              </w:rPr>
              <w:t>tonnes of CO2eq supported by AIM4Forests</w:t>
            </w:r>
            <w:r w:rsidRPr="00B8513F">
              <w:rPr>
                <w:rFonts w:cs="Arial"/>
                <w:bCs/>
                <w:sz w:val="22"/>
                <w:szCs w:val="22"/>
              </w:rPr>
              <w:t xml:space="preserve">, we will create one indicator on TA KPI 5 (which will include national reporting such as BTRs as well as carbon credits verified – to continue reporting similar to this year), and one indicator solely on carbon credits produced/verified and transactable, through support on AIM4Forests. </w:t>
            </w:r>
            <w:r w:rsidR="008257D4">
              <w:rPr>
                <w:rFonts w:cs="Arial"/>
                <w:bCs/>
                <w:sz w:val="22"/>
                <w:szCs w:val="22"/>
              </w:rPr>
              <w:t>We will i</w:t>
            </w:r>
            <w:r w:rsidRPr="00B8513F">
              <w:rPr>
                <w:rFonts w:cs="Arial"/>
                <w:bCs/>
                <w:sz w:val="22"/>
                <w:szCs w:val="22"/>
              </w:rPr>
              <w:t xml:space="preserve">ncrease targets for both indicators in updated logframe. This has currently been drafted as: </w:t>
            </w:r>
          </w:p>
          <w:p w14:paraId="055F8F7E" w14:textId="34A7B6BD" w:rsidR="00D0302B" w:rsidRPr="00B8513F" w:rsidRDefault="00B8513F" w:rsidP="00B8513F">
            <w:pPr>
              <w:pStyle w:val="ListParagraph"/>
              <w:numPr>
                <w:ilvl w:val="0"/>
                <w:numId w:val="39"/>
              </w:numPr>
              <w:jc w:val="both"/>
              <w:rPr>
                <w:rFonts w:cs="Arial"/>
                <w:b/>
                <w:sz w:val="22"/>
                <w:szCs w:val="22"/>
              </w:rPr>
            </w:pPr>
            <w:r w:rsidRPr="00B8513F">
              <w:rPr>
                <w:rFonts w:cs="Arial"/>
                <w:bCs/>
                <w:sz w:val="22"/>
                <w:szCs w:val="22"/>
              </w:rPr>
              <w:t xml:space="preserve">Outcome indicator 1.1: </w:t>
            </w:r>
            <w:r w:rsidRPr="000A43EC">
              <w:rPr>
                <w:rFonts w:cs="Arial"/>
                <w:bCs/>
                <w:i/>
                <w:iCs/>
                <w:sz w:val="22"/>
                <w:szCs w:val="22"/>
              </w:rPr>
              <w:t>Results of AIM4Forests supported forest mitigation and conservation programmes: (a) Extent of forest area where mitigation and conservation are incentivised (million ha); (b) [TA KPI 5] Volume of emissions reduced or avoided in forestry and land use sector, reported to reputable carbon standards and reporting contexts (million tCO2e); (c) Volume of forest/land-use credits verified (million carbon credits).</w:t>
            </w:r>
          </w:p>
        </w:tc>
        <w:tc>
          <w:tcPr>
            <w:tcW w:w="2654" w:type="dxa"/>
          </w:tcPr>
          <w:p w14:paraId="3E1082EE" w14:textId="31BB1BE1" w:rsidR="00D0302B" w:rsidRPr="00C32839" w:rsidRDefault="00C32839" w:rsidP="004D5FD5">
            <w:pPr>
              <w:jc w:val="both"/>
              <w:rPr>
                <w:rFonts w:cs="Arial"/>
                <w:sz w:val="22"/>
                <w:szCs w:val="22"/>
              </w:rPr>
            </w:pPr>
            <w:r>
              <w:rPr>
                <w:rFonts w:cs="Arial"/>
                <w:sz w:val="22"/>
                <w:szCs w:val="22"/>
              </w:rPr>
              <w:t>April 2026</w:t>
            </w:r>
          </w:p>
        </w:tc>
      </w:tr>
      <w:tr w:rsidR="008B1763" w:rsidRPr="00D80C6C" w14:paraId="5AD38C6D" w14:textId="77777777" w:rsidTr="6F3FE58C">
        <w:tc>
          <w:tcPr>
            <w:tcW w:w="6362" w:type="dxa"/>
          </w:tcPr>
          <w:p w14:paraId="1BA33B5A" w14:textId="6D9A4FE1" w:rsidR="00C32839" w:rsidRDefault="00EF469E" w:rsidP="00B8513F">
            <w:pPr>
              <w:jc w:val="both"/>
              <w:rPr>
                <w:rFonts w:cs="Arial"/>
                <w:bCs/>
                <w:sz w:val="22"/>
                <w:szCs w:val="22"/>
              </w:rPr>
            </w:pPr>
            <w:r>
              <w:rPr>
                <w:rFonts w:cs="Arial"/>
                <w:b/>
                <w:sz w:val="22"/>
                <w:szCs w:val="22"/>
              </w:rPr>
              <w:t xml:space="preserve">Recommendation 3 [Logframe]: </w:t>
            </w:r>
            <w:r w:rsidR="0099431C">
              <w:rPr>
                <w:rFonts w:cs="Arial"/>
                <w:bCs/>
                <w:sz w:val="22"/>
                <w:szCs w:val="22"/>
              </w:rPr>
              <w:t>There have been some opportunities within the programme that demonstrate where AIM4Forests may be contributing to a catalysation of additional finance. Therefore, it is recommended to i</w:t>
            </w:r>
            <w:r w:rsidR="00C32839">
              <w:rPr>
                <w:rFonts w:cs="Arial"/>
                <w:bCs/>
                <w:sz w:val="22"/>
                <w:szCs w:val="22"/>
              </w:rPr>
              <w:t>nclude an additional logframe outcome level indicator that is inspired by UK ICF KPI 11 on catalysing public finance</w:t>
            </w:r>
            <w:r w:rsidR="0099431C">
              <w:rPr>
                <w:rFonts w:cs="Arial"/>
                <w:bCs/>
                <w:sz w:val="22"/>
                <w:szCs w:val="22"/>
              </w:rPr>
              <w:t xml:space="preserve"> (contributing to mobilising finance)</w:t>
            </w:r>
          </w:p>
          <w:p w14:paraId="72CF2F73" w14:textId="6B3889AD" w:rsidR="007C175F" w:rsidRPr="007C175F" w:rsidRDefault="007C175F" w:rsidP="00C32839">
            <w:pPr>
              <w:pStyle w:val="ListParagraph"/>
              <w:numPr>
                <w:ilvl w:val="0"/>
                <w:numId w:val="39"/>
              </w:numPr>
              <w:jc w:val="both"/>
              <w:rPr>
                <w:rFonts w:cs="Arial"/>
                <w:bCs/>
                <w:sz w:val="22"/>
                <w:szCs w:val="22"/>
              </w:rPr>
            </w:pPr>
            <w:r w:rsidRPr="007C175F">
              <w:rPr>
                <w:rFonts w:cs="Arial"/>
                <w:bCs/>
                <w:sz w:val="22"/>
                <w:szCs w:val="22"/>
              </w:rPr>
              <w:t xml:space="preserve">Currently </w:t>
            </w:r>
            <w:r w:rsidR="00D46F8C">
              <w:rPr>
                <w:rFonts w:cs="Arial"/>
                <w:bCs/>
                <w:sz w:val="22"/>
                <w:szCs w:val="22"/>
              </w:rPr>
              <w:t xml:space="preserve">proposed </w:t>
            </w:r>
            <w:r w:rsidRPr="007C175F">
              <w:rPr>
                <w:rFonts w:cs="Arial"/>
                <w:bCs/>
                <w:sz w:val="22"/>
                <w:szCs w:val="22"/>
              </w:rPr>
              <w:t xml:space="preserve">drafted as </w:t>
            </w:r>
            <w:r w:rsidRPr="000A43EC">
              <w:rPr>
                <w:rFonts w:cs="Arial"/>
                <w:bCs/>
                <w:i/>
                <w:iCs/>
                <w:sz w:val="22"/>
                <w:szCs w:val="22"/>
              </w:rPr>
              <w:t>“Amount of public finance catalysed for countries, where AIM4Forests contributed to accessing funding</w:t>
            </w:r>
            <w:r w:rsidRPr="007C175F">
              <w:rPr>
                <w:rFonts w:cs="Arial"/>
                <w:bCs/>
                <w:sz w:val="22"/>
                <w:szCs w:val="22"/>
              </w:rPr>
              <w:t>”</w:t>
            </w:r>
          </w:p>
          <w:p w14:paraId="64FB7C44" w14:textId="4DC0A6E3" w:rsidR="00EF469E" w:rsidRPr="00C32839" w:rsidRDefault="00C32839" w:rsidP="00C32839">
            <w:pPr>
              <w:pStyle w:val="ListParagraph"/>
              <w:numPr>
                <w:ilvl w:val="0"/>
                <w:numId w:val="39"/>
              </w:numPr>
              <w:jc w:val="both"/>
              <w:rPr>
                <w:rFonts w:cs="Arial"/>
                <w:b/>
                <w:sz w:val="22"/>
                <w:szCs w:val="22"/>
              </w:rPr>
            </w:pPr>
            <w:r w:rsidRPr="00C32839">
              <w:rPr>
                <w:rFonts w:cs="Arial"/>
                <w:bCs/>
                <w:sz w:val="22"/>
                <w:szCs w:val="22"/>
              </w:rPr>
              <w:t>FAO to begin/continue to systematically document any co</w:t>
            </w:r>
            <w:r w:rsidRPr="00C32839">
              <w:rPr>
                <w:rFonts w:ascii="Cambria Math" w:hAnsi="Cambria Math" w:cs="Cambria Math"/>
                <w:bCs/>
                <w:sz w:val="22"/>
                <w:szCs w:val="22"/>
              </w:rPr>
              <w:t>‑</w:t>
            </w:r>
            <w:r w:rsidRPr="00C32839">
              <w:rPr>
                <w:rFonts w:cs="Arial"/>
                <w:bCs/>
                <w:sz w:val="22"/>
                <w:szCs w:val="22"/>
              </w:rPr>
              <w:t>delivered or complementary technical assistance involving other public actors. This includes noting instances of in</w:t>
            </w:r>
            <w:r w:rsidRPr="00C32839">
              <w:rPr>
                <w:rFonts w:ascii="Cambria Math" w:hAnsi="Cambria Math" w:cs="Cambria Math"/>
                <w:bCs/>
                <w:sz w:val="22"/>
                <w:szCs w:val="22"/>
              </w:rPr>
              <w:t>‑</w:t>
            </w:r>
            <w:r w:rsidRPr="00C32839">
              <w:rPr>
                <w:rFonts w:cs="Arial"/>
                <w:bCs/>
                <w:sz w:val="22"/>
                <w:szCs w:val="22"/>
              </w:rPr>
              <w:t>kind support or co</w:t>
            </w:r>
            <w:r w:rsidRPr="00C32839">
              <w:rPr>
                <w:rFonts w:ascii="Cambria Math" w:hAnsi="Cambria Math" w:cs="Cambria Math"/>
                <w:bCs/>
                <w:sz w:val="22"/>
                <w:szCs w:val="22"/>
              </w:rPr>
              <w:t>‑</w:t>
            </w:r>
            <w:r w:rsidRPr="00C32839">
              <w:rPr>
                <w:rFonts w:cs="Arial"/>
                <w:bCs/>
                <w:sz w:val="22"/>
                <w:szCs w:val="22"/>
              </w:rPr>
              <w:t xml:space="preserve">financing linked to AIM4Forests activities. Even without full valuation, this would support assessment of whether credible reporting against KPI 11 is feasible in future results rounds. </w:t>
            </w:r>
          </w:p>
        </w:tc>
        <w:tc>
          <w:tcPr>
            <w:tcW w:w="2654" w:type="dxa"/>
          </w:tcPr>
          <w:p w14:paraId="1EDB36D7" w14:textId="1A79BDEE" w:rsidR="00EF469E" w:rsidRPr="00C32839" w:rsidRDefault="00C32839" w:rsidP="004D5FD5">
            <w:pPr>
              <w:jc w:val="both"/>
              <w:rPr>
                <w:rFonts w:cs="Arial"/>
                <w:sz w:val="22"/>
                <w:szCs w:val="22"/>
              </w:rPr>
            </w:pPr>
            <w:r>
              <w:rPr>
                <w:rFonts w:cs="Arial"/>
                <w:sz w:val="22"/>
                <w:szCs w:val="22"/>
              </w:rPr>
              <w:t>April 2026</w:t>
            </w:r>
          </w:p>
        </w:tc>
      </w:tr>
      <w:tr w:rsidR="008B1763" w:rsidRPr="00D80C6C" w14:paraId="50A30B87" w14:textId="77777777" w:rsidTr="6F3FE58C">
        <w:tc>
          <w:tcPr>
            <w:tcW w:w="6362" w:type="dxa"/>
          </w:tcPr>
          <w:p w14:paraId="2E6E59FF" w14:textId="06FCA6A8" w:rsidR="00D0302B" w:rsidRDefault="000376A6" w:rsidP="004D5FD5">
            <w:pPr>
              <w:jc w:val="both"/>
              <w:rPr>
                <w:rFonts w:cs="Arial"/>
                <w:bCs/>
                <w:sz w:val="22"/>
                <w:szCs w:val="22"/>
              </w:rPr>
            </w:pPr>
            <w:r>
              <w:rPr>
                <w:rFonts w:cs="Arial"/>
                <w:b/>
                <w:sz w:val="22"/>
                <w:szCs w:val="22"/>
              </w:rPr>
              <w:t xml:space="preserve">Recommendation </w:t>
            </w:r>
            <w:r w:rsidR="00C32839">
              <w:rPr>
                <w:rFonts w:cs="Arial"/>
                <w:b/>
                <w:sz w:val="22"/>
                <w:szCs w:val="22"/>
              </w:rPr>
              <w:t>4</w:t>
            </w:r>
            <w:r>
              <w:rPr>
                <w:rFonts w:cs="Arial"/>
                <w:b/>
                <w:sz w:val="22"/>
                <w:szCs w:val="22"/>
              </w:rPr>
              <w:t xml:space="preserve"> [Logframe]: </w:t>
            </w:r>
            <w:r>
              <w:rPr>
                <w:rFonts w:cs="Arial"/>
                <w:bCs/>
                <w:sz w:val="22"/>
                <w:szCs w:val="22"/>
              </w:rPr>
              <w:t>The following logframe milestones and targets should be revised upwards to maintain ambition under the programme, as they have substantially exceeded expectations</w:t>
            </w:r>
            <w:r w:rsidR="00BF3CC0">
              <w:rPr>
                <w:rFonts w:cs="Arial"/>
                <w:bCs/>
                <w:sz w:val="22"/>
                <w:szCs w:val="22"/>
              </w:rPr>
              <w:t xml:space="preserve"> of subsequent milestones</w:t>
            </w:r>
            <w:r w:rsidR="008257D4">
              <w:rPr>
                <w:rFonts w:cs="Arial"/>
                <w:bCs/>
                <w:sz w:val="22"/>
                <w:szCs w:val="22"/>
              </w:rPr>
              <w:t xml:space="preserve">. The following </w:t>
            </w:r>
            <w:r w:rsidR="008257D4">
              <w:rPr>
                <w:rFonts w:cs="Arial"/>
                <w:bCs/>
                <w:sz w:val="22"/>
                <w:szCs w:val="22"/>
              </w:rPr>
              <w:lastRenderedPageBreak/>
              <w:t>indicators are proposed, and the programme team (DESNZ and FAO) will discuss potential upwards adjustments:</w:t>
            </w:r>
          </w:p>
          <w:p w14:paraId="37CD8861" w14:textId="665C1078" w:rsidR="000376A6" w:rsidRDefault="000376A6" w:rsidP="000376A6">
            <w:pPr>
              <w:pStyle w:val="ListParagraph"/>
              <w:numPr>
                <w:ilvl w:val="0"/>
                <w:numId w:val="40"/>
              </w:numPr>
              <w:jc w:val="both"/>
              <w:rPr>
                <w:rFonts w:cs="Arial"/>
                <w:bCs/>
                <w:sz w:val="22"/>
                <w:szCs w:val="22"/>
              </w:rPr>
            </w:pPr>
            <w:r>
              <w:rPr>
                <w:rFonts w:cs="Arial"/>
                <w:bCs/>
                <w:sz w:val="22"/>
                <w:szCs w:val="22"/>
              </w:rPr>
              <w:t xml:space="preserve">Outcome Indicator 1.3 </w:t>
            </w:r>
            <w:r w:rsidR="008B1E5B">
              <w:rPr>
                <w:rFonts w:cs="Arial"/>
                <w:bCs/>
                <w:sz w:val="22"/>
                <w:szCs w:val="22"/>
              </w:rPr>
              <w:t>(individuals and organisations supported)</w:t>
            </w:r>
          </w:p>
          <w:p w14:paraId="7CE0031E" w14:textId="77777777" w:rsidR="008B1E5B" w:rsidRDefault="00856EEF" w:rsidP="000376A6">
            <w:pPr>
              <w:pStyle w:val="ListParagraph"/>
              <w:numPr>
                <w:ilvl w:val="0"/>
                <w:numId w:val="40"/>
              </w:numPr>
              <w:jc w:val="both"/>
              <w:rPr>
                <w:rFonts w:cs="Arial"/>
                <w:bCs/>
                <w:sz w:val="22"/>
                <w:szCs w:val="22"/>
              </w:rPr>
            </w:pPr>
            <w:r>
              <w:rPr>
                <w:rFonts w:cs="Arial"/>
                <w:bCs/>
                <w:sz w:val="22"/>
                <w:szCs w:val="22"/>
              </w:rPr>
              <w:t>Output indicator 1.2 (users of e-learning)</w:t>
            </w:r>
          </w:p>
          <w:p w14:paraId="6ACF4634" w14:textId="77777777" w:rsidR="00856EEF" w:rsidRDefault="00856EEF" w:rsidP="000376A6">
            <w:pPr>
              <w:pStyle w:val="ListParagraph"/>
              <w:numPr>
                <w:ilvl w:val="0"/>
                <w:numId w:val="40"/>
              </w:numPr>
              <w:jc w:val="both"/>
              <w:rPr>
                <w:rFonts w:cs="Arial"/>
                <w:bCs/>
                <w:sz w:val="22"/>
                <w:szCs w:val="22"/>
              </w:rPr>
            </w:pPr>
            <w:r>
              <w:rPr>
                <w:rFonts w:cs="Arial"/>
                <w:bCs/>
                <w:sz w:val="22"/>
                <w:szCs w:val="22"/>
              </w:rPr>
              <w:t>Output Indicator 1.3 (% o</w:t>
            </w:r>
            <w:r w:rsidR="00CB5363">
              <w:rPr>
                <w:rFonts w:cs="Arial"/>
                <w:bCs/>
                <w:sz w:val="22"/>
                <w:szCs w:val="22"/>
              </w:rPr>
              <w:t>f e-learning users acquiring/applying new knowledge)</w:t>
            </w:r>
          </w:p>
          <w:p w14:paraId="7F44887C" w14:textId="16F1AC88" w:rsidR="00CB5363" w:rsidRDefault="00CB5363" w:rsidP="000376A6">
            <w:pPr>
              <w:pStyle w:val="ListParagraph"/>
              <w:numPr>
                <w:ilvl w:val="0"/>
                <w:numId w:val="40"/>
              </w:numPr>
              <w:jc w:val="both"/>
              <w:rPr>
                <w:rFonts w:cs="Arial"/>
                <w:bCs/>
                <w:sz w:val="22"/>
                <w:szCs w:val="22"/>
              </w:rPr>
            </w:pPr>
            <w:r>
              <w:rPr>
                <w:rFonts w:cs="Arial"/>
                <w:bCs/>
                <w:sz w:val="22"/>
                <w:szCs w:val="22"/>
              </w:rPr>
              <w:t xml:space="preserve">Output Indicator 1.5 (user of new </w:t>
            </w:r>
            <w:r w:rsidR="00BF3CC0">
              <w:rPr>
                <w:rFonts w:cs="Arial"/>
                <w:bCs/>
                <w:sz w:val="22"/>
                <w:szCs w:val="22"/>
              </w:rPr>
              <w:t>technologies</w:t>
            </w:r>
            <w:r>
              <w:rPr>
                <w:rFonts w:cs="Arial"/>
                <w:bCs/>
                <w:sz w:val="22"/>
                <w:szCs w:val="22"/>
              </w:rPr>
              <w:t>/tools/solutions)</w:t>
            </w:r>
          </w:p>
          <w:p w14:paraId="54D99D43" w14:textId="77777777" w:rsidR="00CB5363" w:rsidRDefault="00CB5363" w:rsidP="000376A6">
            <w:pPr>
              <w:pStyle w:val="ListParagraph"/>
              <w:numPr>
                <w:ilvl w:val="0"/>
                <w:numId w:val="40"/>
              </w:numPr>
              <w:jc w:val="both"/>
              <w:rPr>
                <w:rFonts w:cs="Arial"/>
                <w:bCs/>
                <w:sz w:val="22"/>
                <w:szCs w:val="22"/>
              </w:rPr>
            </w:pPr>
            <w:r>
              <w:rPr>
                <w:rFonts w:cs="Arial"/>
                <w:bCs/>
                <w:sz w:val="22"/>
                <w:szCs w:val="22"/>
              </w:rPr>
              <w:t>Output Indicator 1.6 (</w:t>
            </w:r>
            <w:r w:rsidR="00BF3CC0">
              <w:rPr>
                <w:rFonts w:cs="Arial"/>
                <w:bCs/>
                <w:sz w:val="22"/>
                <w:szCs w:val="22"/>
              </w:rPr>
              <w:t>meetings, webinar, publications).</w:t>
            </w:r>
          </w:p>
          <w:p w14:paraId="44098FC0" w14:textId="2A34C1E9" w:rsidR="00B76029" w:rsidRPr="000376A6" w:rsidRDefault="00B76029" w:rsidP="000376A6">
            <w:pPr>
              <w:pStyle w:val="ListParagraph"/>
              <w:numPr>
                <w:ilvl w:val="0"/>
                <w:numId w:val="40"/>
              </w:numPr>
              <w:jc w:val="both"/>
              <w:rPr>
                <w:rFonts w:cs="Arial"/>
                <w:bCs/>
                <w:sz w:val="22"/>
                <w:szCs w:val="22"/>
              </w:rPr>
            </w:pPr>
            <w:r>
              <w:rPr>
                <w:rFonts w:cs="Arial"/>
                <w:bCs/>
                <w:sz w:val="22"/>
                <w:szCs w:val="22"/>
              </w:rPr>
              <w:t>Output Indicator 2.3</w:t>
            </w:r>
            <w:r w:rsidR="00B7534C">
              <w:rPr>
                <w:rFonts w:cs="Arial"/>
                <w:bCs/>
                <w:sz w:val="22"/>
                <w:szCs w:val="22"/>
              </w:rPr>
              <w:t xml:space="preserve"> (% IP events feedback)</w:t>
            </w:r>
          </w:p>
        </w:tc>
        <w:tc>
          <w:tcPr>
            <w:tcW w:w="2654" w:type="dxa"/>
          </w:tcPr>
          <w:p w14:paraId="3DDC89E6" w14:textId="57C71FA5" w:rsidR="00D0302B" w:rsidRPr="00C32839" w:rsidRDefault="00C32839" w:rsidP="004D5FD5">
            <w:pPr>
              <w:jc w:val="both"/>
              <w:rPr>
                <w:rFonts w:cs="Arial"/>
                <w:sz w:val="22"/>
                <w:szCs w:val="22"/>
              </w:rPr>
            </w:pPr>
            <w:r>
              <w:rPr>
                <w:rFonts w:cs="Arial"/>
                <w:sz w:val="22"/>
                <w:szCs w:val="22"/>
              </w:rPr>
              <w:lastRenderedPageBreak/>
              <w:t>April 2026</w:t>
            </w:r>
          </w:p>
        </w:tc>
      </w:tr>
      <w:tr w:rsidR="008B1763" w14:paraId="3C96BBA2" w14:textId="77777777" w:rsidTr="6F3FE58C">
        <w:trPr>
          <w:trHeight w:val="2230"/>
        </w:trPr>
        <w:tc>
          <w:tcPr>
            <w:tcW w:w="6362" w:type="dxa"/>
          </w:tcPr>
          <w:p w14:paraId="1B5EDE12" w14:textId="02881069" w:rsidR="09E3DA98" w:rsidRDefault="09E3DA98" w:rsidP="09E3DA98">
            <w:pPr>
              <w:jc w:val="both"/>
              <w:rPr>
                <w:rFonts w:cs="Arial"/>
                <w:sz w:val="22"/>
                <w:szCs w:val="22"/>
              </w:rPr>
            </w:pPr>
            <w:r w:rsidRPr="2AD6CA6F">
              <w:rPr>
                <w:rFonts w:cs="Arial"/>
                <w:b/>
                <w:bCs/>
                <w:sz w:val="22"/>
                <w:szCs w:val="22"/>
              </w:rPr>
              <w:t xml:space="preserve">Recommendation </w:t>
            </w:r>
            <w:r w:rsidR="46FF24BA" w:rsidRPr="2AD6CA6F">
              <w:rPr>
                <w:rFonts w:cs="Arial"/>
                <w:b/>
                <w:bCs/>
                <w:sz w:val="22"/>
                <w:szCs w:val="22"/>
              </w:rPr>
              <w:t>5</w:t>
            </w:r>
            <w:r w:rsidRPr="2AD6CA6F">
              <w:rPr>
                <w:rFonts w:cs="Arial"/>
                <w:b/>
                <w:bCs/>
                <w:sz w:val="22"/>
                <w:szCs w:val="22"/>
              </w:rPr>
              <w:t xml:space="preserve">: </w:t>
            </w:r>
            <w:r w:rsidRPr="2AD6CA6F">
              <w:rPr>
                <w:rFonts w:cs="Arial"/>
                <w:sz w:val="22"/>
                <w:szCs w:val="22"/>
              </w:rPr>
              <w:t xml:space="preserve">Strengthen the </w:t>
            </w:r>
            <w:r w:rsidRPr="2AD6CA6F">
              <w:rPr>
                <w:rFonts w:cs="Arial"/>
                <w:b/>
                <w:bCs/>
                <w:sz w:val="22"/>
                <w:szCs w:val="22"/>
              </w:rPr>
              <w:t>integration of gender considerations</w:t>
            </w:r>
            <w:r w:rsidRPr="2AD6CA6F">
              <w:rPr>
                <w:rFonts w:cs="Arial"/>
                <w:sz w:val="22"/>
                <w:szCs w:val="22"/>
              </w:rPr>
              <w:t xml:space="preserve"> across AIM4Forests activities, monitoring and learning, with a particular focus on increasing women’s participation and leadership within IPLC‑focused workstreams. Continue to review gender participation data across activities to identify barriers and opportunities for improvement. Work with FAO and delivery partners to </w:t>
            </w:r>
            <w:r w:rsidR="00B5460A">
              <w:rPr>
                <w:rFonts w:cs="Arial"/>
                <w:sz w:val="22"/>
                <w:szCs w:val="22"/>
              </w:rPr>
              <w:t>strengthen</w:t>
            </w:r>
            <w:r w:rsidRPr="2AD6CA6F">
              <w:rPr>
                <w:rFonts w:cs="Arial"/>
                <w:sz w:val="22"/>
                <w:szCs w:val="22"/>
              </w:rPr>
              <w:t xml:space="preserve"> </w:t>
            </w:r>
            <w:r w:rsidR="008257D4">
              <w:rPr>
                <w:rFonts w:cs="Arial"/>
                <w:sz w:val="22"/>
                <w:szCs w:val="22"/>
              </w:rPr>
              <w:t xml:space="preserve">the IPLC </w:t>
            </w:r>
            <w:r w:rsidRPr="2AD6CA6F">
              <w:rPr>
                <w:rFonts w:cs="Arial"/>
                <w:sz w:val="22"/>
                <w:szCs w:val="22"/>
              </w:rPr>
              <w:t>Community of Practice / event design, outreach and facilitation approaches to better support</w:t>
            </w:r>
            <w:r w:rsidR="008257D4">
              <w:rPr>
                <w:rFonts w:cs="Arial"/>
                <w:sz w:val="22"/>
                <w:szCs w:val="22"/>
              </w:rPr>
              <w:t xml:space="preserve"> and enhance</w:t>
            </w:r>
            <w:r w:rsidRPr="2AD6CA6F">
              <w:rPr>
                <w:rFonts w:cs="Arial"/>
                <w:sz w:val="22"/>
                <w:szCs w:val="22"/>
              </w:rPr>
              <w:t xml:space="preserve"> women’s participation.</w:t>
            </w:r>
          </w:p>
        </w:tc>
        <w:tc>
          <w:tcPr>
            <w:tcW w:w="2654" w:type="dxa"/>
          </w:tcPr>
          <w:p w14:paraId="0CD1ACDC" w14:textId="3E2310C8" w:rsidR="09E3DA98" w:rsidRDefault="09E3DA98" w:rsidP="09E3DA98">
            <w:pPr>
              <w:jc w:val="both"/>
              <w:rPr>
                <w:rFonts w:cs="Arial"/>
                <w:sz w:val="22"/>
                <w:szCs w:val="22"/>
              </w:rPr>
            </w:pPr>
            <w:r w:rsidRPr="09E3DA98">
              <w:rPr>
                <w:rFonts w:cs="Arial"/>
                <w:sz w:val="22"/>
                <w:szCs w:val="22"/>
              </w:rPr>
              <w:t xml:space="preserve">End of </w:t>
            </w:r>
            <w:r w:rsidR="009964A8">
              <w:rPr>
                <w:rFonts w:cs="Arial"/>
                <w:sz w:val="22"/>
                <w:szCs w:val="22"/>
              </w:rPr>
              <w:t>2026</w:t>
            </w:r>
          </w:p>
        </w:tc>
      </w:tr>
      <w:tr w:rsidR="008B1763" w:rsidRPr="00D80C6C" w14:paraId="7D26C86C" w14:textId="77777777" w:rsidTr="6F3FE58C">
        <w:trPr>
          <w:trHeight w:val="2670"/>
        </w:trPr>
        <w:tc>
          <w:tcPr>
            <w:tcW w:w="6362" w:type="dxa"/>
          </w:tcPr>
          <w:p w14:paraId="3DB24210" w14:textId="22A88DDA" w:rsidR="000376A6" w:rsidRPr="00D80C6C" w:rsidRDefault="3A48ACEE" w:rsidP="004D5FD5">
            <w:pPr>
              <w:jc w:val="both"/>
              <w:rPr>
                <w:rFonts w:cs="Arial"/>
                <w:sz w:val="22"/>
                <w:szCs w:val="22"/>
              </w:rPr>
            </w:pPr>
            <w:r w:rsidRPr="09E3DA98">
              <w:rPr>
                <w:rFonts w:cs="Arial"/>
                <w:b/>
                <w:bCs/>
                <w:sz w:val="22"/>
                <w:szCs w:val="22"/>
              </w:rPr>
              <w:t xml:space="preserve">Recommendation </w:t>
            </w:r>
            <w:r w:rsidR="50013030" w:rsidRPr="09E3DA98">
              <w:rPr>
                <w:rFonts w:cs="Arial"/>
                <w:b/>
                <w:bCs/>
                <w:sz w:val="22"/>
                <w:szCs w:val="22"/>
              </w:rPr>
              <w:t>6</w:t>
            </w:r>
            <w:r w:rsidRPr="09E3DA98">
              <w:rPr>
                <w:rFonts w:cs="Arial"/>
                <w:b/>
                <w:bCs/>
                <w:sz w:val="22"/>
                <w:szCs w:val="22"/>
              </w:rPr>
              <w:t xml:space="preserve">: </w:t>
            </w:r>
            <w:r w:rsidRPr="09E3DA98">
              <w:rPr>
                <w:rFonts w:cs="Arial"/>
                <w:sz w:val="22"/>
                <w:szCs w:val="22"/>
              </w:rPr>
              <w:t>Strengthen the</w:t>
            </w:r>
            <w:r w:rsidRPr="09E3DA98">
              <w:rPr>
                <w:rFonts w:cs="Arial"/>
                <w:b/>
                <w:bCs/>
                <w:sz w:val="22"/>
                <w:szCs w:val="22"/>
              </w:rPr>
              <w:t xml:space="preserve"> integration of Country‑Led Planning</w:t>
            </w:r>
            <w:r w:rsidRPr="09E3DA98">
              <w:rPr>
                <w:rFonts w:cs="Arial"/>
                <w:sz w:val="22"/>
                <w:szCs w:val="22"/>
              </w:rPr>
              <w:t xml:space="preserve"> (CLP) across AIM4Forests country engagement and technical assistance, and improve communication on how CLP approaches, tools and learning can be used by countries and other technical partners beyond FAO. Finalise and disseminate the CLP Programme of Support, clearly setting out how countries and external partners can engage with and apply CLP approaches independently. Embed CLP outputs more systematically within country technical assistance packages and workplans</w:t>
            </w:r>
            <w:r w:rsidR="006F5770">
              <w:rPr>
                <w:rFonts w:cs="Arial"/>
                <w:sz w:val="22"/>
                <w:szCs w:val="22"/>
              </w:rPr>
              <w:t xml:space="preserve"> [completed in March 2026 with new workplans]</w:t>
            </w:r>
            <w:r w:rsidRPr="09E3DA98">
              <w:rPr>
                <w:rFonts w:cs="Arial"/>
                <w:sz w:val="22"/>
                <w:szCs w:val="22"/>
              </w:rPr>
              <w:t>. Use GFOI and other international platforms to share CLP learning, case studies and practical guidance to encourage wider adoption.</w:t>
            </w:r>
            <w:r w:rsidR="008257D4">
              <w:rPr>
                <w:rFonts w:cs="Arial"/>
                <w:sz w:val="22"/>
                <w:szCs w:val="22"/>
              </w:rPr>
              <w:t xml:space="preserve"> Strengthen access of information on the GFOI CLP website to ensure easy</w:t>
            </w:r>
            <w:r w:rsidR="008316ED">
              <w:rPr>
                <w:rFonts w:cs="Arial"/>
                <w:sz w:val="22"/>
                <w:szCs w:val="22"/>
              </w:rPr>
              <w:t xml:space="preserve"> transfer of knowledge/lessons.</w:t>
            </w:r>
          </w:p>
        </w:tc>
        <w:tc>
          <w:tcPr>
            <w:tcW w:w="2654" w:type="dxa"/>
          </w:tcPr>
          <w:p w14:paraId="7A9D3C7F" w14:textId="624DB953" w:rsidR="000376A6" w:rsidRPr="00D80C6C" w:rsidRDefault="3A48ACEE" w:rsidP="004D5FD5">
            <w:pPr>
              <w:jc w:val="both"/>
              <w:rPr>
                <w:rFonts w:cs="Arial"/>
                <w:sz w:val="22"/>
                <w:szCs w:val="22"/>
              </w:rPr>
            </w:pPr>
            <w:r w:rsidRPr="3DE2AADC">
              <w:rPr>
                <w:rFonts w:cs="Arial"/>
                <w:sz w:val="22"/>
                <w:szCs w:val="22"/>
              </w:rPr>
              <w:t xml:space="preserve">End of </w:t>
            </w:r>
            <w:r w:rsidR="009964A8">
              <w:rPr>
                <w:rFonts w:cs="Arial"/>
                <w:sz w:val="22"/>
                <w:szCs w:val="22"/>
              </w:rPr>
              <w:t>2026</w:t>
            </w:r>
          </w:p>
        </w:tc>
      </w:tr>
      <w:tr w:rsidR="008B1763" w14:paraId="2BF9D30D" w14:textId="77777777" w:rsidTr="6F3FE58C">
        <w:trPr>
          <w:trHeight w:val="300"/>
        </w:trPr>
        <w:tc>
          <w:tcPr>
            <w:tcW w:w="6362" w:type="dxa"/>
          </w:tcPr>
          <w:p w14:paraId="0553C8F3" w14:textId="6EAAC107" w:rsidR="38C16B10" w:rsidRDefault="3A48ACEE" w:rsidP="09E3DA98">
            <w:pPr>
              <w:jc w:val="both"/>
              <w:rPr>
                <w:rFonts w:cs="Arial"/>
                <w:b/>
                <w:bCs/>
                <w:sz w:val="22"/>
                <w:szCs w:val="22"/>
              </w:rPr>
            </w:pPr>
            <w:r w:rsidRPr="09E3DA98">
              <w:rPr>
                <w:rFonts w:cs="Arial"/>
                <w:b/>
                <w:bCs/>
                <w:sz w:val="22"/>
                <w:szCs w:val="22"/>
              </w:rPr>
              <w:t xml:space="preserve">Recommendation </w:t>
            </w:r>
            <w:r w:rsidR="09FEA2C3" w:rsidRPr="09E3DA98">
              <w:rPr>
                <w:rFonts w:cs="Arial"/>
                <w:b/>
                <w:bCs/>
                <w:sz w:val="22"/>
                <w:szCs w:val="22"/>
              </w:rPr>
              <w:t>7</w:t>
            </w:r>
            <w:r w:rsidRPr="09E3DA98">
              <w:rPr>
                <w:rFonts w:cs="Arial"/>
                <w:b/>
                <w:bCs/>
                <w:sz w:val="22"/>
                <w:szCs w:val="22"/>
              </w:rPr>
              <w:t xml:space="preserve">: </w:t>
            </w:r>
            <w:r w:rsidRPr="09E3DA98">
              <w:rPr>
                <w:rFonts w:cs="Arial"/>
                <w:sz w:val="22"/>
                <w:szCs w:val="22"/>
              </w:rPr>
              <w:t xml:space="preserve">Undertake a structured </w:t>
            </w:r>
            <w:r w:rsidRPr="09E3DA98">
              <w:rPr>
                <w:rFonts w:cs="Arial"/>
                <w:b/>
                <w:bCs/>
                <w:sz w:val="22"/>
                <w:szCs w:val="22"/>
              </w:rPr>
              <w:t xml:space="preserve">country strategy and reflection exercise </w:t>
            </w:r>
            <w:r w:rsidRPr="09E3DA98">
              <w:rPr>
                <w:rFonts w:cs="Arial"/>
                <w:sz w:val="22"/>
                <w:szCs w:val="22"/>
              </w:rPr>
              <w:t xml:space="preserve">to reassess how AIM4Forests plans, sequences and transitions country support, with emphasis on multi‑year </w:t>
            </w:r>
            <w:r w:rsidR="00C430A5">
              <w:rPr>
                <w:rFonts w:cs="Arial"/>
                <w:sz w:val="22"/>
                <w:szCs w:val="22"/>
              </w:rPr>
              <w:t xml:space="preserve">strategy </w:t>
            </w:r>
            <w:r w:rsidRPr="09E3DA98">
              <w:rPr>
                <w:rFonts w:cs="Arial"/>
                <w:sz w:val="22"/>
                <w:szCs w:val="22"/>
              </w:rPr>
              <w:t>planning, and future sustainability. Convene a dedicated country strategy meeting between DESNZ and FAO to review what is working and where adjustments are needed in country work‑planning. Explore options for multi‑year country planning, including clearer prioritisation, sequencing of technical assistance, and articulation of transition (exit) strategies.</w:t>
            </w:r>
          </w:p>
        </w:tc>
        <w:tc>
          <w:tcPr>
            <w:tcW w:w="2654" w:type="dxa"/>
          </w:tcPr>
          <w:p w14:paraId="19B845F0" w14:textId="348C512A" w:rsidR="3C7FBCB1" w:rsidRDefault="3A48ACEE" w:rsidP="3DE2AADC">
            <w:pPr>
              <w:jc w:val="both"/>
              <w:rPr>
                <w:rFonts w:cs="Arial"/>
                <w:sz w:val="22"/>
                <w:szCs w:val="22"/>
              </w:rPr>
            </w:pPr>
            <w:r w:rsidRPr="3DE2AADC">
              <w:rPr>
                <w:rFonts w:cs="Arial"/>
                <w:sz w:val="22"/>
                <w:szCs w:val="22"/>
              </w:rPr>
              <w:t>October 2026</w:t>
            </w:r>
          </w:p>
        </w:tc>
      </w:tr>
    </w:tbl>
    <w:p w14:paraId="7F17C967" w14:textId="4E965DD7" w:rsidR="00CB2873" w:rsidRDefault="00CB2873" w:rsidP="004D5FD5">
      <w:pPr>
        <w:jc w:val="both"/>
      </w:pPr>
    </w:p>
    <w:p w14:paraId="37C39CBB" w14:textId="77777777" w:rsidR="00ED4FE3" w:rsidRDefault="00ED4FE3">
      <w:bookmarkStart w:id="6" w:name="_Hlk110858960"/>
      <w:r>
        <w:br w:type="page"/>
      </w:r>
    </w:p>
    <w:tbl>
      <w:tblPr>
        <w:tblStyle w:val="TableGrid"/>
        <w:tblW w:w="0" w:type="auto"/>
        <w:tblLook w:val="04A0" w:firstRow="1" w:lastRow="0" w:firstColumn="1" w:lastColumn="0" w:noHBand="0" w:noVBand="1"/>
      </w:tblPr>
      <w:tblGrid>
        <w:gridCol w:w="9016"/>
      </w:tblGrid>
      <w:tr w:rsidR="00397703" w14:paraId="3D63871C" w14:textId="77777777" w:rsidTr="5302A23D">
        <w:tc>
          <w:tcPr>
            <w:tcW w:w="9016" w:type="dxa"/>
            <w:shd w:val="clear" w:color="auto" w:fill="DEEAF6" w:themeFill="accent5" w:themeFillTint="33"/>
          </w:tcPr>
          <w:p w14:paraId="3A432808" w14:textId="6B4AFFE0" w:rsidR="00CB2873" w:rsidRDefault="00CB2873" w:rsidP="004D5FD5">
            <w:pPr>
              <w:jc w:val="both"/>
            </w:pPr>
            <w:bookmarkStart w:id="7" w:name="_Toc225240733"/>
            <w:bookmarkStart w:id="8" w:name="_Toc228283630"/>
            <w:r w:rsidRPr="5302A23D">
              <w:rPr>
                <w:rStyle w:val="Heading1Char"/>
                <w:rFonts w:ascii="Arial" w:hAnsi="Arial" w:cs="Arial"/>
                <w:b/>
                <w:bCs/>
                <w:color w:val="auto"/>
              </w:rPr>
              <w:lastRenderedPageBreak/>
              <w:t xml:space="preserve">Section B: Theory of </w:t>
            </w:r>
            <w:r w:rsidR="20262009" w:rsidRPr="5302A23D">
              <w:rPr>
                <w:rStyle w:val="Heading1Char"/>
                <w:rFonts w:ascii="Arial" w:hAnsi="Arial" w:cs="Arial"/>
                <w:b/>
                <w:bCs/>
                <w:color w:val="auto"/>
              </w:rPr>
              <w:t>c</w:t>
            </w:r>
            <w:r w:rsidRPr="5302A23D">
              <w:rPr>
                <w:rStyle w:val="Heading1Char"/>
                <w:rFonts w:ascii="Arial" w:hAnsi="Arial" w:cs="Arial"/>
                <w:b/>
                <w:bCs/>
                <w:color w:val="auto"/>
              </w:rPr>
              <w:t>hange and progress towards outcomes</w:t>
            </w:r>
            <w:bookmarkEnd w:id="7"/>
            <w:bookmarkEnd w:id="8"/>
            <w:r>
              <w:t xml:space="preserve"> </w:t>
            </w:r>
          </w:p>
        </w:tc>
      </w:tr>
      <w:bookmarkEnd w:id="6"/>
    </w:tbl>
    <w:p w14:paraId="799AF0D2" w14:textId="77777777" w:rsidR="00CB2873" w:rsidRPr="009E3F6E" w:rsidRDefault="00CB2873" w:rsidP="004D5FD5">
      <w:pPr>
        <w:jc w:val="both"/>
      </w:pPr>
    </w:p>
    <w:p w14:paraId="25478844" w14:textId="73722B4D" w:rsidR="003D222C" w:rsidRPr="00004515" w:rsidRDefault="00AA718D" w:rsidP="004D5FD5">
      <w:pPr>
        <w:jc w:val="both"/>
      </w:pPr>
      <w:bookmarkStart w:id="9" w:name="_Toc228283631"/>
      <w:r w:rsidRPr="5302A23D">
        <w:rPr>
          <w:rStyle w:val="Heading2Char"/>
        </w:rPr>
        <w:t>Summary of the</w:t>
      </w:r>
      <w:r w:rsidR="007D6095" w:rsidRPr="5302A23D">
        <w:rPr>
          <w:rStyle w:val="Heading2Char"/>
        </w:rPr>
        <w:t xml:space="preserve"> </w:t>
      </w:r>
      <w:r w:rsidR="003D222C" w:rsidRPr="5302A23D">
        <w:rPr>
          <w:rStyle w:val="Heading2Char"/>
        </w:rPr>
        <w:t>programme’s theory of change, including any changes to outcome and impact indicators from the original business case</w:t>
      </w:r>
      <w:bookmarkEnd w:id="9"/>
      <w:r w:rsidR="003D222C">
        <w:t xml:space="preserve"> </w:t>
      </w:r>
    </w:p>
    <w:p w14:paraId="44435565" w14:textId="77777777" w:rsidR="003D222C" w:rsidRPr="00D80C6C" w:rsidRDefault="003D222C" w:rsidP="004D5FD5">
      <w:pPr>
        <w:jc w:val="both"/>
        <w:rPr>
          <w:rFonts w:cs="Arial"/>
          <w:b/>
          <w:sz w:val="22"/>
          <w:szCs w:val="22"/>
        </w:rPr>
      </w:pPr>
    </w:p>
    <w:p w14:paraId="1A05A62A" w14:textId="77777777" w:rsidR="00395A25" w:rsidRPr="008C585A" w:rsidRDefault="00395A25" w:rsidP="00395A25">
      <w:pPr>
        <w:jc w:val="both"/>
        <w:rPr>
          <w:rFonts w:cs="Arial"/>
          <w:b/>
          <w:bCs/>
          <w:i/>
          <w:iCs/>
          <w:sz w:val="22"/>
          <w:szCs w:val="22"/>
        </w:rPr>
      </w:pPr>
      <w:r w:rsidRPr="00395A25">
        <w:rPr>
          <w:rFonts w:cs="Arial"/>
          <w:sz w:val="22"/>
          <w:szCs w:val="22"/>
        </w:rPr>
        <w:t xml:space="preserve">The AIM4Forests programme sets out to achieve an overarching impact </w:t>
      </w:r>
      <w:r w:rsidRPr="008C585A">
        <w:rPr>
          <w:rFonts w:cs="Arial"/>
          <w:b/>
          <w:bCs/>
          <w:i/>
          <w:iCs/>
          <w:sz w:val="22"/>
          <w:szCs w:val="22"/>
        </w:rPr>
        <w:t xml:space="preserve">of long-term, transformational sustainable land-use management and reduction in deforestation, alongside Greenhouse Gas (GHG) emission reductions from the forest and land-use sector, in line with Paris Agreement &amp; Sustainable Development Goals.  </w:t>
      </w:r>
    </w:p>
    <w:p w14:paraId="65C465E8" w14:textId="77777777" w:rsidR="00395A25" w:rsidRPr="00395A25" w:rsidRDefault="00395A25" w:rsidP="00395A25">
      <w:pPr>
        <w:jc w:val="both"/>
        <w:rPr>
          <w:rFonts w:cs="Arial"/>
          <w:sz w:val="22"/>
          <w:szCs w:val="22"/>
        </w:rPr>
      </w:pPr>
    </w:p>
    <w:p w14:paraId="4F552188" w14:textId="211A0A8F" w:rsidR="00395A25" w:rsidRDefault="00395A25" w:rsidP="00395A25">
      <w:pPr>
        <w:jc w:val="both"/>
        <w:rPr>
          <w:rFonts w:cs="Arial"/>
          <w:sz w:val="22"/>
          <w:szCs w:val="22"/>
        </w:rPr>
      </w:pPr>
      <w:r w:rsidRPr="00395A25">
        <w:rPr>
          <w:rFonts w:cs="Arial"/>
          <w:sz w:val="22"/>
          <w:szCs w:val="22"/>
        </w:rPr>
        <w:t>The intended outcomes relate to</w:t>
      </w:r>
      <w:r w:rsidR="00635014">
        <w:rPr>
          <w:rFonts w:cs="Arial"/>
          <w:sz w:val="22"/>
          <w:szCs w:val="22"/>
        </w:rPr>
        <w:t xml:space="preserve"> (updates to the logframe for 2025 reporting are highlighted)</w:t>
      </w:r>
      <w:r w:rsidRPr="00395A25">
        <w:rPr>
          <w:rFonts w:cs="Arial"/>
          <w:sz w:val="22"/>
          <w:szCs w:val="22"/>
        </w:rPr>
        <w:t xml:space="preserve">: </w:t>
      </w:r>
    </w:p>
    <w:p w14:paraId="23DF26F5" w14:textId="524ABAA8" w:rsidR="00395A25" w:rsidRPr="00635014" w:rsidRDefault="00395A25" w:rsidP="00635014">
      <w:pPr>
        <w:pStyle w:val="ListParagraph"/>
        <w:numPr>
          <w:ilvl w:val="0"/>
          <w:numId w:val="35"/>
        </w:numPr>
        <w:jc w:val="both"/>
        <w:rPr>
          <w:rFonts w:cs="Arial"/>
          <w:sz w:val="22"/>
          <w:szCs w:val="22"/>
        </w:rPr>
      </w:pPr>
      <w:r w:rsidRPr="00395A25">
        <w:rPr>
          <w:rFonts w:cs="Arial"/>
          <w:sz w:val="22"/>
          <w:szCs w:val="22"/>
        </w:rPr>
        <w:t>Outcome 1: Greater financial flows for forest countries and communities enabling governments to deliver sustainable development</w:t>
      </w:r>
      <w:r w:rsidR="00635014">
        <w:rPr>
          <w:rFonts w:cs="Arial"/>
          <w:sz w:val="22"/>
          <w:szCs w:val="22"/>
        </w:rPr>
        <w:t>,</w:t>
      </w:r>
      <w:r w:rsidRPr="00635014">
        <w:rPr>
          <w:rFonts w:cs="Arial"/>
          <w:sz w:val="22"/>
          <w:szCs w:val="22"/>
        </w:rPr>
        <w:t xml:space="preserve"> meet NDCs</w:t>
      </w:r>
      <w:r w:rsidR="00635014">
        <w:rPr>
          <w:rFonts w:cs="Arial"/>
          <w:sz w:val="22"/>
          <w:szCs w:val="22"/>
        </w:rPr>
        <w:t xml:space="preserve">, </w:t>
      </w:r>
      <w:r w:rsidR="00635014" w:rsidRPr="3924C822">
        <w:rPr>
          <w:rFonts w:cs="Arial"/>
          <w:sz w:val="22"/>
          <w:szCs w:val="22"/>
        </w:rPr>
        <w:t>and enhance livelihoods for forest-dependent people</w:t>
      </w:r>
    </w:p>
    <w:p w14:paraId="46DECF05" w14:textId="77777777" w:rsidR="00395A25" w:rsidRDefault="00395A25" w:rsidP="00395A25">
      <w:pPr>
        <w:pStyle w:val="ListParagraph"/>
        <w:numPr>
          <w:ilvl w:val="0"/>
          <w:numId w:val="35"/>
        </w:numPr>
        <w:jc w:val="both"/>
        <w:rPr>
          <w:rFonts w:cs="Arial"/>
          <w:sz w:val="22"/>
          <w:szCs w:val="22"/>
        </w:rPr>
      </w:pPr>
      <w:r w:rsidRPr="00395A25">
        <w:rPr>
          <w:rFonts w:cs="Arial"/>
          <w:sz w:val="22"/>
          <w:szCs w:val="22"/>
        </w:rPr>
        <w:t xml:space="preserve">Outcome 2: Increased and sustained conservation and reforestation of forests, sustainable land management </w:t>
      </w:r>
      <w:proofErr w:type="gramStart"/>
      <w:r w:rsidRPr="00395A25">
        <w:rPr>
          <w:rFonts w:cs="Arial"/>
          <w:sz w:val="22"/>
          <w:szCs w:val="22"/>
        </w:rPr>
        <w:t>as a result of</w:t>
      </w:r>
      <w:proofErr w:type="gramEnd"/>
      <w:r w:rsidRPr="00395A25">
        <w:rPr>
          <w:rFonts w:cs="Arial"/>
          <w:sz w:val="22"/>
          <w:szCs w:val="22"/>
        </w:rPr>
        <w:t xml:space="preserve"> enhanced data addressing technical, methodological and innovation gaps. </w:t>
      </w:r>
    </w:p>
    <w:p w14:paraId="6E7A33C9" w14:textId="4A5487B6" w:rsidR="28430F59" w:rsidRDefault="00395A25" w:rsidP="00395A25">
      <w:pPr>
        <w:pStyle w:val="ListParagraph"/>
        <w:numPr>
          <w:ilvl w:val="0"/>
          <w:numId w:val="35"/>
        </w:numPr>
        <w:jc w:val="both"/>
        <w:rPr>
          <w:rFonts w:cs="Arial"/>
          <w:sz w:val="22"/>
          <w:szCs w:val="22"/>
        </w:rPr>
      </w:pPr>
      <w:r w:rsidRPr="00395A25">
        <w:rPr>
          <w:rFonts w:cs="Arial"/>
          <w:sz w:val="22"/>
          <w:szCs w:val="22"/>
        </w:rPr>
        <w:t>Outcome 3: REDD+ programmes operat</w:t>
      </w:r>
      <w:r w:rsidR="00EF0771">
        <w:rPr>
          <w:rFonts w:cs="Arial"/>
          <w:sz w:val="22"/>
          <w:szCs w:val="22"/>
        </w:rPr>
        <w:t>e</w:t>
      </w:r>
      <w:r w:rsidRPr="00395A25">
        <w:rPr>
          <w:rFonts w:cs="Arial"/>
          <w:sz w:val="22"/>
          <w:szCs w:val="22"/>
        </w:rPr>
        <w:t xml:space="preserve"> more effectively, accurately, and inclusively, results being delivered </w:t>
      </w:r>
      <w:proofErr w:type="gramStart"/>
      <w:r w:rsidRPr="00395A25">
        <w:rPr>
          <w:rFonts w:cs="Arial"/>
          <w:sz w:val="22"/>
          <w:szCs w:val="22"/>
        </w:rPr>
        <w:t>as a result of</w:t>
      </w:r>
      <w:proofErr w:type="gramEnd"/>
      <w:r w:rsidRPr="00395A25">
        <w:rPr>
          <w:rFonts w:cs="Arial"/>
          <w:sz w:val="22"/>
          <w:szCs w:val="22"/>
        </w:rPr>
        <w:t xml:space="preserve"> AIM4Forests, and increased consumer confidence on integrity of REDD+ credits.  </w:t>
      </w:r>
    </w:p>
    <w:p w14:paraId="13428935" w14:textId="77777777" w:rsidR="00AE7E8E" w:rsidRPr="00AE7E8E" w:rsidRDefault="00AE7E8E" w:rsidP="00AE7E8E">
      <w:pPr>
        <w:textAlignment w:val="baseline"/>
        <w:rPr>
          <w:rFonts w:ascii="Segoe UI" w:hAnsi="Segoe UI" w:cs="Segoe UI"/>
          <w:sz w:val="18"/>
          <w:szCs w:val="18"/>
        </w:rPr>
      </w:pPr>
      <w:r w:rsidRPr="00AE7E8E">
        <w:rPr>
          <w:rFonts w:cs="Arial"/>
          <w:b/>
          <w:bCs/>
          <w:sz w:val="22"/>
          <w:szCs w:val="22"/>
        </w:rPr>
        <w:t>Outputs: Labelling and Summary of Progress</w:t>
      </w:r>
      <w:r w:rsidRPr="00AE7E8E">
        <w:rPr>
          <w:rFonts w:cs="Arial"/>
          <w:sz w:val="22"/>
          <w:szCs w:val="22"/>
        </w:rPr>
        <w:t> </w:t>
      </w:r>
    </w:p>
    <w:p w14:paraId="15E3B917" w14:textId="77777777" w:rsidR="00AE7E8E" w:rsidRDefault="00AE7E8E" w:rsidP="00AE7E8E">
      <w:pPr>
        <w:jc w:val="both"/>
        <w:textAlignment w:val="baseline"/>
        <w:rPr>
          <w:rFonts w:cs="Arial"/>
          <w:sz w:val="22"/>
          <w:szCs w:val="22"/>
        </w:rPr>
      </w:pPr>
    </w:p>
    <w:p w14:paraId="7115645B" w14:textId="35866C41" w:rsidR="00AE7E8E" w:rsidRDefault="00AE7E8E" w:rsidP="00AE7E8E">
      <w:pPr>
        <w:jc w:val="both"/>
        <w:textAlignment w:val="baseline"/>
        <w:rPr>
          <w:rFonts w:cs="Arial"/>
          <w:sz w:val="22"/>
          <w:szCs w:val="22"/>
        </w:rPr>
      </w:pPr>
      <w:r w:rsidRPr="00AE7E8E">
        <w:rPr>
          <w:rFonts w:cs="Arial"/>
          <w:sz w:val="22"/>
          <w:szCs w:val="22"/>
        </w:rPr>
        <w:t>During the development of the AIM4Forests UK Logframe</w:t>
      </w:r>
      <w:r>
        <w:rPr>
          <w:rFonts w:cs="Arial"/>
          <w:sz w:val="22"/>
          <w:szCs w:val="22"/>
        </w:rPr>
        <w:t xml:space="preserve"> and </w:t>
      </w:r>
      <w:r w:rsidR="732F2DC4" w:rsidRPr="70141779">
        <w:rPr>
          <w:rFonts w:cs="Arial"/>
          <w:sz w:val="22"/>
          <w:szCs w:val="22"/>
        </w:rPr>
        <w:t>reporting</w:t>
      </w:r>
      <w:r w:rsidRPr="00AE7E8E">
        <w:rPr>
          <w:rFonts w:cs="Arial"/>
          <w:sz w:val="22"/>
          <w:szCs w:val="22"/>
        </w:rPr>
        <w:t>, the Logframe Outputs were drawn from the AIM4Forests ‘Programme Outputs’, which were agreed during initial Business Case development and programme design. These ‘Programme Outputs’ are not used for UK results collection or reporting and are labelled as such to be consistent with FAO agreed goals for the programme. ‘Programme Outputs’ are utilised when describing the programme externally</w:t>
      </w:r>
      <w:r>
        <w:rPr>
          <w:rFonts w:cs="Arial"/>
          <w:sz w:val="22"/>
          <w:szCs w:val="22"/>
        </w:rPr>
        <w:t xml:space="preserve"> and cover the thematic areas of the programme</w:t>
      </w:r>
      <w:r w:rsidRPr="00AE7E8E">
        <w:rPr>
          <w:rFonts w:cs="Arial"/>
          <w:sz w:val="22"/>
          <w:szCs w:val="22"/>
        </w:rPr>
        <w:t xml:space="preserve">. </w:t>
      </w:r>
    </w:p>
    <w:p w14:paraId="16FD6974" w14:textId="77777777" w:rsidR="00AE7E8E" w:rsidRDefault="00AE7E8E" w:rsidP="00AE7E8E">
      <w:pPr>
        <w:jc w:val="both"/>
        <w:textAlignment w:val="baseline"/>
        <w:rPr>
          <w:rFonts w:cs="Arial"/>
          <w:sz w:val="22"/>
          <w:szCs w:val="22"/>
        </w:rPr>
      </w:pPr>
    </w:p>
    <w:p w14:paraId="2A99B3C7" w14:textId="748FE5B3" w:rsidR="00AE7E8E" w:rsidRPr="00AE7E8E" w:rsidRDefault="00AE7E8E" w:rsidP="00AE7E8E">
      <w:pPr>
        <w:jc w:val="both"/>
        <w:textAlignment w:val="baseline"/>
        <w:rPr>
          <w:rFonts w:ascii="Segoe UI" w:hAnsi="Segoe UI" w:cs="Segoe UI"/>
          <w:sz w:val="18"/>
          <w:szCs w:val="18"/>
        </w:rPr>
      </w:pPr>
      <w:r w:rsidRPr="00AE7E8E">
        <w:rPr>
          <w:rFonts w:cs="Arial"/>
          <w:sz w:val="22"/>
          <w:szCs w:val="22"/>
        </w:rPr>
        <w:t xml:space="preserve">From this point forward in the review, ‘Outputs’ </w:t>
      </w:r>
      <w:r>
        <w:rPr>
          <w:rFonts w:cs="Arial"/>
          <w:sz w:val="22"/>
          <w:szCs w:val="22"/>
        </w:rPr>
        <w:t xml:space="preserve">will only </w:t>
      </w:r>
      <w:r w:rsidRPr="00AE7E8E">
        <w:rPr>
          <w:rFonts w:cs="Arial"/>
          <w:sz w:val="22"/>
          <w:szCs w:val="22"/>
        </w:rPr>
        <w:t>refer to our UK Logframe Outputs. Below is a summary of the ‘Programme Outputs’ and how they relate to the UK Outputs. </w:t>
      </w:r>
    </w:p>
    <w:p w14:paraId="659299A8" w14:textId="4F6BF41F" w:rsidR="00AE7E8E" w:rsidRPr="00AE7E8E" w:rsidRDefault="00AE7E8E" w:rsidP="00AE7E8E">
      <w:pPr>
        <w:jc w:val="both"/>
        <w:textAlignment w:val="baseline"/>
        <w:rPr>
          <w:rFonts w:ascii="Segoe UI" w:hAnsi="Segoe UI" w:cs="Segoe UI"/>
          <w:sz w:val="18"/>
          <w:szCs w:val="18"/>
        </w:rPr>
      </w:pPr>
    </w:p>
    <w:tbl>
      <w:tblPr>
        <w:tblW w:w="90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6"/>
      </w:tblGrid>
      <w:tr w:rsidR="00CA4676" w:rsidRPr="00AE7E8E" w14:paraId="3F1CA9BE"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shd w:val="clear" w:color="auto" w:fill="D0CECE"/>
            <w:hideMark/>
          </w:tcPr>
          <w:p w14:paraId="441D9CFF" w14:textId="55414E3B" w:rsidR="00AE7E8E" w:rsidRPr="00AE7E8E" w:rsidRDefault="00AE7E8E" w:rsidP="00AE7E8E">
            <w:pPr>
              <w:textAlignment w:val="baseline"/>
              <w:rPr>
                <w:rFonts w:ascii="Times New Roman" w:hAnsi="Times New Roman"/>
                <w:lang w:eastAsia="en-GB"/>
              </w:rPr>
            </w:pPr>
            <w:r w:rsidRPr="00AE7E8E">
              <w:rPr>
                <w:rFonts w:cs="Arial"/>
                <w:b/>
                <w:bCs/>
                <w:sz w:val="22"/>
                <w:szCs w:val="22"/>
                <w:lang w:eastAsia="en-GB"/>
              </w:rPr>
              <w:t>Programme Outputs </w:t>
            </w:r>
            <w:r w:rsidR="001518EC" w:rsidRPr="00F43B08">
              <w:rPr>
                <w:rFonts w:cs="Arial"/>
                <w:sz w:val="22"/>
                <w:szCs w:val="22"/>
                <w:lang w:eastAsia="en-GB"/>
              </w:rPr>
              <w:t>(</w:t>
            </w:r>
            <w:r w:rsidR="00F43B08" w:rsidRPr="00F43B08">
              <w:rPr>
                <w:rFonts w:cs="Arial"/>
                <w:sz w:val="22"/>
                <w:szCs w:val="22"/>
                <w:lang w:eastAsia="en-GB"/>
              </w:rPr>
              <w:t>commonly used externally to describe the programme)</w:t>
            </w:r>
          </w:p>
        </w:tc>
      </w:tr>
      <w:tr w:rsidR="00CA4676" w:rsidRPr="00AE7E8E" w14:paraId="6ACD31FF"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hideMark/>
          </w:tcPr>
          <w:p w14:paraId="49A8C653" w14:textId="6DEECFB7" w:rsidR="00AE7E8E" w:rsidRPr="00AE7E8E" w:rsidRDefault="00AE7E8E" w:rsidP="000E165E">
            <w:pPr>
              <w:textAlignment w:val="baseline"/>
              <w:rPr>
                <w:rFonts w:ascii="Times New Roman" w:hAnsi="Times New Roman"/>
                <w:lang w:eastAsia="en-GB"/>
              </w:rPr>
            </w:pPr>
            <w:r w:rsidRPr="00AE7E8E">
              <w:rPr>
                <w:rFonts w:cs="Arial"/>
                <w:b/>
                <w:bCs/>
                <w:sz w:val="22"/>
                <w:szCs w:val="22"/>
                <w:lang w:eastAsia="en-GB"/>
              </w:rPr>
              <w:t>Output 1.</w:t>
            </w:r>
            <w:r w:rsidRPr="00AE7E8E">
              <w:rPr>
                <w:rFonts w:cs="Arial"/>
                <w:sz w:val="22"/>
                <w:szCs w:val="22"/>
                <w:lang w:eastAsia="en-GB"/>
              </w:rPr>
              <w:t> </w:t>
            </w:r>
            <w:r w:rsidR="000E165E" w:rsidRPr="000E165E">
              <w:rPr>
                <w:rFonts w:cs="Arial"/>
                <w:sz w:val="22"/>
                <w:szCs w:val="22"/>
                <w:lang w:eastAsia="en-GB"/>
              </w:rPr>
              <w:t>Forest data for better management - Technical innovation is advanced through new datasets, innovative tools and platforms, and knowledge is disseminated through open-access learning programmes</w:t>
            </w:r>
          </w:p>
        </w:tc>
      </w:tr>
      <w:tr w:rsidR="00CA4676" w:rsidRPr="00AE7E8E" w14:paraId="79CCF232"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hideMark/>
          </w:tcPr>
          <w:p w14:paraId="5D03E74A" w14:textId="5F1429F0" w:rsidR="00AE7E8E" w:rsidRPr="00AE7E8E" w:rsidRDefault="00AE7E8E" w:rsidP="00AE7E8E">
            <w:pPr>
              <w:textAlignment w:val="baseline"/>
              <w:rPr>
                <w:rFonts w:ascii="Times New Roman" w:hAnsi="Times New Roman"/>
                <w:lang w:eastAsia="en-GB"/>
              </w:rPr>
            </w:pPr>
            <w:r w:rsidRPr="00AE7E8E">
              <w:rPr>
                <w:rFonts w:cs="Arial"/>
                <w:b/>
                <w:bCs/>
                <w:sz w:val="22"/>
                <w:szCs w:val="22"/>
                <w:lang w:eastAsia="en-GB"/>
              </w:rPr>
              <w:t>Output 2.</w:t>
            </w:r>
            <w:r w:rsidRPr="00AE7E8E">
              <w:rPr>
                <w:rFonts w:cs="Arial"/>
                <w:sz w:val="22"/>
                <w:szCs w:val="22"/>
                <w:lang w:eastAsia="en-GB"/>
              </w:rPr>
              <w:t> </w:t>
            </w:r>
            <w:r w:rsidR="00665907" w:rsidRPr="00665907">
              <w:rPr>
                <w:rFonts w:cs="Arial"/>
                <w:sz w:val="22"/>
                <w:szCs w:val="22"/>
                <w:lang w:eastAsia="en-GB"/>
              </w:rPr>
              <w:t>Forest MRV - Methodological challenges are overcome through targeted and widely disseminated research, enabling high-integrity greenhouse-gas estimation and facilitating access to climate finance and conservation payments.</w:t>
            </w:r>
          </w:p>
        </w:tc>
      </w:tr>
      <w:tr w:rsidR="00CA4676" w:rsidRPr="00AE7E8E" w14:paraId="7C6FBD79"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hideMark/>
          </w:tcPr>
          <w:p w14:paraId="46747315" w14:textId="455A1EF4" w:rsidR="00AE7E8E" w:rsidRPr="00AE7E8E" w:rsidRDefault="00AE7E8E" w:rsidP="00AE7E8E">
            <w:pPr>
              <w:textAlignment w:val="baseline"/>
              <w:rPr>
                <w:rFonts w:ascii="Times New Roman" w:hAnsi="Times New Roman"/>
                <w:lang w:eastAsia="en-GB"/>
              </w:rPr>
            </w:pPr>
            <w:r w:rsidRPr="00AE7E8E">
              <w:rPr>
                <w:rFonts w:cs="Arial"/>
                <w:b/>
                <w:bCs/>
                <w:sz w:val="22"/>
                <w:szCs w:val="22"/>
                <w:lang w:eastAsia="en-GB"/>
              </w:rPr>
              <w:t>Output 3:</w:t>
            </w:r>
            <w:r w:rsidRPr="00AE7E8E">
              <w:rPr>
                <w:rFonts w:cs="Arial"/>
                <w:sz w:val="22"/>
                <w:szCs w:val="22"/>
                <w:lang w:eastAsia="en-GB"/>
              </w:rPr>
              <w:t> </w:t>
            </w:r>
            <w:r w:rsidR="00665907" w:rsidRPr="00665907">
              <w:rPr>
                <w:rFonts w:cs="Arial"/>
                <w:sz w:val="22"/>
                <w:szCs w:val="22"/>
                <w:lang w:eastAsia="en-GB"/>
              </w:rPr>
              <w:t>Forest monitoring for Indigenous Peoples and forest communities - Indigenous Peoples are engaged in a community of practice to build capacity, showcase their forest stewardship, and help guide monitoring and reporting environments to accommodate contributions from indigenous Peoples.</w:t>
            </w:r>
          </w:p>
        </w:tc>
      </w:tr>
      <w:tr w:rsidR="00CA4676" w:rsidRPr="00AE7E8E" w14:paraId="49A4565D"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hideMark/>
          </w:tcPr>
          <w:p w14:paraId="65C4CAC8" w14:textId="41A5C687" w:rsidR="00AE7E8E" w:rsidRPr="00AE7E8E" w:rsidRDefault="00AE7E8E" w:rsidP="00AE7E8E">
            <w:pPr>
              <w:textAlignment w:val="baseline"/>
              <w:rPr>
                <w:rFonts w:ascii="Times New Roman" w:hAnsi="Times New Roman"/>
                <w:lang w:eastAsia="en-GB"/>
              </w:rPr>
            </w:pPr>
            <w:r w:rsidRPr="00AE7E8E">
              <w:rPr>
                <w:rFonts w:cs="Arial"/>
                <w:b/>
                <w:bCs/>
                <w:sz w:val="22"/>
                <w:szCs w:val="22"/>
                <w:lang w:eastAsia="en-GB"/>
              </w:rPr>
              <w:t>Output 4:</w:t>
            </w:r>
            <w:r w:rsidRPr="00AE7E8E">
              <w:rPr>
                <w:rFonts w:cs="Arial"/>
                <w:sz w:val="22"/>
                <w:szCs w:val="22"/>
                <w:lang w:eastAsia="en-GB"/>
              </w:rPr>
              <w:t> </w:t>
            </w:r>
            <w:r w:rsidR="00607CD8">
              <w:rPr>
                <w:rFonts w:cs="Arial"/>
                <w:sz w:val="22"/>
                <w:szCs w:val="22"/>
                <w:lang w:eastAsia="en-GB"/>
              </w:rPr>
              <w:t>F</w:t>
            </w:r>
            <w:r w:rsidR="00607CD8" w:rsidRPr="00607CD8">
              <w:rPr>
                <w:rFonts w:cs="Arial"/>
                <w:sz w:val="22"/>
                <w:szCs w:val="22"/>
                <w:lang w:eastAsia="en-GB"/>
              </w:rPr>
              <w:t>orest country governments are engaged in Country-Led Planning towards strengthening technical and functional capacity for forest monitoring and embedding forest monitoring into national institutions.</w:t>
            </w:r>
          </w:p>
        </w:tc>
      </w:tr>
      <w:tr w:rsidR="00CA4676" w:rsidRPr="00AE7E8E" w14:paraId="3C977E2B"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hideMark/>
          </w:tcPr>
          <w:p w14:paraId="4092035B" w14:textId="4EEF2E00" w:rsidR="00AE7E8E" w:rsidRPr="00AE7E8E" w:rsidRDefault="00AE7E8E" w:rsidP="00FC7488">
            <w:pPr>
              <w:textAlignment w:val="baseline"/>
              <w:rPr>
                <w:rFonts w:cs="Arial"/>
                <w:sz w:val="22"/>
                <w:szCs w:val="22"/>
                <w:lang w:eastAsia="en-GB"/>
              </w:rPr>
            </w:pPr>
            <w:r w:rsidRPr="00AE7E8E">
              <w:rPr>
                <w:rFonts w:cs="Arial"/>
                <w:b/>
                <w:bCs/>
                <w:sz w:val="22"/>
                <w:szCs w:val="22"/>
                <w:lang w:eastAsia="en-GB"/>
              </w:rPr>
              <w:t>Output 5</w:t>
            </w:r>
            <w:r w:rsidR="00607CD8">
              <w:rPr>
                <w:rFonts w:cs="Arial"/>
                <w:b/>
                <w:bCs/>
                <w:sz w:val="22"/>
                <w:szCs w:val="22"/>
                <w:lang w:eastAsia="en-GB"/>
              </w:rPr>
              <w:t xml:space="preserve"> </w:t>
            </w:r>
            <w:r w:rsidR="00005778">
              <w:rPr>
                <w:rFonts w:cs="Arial"/>
                <w:b/>
                <w:bCs/>
                <w:sz w:val="22"/>
                <w:szCs w:val="22"/>
                <w:lang w:eastAsia="en-GB"/>
              </w:rPr>
              <w:t>(&amp; previous</w:t>
            </w:r>
            <w:r w:rsidR="00607CD8">
              <w:rPr>
                <w:rFonts w:cs="Arial"/>
                <w:b/>
                <w:bCs/>
                <w:sz w:val="22"/>
                <w:szCs w:val="22"/>
                <w:lang w:eastAsia="en-GB"/>
              </w:rPr>
              <w:t xml:space="preserve"> 6</w:t>
            </w:r>
            <w:r w:rsidR="00005778">
              <w:rPr>
                <w:rFonts w:cs="Arial"/>
                <w:b/>
                <w:bCs/>
                <w:sz w:val="22"/>
                <w:szCs w:val="22"/>
                <w:lang w:eastAsia="en-GB"/>
              </w:rPr>
              <w:t>)</w:t>
            </w:r>
            <w:r w:rsidRPr="00AE7E8E">
              <w:rPr>
                <w:rFonts w:cs="Arial"/>
                <w:b/>
                <w:bCs/>
                <w:sz w:val="22"/>
                <w:szCs w:val="22"/>
                <w:lang w:eastAsia="en-GB"/>
              </w:rPr>
              <w:t>:</w:t>
            </w:r>
            <w:r w:rsidRPr="00AE7E8E">
              <w:rPr>
                <w:rFonts w:cs="Arial"/>
                <w:sz w:val="22"/>
                <w:szCs w:val="22"/>
                <w:lang w:eastAsia="en-GB"/>
              </w:rPr>
              <w:t> </w:t>
            </w:r>
            <w:r w:rsidR="00FC7488" w:rsidRPr="00FC7488">
              <w:rPr>
                <w:rFonts w:cs="Arial"/>
                <w:sz w:val="22"/>
                <w:szCs w:val="22"/>
                <w:lang w:eastAsia="en-GB"/>
              </w:rPr>
              <w:t xml:space="preserve">Countries receive forest monitoring technical assistance to address technical and functional capacity gaps within their forest monitoring systems: forest </w:t>
            </w:r>
            <w:r w:rsidR="00FC7488" w:rsidRPr="00FC7488">
              <w:rPr>
                <w:rFonts w:cs="Arial"/>
                <w:sz w:val="22"/>
                <w:szCs w:val="22"/>
                <w:lang w:eastAsia="en-GB"/>
              </w:rPr>
              <w:lastRenderedPageBreak/>
              <w:t>data for better management, forest MRV, monitoring of nature restoration progress, and transparent commodity supply chains.</w:t>
            </w:r>
          </w:p>
        </w:tc>
      </w:tr>
      <w:tr w:rsidR="00CA4676" w:rsidRPr="00AE7E8E" w14:paraId="731A8AB4"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tcPr>
          <w:p w14:paraId="1A52BC9D" w14:textId="0A1C459C" w:rsidR="00464ACA" w:rsidRPr="00464ACA" w:rsidRDefault="00464ACA" w:rsidP="001518A2">
            <w:pPr>
              <w:textAlignment w:val="baseline"/>
              <w:rPr>
                <w:rFonts w:cs="Arial"/>
                <w:sz w:val="22"/>
                <w:szCs w:val="22"/>
                <w:lang w:eastAsia="en-GB"/>
              </w:rPr>
            </w:pPr>
            <w:r>
              <w:rPr>
                <w:rFonts w:cs="Arial"/>
                <w:b/>
                <w:bCs/>
                <w:sz w:val="22"/>
                <w:szCs w:val="22"/>
                <w:lang w:eastAsia="en-GB"/>
              </w:rPr>
              <w:lastRenderedPageBreak/>
              <w:t xml:space="preserve">Output 7: </w:t>
            </w:r>
            <w:r w:rsidR="001518A2" w:rsidRPr="001518A2">
              <w:rPr>
                <w:rFonts w:cs="Arial"/>
                <w:sz w:val="22"/>
                <w:szCs w:val="22"/>
                <w:lang w:eastAsia="en-GB"/>
              </w:rPr>
              <w:t>Monitoring of nature restoration progress is advanced through a country-driven global dataset based on improved national reporting, ensuring transparent monitoring and KMGBF reporting and thereby enabling the implementation of restoration commitments</w:t>
            </w:r>
          </w:p>
        </w:tc>
      </w:tr>
      <w:tr w:rsidR="00CA4676" w:rsidRPr="00AE7E8E" w14:paraId="12219E77"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shd w:val="clear" w:color="auto" w:fill="D0CECE"/>
            <w:hideMark/>
          </w:tcPr>
          <w:p w14:paraId="62CDF44A" w14:textId="16476397" w:rsidR="00AE7E8E" w:rsidRPr="00AE7E8E" w:rsidRDefault="00AE7E8E" w:rsidP="00AE7E8E">
            <w:pPr>
              <w:textAlignment w:val="baseline"/>
              <w:rPr>
                <w:rFonts w:ascii="Times New Roman" w:hAnsi="Times New Roman"/>
                <w:lang w:eastAsia="en-GB"/>
              </w:rPr>
            </w:pPr>
            <w:r w:rsidRPr="00AE7E8E">
              <w:rPr>
                <w:rFonts w:cs="Arial"/>
                <w:b/>
                <w:bCs/>
                <w:sz w:val="22"/>
                <w:szCs w:val="22"/>
                <w:lang w:eastAsia="en-GB"/>
              </w:rPr>
              <w:t>UK Logframe Outputs</w:t>
            </w:r>
            <w:r w:rsidRPr="00AE7E8E">
              <w:rPr>
                <w:rFonts w:cs="Arial"/>
                <w:sz w:val="22"/>
                <w:szCs w:val="22"/>
                <w:lang w:eastAsia="en-GB"/>
              </w:rPr>
              <w:t> </w:t>
            </w:r>
            <w:r w:rsidR="00694446">
              <w:rPr>
                <w:rFonts w:cs="Arial"/>
                <w:sz w:val="22"/>
                <w:szCs w:val="22"/>
                <w:lang w:eastAsia="en-GB"/>
              </w:rPr>
              <w:t>(</w:t>
            </w:r>
            <w:r w:rsidR="00DC2370">
              <w:rPr>
                <w:rFonts w:cs="Arial"/>
                <w:sz w:val="22"/>
                <w:szCs w:val="22"/>
                <w:lang w:eastAsia="en-GB"/>
              </w:rPr>
              <w:t xml:space="preserve">used </w:t>
            </w:r>
            <w:r w:rsidR="00694446">
              <w:rPr>
                <w:rFonts w:cs="Arial"/>
                <w:sz w:val="22"/>
                <w:szCs w:val="22"/>
                <w:lang w:eastAsia="en-GB"/>
              </w:rPr>
              <w:t xml:space="preserve">for </w:t>
            </w:r>
            <w:r w:rsidR="00DC2370">
              <w:rPr>
                <w:rFonts w:cs="Arial"/>
                <w:sz w:val="22"/>
                <w:szCs w:val="22"/>
                <w:lang w:eastAsia="en-GB"/>
              </w:rPr>
              <w:t xml:space="preserve">UK </w:t>
            </w:r>
            <w:r w:rsidR="00694446">
              <w:rPr>
                <w:rFonts w:cs="Arial"/>
                <w:sz w:val="22"/>
                <w:szCs w:val="22"/>
                <w:lang w:eastAsia="en-GB"/>
              </w:rPr>
              <w:t>Annual Review reporting)</w:t>
            </w:r>
          </w:p>
        </w:tc>
      </w:tr>
      <w:tr w:rsidR="00CA4676" w:rsidRPr="00AE7E8E" w14:paraId="6FC7ACE9"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hideMark/>
          </w:tcPr>
          <w:p w14:paraId="2EC8FE11" w14:textId="2E7AE3BF" w:rsidR="00AE7E8E" w:rsidRPr="00AE7E8E" w:rsidRDefault="00AE7E8E" w:rsidP="00AE7E8E">
            <w:pPr>
              <w:textAlignment w:val="baseline"/>
              <w:rPr>
                <w:rFonts w:ascii="Times New Roman" w:hAnsi="Times New Roman"/>
                <w:lang w:eastAsia="en-GB"/>
              </w:rPr>
            </w:pPr>
            <w:r w:rsidRPr="00AE7E8E">
              <w:rPr>
                <w:rFonts w:cs="Arial"/>
                <w:b/>
                <w:bCs/>
                <w:sz w:val="22"/>
                <w:szCs w:val="22"/>
                <w:lang w:eastAsia="en-GB"/>
              </w:rPr>
              <w:t>Output 1</w:t>
            </w:r>
            <w:r w:rsidR="0092529E">
              <w:rPr>
                <w:rFonts w:cs="Arial"/>
                <w:b/>
                <w:bCs/>
                <w:sz w:val="22"/>
                <w:szCs w:val="22"/>
                <w:lang w:eastAsia="en-GB"/>
              </w:rPr>
              <w:t xml:space="preserve"> (40% weighting)</w:t>
            </w:r>
            <w:r w:rsidRPr="00AE7E8E">
              <w:rPr>
                <w:rFonts w:cs="Arial"/>
                <w:b/>
                <w:bCs/>
                <w:sz w:val="22"/>
                <w:szCs w:val="22"/>
                <w:lang w:eastAsia="en-GB"/>
              </w:rPr>
              <w:t>:</w:t>
            </w:r>
            <w:r w:rsidRPr="00AE7E8E">
              <w:rPr>
                <w:rFonts w:cs="Arial"/>
                <w:sz w:val="22"/>
                <w:szCs w:val="22"/>
                <w:lang w:eastAsia="en-GB"/>
              </w:rPr>
              <w:t> </w:t>
            </w:r>
            <w:r w:rsidR="0092529E" w:rsidRPr="0092529E">
              <w:rPr>
                <w:rFonts w:cs="Arial"/>
                <w:sz w:val="22"/>
                <w:szCs w:val="22"/>
                <w:lang w:eastAsia="en-GB"/>
              </w:rPr>
              <w:t>Forest Monitoring integrates latest technical knowledge as disseminated through open-access learning programmes, leverages innovative platforms and global datasets and is guided by aligned methodologies</w:t>
            </w:r>
          </w:p>
        </w:tc>
      </w:tr>
      <w:tr w:rsidR="00CA4676" w:rsidRPr="00AE7E8E" w14:paraId="19E286DB"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hideMark/>
          </w:tcPr>
          <w:p w14:paraId="5A416592" w14:textId="541EB9CA" w:rsidR="00AE7E8E" w:rsidRPr="00AE7E8E" w:rsidRDefault="00AE7E8E" w:rsidP="00AE7E8E">
            <w:pPr>
              <w:textAlignment w:val="baseline"/>
              <w:rPr>
                <w:rFonts w:ascii="Times New Roman" w:hAnsi="Times New Roman"/>
                <w:lang w:eastAsia="en-GB"/>
              </w:rPr>
            </w:pPr>
            <w:r w:rsidRPr="00AE7E8E">
              <w:rPr>
                <w:rFonts w:cs="Arial"/>
                <w:b/>
                <w:bCs/>
                <w:sz w:val="22"/>
                <w:szCs w:val="22"/>
                <w:lang w:eastAsia="en-GB"/>
              </w:rPr>
              <w:t>Output 2</w:t>
            </w:r>
            <w:r w:rsidR="0092529E">
              <w:rPr>
                <w:rFonts w:cs="Arial"/>
                <w:b/>
                <w:bCs/>
                <w:sz w:val="22"/>
                <w:szCs w:val="22"/>
                <w:lang w:eastAsia="en-GB"/>
              </w:rPr>
              <w:t xml:space="preserve"> (20% weighting)</w:t>
            </w:r>
            <w:r w:rsidRPr="00AE7E8E">
              <w:rPr>
                <w:rFonts w:cs="Arial"/>
                <w:b/>
                <w:bCs/>
                <w:sz w:val="22"/>
                <w:szCs w:val="22"/>
                <w:lang w:eastAsia="en-GB"/>
              </w:rPr>
              <w:t>:</w:t>
            </w:r>
            <w:r w:rsidRPr="00AE7E8E">
              <w:rPr>
                <w:rFonts w:cs="Arial"/>
                <w:sz w:val="22"/>
                <w:szCs w:val="22"/>
                <w:lang w:eastAsia="en-GB"/>
              </w:rPr>
              <w:t> </w:t>
            </w:r>
            <w:r w:rsidR="0092529E" w:rsidRPr="0092529E">
              <w:rPr>
                <w:rFonts w:cs="Arial"/>
                <w:sz w:val="22"/>
                <w:szCs w:val="22"/>
                <w:lang w:eastAsia="en-GB"/>
              </w:rPr>
              <w:t>Forest communities and Indigenous Peoples are empowered to participate in forest monitoring and MRV for emerging carbon standards through a community of practice</w:t>
            </w:r>
          </w:p>
        </w:tc>
      </w:tr>
      <w:tr w:rsidR="00CA4676" w:rsidRPr="00AE7E8E" w14:paraId="4724462C" w14:textId="77777777" w:rsidTr="00464ACA">
        <w:trPr>
          <w:trHeight w:val="300"/>
        </w:trPr>
        <w:tc>
          <w:tcPr>
            <w:tcW w:w="9006" w:type="dxa"/>
            <w:tcBorders>
              <w:top w:val="single" w:sz="8" w:space="0" w:color="auto"/>
              <w:left w:val="single" w:sz="8" w:space="0" w:color="auto"/>
              <w:bottom w:val="single" w:sz="8" w:space="0" w:color="auto"/>
              <w:right w:val="single" w:sz="8" w:space="0" w:color="auto"/>
            </w:tcBorders>
            <w:hideMark/>
          </w:tcPr>
          <w:p w14:paraId="225C39DB" w14:textId="512E3379" w:rsidR="00AE7E8E" w:rsidRPr="00AE7E8E" w:rsidRDefault="00AE7E8E" w:rsidP="00AE7E8E">
            <w:pPr>
              <w:textAlignment w:val="baseline"/>
              <w:rPr>
                <w:rFonts w:ascii="Times New Roman" w:hAnsi="Times New Roman"/>
                <w:lang w:eastAsia="en-GB"/>
              </w:rPr>
            </w:pPr>
            <w:r w:rsidRPr="00AE7E8E">
              <w:rPr>
                <w:rFonts w:cs="Arial"/>
                <w:b/>
                <w:bCs/>
                <w:sz w:val="22"/>
                <w:szCs w:val="22"/>
                <w:lang w:eastAsia="en-GB"/>
              </w:rPr>
              <w:t>Output 3</w:t>
            </w:r>
            <w:r w:rsidR="001518EC">
              <w:rPr>
                <w:rFonts w:cs="Arial"/>
                <w:b/>
                <w:bCs/>
                <w:sz w:val="22"/>
                <w:szCs w:val="22"/>
                <w:lang w:eastAsia="en-GB"/>
              </w:rPr>
              <w:t xml:space="preserve"> (40% weighting)</w:t>
            </w:r>
            <w:r w:rsidRPr="00AE7E8E">
              <w:rPr>
                <w:rFonts w:cs="Arial"/>
                <w:b/>
                <w:bCs/>
                <w:sz w:val="22"/>
                <w:szCs w:val="22"/>
                <w:lang w:eastAsia="en-GB"/>
              </w:rPr>
              <w:t>:</w:t>
            </w:r>
            <w:r w:rsidRPr="00AE7E8E">
              <w:rPr>
                <w:rFonts w:cs="Arial"/>
                <w:sz w:val="22"/>
                <w:szCs w:val="22"/>
                <w:lang w:eastAsia="en-GB"/>
              </w:rPr>
              <w:t> </w:t>
            </w:r>
            <w:r w:rsidR="001518EC" w:rsidRPr="001518EC">
              <w:rPr>
                <w:rFonts w:cs="Arial"/>
                <w:sz w:val="22"/>
                <w:szCs w:val="22"/>
                <w:lang w:eastAsia="en-GB"/>
              </w:rPr>
              <w:t>Countries address technical and functional gaps and develop forest monitoring systems that are sustainable, robust, relevant to policy priorities and accessible to all.</w:t>
            </w:r>
          </w:p>
        </w:tc>
      </w:tr>
    </w:tbl>
    <w:p w14:paraId="786CBFB2" w14:textId="77777777" w:rsidR="00AE7E8E" w:rsidRDefault="00AE7E8E" w:rsidP="00AE7E8E">
      <w:pPr>
        <w:jc w:val="both"/>
        <w:rPr>
          <w:rFonts w:cs="Arial"/>
          <w:sz w:val="22"/>
          <w:szCs w:val="22"/>
        </w:rPr>
      </w:pPr>
    </w:p>
    <w:p w14:paraId="7BF44E8E" w14:textId="09AD6AE8" w:rsidR="00AE7E8E" w:rsidRPr="002C73F6" w:rsidRDefault="00D17AF5" w:rsidP="00AE7E8E">
      <w:pPr>
        <w:jc w:val="both"/>
        <w:rPr>
          <w:rFonts w:cs="Arial"/>
          <w:i/>
          <w:iCs/>
          <w:sz w:val="22"/>
          <w:szCs w:val="22"/>
        </w:rPr>
      </w:pPr>
      <w:r w:rsidRPr="002C73F6">
        <w:rPr>
          <w:rFonts w:cs="Arial"/>
          <w:i/>
          <w:iCs/>
          <w:sz w:val="22"/>
          <w:szCs w:val="22"/>
        </w:rPr>
        <w:t>Extension Business Case</w:t>
      </w:r>
    </w:p>
    <w:p w14:paraId="3F4284B7" w14:textId="77777777" w:rsidR="00D17AF5" w:rsidRDefault="00D17AF5" w:rsidP="00AE7E8E">
      <w:pPr>
        <w:jc w:val="both"/>
        <w:rPr>
          <w:rFonts w:cs="Arial"/>
          <w:sz w:val="22"/>
          <w:szCs w:val="22"/>
        </w:rPr>
      </w:pPr>
    </w:p>
    <w:p w14:paraId="02703156" w14:textId="31C6532F" w:rsidR="00D17AF5" w:rsidRDefault="00D17AF5" w:rsidP="00AE7E8E">
      <w:pPr>
        <w:jc w:val="both"/>
        <w:rPr>
          <w:rFonts w:cs="Arial"/>
          <w:sz w:val="22"/>
          <w:szCs w:val="22"/>
        </w:rPr>
      </w:pPr>
      <w:r>
        <w:rPr>
          <w:rFonts w:cs="Arial"/>
          <w:sz w:val="22"/>
          <w:szCs w:val="22"/>
        </w:rPr>
        <w:t>In Q4 2025, an Extension Business Case was approved</w:t>
      </w:r>
      <w:r w:rsidR="00235418">
        <w:rPr>
          <w:rFonts w:cs="Arial"/>
          <w:sz w:val="22"/>
          <w:szCs w:val="22"/>
        </w:rPr>
        <w:t xml:space="preserve"> to extend the term of AIM4Forests to 2030, to add an additional component on transparency for sustainable commodity value chains, and to further accelerate country-level work</w:t>
      </w:r>
      <w:r w:rsidR="002C73F6">
        <w:rPr>
          <w:rFonts w:cs="Arial"/>
          <w:sz w:val="22"/>
          <w:szCs w:val="22"/>
        </w:rPr>
        <w:t xml:space="preserve">, which was impacted by a funding gap (as identified in the original Business Case and the Mid-Term Review). </w:t>
      </w:r>
    </w:p>
    <w:p w14:paraId="379283A7" w14:textId="77777777" w:rsidR="002C73F6" w:rsidRDefault="002C73F6" w:rsidP="00AE7E8E">
      <w:pPr>
        <w:jc w:val="both"/>
        <w:rPr>
          <w:rFonts w:cs="Arial"/>
          <w:sz w:val="22"/>
          <w:szCs w:val="22"/>
        </w:rPr>
      </w:pPr>
    </w:p>
    <w:p w14:paraId="6663C86A" w14:textId="484FCF56" w:rsidR="002C73F6" w:rsidRDefault="002C73F6" w:rsidP="002C73F6">
      <w:pPr>
        <w:jc w:val="both"/>
        <w:rPr>
          <w:rFonts w:cs="Arial"/>
          <w:sz w:val="22"/>
          <w:szCs w:val="22"/>
        </w:rPr>
      </w:pPr>
      <w:r>
        <w:rPr>
          <w:rFonts w:cs="Arial"/>
          <w:sz w:val="22"/>
          <w:szCs w:val="22"/>
        </w:rPr>
        <w:t xml:space="preserve">A new Theory of Change was developed for the extension Business Case, and this is provided below. (noting this includes new ‘AIM4Commodites’ area). This will be the basis for the development of the logframe for 2026 reporting. </w:t>
      </w:r>
      <w:r w:rsidR="00ED61FA">
        <w:rPr>
          <w:rFonts w:cs="Arial"/>
          <w:sz w:val="22"/>
          <w:szCs w:val="22"/>
        </w:rPr>
        <w:t xml:space="preserve">Also available online </w:t>
      </w:r>
      <w:hyperlink r:id="rId22" w:history="1">
        <w:r w:rsidR="00ED61FA" w:rsidRPr="00ED61FA">
          <w:rPr>
            <w:rStyle w:val="Hyperlink"/>
            <w:rFonts w:cs="Arial"/>
            <w:sz w:val="22"/>
            <w:szCs w:val="22"/>
          </w:rPr>
          <w:t>here</w:t>
        </w:r>
      </w:hyperlink>
      <w:r w:rsidR="00ED61FA">
        <w:rPr>
          <w:rFonts w:cs="Arial"/>
          <w:sz w:val="22"/>
          <w:szCs w:val="22"/>
        </w:rPr>
        <w:t>.</w:t>
      </w:r>
    </w:p>
    <w:p w14:paraId="1D0C88C4" w14:textId="77777777" w:rsidR="002C73F6" w:rsidRDefault="002C73F6" w:rsidP="002C73F6">
      <w:pPr>
        <w:jc w:val="both"/>
        <w:rPr>
          <w:rFonts w:cs="Arial"/>
          <w:sz w:val="22"/>
          <w:szCs w:val="22"/>
        </w:rPr>
      </w:pPr>
    </w:p>
    <w:p w14:paraId="04E77D28" w14:textId="77777777" w:rsidR="002C73F6" w:rsidRPr="00D80C6C" w:rsidRDefault="002C73F6" w:rsidP="002C73F6">
      <w:pPr>
        <w:jc w:val="both"/>
        <w:rPr>
          <w:rFonts w:cs="Arial"/>
          <w:sz w:val="22"/>
          <w:szCs w:val="22"/>
        </w:rPr>
      </w:pPr>
      <w:r w:rsidRPr="00A61558">
        <w:rPr>
          <w:rFonts w:cs="Arial"/>
          <w:noProof/>
          <w:sz w:val="22"/>
          <w:szCs w:val="22"/>
        </w:rPr>
        <w:drawing>
          <wp:inline distT="0" distB="0" distL="0" distR="0" wp14:anchorId="78CAE7B0" wp14:editId="1B273BEF">
            <wp:extent cx="5731510" cy="3197860"/>
            <wp:effectExtent l="0" t="0" r="2540" b="2540"/>
            <wp:docPr id="265049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49070" name=""/>
                    <pic:cNvPicPr/>
                  </pic:nvPicPr>
                  <pic:blipFill>
                    <a:blip r:embed="rId23"/>
                    <a:stretch>
                      <a:fillRect/>
                    </a:stretch>
                  </pic:blipFill>
                  <pic:spPr>
                    <a:xfrm>
                      <a:off x="0" y="0"/>
                      <a:ext cx="5731510" cy="3197860"/>
                    </a:xfrm>
                    <a:prstGeom prst="rect">
                      <a:avLst/>
                    </a:prstGeom>
                  </pic:spPr>
                </pic:pic>
              </a:graphicData>
            </a:graphic>
          </wp:inline>
        </w:drawing>
      </w:r>
    </w:p>
    <w:p w14:paraId="4E63065C" w14:textId="77777777" w:rsidR="002C73F6" w:rsidRDefault="002C73F6" w:rsidP="00AE7E8E">
      <w:pPr>
        <w:jc w:val="both"/>
        <w:rPr>
          <w:rFonts w:cs="Arial"/>
          <w:sz w:val="22"/>
          <w:szCs w:val="22"/>
        </w:rPr>
      </w:pPr>
    </w:p>
    <w:p w14:paraId="495A1E70" w14:textId="77777777" w:rsidR="00D17AF5" w:rsidRPr="00AE7E8E" w:rsidRDefault="00D17AF5" w:rsidP="00AE7E8E">
      <w:pPr>
        <w:jc w:val="both"/>
        <w:rPr>
          <w:rFonts w:cs="Arial"/>
          <w:sz w:val="22"/>
          <w:szCs w:val="22"/>
        </w:rPr>
      </w:pPr>
    </w:p>
    <w:p w14:paraId="6744E67C" w14:textId="27E73C57" w:rsidR="003D222C" w:rsidRDefault="007D6095" w:rsidP="527A8EFF">
      <w:pPr>
        <w:jc w:val="both"/>
        <w:rPr>
          <w:rFonts w:cs="Arial"/>
          <w:sz w:val="22"/>
          <w:szCs w:val="22"/>
        </w:rPr>
      </w:pPr>
      <w:bookmarkStart w:id="10" w:name="_Toc228283632"/>
      <w:r w:rsidRPr="5302A23D">
        <w:rPr>
          <w:rStyle w:val="Heading2Char"/>
        </w:rPr>
        <w:t>Progress against</w:t>
      </w:r>
      <w:r w:rsidR="003D222C" w:rsidRPr="5302A23D">
        <w:rPr>
          <w:rStyle w:val="Heading2Char"/>
        </w:rPr>
        <w:t xml:space="preserve"> the expected outcomes and </w:t>
      </w:r>
      <w:r w:rsidRPr="5302A23D">
        <w:rPr>
          <w:rStyle w:val="Heading2Char"/>
        </w:rPr>
        <w:t>impact, and</w:t>
      </w:r>
      <w:r w:rsidR="003D222C" w:rsidRPr="5302A23D">
        <w:rPr>
          <w:rStyle w:val="Heading2Char"/>
        </w:rPr>
        <w:t xml:space="preserve"> action</w:t>
      </w:r>
      <w:r w:rsidRPr="5302A23D">
        <w:rPr>
          <w:rStyle w:val="Heading2Char"/>
        </w:rPr>
        <w:t>s</w:t>
      </w:r>
      <w:r w:rsidR="003D222C" w:rsidRPr="5302A23D">
        <w:rPr>
          <w:rStyle w:val="Heading2Char"/>
        </w:rPr>
        <w:t xml:space="preserve"> planned </w:t>
      </w:r>
      <w:r w:rsidR="002D09A5" w:rsidRPr="5302A23D">
        <w:rPr>
          <w:rStyle w:val="Heading2Char"/>
        </w:rPr>
        <w:t>for</w:t>
      </w:r>
      <w:r w:rsidR="003D222C" w:rsidRPr="5302A23D">
        <w:rPr>
          <w:rStyle w:val="Heading2Char"/>
        </w:rPr>
        <w:t xml:space="preserve"> the year ahead</w:t>
      </w:r>
      <w:bookmarkEnd w:id="10"/>
      <w:r w:rsidR="003D222C" w:rsidRPr="5302A23D">
        <w:rPr>
          <w:rFonts w:cs="Arial"/>
          <w:sz w:val="22"/>
          <w:szCs w:val="22"/>
        </w:rPr>
        <w:t xml:space="preserve"> </w:t>
      </w:r>
    </w:p>
    <w:p w14:paraId="5950D538" w14:textId="77777777" w:rsidR="007352E2" w:rsidRDefault="007352E2" w:rsidP="527A8EFF">
      <w:pPr>
        <w:jc w:val="both"/>
        <w:rPr>
          <w:rFonts w:cs="Arial"/>
          <w:sz w:val="22"/>
          <w:szCs w:val="22"/>
        </w:rPr>
      </w:pPr>
    </w:p>
    <w:p w14:paraId="5524584D" w14:textId="78882404" w:rsidR="007352E2" w:rsidRPr="00D80C6C" w:rsidRDefault="007352E2" w:rsidP="527A8EFF">
      <w:pPr>
        <w:jc w:val="both"/>
        <w:rPr>
          <w:rFonts w:cs="Arial"/>
          <w:sz w:val="22"/>
          <w:szCs w:val="22"/>
        </w:rPr>
      </w:pPr>
      <w:r>
        <w:rPr>
          <w:rFonts w:cs="Arial"/>
          <w:sz w:val="22"/>
          <w:szCs w:val="22"/>
        </w:rPr>
        <w:t>To note, logframe amendments</w:t>
      </w:r>
      <w:r w:rsidR="00026245">
        <w:rPr>
          <w:rFonts w:cs="Arial"/>
          <w:sz w:val="22"/>
          <w:szCs w:val="22"/>
        </w:rPr>
        <w:t xml:space="preserve"> (from 2024)</w:t>
      </w:r>
      <w:r>
        <w:rPr>
          <w:rFonts w:cs="Arial"/>
          <w:sz w:val="22"/>
          <w:szCs w:val="22"/>
        </w:rPr>
        <w:t xml:space="preserve"> are highlighted</w:t>
      </w:r>
      <w:r w:rsidR="00026245">
        <w:rPr>
          <w:rFonts w:cs="Arial"/>
          <w:sz w:val="22"/>
          <w:szCs w:val="22"/>
        </w:rPr>
        <w:t xml:space="preserve"> in sections below.</w:t>
      </w:r>
    </w:p>
    <w:p w14:paraId="594B159C" w14:textId="77777777" w:rsidR="003D222C" w:rsidRPr="00426BE5" w:rsidRDefault="003D222C" w:rsidP="004D5FD5">
      <w:pPr>
        <w:jc w:val="both"/>
        <w:rPr>
          <w:rFonts w:cs="Arial"/>
          <w:b/>
          <w:i/>
          <w:iCs/>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1410"/>
        <w:gridCol w:w="1710"/>
      </w:tblGrid>
      <w:tr w:rsidR="00B559E4" w:rsidRPr="007B1612" w14:paraId="269BD8F2" w14:textId="77777777">
        <w:trPr>
          <w:trHeight w:val="645"/>
        </w:trPr>
        <w:tc>
          <w:tcPr>
            <w:tcW w:w="5805" w:type="dxa"/>
            <w:tcBorders>
              <w:top w:val="single" w:sz="4" w:space="0" w:color="auto"/>
              <w:left w:val="single" w:sz="4" w:space="0" w:color="auto"/>
              <w:bottom w:val="single" w:sz="4" w:space="0" w:color="auto"/>
              <w:right w:val="single" w:sz="4" w:space="0" w:color="auto"/>
            </w:tcBorders>
            <w:shd w:val="clear" w:color="auto" w:fill="D5DCE4"/>
            <w:hideMark/>
          </w:tcPr>
          <w:p w14:paraId="2DCD2C3F" w14:textId="77777777"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lastRenderedPageBreak/>
              <w:t>Impact Indicator</w:t>
            </w:r>
            <w:r w:rsidRPr="007B1612">
              <w:rPr>
                <w:rFonts w:cs="Arial"/>
                <w:color w:val="000000" w:themeColor="text1"/>
                <w:sz w:val="22"/>
                <w:szCs w:val="22"/>
              </w:rPr>
              <w:t> </w:t>
            </w:r>
          </w:p>
        </w:tc>
        <w:tc>
          <w:tcPr>
            <w:tcW w:w="1410" w:type="dxa"/>
            <w:tcBorders>
              <w:top w:val="single" w:sz="4" w:space="0" w:color="auto"/>
              <w:left w:val="single" w:sz="4" w:space="0" w:color="auto"/>
              <w:bottom w:val="single" w:sz="4" w:space="0" w:color="auto"/>
              <w:right w:val="single" w:sz="4" w:space="0" w:color="auto"/>
            </w:tcBorders>
            <w:shd w:val="clear" w:color="auto" w:fill="D5DCE4"/>
            <w:hideMark/>
          </w:tcPr>
          <w:p w14:paraId="33274813" w14:textId="53B2A17D"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Target 202</w:t>
            </w:r>
            <w:r w:rsidR="00676AAF">
              <w:rPr>
                <w:rFonts w:cs="Arial"/>
                <w:b/>
                <w:bCs/>
                <w:color w:val="000000" w:themeColor="text1"/>
                <w:sz w:val="22"/>
                <w:szCs w:val="22"/>
              </w:rPr>
              <w:t>5</w:t>
            </w:r>
            <w:r w:rsidRPr="007B1612">
              <w:rPr>
                <w:rFonts w:cs="Arial"/>
                <w:color w:val="000000" w:themeColor="text1"/>
                <w:sz w:val="22"/>
                <w:szCs w:val="22"/>
              </w:rPr>
              <w:t> </w:t>
            </w:r>
          </w:p>
        </w:tc>
        <w:tc>
          <w:tcPr>
            <w:tcW w:w="1695" w:type="dxa"/>
            <w:tcBorders>
              <w:top w:val="single" w:sz="4" w:space="0" w:color="auto"/>
              <w:left w:val="single" w:sz="4" w:space="0" w:color="auto"/>
              <w:bottom w:val="single" w:sz="4" w:space="0" w:color="auto"/>
              <w:right w:val="single" w:sz="4" w:space="0" w:color="auto"/>
            </w:tcBorders>
            <w:shd w:val="clear" w:color="auto" w:fill="D5DCE4"/>
            <w:hideMark/>
          </w:tcPr>
          <w:p w14:paraId="0504DCEB" w14:textId="4834D10C"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Achieved result 202</w:t>
            </w:r>
            <w:r w:rsidR="00676AAF">
              <w:rPr>
                <w:rFonts w:cs="Arial"/>
                <w:b/>
                <w:bCs/>
                <w:color w:val="000000" w:themeColor="text1"/>
                <w:sz w:val="22"/>
                <w:szCs w:val="22"/>
              </w:rPr>
              <w:t>5</w:t>
            </w:r>
          </w:p>
        </w:tc>
      </w:tr>
      <w:tr w:rsidR="00CA4676" w:rsidRPr="007B1612" w14:paraId="4C690731" w14:textId="77777777">
        <w:trPr>
          <w:trHeight w:val="645"/>
        </w:trPr>
        <w:tc>
          <w:tcPr>
            <w:tcW w:w="8925" w:type="dxa"/>
            <w:gridSpan w:val="3"/>
            <w:tcBorders>
              <w:top w:val="single" w:sz="4" w:space="0" w:color="auto"/>
              <w:left w:val="single" w:sz="4" w:space="0" w:color="auto"/>
              <w:bottom w:val="single" w:sz="4" w:space="0" w:color="auto"/>
              <w:right w:val="single" w:sz="4" w:space="0" w:color="auto"/>
            </w:tcBorders>
            <w:hideMark/>
          </w:tcPr>
          <w:p w14:paraId="43DE90E2" w14:textId="77777777"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Long-term, transformational sustainable land-use management and reduction in deforestation, and GHG emissions from the forest &amp; land-use sector are reduced in line with Paris Agreement &amp; Sustainable Development Goals.</w:t>
            </w:r>
            <w:r w:rsidRPr="007B1612">
              <w:rPr>
                <w:rFonts w:cs="Arial"/>
                <w:color w:val="000000" w:themeColor="text1"/>
                <w:sz w:val="22"/>
                <w:szCs w:val="22"/>
              </w:rPr>
              <w:t> </w:t>
            </w:r>
          </w:p>
        </w:tc>
      </w:tr>
      <w:tr w:rsidR="00B559E4" w:rsidRPr="007B1612" w14:paraId="10A037A3" w14:textId="77777777">
        <w:trPr>
          <w:trHeight w:val="645"/>
        </w:trPr>
        <w:tc>
          <w:tcPr>
            <w:tcW w:w="5805" w:type="dxa"/>
            <w:tcBorders>
              <w:top w:val="single" w:sz="4" w:space="0" w:color="auto"/>
              <w:left w:val="single" w:sz="4" w:space="0" w:color="auto"/>
              <w:bottom w:val="single" w:sz="4" w:space="0" w:color="auto"/>
              <w:right w:val="single" w:sz="4" w:space="0" w:color="auto"/>
            </w:tcBorders>
            <w:hideMark/>
          </w:tcPr>
          <w:p w14:paraId="7445BB83"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Impact Indicator 1: Extent to which AIM4Forests is likely to lead to transformational change </w:t>
            </w:r>
          </w:p>
        </w:tc>
        <w:tc>
          <w:tcPr>
            <w:tcW w:w="1410" w:type="dxa"/>
            <w:tcBorders>
              <w:top w:val="single" w:sz="4" w:space="0" w:color="auto"/>
              <w:left w:val="single" w:sz="4" w:space="0" w:color="auto"/>
              <w:bottom w:val="single" w:sz="4" w:space="0" w:color="auto"/>
              <w:right w:val="single" w:sz="4" w:space="0" w:color="auto"/>
            </w:tcBorders>
            <w:hideMark/>
          </w:tcPr>
          <w:p w14:paraId="32379331" w14:textId="156D0129" w:rsidR="007B1612" w:rsidRPr="007B1612" w:rsidRDefault="007352E2" w:rsidP="007B1612">
            <w:pPr>
              <w:jc w:val="both"/>
              <w:rPr>
                <w:rFonts w:cs="Arial"/>
                <w:color w:val="000000" w:themeColor="text1"/>
                <w:sz w:val="22"/>
                <w:szCs w:val="22"/>
              </w:rPr>
            </w:pPr>
            <w:r>
              <w:rPr>
                <w:rFonts w:cs="Arial"/>
                <w:color w:val="000000" w:themeColor="text1"/>
                <w:sz w:val="22"/>
                <w:szCs w:val="22"/>
              </w:rPr>
              <w:t>4</w:t>
            </w:r>
          </w:p>
        </w:tc>
        <w:tc>
          <w:tcPr>
            <w:tcW w:w="1695" w:type="dxa"/>
            <w:tcBorders>
              <w:top w:val="single" w:sz="4" w:space="0" w:color="auto"/>
              <w:left w:val="single" w:sz="4" w:space="0" w:color="auto"/>
              <w:bottom w:val="single" w:sz="4" w:space="0" w:color="auto"/>
              <w:right w:val="single" w:sz="4" w:space="0" w:color="auto"/>
            </w:tcBorders>
            <w:hideMark/>
          </w:tcPr>
          <w:p w14:paraId="1916895B" w14:textId="78127B97" w:rsidR="007B1612" w:rsidRPr="007B1612" w:rsidRDefault="00D34056" w:rsidP="007B1612">
            <w:pPr>
              <w:jc w:val="both"/>
              <w:rPr>
                <w:rFonts w:cs="Arial"/>
                <w:color w:val="000000" w:themeColor="text1"/>
                <w:sz w:val="22"/>
                <w:szCs w:val="22"/>
              </w:rPr>
            </w:pPr>
            <w:r>
              <w:rPr>
                <w:rFonts w:cs="Arial"/>
                <w:color w:val="000000" w:themeColor="text1"/>
                <w:sz w:val="22"/>
                <w:szCs w:val="22"/>
              </w:rPr>
              <w:t>4</w:t>
            </w:r>
          </w:p>
        </w:tc>
      </w:tr>
    </w:tbl>
    <w:p w14:paraId="6D8317F1" w14:textId="77777777" w:rsidR="007B1612" w:rsidRPr="007B1612" w:rsidRDefault="007B1612" w:rsidP="007B1612">
      <w:pPr>
        <w:jc w:val="both"/>
        <w:rPr>
          <w:rFonts w:cs="Arial"/>
          <w:i/>
          <w:iCs/>
          <w:color w:val="000000" w:themeColor="text1"/>
          <w:sz w:val="22"/>
          <w:szCs w:val="22"/>
        </w:rPr>
      </w:pPr>
      <w:r w:rsidRPr="007B1612">
        <w:rPr>
          <w:rFonts w:cs="Arial"/>
          <w:i/>
          <w:iCs/>
          <w:color w:val="000000" w:themeColor="text1"/>
          <w:sz w:val="22"/>
          <w:szCs w:val="22"/>
        </w:rPr>
        <w:t> </w:t>
      </w:r>
    </w:p>
    <w:p w14:paraId="593A6D70" w14:textId="77777777" w:rsidR="007B1612" w:rsidRPr="007B1612" w:rsidRDefault="007B1612" w:rsidP="007B1612">
      <w:pPr>
        <w:jc w:val="both"/>
        <w:rPr>
          <w:rFonts w:cs="Arial"/>
          <w:i/>
          <w:iCs/>
          <w:color w:val="000000" w:themeColor="text1"/>
          <w:sz w:val="22"/>
          <w:szCs w:val="22"/>
        </w:rPr>
      </w:pPr>
      <w:r w:rsidRPr="007B1612">
        <w:rPr>
          <w:rFonts w:cs="Arial"/>
          <w:i/>
          <w:iCs/>
          <w:color w:val="000000" w:themeColor="text1"/>
          <w:sz w:val="22"/>
          <w:szCs w:val="22"/>
        </w:rPr>
        <w:t> </w:t>
      </w:r>
    </w:p>
    <w:tbl>
      <w:tblPr>
        <w:tblW w:w="89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1410"/>
        <w:gridCol w:w="1710"/>
      </w:tblGrid>
      <w:tr w:rsidR="00B559E4" w:rsidRPr="007B1612" w14:paraId="2767828C" w14:textId="77777777" w:rsidTr="115B41CC">
        <w:trPr>
          <w:trHeight w:val="645"/>
        </w:trPr>
        <w:tc>
          <w:tcPr>
            <w:tcW w:w="580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854951" w14:textId="77777777"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Outcome Indicators</w:t>
            </w:r>
            <w:r w:rsidRPr="007B1612">
              <w:rPr>
                <w:rFonts w:cs="Arial"/>
                <w:color w:val="000000" w:themeColor="text1"/>
                <w:sz w:val="22"/>
                <w:szCs w:val="22"/>
              </w:rPr>
              <w:t> </w:t>
            </w:r>
          </w:p>
        </w:tc>
        <w:tc>
          <w:tcPr>
            <w:tcW w:w="1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5A63EB" w14:textId="589DF72E"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Target </w:t>
            </w:r>
            <w:r w:rsidRPr="5641EADA">
              <w:rPr>
                <w:rFonts w:cs="Arial"/>
                <w:b/>
                <w:bCs/>
                <w:color w:val="000000" w:themeColor="text1"/>
                <w:sz w:val="22"/>
                <w:szCs w:val="22"/>
              </w:rPr>
              <w:t>202</w:t>
            </w:r>
            <w:r w:rsidR="13624592" w:rsidRPr="5641EADA">
              <w:rPr>
                <w:rFonts w:cs="Arial"/>
                <w:b/>
                <w:bCs/>
                <w:color w:val="000000" w:themeColor="text1"/>
                <w:sz w:val="22"/>
                <w:szCs w:val="22"/>
              </w:rPr>
              <w:t>5</w:t>
            </w:r>
            <w:r w:rsidRPr="007B1612">
              <w:rPr>
                <w:rFonts w:cs="Arial"/>
                <w:color w:val="000000" w:themeColor="text1"/>
                <w:sz w:val="22"/>
                <w:szCs w:val="22"/>
              </w:rPr>
              <w:t> </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B810C0" w14:textId="1F680FF2"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Achieved result </w:t>
            </w:r>
            <w:r w:rsidRPr="5641EADA">
              <w:rPr>
                <w:rFonts w:cs="Arial"/>
                <w:b/>
                <w:bCs/>
                <w:color w:val="000000" w:themeColor="text1"/>
                <w:sz w:val="22"/>
                <w:szCs w:val="22"/>
              </w:rPr>
              <w:t>202</w:t>
            </w:r>
            <w:r w:rsidR="6384D554" w:rsidRPr="5641EADA">
              <w:rPr>
                <w:rFonts w:cs="Arial"/>
                <w:b/>
                <w:bCs/>
                <w:color w:val="000000" w:themeColor="text1"/>
                <w:sz w:val="22"/>
                <w:szCs w:val="22"/>
              </w:rPr>
              <w:t>5</w:t>
            </w:r>
          </w:p>
        </w:tc>
      </w:tr>
      <w:tr w:rsidR="00CA4676" w:rsidRPr="007B1612" w14:paraId="53AD4BC5" w14:textId="77777777" w:rsidTr="00C368C4">
        <w:trPr>
          <w:trHeight w:val="435"/>
        </w:trPr>
        <w:tc>
          <w:tcPr>
            <w:tcW w:w="8925" w:type="dxa"/>
            <w:gridSpan w:val="3"/>
            <w:tcBorders>
              <w:top w:val="single" w:sz="4" w:space="0" w:color="auto"/>
              <w:left w:val="single" w:sz="4" w:space="0" w:color="auto"/>
              <w:bottom w:val="single" w:sz="4" w:space="0" w:color="auto"/>
              <w:right w:val="single" w:sz="4" w:space="0" w:color="auto"/>
            </w:tcBorders>
            <w:hideMark/>
          </w:tcPr>
          <w:p w14:paraId="490804CF" w14:textId="2231245C"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 xml:space="preserve">Outcome 1: Greater financial flows for forest countries and communities enabling governments to deliver sustainable development and meet </w:t>
            </w:r>
            <w:r w:rsidR="00B8097B" w:rsidRPr="007B1612">
              <w:rPr>
                <w:rFonts w:cs="Arial"/>
                <w:b/>
                <w:bCs/>
                <w:color w:val="000000" w:themeColor="text1"/>
                <w:sz w:val="22"/>
                <w:szCs w:val="22"/>
              </w:rPr>
              <w:t>NDCs</w:t>
            </w:r>
            <w:r w:rsidR="00B8097B">
              <w:rPr>
                <w:rFonts w:cs="Arial"/>
                <w:b/>
                <w:bCs/>
                <w:color w:val="000000" w:themeColor="text1"/>
                <w:sz w:val="22"/>
                <w:szCs w:val="22"/>
              </w:rPr>
              <w:t xml:space="preserve"> and</w:t>
            </w:r>
            <w:r w:rsidR="00B8097B" w:rsidRPr="00B8097B">
              <w:rPr>
                <w:rFonts w:cs="Arial"/>
                <w:b/>
                <w:bCs/>
                <w:color w:val="7030A0"/>
                <w:sz w:val="22"/>
                <w:szCs w:val="22"/>
              </w:rPr>
              <w:t xml:space="preserve"> enhance livelihoods of forest-dependent people.</w:t>
            </w:r>
            <w:r w:rsidRPr="007B1612">
              <w:rPr>
                <w:rFonts w:cs="Arial"/>
                <w:color w:val="7030A0"/>
                <w:sz w:val="22"/>
                <w:szCs w:val="22"/>
              </w:rPr>
              <w:t> </w:t>
            </w:r>
          </w:p>
        </w:tc>
      </w:tr>
      <w:tr w:rsidR="00B559E4" w:rsidRPr="007B1612" w14:paraId="008C8513"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hideMark/>
          </w:tcPr>
          <w:p w14:paraId="3A40A4DA" w14:textId="77DC35DE"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 xml:space="preserve">Outcome indicator 1.1: Volume and type of forest/land-use carbon credits verified due to support from AIM4Forests, highlighting the importance of forest monitoring to stakeholders </w:t>
            </w:r>
            <w:r w:rsidR="000412C7">
              <w:rPr>
                <w:rFonts w:cs="Arial"/>
                <w:color w:val="000000" w:themeColor="text1"/>
                <w:sz w:val="22"/>
                <w:szCs w:val="22"/>
              </w:rPr>
              <w:t>(</w:t>
            </w:r>
            <w:r w:rsidRPr="007B1612">
              <w:rPr>
                <w:rFonts w:cs="Arial"/>
                <w:color w:val="000000" w:themeColor="text1"/>
                <w:sz w:val="22"/>
                <w:szCs w:val="22"/>
              </w:rPr>
              <w:t>carbon credits) </w:t>
            </w:r>
          </w:p>
        </w:tc>
        <w:tc>
          <w:tcPr>
            <w:tcW w:w="1410" w:type="dxa"/>
            <w:tcBorders>
              <w:top w:val="single" w:sz="4" w:space="0" w:color="auto"/>
              <w:left w:val="single" w:sz="4" w:space="0" w:color="auto"/>
              <w:bottom w:val="single" w:sz="4" w:space="0" w:color="auto"/>
              <w:right w:val="single" w:sz="4" w:space="0" w:color="auto"/>
            </w:tcBorders>
            <w:hideMark/>
          </w:tcPr>
          <w:p w14:paraId="5D010254" w14:textId="55D7BFD4" w:rsidR="007B1612" w:rsidRPr="007B1612" w:rsidRDefault="00B8097B" w:rsidP="007B1612">
            <w:pPr>
              <w:jc w:val="both"/>
              <w:rPr>
                <w:rFonts w:cs="Arial"/>
                <w:color w:val="000000" w:themeColor="text1"/>
                <w:sz w:val="22"/>
                <w:szCs w:val="22"/>
              </w:rPr>
            </w:pPr>
            <w:r>
              <w:rPr>
                <w:rFonts w:cs="Arial"/>
                <w:color w:val="000000" w:themeColor="text1"/>
                <w:sz w:val="22"/>
                <w:szCs w:val="22"/>
              </w:rPr>
              <w:t>50</w:t>
            </w:r>
            <w:r w:rsidR="000412C7">
              <w:rPr>
                <w:rFonts w:cs="Arial"/>
                <w:color w:val="000000" w:themeColor="text1"/>
                <w:sz w:val="22"/>
                <w:szCs w:val="22"/>
              </w:rPr>
              <w:t>,000,000</w:t>
            </w:r>
          </w:p>
        </w:tc>
        <w:tc>
          <w:tcPr>
            <w:tcW w:w="1710" w:type="dxa"/>
            <w:tcBorders>
              <w:top w:val="single" w:sz="4" w:space="0" w:color="auto"/>
              <w:left w:val="single" w:sz="4" w:space="0" w:color="auto"/>
              <w:bottom w:val="single" w:sz="4" w:space="0" w:color="auto"/>
              <w:right w:val="single" w:sz="4" w:space="0" w:color="auto"/>
            </w:tcBorders>
            <w:hideMark/>
          </w:tcPr>
          <w:p w14:paraId="0AC34721" w14:textId="7E4FCC36" w:rsidR="007B1612" w:rsidRPr="007B1612" w:rsidRDefault="00676AAF" w:rsidP="007B1612">
            <w:pPr>
              <w:jc w:val="both"/>
              <w:rPr>
                <w:rFonts w:cs="Arial"/>
                <w:color w:val="000000" w:themeColor="text1"/>
                <w:sz w:val="22"/>
                <w:szCs w:val="22"/>
              </w:rPr>
            </w:pPr>
            <w:r>
              <w:rPr>
                <w:rFonts w:cs="Arial"/>
                <w:color w:val="000000" w:themeColor="text1"/>
                <w:sz w:val="22"/>
                <w:szCs w:val="22"/>
              </w:rPr>
              <w:t>64</w:t>
            </w:r>
            <w:r w:rsidR="000412C7">
              <w:rPr>
                <w:rFonts w:cs="Arial"/>
                <w:color w:val="000000" w:themeColor="text1"/>
                <w:sz w:val="22"/>
                <w:szCs w:val="22"/>
              </w:rPr>
              <w:t>,072,399</w:t>
            </w:r>
          </w:p>
        </w:tc>
      </w:tr>
      <w:tr w:rsidR="00B559E4" w:rsidRPr="007B1612" w14:paraId="271C9779"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hideMark/>
          </w:tcPr>
          <w:p w14:paraId="29D9D357"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Outcome indicator 1.2: Number of countries supported to cover forestry and land use categories in UNFCCC reporting (including against the NDC) </w:t>
            </w:r>
          </w:p>
        </w:tc>
        <w:tc>
          <w:tcPr>
            <w:tcW w:w="1410" w:type="dxa"/>
            <w:tcBorders>
              <w:top w:val="single" w:sz="4" w:space="0" w:color="auto"/>
              <w:left w:val="single" w:sz="4" w:space="0" w:color="auto"/>
              <w:bottom w:val="single" w:sz="4" w:space="0" w:color="auto"/>
              <w:right w:val="single" w:sz="4" w:space="0" w:color="auto"/>
            </w:tcBorders>
            <w:hideMark/>
          </w:tcPr>
          <w:p w14:paraId="248D753E" w14:textId="4C42CBD1" w:rsidR="007B1612" w:rsidRPr="007B1612" w:rsidRDefault="004962DB" w:rsidP="007B1612">
            <w:pPr>
              <w:jc w:val="both"/>
              <w:rPr>
                <w:rFonts w:cs="Arial"/>
                <w:color w:val="000000" w:themeColor="text1"/>
                <w:sz w:val="22"/>
                <w:szCs w:val="22"/>
              </w:rPr>
            </w:pPr>
            <w:r>
              <w:rPr>
                <w:rFonts w:cs="Arial"/>
                <w:color w:val="000000" w:themeColor="text1"/>
                <w:sz w:val="22"/>
                <w:szCs w:val="22"/>
              </w:rPr>
              <w:t>4</w:t>
            </w:r>
          </w:p>
        </w:tc>
        <w:tc>
          <w:tcPr>
            <w:tcW w:w="1710" w:type="dxa"/>
            <w:tcBorders>
              <w:top w:val="single" w:sz="4" w:space="0" w:color="auto"/>
              <w:left w:val="single" w:sz="4" w:space="0" w:color="auto"/>
              <w:bottom w:val="single" w:sz="4" w:space="0" w:color="auto"/>
              <w:right w:val="single" w:sz="4" w:space="0" w:color="auto"/>
            </w:tcBorders>
            <w:hideMark/>
          </w:tcPr>
          <w:p w14:paraId="61D7992F" w14:textId="0C24849E" w:rsidR="007B1612" w:rsidRPr="007B1612" w:rsidRDefault="000412C7" w:rsidP="007B1612">
            <w:pPr>
              <w:jc w:val="both"/>
              <w:rPr>
                <w:rFonts w:cs="Arial"/>
                <w:color w:val="000000" w:themeColor="text1"/>
                <w:sz w:val="22"/>
                <w:szCs w:val="22"/>
              </w:rPr>
            </w:pPr>
            <w:r>
              <w:rPr>
                <w:rFonts w:cs="Arial"/>
                <w:color w:val="000000" w:themeColor="text1"/>
                <w:sz w:val="22"/>
                <w:szCs w:val="22"/>
              </w:rPr>
              <w:t>4</w:t>
            </w:r>
          </w:p>
        </w:tc>
      </w:tr>
      <w:tr w:rsidR="00B559E4" w:rsidRPr="007B1612" w14:paraId="7684EB72"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hideMark/>
          </w:tcPr>
          <w:p w14:paraId="0EEBD4A0" w14:textId="6B5882FF"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Outcome indicator 1.3: Number of (a) individuals and (b) organisations supported by A</w:t>
            </w:r>
            <w:r w:rsidR="00EE0F0A">
              <w:rPr>
                <w:rFonts w:cs="Arial"/>
                <w:color w:val="000000" w:themeColor="text1"/>
                <w:sz w:val="22"/>
                <w:szCs w:val="22"/>
              </w:rPr>
              <w:t>IM</w:t>
            </w:r>
            <w:r w:rsidRPr="007B1612">
              <w:rPr>
                <w:rFonts w:cs="Arial"/>
                <w:color w:val="000000" w:themeColor="text1"/>
                <w:sz w:val="22"/>
                <w:szCs w:val="22"/>
              </w:rPr>
              <w:t>4Forests (including women, IPs, CSOs, and local communities) </w:t>
            </w:r>
          </w:p>
        </w:tc>
        <w:tc>
          <w:tcPr>
            <w:tcW w:w="1410" w:type="dxa"/>
            <w:tcBorders>
              <w:top w:val="single" w:sz="4" w:space="0" w:color="auto"/>
              <w:left w:val="single" w:sz="4" w:space="0" w:color="auto"/>
              <w:bottom w:val="single" w:sz="4" w:space="0" w:color="auto"/>
              <w:right w:val="single" w:sz="4" w:space="0" w:color="auto"/>
            </w:tcBorders>
            <w:hideMark/>
          </w:tcPr>
          <w:p w14:paraId="0848C589" w14:textId="1D1E4E6F"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(a) </w:t>
            </w:r>
            <w:r w:rsidR="004962DB">
              <w:rPr>
                <w:rFonts w:cs="Arial"/>
                <w:color w:val="000000" w:themeColor="text1"/>
                <w:sz w:val="22"/>
                <w:szCs w:val="22"/>
              </w:rPr>
              <w:t>3000</w:t>
            </w:r>
          </w:p>
          <w:p w14:paraId="6ACED037" w14:textId="578C254E"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(b)</w:t>
            </w:r>
            <w:r w:rsidR="004962DB">
              <w:rPr>
                <w:rFonts w:cs="Arial"/>
                <w:color w:val="000000" w:themeColor="text1"/>
                <w:sz w:val="22"/>
                <w:szCs w:val="22"/>
              </w:rPr>
              <w:t xml:space="preserve"> 42</w:t>
            </w:r>
          </w:p>
        </w:tc>
        <w:tc>
          <w:tcPr>
            <w:tcW w:w="1710" w:type="dxa"/>
            <w:tcBorders>
              <w:top w:val="single" w:sz="4" w:space="0" w:color="auto"/>
              <w:left w:val="single" w:sz="4" w:space="0" w:color="auto"/>
              <w:bottom w:val="single" w:sz="4" w:space="0" w:color="auto"/>
              <w:right w:val="single" w:sz="4" w:space="0" w:color="auto"/>
            </w:tcBorders>
            <w:hideMark/>
          </w:tcPr>
          <w:p w14:paraId="6B8F6E50" w14:textId="77777777" w:rsidR="007B1612" w:rsidRDefault="000412C7" w:rsidP="007B1612">
            <w:pPr>
              <w:jc w:val="both"/>
              <w:rPr>
                <w:rFonts w:cs="Arial"/>
                <w:color w:val="000000" w:themeColor="text1"/>
                <w:sz w:val="22"/>
                <w:szCs w:val="22"/>
              </w:rPr>
            </w:pPr>
            <w:r>
              <w:rPr>
                <w:rFonts w:cs="Arial"/>
                <w:color w:val="000000" w:themeColor="text1"/>
                <w:sz w:val="22"/>
                <w:szCs w:val="22"/>
              </w:rPr>
              <w:t>(a) 11,983</w:t>
            </w:r>
          </w:p>
          <w:p w14:paraId="5192599E" w14:textId="76D1061B" w:rsidR="000412C7" w:rsidRPr="007B1612" w:rsidRDefault="000412C7" w:rsidP="007B1612">
            <w:pPr>
              <w:jc w:val="both"/>
              <w:rPr>
                <w:rFonts w:cs="Arial"/>
                <w:color w:val="000000" w:themeColor="text1"/>
                <w:sz w:val="22"/>
                <w:szCs w:val="22"/>
              </w:rPr>
            </w:pPr>
            <w:r>
              <w:rPr>
                <w:rFonts w:cs="Arial"/>
                <w:color w:val="000000" w:themeColor="text1"/>
                <w:sz w:val="22"/>
                <w:szCs w:val="22"/>
              </w:rPr>
              <w:t>(b) 53</w:t>
            </w:r>
          </w:p>
        </w:tc>
      </w:tr>
      <w:tr w:rsidR="00CA4676" w:rsidRPr="007B1612" w14:paraId="6F1779A5" w14:textId="77777777" w:rsidTr="00C368C4">
        <w:trPr>
          <w:trHeight w:val="435"/>
        </w:trPr>
        <w:tc>
          <w:tcPr>
            <w:tcW w:w="8925" w:type="dxa"/>
            <w:gridSpan w:val="3"/>
            <w:tcBorders>
              <w:top w:val="single" w:sz="4" w:space="0" w:color="auto"/>
              <w:left w:val="single" w:sz="4" w:space="0" w:color="auto"/>
              <w:bottom w:val="single" w:sz="4" w:space="0" w:color="auto"/>
              <w:right w:val="single" w:sz="4" w:space="0" w:color="auto"/>
            </w:tcBorders>
            <w:hideMark/>
          </w:tcPr>
          <w:p w14:paraId="64496794" w14:textId="77777777"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Outcome 2: Increased and sustained conservation and reforestation of forests, sustainable land management </w:t>
            </w:r>
            <w:proofErr w:type="gramStart"/>
            <w:r w:rsidRPr="007B1612">
              <w:rPr>
                <w:rFonts w:cs="Arial"/>
                <w:b/>
                <w:bCs/>
                <w:color w:val="000000" w:themeColor="text1"/>
                <w:sz w:val="22"/>
                <w:szCs w:val="22"/>
              </w:rPr>
              <w:t>as a result of</w:t>
            </w:r>
            <w:proofErr w:type="gramEnd"/>
            <w:r w:rsidRPr="007B1612">
              <w:rPr>
                <w:rFonts w:cs="Arial"/>
                <w:b/>
                <w:bCs/>
                <w:color w:val="000000" w:themeColor="text1"/>
                <w:sz w:val="22"/>
                <w:szCs w:val="22"/>
              </w:rPr>
              <w:t> enhanced data addressing technical, methodological and innovation gaps.</w:t>
            </w:r>
            <w:r w:rsidRPr="007B1612">
              <w:rPr>
                <w:rFonts w:cs="Arial"/>
                <w:color w:val="000000" w:themeColor="text1"/>
                <w:sz w:val="22"/>
                <w:szCs w:val="22"/>
              </w:rPr>
              <w:t> </w:t>
            </w:r>
          </w:p>
        </w:tc>
      </w:tr>
      <w:tr w:rsidR="00B559E4" w:rsidRPr="007B1612" w14:paraId="3267DD99"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hideMark/>
          </w:tcPr>
          <w:p w14:paraId="72A2A9D2"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Outcome indicator 2.1: Number of countries supported through AIM4Forests </w:t>
            </w:r>
          </w:p>
        </w:tc>
        <w:tc>
          <w:tcPr>
            <w:tcW w:w="1410" w:type="dxa"/>
            <w:tcBorders>
              <w:top w:val="single" w:sz="4" w:space="0" w:color="auto"/>
              <w:left w:val="single" w:sz="4" w:space="0" w:color="auto"/>
              <w:bottom w:val="single" w:sz="4" w:space="0" w:color="auto"/>
              <w:right w:val="single" w:sz="4" w:space="0" w:color="auto"/>
            </w:tcBorders>
            <w:hideMark/>
          </w:tcPr>
          <w:p w14:paraId="6559D94B" w14:textId="3D1307DC"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1</w:t>
            </w:r>
            <w:r w:rsidR="004962DB">
              <w:rPr>
                <w:rFonts w:cs="Arial"/>
                <w:color w:val="000000" w:themeColor="text1"/>
                <w:sz w:val="22"/>
                <w:szCs w:val="22"/>
              </w:rPr>
              <w:t>5</w:t>
            </w:r>
          </w:p>
        </w:tc>
        <w:tc>
          <w:tcPr>
            <w:tcW w:w="1710" w:type="dxa"/>
            <w:tcBorders>
              <w:top w:val="single" w:sz="4" w:space="0" w:color="auto"/>
              <w:left w:val="single" w:sz="4" w:space="0" w:color="auto"/>
              <w:bottom w:val="single" w:sz="4" w:space="0" w:color="auto"/>
              <w:right w:val="single" w:sz="4" w:space="0" w:color="auto"/>
            </w:tcBorders>
            <w:hideMark/>
          </w:tcPr>
          <w:p w14:paraId="598730CC" w14:textId="09E12649"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1</w:t>
            </w:r>
            <w:r w:rsidR="00325E39">
              <w:rPr>
                <w:rFonts w:cs="Arial"/>
                <w:color w:val="000000" w:themeColor="text1"/>
                <w:sz w:val="22"/>
                <w:szCs w:val="22"/>
              </w:rPr>
              <w:t>9</w:t>
            </w:r>
            <w:r w:rsidRPr="007B1612">
              <w:rPr>
                <w:rFonts w:cs="Arial"/>
                <w:color w:val="000000" w:themeColor="text1"/>
                <w:sz w:val="22"/>
                <w:szCs w:val="22"/>
              </w:rPr>
              <w:t> </w:t>
            </w:r>
          </w:p>
        </w:tc>
      </w:tr>
      <w:tr w:rsidR="00B559E4" w:rsidRPr="007B1612" w14:paraId="62502733"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hideMark/>
          </w:tcPr>
          <w:p w14:paraId="55AD081A"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Outcome indicator 2.2: Number of institutions in AIM4Forests countries with improved capacities in utilising high-resolution satellites and data for forests and land use </w:t>
            </w:r>
          </w:p>
        </w:tc>
        <w:tc>
          <w:tcPr>
            <w:tcW w:w="1410" w:type="dxa"/>
            <w:tcBorders>
              <w:top w:val="single" w:sz="4" w:space="0" w:color="auto"/>
              <w:left w:val="single" w:sz="4" w:space="0" w:color="auto"/>
              <w:bottom w:val="single" w:sz="4" w:space="0" w:color="auto"/>
              <w:right w:val="single" w:sz="4" w:space="0" w:color="auto"/>
            </w:tcBorders>
            <w:hideMark/>
          </w:tcPr>
          <w:p w14:paraId="6A1CBF42" w14:textId="6D64A836"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1</w:t>
            </w:r>
            <w:r w:rsidR="00C368C4">
              <w:rPr>
                <w:rFonts w:cs="Arial"/>
                <w:color w:val="000000" w:themeColor="text1"/>
                <w:sz w:val="22"/>
                <w:szCs w:val="22"/>
              </w:rPr>
              <w:t>5</w:t>
            </w:r>
          </w:p>
        </w:tc>
        <w:tc>
          <w:tcPr>
            <w:tcW w:w="1710" w:type="dxa"/>
            <w:tcBorders>
              <w:top w:val="single" w:sz="4" w:space="0" w:color="auto"/>
              <w:left w:val="single" w:sz="4" w:space="0" w:color="auto"/>
              <w:bottom w:val="single" w:sz="4" w:space="0" w:color="auto"/>
              <w:right w:val="single" w:sz="4" w:space="0" w:color="auto"/>
            </w:tcBorders>
            <w:hideMark/>
          </w:tcPr>
          <w:p w14:paraId="6BE243CE" w14:textId="6417751C"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1</w:t>
            </w:r>
            <w:r w:rsidR="00325E39">
              <w:rPr>
                <w:rFonts w:cs="Arial"/>
                <w:color w:val="000000" w:themeColor="text1"/>
                <w:sz w:val="22"/>
                <w:szCs w:val="22"/>
              </w:rPr>
              <w:t>6</w:t>
            </w:r>
          </w:p>
        </w:tc>
      </w:tr>
      <w:tr w:rsidR="00B559E4" w:rsidRPr="007B1612" w14:paraId="42B43014"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hideMark/>
          </w:tcPr>
          <w:p w14:paraId="37FCC8FD"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Outcome indicator 2.3: Number of key methodological challenges overcome through alignment, innovation, and deployment </w:t>
            </w:r>
          </w:p>
        </w:tc>
        <w:tc>
          <w:tcPr>
            <w:tcW w:w="1410" w:type="dxa"/>
            <w:tcBorders>
              <w:top w:val="single" w:sz="4" w:space="0" w:color="auto"/>
              <w:left w:val="single" w:sz="4" w:space="0" w:color="auto"/>
              <w:bottom w:val="single" w:sz="4" w:space="0" w:color="auto"/>
              <w:right w:val="single" w:sz="4" w:space="0" w:color="auto"/>
            </w:tcBorders>
            <w:hideMark/>
          </w:tcPr>
          <w:p w14:paraId="77B7563E" w14:textId="65D406E5" w:rsidR="007B1612" w:rsidRPr="007B1612" w:rsidRDefault="00C368C4" w:rsidP="007B1612">
            <w:pPr>
              <w:jc w:val="both"/>
              <w:rPr>
                <w:rFonts w:cs="Arial"/>
                <w:color w:val="000000" w:themeColor="text1"/>
                <w:sz w:val="22"/>
                <w:szCs w:val="22"/>
              </w:rPr>
            </w:pPr>
            <w:r>
              <w:rPr>
                <w:rFonts w:cs="Arial"/>
                <w:color w:val="000000" w:themeColor="text1"/>
                <w:sz w:val="22"/>
                <w:szCs w:val="22"/>
              </w:rPr>
              <w:t>4</w:t>
            </w:r>
          </w:p>
        </w:tc>
        <w:tc>
          <w:tcPr>
            <w:tcW w:w="1710" w:type="dxa"/>
            <w:tcBorders>
              <w:top w:val="single" w:sz="4" w:space="0" w:color="auto"/>
              <w:left w:val="single" w:sz="4" w:space="0" w:color="auto"/>
              <w:bottom w:val="single" w:sz="4" w:space="0" w:color="auto"/>
              <w:right w:val="single" w:sz="4" w:space="0" w:color="auto"/>
            </w:tcBorders>
            <w:hideMark/>
          </w:tcPr>
          <w:p w14:paraId="4F747B8A" w14:textId="01274A47" w:rsidR="007B1612" w:rsidRPr="007B1612" w:rsidRDefault="00325E39" w:rsidP="007B1612">
            <w:pPr>
              <w:jc w:val="both"/>
              <w:rPr>
                <w:rFonts w:cs="Arial"/>
                <w:color w:val="000000" w:themeColor="text1"/>
                <w:sz w:val="22"/>
                <w:szCs w:val="22"/>
              </w:rPr>
            </w:pPr>
            <w:r>
              <w:rPr>
                <w:rFonts w:cs="Arial"/>
                <w:color w:val="000000" w:themeColor="text1"/>
                <w:sz w:val="22"/>
                <w:szCs w:val="22"/>
              </w:rPr>
              <w:t>6</w:t>
            </w:r>
          </w:p>
        </w:tc>
      </w:tr>
      <w:tr w:rsidR="00B559E4" w:rsidRPr="007B1612" w14:paraId="37CA2A0C"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tcPr>
          <w:p w14:paraId="673AC299" w14:textId="3E5AEC16" w:rsidR="00C368C4" w:rsidRPr="007B1612" w:rsidRDefault="00C368C4" w:rsidP="007B1612">
            <w:pPr>
              <w:jc w:val="both"/>
              <w:rPr>
                <w:rFonts w:cs="Arial"/>
                <w:color w:val="000000" w:themeColor="text1"/>
                <w:sz w:val="22"/>
                <w:szCs w:val="22"/>
              </w:rPr>
            </w:pPr>
            <w:r w:rsidRPr="003C1A00">
              <w:rPr>
                <w:rFonts w:cs="Arial"/>
                <w:color w:val="7030A0"/>
                <w:sz w:val="22"/>
                <w:szCs w:val="22"/>
              </w:rPr>
              <w:t>Outcome indicator 2.4: Number of countries reporting on nature restoration to the Convention on Biological Diversity, which received support from AIM4Forests</w:t>
            </w:r>
            <w:r w:rsidR="003C1A00" w:rsidRPr="003C1A00">
              <w:rPr>
                <w:rFonts w:cs="Arial"/>
                <w:color w:val="7030A0"/>
                <w:sz w:val="22"/>
                <w:szCs w:val="22"/>
              </w:rPr>
              <w:t xml:space="preserve"> (new)</w:t>
            </w:r>
          </w:p>
        </w:tc>
        <w:tc>
          <w:tcPr>
            <w:tcW w:w="1410" w:type="dxa"/>
            <w:tcBorders>
              <w:top w:val="single" w:sz="4" w:space="0" w:color="auto"/>
              <w:left w:val="single" w:sz="4" w:space="0" w:color="auto"/>
              <w:bottom w:val="single" w:sz="4" w:space="0" w:color="auto"/>
              <w:right w:val="single" w:sz="4" w:space="0" w:color="auto"/>
            </w:tcBorders>
          </w:tcPr>
          <w:p w14:paraId="5448641D" w14:textId="1E9C3237" w:rsidR="00C368C4" w:rsidRDefault="003C1A00" w:rsidP="007B1612">
            <w:pPr>
              <w:jc w:val="both"/>
              <w:rPr>
                <w:rFonts w:cs="Arial"/>
                <w:color w:val="000000" w:themeColor="text1"/>
                <w:sz w:val="22"/>
                <w:szCs w:val="22"/>
              </w:rPr>
            </w:pPr>
            <w:r>
              <w:rPr>
                <w:rFonts w:cs="Arial"/>
                <w:color w:val="000000" w:themeColor="text1"/>
                <w:sz w:val="22"/>
                <w:szCs w:val="22"/>
              </w:rPr>
              <w:t>0</w:t>
            </w:r>
          </w:p>
        </w:tc>
        <w:tc>
          <w:tcPr>
            <w:tcW w:w="1710" w:type="dxa"/>
            <w:tcBorders>
              <w:top w:val="single" w:sz="4" w:space="0" w:color="auto"/>
              <w:left w:val="single" w:sz="4" w:space="0" w:color="auto"/>
              <w:bottom w:val="single" w:sz="4" w:space="0" w:color="auto"/>
              <w:right w:val="single" w:sz="4" w:space="0" w:color="auto"/>
            </w:tcBorders>
          </w:tcPr>
          <w:p w14:paraId="78358206" w14:textId="5B593931" w:rsidR="00C368C4" w:rsidRPr="007B1612" w:rsidRDefault="00325E39" w:rsidP="007B1612">
            <w:pPr>
              <w:jc w:val="both"/>
              <w:rPr>
                <w:rFonts w:cs="Arial"/>
                <w:color w:val="000000" w:themeColor="text1"/>
                <w:sz w:val="22"/>
                <w:szCs w:val="22"/>
              </w:rPr>
            </w:pPr>
            <w:r>
              <w:rPr>
                <w:rFonts w:cs="Arial"/>
                <w:color w:val="000000" w:themeColor="text1"/>
                <w:sz w:val="22"/>
                <w:szCs w:val="22"/>
              </w:rPr>
              <w:t>0</w:t>
            </w:r>
          </w:p>
        </w:tc>
      </w:tr>
      <w:tr w:rsidR="00CA4676" w:rsidRPr="007B1612" w14:paraId="01627D71" w14:textId="77777777" w:rsidTr="00C368C4">
        <w:trPr>
          <w:trHeight w:val="435"/>
        </w:trPr>
        <w:tc>
          <w:tcPr>
            <w:tcW w:w="8925" w:type="dxa"/>
            <w:gridSpan w:val="3"/>
            <w:tcBorders>
              <w:top w:val="single" w:sz="4" w:space="0" w:color="auto"/>
              <w:left w:val="single" w:sz="4" w:space="0" w:color="auto"/>
              <w:bottom w:val="single" w:sz="4" w:space="0" w:color="auto"/>
              <w:right w:val="single" w:sz="4" w:space="0" w:color="auto"/>
            </w:tcBorders>
            <w:hideMark/>
          </w:tcPr>
          <w:p w14:paraId="15A54C08" w14:textId="77777777" w:rsidR="007B1612" w:rsidRPr="007B1612" w:rsidRDefault="007B1612" w:rsidP="007B1612">
            <w:pPr>
              <w:jc w:val="both"/>
              <w:rPr>
                <w:rFonts w:cs="Arial"/>
                <w:color w:val="000000" w:themeColor="text1"/>
                <w:sz w:val="22"/>
                <w:szCs w:val="22"/>
              </w:rPr>
            </w:pPr>
            <w:r w:rsidRPr="007B1612">
              <w:rPr>
                <w:rFonts w:cs="Arial"/>
                <w:b/>
                <w:bCs/>
                <w:color w:val="000000" w:themeColor="text1"/>
                <w:sz w:val="22"/>
                <w:szCs w:val="22"/>
              </w:rPr>
              <w:t>Outcome 3: REDD+ programmes operating more effectively, accurately and inclusively, results being delivered </w:t>
            </w:r>
            <w:proofErr w:type="gramStart"/>
            <w:r w:rsidRPr="007B1612">
              <w:rPr>
                <w:rFonts w:cs="Arial"/>
                <w:b/>
                <w:bCs/>
                <w:color w:val="000000" w:themeColor="text1"/>
                <w:sz w:val="22"/>
                <w:szCs w:val="22"/>
              </w:rPr>
              <w:t>as a result of</w:t>
            </w:r>
            <w:proofErr w:type="gramEnd"/>
            <w:r w:rsidRPr="007B1612">
              <w:rPr>
                <w:rFonts w:cs="Arial"/>
                <w:b/>
                <w:bCs/>
                <w:color w:val="000000" w:themeColor="text1"/>
                <w:sz w:val="22"/>
                <w:szCs w:val="22"/>
              </w:rPr>
              <w:t> AIM4Forests, and increased consumer confidence on integrity of REDD+ credits</w:t>
            </w:r>
            <w:r w:rsidRPr="007B1612">
              <w:rPr>
                <w:rFonts w:cs="Arial"/>
                <w:color w:val="000000" w:themeColor="text1"/>
                <w:sz w:val="22"/>
                <w:szCs w:val="22"/>
              </w:rPr>
              <w:t> </w:t>
            </w:r>
          </w:p>
        </w:tc>
      </w:tr>
      <w:tr w:rsidR="00B559E4" w:rsidRPr="007B1612" w14:paraId="5DB67490"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hideMark/>
          </w:tcPr>
          <w:p w14:paraId="3A7303CF"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Outcome indicator 3.1: Number of REDD+ national/sub-national programmes actively supported by AIM4Forests on efforts to access climate finance </w:t>
            </w:r>
          </w:p>
        </w:tc>
        <w:tc>
          <w:tcPr>
            <w:tcW w:w="1410" w:type="dxa"/>
            <w:tcBorders>
              <w:top w:val="single" w:sz="4" w:space="0" w:color="auto"/>
              <w:left w:val="single" w:sz="4" w:space="0" w:color="auto"/>
              <w:bottom w:val="single" w:sz="4" w:space="0" w:color="auto"/>
              <w:right w:val="single" w:sz="4" w:space="0" w:color="auto"/>
            </w:tcBorders>
            <w:hideMark/>
          </w:tcPr>
          <w:p w14:paraId="6965F909" w14:textId="2DEF6D30" w:rsidR="007B1612" w:rsidRPr="007B1612" w:rsidRDefault="003C1A00" w:rsidP="007B1612">
            <w:pPr>
              <w:jc w:val="both"/>
              <w:rPr>
                <w:rFonts w:cs="Arial"/>
                <w:color w:val="000000" w:themeColor="text1"/>
                <w:sz w:val="22"/>
                <w:szCs w:val="22"/>
              </w:rPr>
            </w:pPr>
            <w:r>
              <w:rPr>
                <w:rFonts w:cs="Arial"/>
                <w:color w:val="000000" w:themeColor="text1"/>
                <w:sz w:val="22"/>
                <w:szCs w:val="22"/>
              </w:rPr>
              <w:t>12</w:t>
            </w:r>
          </w:p>
        </w:tc>
        <w:tc>
          <w:tcPr>
            <w:tcW w:w="1710" w:type="dxa"/>
            <w:tcBorders>
              <w:top w:val="single" w:sz="4" w:space="0" w:color="auto"/>
              <w:left w:val="single" w:sz="4" w:space="0" w:color="auto"/>
              <w:bottom w:val="single" w:sz="4" w:space="0" w:color="auto"/>
              <w:right w:val="single" w:sz="4" w:space="0" w:color="auto"/>
            </w:tcBorders>
            <w:hideMark/>
          </w:tcPr>
          <w:p w14:paraId="080FB599" w14:textId="135F16A0" w:rsidR="007B1612" w:rsidRPr="007B1612" w:rsidRDefault="00325E39" w:rsidP="007B1612">
            <w:pPr>
              <w:jc w:val="both"/>
              <w:rPr>
                <w:rFonts w:cs="Arial"/>
                <w:color w:val="000000" w:themeColor="text1"/>
                <w:sz w:val="22"/>
                <w:szCs w:val="22"/>
              </w:rPr>
            </w:pPr>
            <w:r>
              <w:rPr>
                <w:rFonts w:cs="Arial"/>
                <w:color w:val="000000" w:themeColor="text1"/>
                <w:sz w:val="22"/>
                <w:szCs w:val="22"/>
              </w:rPr>
              <w:t>12</w:t>
            </w:r>
          </w:p>
        </w:tc>
      </w:tr>
      <w:tr w:rsidR="00B559E4" w:rsidRPr="007B1612" w14:paraId="1A3E3217" w14:textId="77777777" w:rsidTr="00C368C4">
        <w:trPr>
          <w:trHeight w:val="435"/>
        </w:trPr>
        <w:tc>
          <w:tcPr>
            <w:tcW w:w="5805" w:type="dxa"/>
            <w:tcBorders>
              <w:top w:val="single" w:sz="4" w:space="0" w:color="auto"/>
              <w:left w:val="single" w:sz="4" w:space="0" w:color="auto"/>
              <w:bottom w:val="single" w:sz="4" w:space="0" w:color="auto"/>
              <w:right w:val="single" w:sz="4" w:space="0" w:color="auto"/>
            </w:tcBorders>
            <w:hideMark/>
          </w:tcPr>
          <w:p w14:paraId="3BA2AB2E" w14:textId="0F34F4EC"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 xml:space="preserve">Outcome indicator 3.2: Volume of emission reductions in the forestry and land use sector reported to reputable carbon standards and reporting contexts, by countries which receive active forest monitoring support from the AIM4Forests programme, showcasing an innovative approach to managing land and forests </w:t>
            </w:r>
            <w:r w:rsidR="00325E39">
              <w:rPr>
                <w:rFonts w:cs="Arial"/>
                <w:color w:val="000000" w:themeColor="text1"/>
                <w:sz w:val="22"/>
                <w:szCs w:val="22"/>
              </w:rPr>
              <w:t>(</w:t>
            </w:r>
            <w:r w:rsidRPr="007B1612">
              <w:rPr>
                <w:rFonts w:cs="Arial"/>
                <w:color w:val="000000" w:themeColor="text1"/>
                <w:sz w:val="22"/>
                <w:szCs w:val="22"/>
              </w:rPr>
              <w:t>tonnes</w:t>
            </w:r>
            <w:r w:rsidR="00E4710B">
              <w:rPr>
                <w:rFonts w:cs="Arial"/>
                <w:color w:val="000000" w:themeColor="text1"/>
                <w:sz w:val="22"/>
                <w:szCs w:val="22"/>
              </w:rPr>
              <w:t xml:space="preserve"> CO2eq</w:t>
            </w:r>
            <w:r w:rsidRPr="007B1612">
              <w:rPr>
                <w:rFonts w:cs="Arial"/>
                <w:color w:val="000000" w:themeColor="text1"/>
                <w:sz w:val="22"/>
                <w:szCs w:val="22"/>
              </w:rPr>
              <w:t>) </w:t>
            </w:r>
          </w:p>
        </w:tc>
        <w:tc>
          <w:tcPr>
            <w:tcW w:w="1410" w:type="dxa"/>
            <w:tcBorders>
              <w:top w:val="single" w:sz="4" w:space="0" w:color="auto"/>
              <w:left w:val="single" w:sz="4" w:space="0" w:color="auto"/>
              <w:bottom w:val="single" w:sz="4" w:space="0" w:color="auto"/>
              <w:right w:val="single" w:sz="4" w:space="0" w:color="auto"/>
            </w:tcBorders>
            <w:hideMark/>
          </w:tcPr>
          <w:p w14:paraId="6A8DC8A5" w14:textId="20858CBF" w:rsidR="007B1612" w:rsidRPr="007B1612" w:rsidRDefault="008921E6" w:rsidP="007B1612">
            <w:pPr>
              <w:jc w:val="both"/>
              <w:rPr>
                <w:rFonts w:cs="Arial"/>
                <w:color w:val="000000" w:themeColor="text1"/>
                <w:sz w:val="22"/>
                <w:szCs w:val="22"/>
              </w:rPr>
            </w:pPr>
            <w:r>
              <w:rPr>
                <w:rFonts w:cs="Arial"/>
                <w:color w:val="000000" w:themeColor="text1"/>
                <w:sz w:val="22"/>
                <w:szCs w:val="22"/>
              </w:rPr>
              <w:t>80</w:t>
            </w:r>
            <w:r w:rsidR="00325E39">
              <w:rPr>
                <w:rFonts w:cs="Arial"/>
                <w:color w:val="000000" w:themeColor="text1"/>
                <w:sz w:val="22"/>
                <w:szCs w:val="22"/>
              </w:rPr>
              <w:t>,000,000</w:t>
            </w:r>
          </w:p>
        </w:tc>
        <w:tc>
          <w:tcPr>
            <w:tcW w:w="1710" w:type="dxa"/>
            <w:tcBorders>
              <w:top w:val="single" w:sz="4" w:space="0" w:color="auto"/>
              <w:left w:val="single" w:sz="4" w:space="0" w:color="auto"/>
              <w:bottom w:val="single" w:sz="4" w:space="0" w:color="auto"/>
              <w:right w:val="single" w:sz="4" w:space="0" w:color="auto"/>
            </w:tcBorders>
            <w:hideMark/>
          </w:tcPr>
          <w:p w14:paraId="5C573FFA" w14:textId="337201CC" w:rsidR="007B1612" w:rsidRPr="007B1612" w:rsidRDefault="00E4710B" w:rsidP="007B1612">
            <w:pPr>
              <w:jc w:val="both"/>
              <w:rPr>
                <w:rFonts w:cs="Arial"/>
                <w:color w:val="000000" w:themeColor="text1"/>
                <w:sz w:val="22"/>
                <w:szCs w:val="22"/>
              </w:rPr>
            </w:pPr>
            <w:r>
              <w:rPr>
                <w:rFonts w:cs="Arial"/>
                <w:color w:val="000000" w:themeColor="text1"/>
                <w:sz w:val="22"/>
                <w:szCs w:val="22"/>
              </w:rPr>
              <w:t>142,075,651</w:t>
            </w:r>
          </w:p>
        </w:tc>
      </w:tr>
    </w:tbl>
    <w:p w14:paraId="5F144EC8"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 </w:t>
      </w:r>
    </w:p>
    <w:p w14:paraId="2A53CFEC" w14:textId="6F971864" w:rsidR="007B1612" w:rsidRPr="00686C18" w:rsidRDefault="008921E6" w:rsidP="007B1612">
      <w:pPr>
        <w:jc w:val="both"/>
        <w:rPr>
          <w:rFonts w:cs="Arial"/>
          <w:b/>
          <w:bCs/>
          <w:i/>
          <w:iCs/>
          <w:color w:val="000000" w:themeColor="text1"/>
          <w:sz w:val="22"/>
          <w:szCs w:val="22"/>
        </w:rPr>
      </w:pPr>
      <w:r w:rsidRPr="00686C18">
        <w:rPr>
          <w:rFonts w:cs="Arial"/>
          <w:b/>
          <w:bCs/>
          <w:i/>
          <w:iCs/>
          <w:color w:val="000000" w:themeColor="text1"/>
          <w:sz w:val="22"/>
          <w:szCs w:val="22"/>
        </w:rPr>
        <w:t>Impact: Long-term, transformational sustainable land-use management and reduction in deforestation, and GHG emissions from the forest &amp; land-use sector are reduced in line with Paris Agreement &amp; Sustainable Development Goals.</w:t>
      </w:r>
    </w:p>
    <w:p w14:paraId="2AC63CEB" w14:textId="77777777" w:rsidR="008921E6" w:rsidRDefault="008921E6" w:rsidP="007B1612">
      <w:pPr>
        <w:jc w:val="both"/>
        <w:rPr>
          <w:rFonts w:cs="Arial"/>
          <w:color w:val="000000" w:themeColor="text1"/>
          <w:sz w:val="22"/>
          <w:szCs w:val="22"/>
        </w:rPr>
      </w:pPr>
    </w:p>
    <w:p w14:paraId="59A62799" w14:textId="730639BE" w:rsidR="00D34056" w:rsidRPr="00D34056" w:rsidRDefault="008921E6" w:rsidP="00D34056">
      <w:pPr>
        <w:jc w:val="both"/>
        <w:rPr>
          <w:rFonts w:cs="Arial"/>
          <w:color w:val="000000" w:themeColor="text1"/>
          <w:sz w:val="22"/>
          <w:szCs w:val="22"/>
        </w:rPr>
      </w:pPr>
      <w:r>
        <w:rPr>
          <w:rFonts w:cs="Arial"/>
          <w:color w:val="000000" w:themeColor="text1"/>
          <w:sz w:val="22"/>
          <w:szCs w:val="22"/>
        </w:rPr>
        <w:t>This is the first year that AIM4Forests has scored a ‘4’</w:t>
      </w:r>
      <w:r w:rsidR="00FE6982">
        <w:rPr>
          <w:rFonts w:cs="Arial"/>
          <w:color w:val="000000" w:themeColor="text1"/>
          <w:sz w:val="22"/>
          <w:szCs w:val="22"/>
        </w:rPr>
        <w:t xml:space="preserve">, indicating that some evidence of transformational change is likely. </w:t>
      </w:r>
      <w:r w:rsidR="00D34056">
        <w:rPr>
          <w:rFonts w:cs="Arial"/>
          <w:color w:val="000000" w:themeColor="text1"/>
          <w:sz w:val="22"/>
          <w:szCs w:val="22"/>
        </w:rPr>
        <w:t>This year,</w:t>
      </w:r>
      <w:r w:rsidR="00D34056" w:rsidRPr="00D34056">
        <w:rPr>
          <w:rFonts w:cs="Arial"/>
          <w:color w:val="000000" w:themeColor="text1"/>
          <w:sz w:val="22"/>
          <w:szCs w:val="22"/>
        </w:rPr>
        <w:t xml:space="preserve"> the programme has scored highly in political will</w:t>
      </w:r>
      <w:r w:rsidR="00D34056">
        <w:rPr>
          <w:rFonts w:cs="Arial"/>
          <w:color w:val="000000" w:themeColor="text1"/>
          <w:sz w:val="22"/>
          <w:szCs w:val="22"/>
        </w:rPr>
        <w:t xml:space="preserve"> and </w:t>
      </w:r>
      <w:r w:rsidR="00D34056" w:rsidRPr="00D34056">
        <w:rPr>
          <w:rFonts w:cs="Arial"/>
          <w:color w:val="000000" w:themeColor="text1"/>
          <w:sz w:val="22"/>
          <w:szCs w:val="22"/>
        </w:rPr>
        <w:t xml:space="preserve">local ownership, </w:t>
      </w:r>
      <w:r w:rsidR="00D34056">
        <w:rPr>
          <w:rFonts w:cs="Arial"/>
          <w:color w:val="000000" w:themeColor="text1"/>
          <w:sz w:val="22"/>
          <w:szCs w:val="22"/>
        </w:rPr>
        <w:t xml:space="preserve">as well as </w:t>
      </w:r>
      <w:r w:rsidR="00D34056" w:rsidRPr="00D34056">
        <w:rPr>
          <w:rFonts w:cs="Arial"/>
          <w:color w:val="000000" w:themeColor="text1"/>
          <w:sz w:val="22"/>
          <w:szCs w:val="22"/>
        </w:rPr>
        <w:t>capacity</w:t>
      </w:r>
      <w:r w:rsidR="00D34056">
        <w:rPr>
          <w:rFonts w:cs="Arial"/>
          <w:color w:val="000000" w:themeColor="text1"/>
          <w:sz w:val="22"/>
          <w:szCs w:val="22"/>
        </w:rPr>
        <w:t xml:space="preserve">, </w:t>
      </w:r>
      <w:r w:rsidR="00D34056" w:rsidRPr="00D34056">
        <w:rPr>
          <w:rFonts w:cs="Arial"/>
          <w:color w:val="000000" w:themeColor="text1"/>
          <w:sz w:val="22"/>
          <w:szCs w:val="22"/>
        </w:rPr>
        <w:t>capability and innovation. For political will</w:t>
      </w:r>
      <w:r w:rsidR="00D34056">
        <w:rPr>
          <w:rFonts w:cs="Arial"/>
          <w:color w:val="000000" w:themeColor="text1"/>
          <w:sz w:val="22"/>
          <w:szCs w:val="22"/>
        </w:rPr>
        <w:t xml:space="preserve"> and </w:t>
      </w:r>
      <w:r w:rsidR="00D34056" w:rsidRPr="00D34056">
        <w:rPr>
          <w:rFonts w:cs="Arial"/>
          <w:color w:val="000000" w:themeColor="text1"/>
          <w:sz w:val="22"/>
          <w:szCs w:val="22"/>
        </w:rPr>
        <w:t>local ownership, the programme has been progressing with supporting countries in reporting on Emissions Reductions as part of their national climate commitments (NDCs) as well as climate/carbon finance opportunities such as ART/TREES. The programme has also supported the development of a Young Carbon Champions initiative, to create continued pathways for youth to integrate within these contexts, as well as the Indigenous People-led Community of Practice being implemented this year. These create pathways for sustained transformational action which will likely lead to a ‘5’ score in the future. Similarly for capacity</w:t>
      </w:r>
      <w:r w:rsidR="00D34056">
        <w:rPr>
          <w:rFonts w:cs="Arial"/>
          <w:color w:val="000000" w:themeColor="text1"/>
          <w:sz w:val="22"/>
          <w:szCs w:val="22"/>
        </w:rPr>
        <w:t xml:space="preserve">, </w:t>
      </w:r>
      <w:r w:rsidR="00D34056" w:rsidRPr="00D34056">
        <w:rPr>
          <w:rFonts w:cs="Arial"/>
          <w:color w:val="000000" w:themeColor="text1"/>
          <w:sz w:val="22"/>
          <w:szCs w:val="22"/>
        </w:rPr>
        <w:t xml:space="preserve">capability and innovation, AIM4Forests has supported countries in their own efforts to report on ecosystem restoration, and overcome methodological challenges with solutions, technologies, tools and new systems. Many of these solutions will last well beyond the terms of the programme and do indeed support the programme’s overall ‘4’ score this year.  </w:t>
      </w:r>
    </w:p>
    <w:p w14:paraId="5649F365" w14:textId="77777777" w:rsidR="00D34056" w:rsidRPr="00D34056" w:rsidRDefault="00D34056" w:rsidP="00D34056">
      <w:pPr>
        <w:jc w:val="both"/>
        <w:rPr>
          <w:rFonts w:cs="Arial"/>
          <w:color w:val="000000" w:themeColor="text1"/>
          <w:sz w:val="22"/>
          <w:szCs w:val="22"/>
        </w:rPr>
      </w:pPr>
    </w:p>
    <w:p w14:paraId="4F58F0F0" w14:textId="6E0B4939" w:rsidR="008921E6" w:rsidRPr="007B1612" w:rsidRDefault="00D34056" w:rsidP="00D34056">
      <w:pPr>
        <w:jc w:val="both"/>
        <w:rPr>
          <w:rFonts w:cs="Arial"/>
          <w:color w:val="000000" w:themeColor="text1"/>
          <w:sz w:val="22"/>
          <w:szCs w:val="22"/>
        </w:rPr>
      </w:pPr>
      <w:r w:rsidRPr="00D34056">
        <w:rPr>
          <w:rFonts w:cs="Arial"/>
          <w:color w:val="000000" w:themeColor="text1"/>
          <w:sz w:val="22"/>
          <w:szCs w:val="22"/>
        </w:rPr>
        <w:t>For continued efforts in achieving the end of programme ‘5’ under KPI 15 focus should be on the replicability and sustainability of activities and outputs under AIM4Forests. While some countries have been developing sustainability roadmaps (‘exit strategies’), and applying capacity assessment tools, it is too soon to determine whether this will have lasting, transformational impact at the level expected of the programme.</w:t>
      </w:r>
    </w:p>
    <w:p w14:paraId="6C5C676D" w14:textId="77777777" w:rsidR="007B1612" w:rsidRPr="007B1612" w:rsidRDefault="007B1612" w:rsidP="007B1612">
      <w:pPr>
        <w:jc w:val="both"/>
        <w:rPr>
          <w:rFonts w:cs="Arial"/>
          <w:i/>
          <w:iCs/>
          <w:color w:val="000000" w:themeColor="text1"/>
          <w:sz w:val="22"/>
          <w:szCs w:val="22"/>
        </w:rPr>
      </w:pPr>
      <w:r w:rsidRPr="007B1612">
        <w:rPr>
          <w:rFonts w:cs="Arial"/>
          <w:i/>
          <w:iCs/>
          <w:color w:val="000000" w:themeColor="text1"/>
          <w:sz w:val="22"/>
          <w:szCs w:val="22"/>
        </w:rPr>
        <w:t> </w:t>
      </w:r>
    </w:p>
    <w:p w14:paraId="2FF8A082" w14:textId="77777777" w:rsidR="007B1612" w:rsidRPr="007B1612" w:rsidRDefault="007B1612" w:rsidP="007B1612">
      <w:pPr>
        <w:jc w:val="both"/>
        <w:rPr>
          <w:rFonts w:cs="Arial"/>
          <w:i/>
          <w:iCs/>
          <w:color w:val="000000" w:themeColor="text1"/>
          <w:sz w:val="22"/>
          <w:szCs w:val="22"/>
        </w:rPr>
      </w:pPr>
      <w:r w:rsidRPr="007B1612">
        <w:rPr>
          <w:rFonts w:cs="Arial"/>
          <w:b/>
          <w:bCs/>
          <w:i/>
          <w:iCs/>
          <w:color w:val="000000" w:themeColor="text1"/>
          <w:sz w:val="22"/>
          <w:szCs w:val="22"/>
        </w:rPr>
        <w:t>Outcome 1: Greater financial flows for forest countries and communities enabling governments to deliver sustainable development and meet NDCs.</w:t>
      </w:r>
      <w:r w:rsidRPr="007B1612">
        <w:rPr>
          <w:rFonts w:cs="Arial"/>
          <w:i/>
          <w:iCs/>
          <w:color w:val="000000" w:themeColor="text1"/>
          <w:sz w:val="22"/>
          <w:szCs w:val="22"/>
        </w:rPr>
        <w:t> </w:t>
      </w:r>
    </w:p>
    <w:p w14:paraId="703261E2" w14:textId="77777777" w:rsidR="007B1612" w:rsidRPr="007B1612" w:rsidRDefault="007B1612" w:rsidP="007B1612">
      <w:pPr>
        <w:jc w:val="both"/>
        <w:rPr>
          <w:rFonts w:cs="Arial"/>
          <w:i/>
          <w:iCs/>
          <w:color w:val="000000" w:themeColor="text1"/>
          <w:sz w:val="22"/>
          <w:szCs w:val="22"/>
        </w:rPr>
      </w:pPr>
      <w:r w:rsidRPr="007B1612">
        <w:rPr>
          <w:rFonts w:cs="Arial"/>
          <w:i/>
          <w:iCs/>
          <w:color w:val="000000" w:themeColor="text1"/>
          <w:sz w:val="22"/>
          <w:szCs w:val="22"/>
        </w:rPr>
        <w:t> </w:t>
      </w:r>
    </w:p>
    <w:p w14:paraId="57E1FFF4" w14:textId="4A41D537" w:rsidR="007B1612" w:rsidRPr="00B8513F" w:rsidRDefault="007B1612" w:rsidP="007B1612">
      <w:pPr>
        <w:jc w:val="both"/>
        <w:rPr>
          <w:rFonts w:cs="Arial"/>
          <w:color w:val="000000" w:themeColor="text1"/>
          <w:sz w:val="22"/>
          <w:szCs w:val="22"/>
        </w:rPr>
      </w:pPr>
      <w:r w:rsidRPr="007B1612">
        <w:rPr>
          <w:rFonts w:cs="Arial"/>
          <w:color w:val="000000" w:themeColor="text1"/>
          <w:sz w:val="22"/>
          <w:szCs w:val="22"/>
        </w:rPr>
        <w:t>Progress on Outcome 1 has exceeded expectations.</w:t>
      </w:r>
    </w:p>
    <w:p w14:paraId="63F7BB91" w14:textId="77777777" w:rsidR="00A12ACC" w:rsidRPr="00B8513F" w:rsidRDefault="00A12ACC" w:rsidP="007B1612">
      <w:pPr>
        <w:jc w:val="both"/>
        <w:rPr>
          <w:rFonts w:cs="Arial"/>
          <w:color w:val="000000" w:themeColor="text1"/>
          <w:sz w:val="22"/>
          <w:szCs w:val="22"/>
        </w:rPr>
      </w:pPr>
    </w:p>
    <w:p w14:paraId="01B49F8F" w14:textId="54CAEFC1" w:rsidR="00A12ACC" w:rsidRDefault="00A12ACC" w:rsidP="006E3F43">
      <w:pPr>
        <w:jc w:val="both"/>
        <w:rPr>
          <w:rFonts w:cs="Arial"/>
          <w:color w:val="000000" w:themeColor="text1"/>
          <w:sz w:val="22"/>
          <w:szCs w:val="22"/>
        </w:rPr>
      </w:pPr>
      <w:r w:rsidRPr="00B8513F">
        <w:rPr>
          <w:rFonts w:cs="Arial"/>
          <w:color w:val="000000" w:themeColor="text1"/>
          <w:sz w:val="22"/>
          <w:szCs w:val="22"/>
        </w:rPr>
        <w:t xml:space="preserve">In 2025, </w:t>
      </w:r>
      <w:r w:rsidR="00233DC1" w:rsidRPr="00B8513F">
        <w:rPr>
          <w:rFonts w:cs="Arial"/>
          <w:color w:val="000000" w:themeColor="text1"/>
          <w:sz w:val="22"/>
          <w:szCs w:val="22"/>
        </w:rPr>
        <w:t xml:space="preserve">supported was provided for countries in reporting under carbon market frameworks, however, these were not </w:t>
      </w:r>
      <w:r w:rsidR="006E3F43" w:rsidRPr="00B8513F">
        <w:rPr>
          <w:rFonts w:cs="Arial"/>
          <w:color w:val="000000" w:themeColor="text1"/>
          <w:sz w:val="22"/>
          <w:szCs w:val="22"/>
        </w:rPr>
        <w:t>reported during the year. In 2025, AIM4Forests supported the submission of two UNFCCC submissions, however, these fall outside of the scope of reporting under outcome indicator 1.1 (and are instead reported under Outcome 3.2). Despite no additional results being reported this year, the annual target for 2025 was still met. The ambition under this target will be increased, and it will also be harmonised with Outcome 3.2 for more coherent reporting. This is especially important for reporting under</w:t>
      </w:r>
      <w:r w:rsidR="00B2104E" w:rsidRPr="00B8513F">
        <w:rPr>
          <w:rFonts w:cs="Arial"/>
          <w:color w:val="000000" w:themeColor="text1"/>
          <w:sz w:val="22"/>
          <w:szCs w:val="22"/>
        </w:rPr>
        <w:t xml:space="preserve"> UK TA</w:t>
      </w:r>
      <w:r w:rsidR="006E3F43" w:rsidRPr="00B8513F">
        <w:rPr>
          <w:rFonts w:cs="Arial"/>
          <w:color w:val="000000" w:themeColor="text1"/>
          <w:sz w:val="22"/>
          <w:szCs w:val="22"/>
        </w:rPr>
        <w:t xml:space="preserve"> KPI </w:t>
      </w:r>
      <w:r w:rsidR="005C15FF" w:rsidRPr="00B8513F">
        <w:rPr>
          <w:rFonts w:cs="Arial"/>
          <w:color w:val="000000" w:themeColor="text1"/>
          <w:sz w:val="22"/>
          <w:szCs w:val="22"/>
        </w:rPr>
        <w:t>5 (Abated emissions supported by ICF technical assistance (contribution basis, tCO2))</w:t>
      </w:r>
      <w:r w:rsidR="00B2104E" w:rsidRPr="00B8513F">
        <w:rPr>
          <w:rFonts w:cs="Arial"/>
          <w:color w:val="000000" w:themeColor="text1"/>
          <w:sz w:val="22"/>
          <w:szCs w:val="22"/>
        </w:rPr>
        <w:t xml:space="preserve">. To clarify reporting lines, we will create one indicator on TA KPI 5 (which will include national reporting such as BTRs as well as carbon credits verified – to continue reporting </w:t>
      </w:r>
      <w:proofErr w:type="gramStart"/>
      <w:r w:rsidR="00B2104E" w:rsidRPr="00B8513F">
        <w:rPr>
          <w:rFonts w:cs="Arial"/>
          <w:color w:val="000000" w:themeColor="text1"/>
          <w:sz w:val="22"/>
          <w:szCs w:val="22"/>
        </w:rPr>
        <w:t>similar to</w:t>
      </w:r>
      <w:proofErr w:type="gramEnd"/>
      <w:r w:rsidR="00B2104E" w:rsidRPr="00B8513F">
        <w:rPr>
          <w:rFonts w:cs="Arial"/>
          <w:color w:val="000000" w:themeColor="text1"/>
          <w:sz w:val="22"/>
          <w:szCs w:val="22"/>
        </w:rPr>
        <w:t xml:space="preserve"> this year), and one indicator solely on carbon credits produced/verified and transactable, through support on AIM4Forests. Both milestones and targets will be increased for both indicators in the updated logframe.</w:t>
      </w:r>
      <w:r w:rsidR="00125BE3" w:rsidRPr="00B8513F">
        <w:rPr>
          <w:rFonts w:cs="Arial"/>
          <w:color w:val="000000" w:themeColor="text1"/>
          <w:sz w:val="22"/>
          <w:szCs w:val="22"/>
        </w:rPr>
        <w:t xml:space="preserve"> [Recommendation 2]</w:t>
      </w:r>
      <w:r w:rsidR="00B8513F">
        <w:rPr>
          <w:rFonts w:cs="Arial"/>
          <w:color w:val="000000" w:themeColor="text1"/>
          <w:sz w:val="22"/>
          <w:szCs w:val="22"/>
        </w:rPr>
        <w:t xml:space="preserve">. </w:t>
      </w:r>
    </w:p>
    <w:p w14:paraId="5280893F" w14:textId="77777777" w:rsidR="00CC65C5" w:rsidRDefault="00CC65C5" w:rsidP="006E3F43">
      <w:pPr>
        <w:jc w:val="both"/>
        <w:rPr>
          <w:rFonts w:cs="Arial"/>
          <w:color w:val="000000" w:themeColor="text1"/>
          <w:sz w:val="22"/>
          <w:szCs w:val="22"/>
        </w:rPr>
      </w:pPr>
    </w:p>
    <w:p w14:paraId="12A6CA0F" w14:textId="0B9D7D1A" w:rsidR="00CC65C5" w:rsidRDefault="00CC65C5" w:rsidP="006E3F43">
      <w:pPr>
        <w:jc w:val="both"/>
        <w:rPr>
          <w:rFonts w:cs="Arial"/>
          <w:color w:val="000000" w:themeColor="text1"/>
          <w:sz w:val="22"/>
          <w:szCs w:val="22"/>
        </w:rPr>
      </w:pPr>
      <w:r w:rsidRPr="00CC65C5">
        <w:rPr>
          <w:rFonts w:cs="Arial"/>
          <w:color w:val="000000" w:themeColor="text1"/>
          <w:sz w:val="22"/>
          <w:szCs w:val="22"/>
        </w:rPr>
        <w:t>Outcome indicator 1.2 reflects country UNFCCC submissions. In 2025, AIM4Forests supported the submission of Nigeria's updated FREL and PNG’s BTR TA, meaning AIM4Forests has supported the submission of four UNFCCC reports</w:t>
      </w:r>
      <w:r w:rsidR="00AC189D">
        <w:rPr>
          <w:rFonts w:cs="Arial"/>
          <w:color w:val="000000" w:themeColor="text1"/>
          <w:sz w:val="22"/>
          <w:szCs w:val="22"/>
        </w:rPr>
        <w:t xml:space="preserve">, meeting expectations. </w:t>
      </w:r>
    </w:p>
    <w:p w14:paraId="3E22425C" w14:textId="77777777" w:rsidR="00CC65C5" w:rsidRDefault="00CC65C5" w:rsidP="006E3F43">
      <w:pPr>
        <w:jc w:val="both"/>
        <w:rPr>
          <w:rFonts w:cs="Arial"/>
          <w:color w:val="000000" w:themeColor="text1"/>
          <w:sz w:val="22"/>
          <w:szCs w:val="22"/>
        </w:rPr>
      </w:pPr>
    </w:p>
    <w:p w14:paraId="3AC6974E" w14:textId="38204DC6" w:rsidR="00CC65C5" w:rsidRDefault="00CC65C5" w:rsidP="00CC65C5">
      <w:pPr>
        <w:jc w:val="both"/>
        <w:rPr>
          <w:rFonts w:cs="Arial"/>
          <w:color w:val="000000" w:themeColor="text1"/>
          <w:sz w:val="22"/>
          <w:szCs w:val="22"/>
        </w:rPr>
      </w:pPr>
      <w:r w:rsidRPr="00CC65C5">
        <w:rPr>
          <w:rFonts w:cs="Arial"/>
          <w:color w:val="000000" w:themeColor="text1"/>
          <w:sz w:val="22"/>
          <w:szCs w:val="22"/>
        </w:rPr>
        <w:t>Outcome indicator 1.3 reports on direct beneficiaries of the programme,</w:t>
      </w:r>
      <w:r w:rsidR="00AC189D">
        <w:rPr>
          <w:rFonts w:cs="Arial"/>
          <w:color w:val="000000" w:themeColor="text1"/>
          <w:sz w:val="22"/>
          <w:szCs w:val="22"/>
        </w:rPr>
        <w:t xml:space="preserve"> and AIM4Forests has exceeded expectations for </w:t>
      </w:r>
      <w:r w:rsidRPr="00CC65C5">
        <w:rPr>
          <w:rFonts w:cs="Arial"/>
          <w:color w:val="000000" w:themeColor="text1"/>
          <w:sz w:val="22"/>
          <w:szCs w:val="22"/>
        </w:rPr>
        <w:t>the number of individuals and organisations reached. In 2025, AIM4Forests built capacities of almost</w:t>
      </w:r>
      <w:r>
        <w:rPr>
          <w:rFonts w:cs="Arial"/>
          <w:color w:val="000000" w:themeColor="text1"/>
          <w:sz w:val="22"/>
          <w:szCs w:val="22"/>
        </w:rPr>
        <w:t xml:space="preserve"> </w:t>
      </w:r>
      <w:r w:rsidRPr="00CC65C5">
        <w:rPr>
          <w:rFonts w:cs="Arial"/>
          <w:color w:val="000000" w:themeColor="text1"/>
          <w:sz w:val="22"/>
          <w:szCs w:val="22"/>
        </w:rPr>
        <w:t>12,000 people through e-learning, open-source</w:t>
      </w:r>
      <w:r>
        <w:rPr>
          <w:rFonts w:cs="Arial"/>
          <w:color w:val="000000" w:themeColor="text1"/>
          <w:sz w:val="22"/>
          <w:szCs w:val="22"/>
        </w:rPr>
        <w:t xml:space="preserve"> </w:t>
      </w:r>
      <w:r w:rsidRPr="00CC65C5">
        <w:rPr>
          <w:rFonts w:cs="Arial"/>
          <w:color w:val="000000" w:themeColor="text1"/>
          <w:sz w:val="22"/>
          <w:szCs w:val="22"/>
        </w:rPr>
        <w:t xml:space="preserve">solutions, and south-south knowledge exchange related to MRV, NFI, Indigenous Peoples, nature restoration and country reporting to various reporting contexts and carbon standards. </w:t>
      </w:r>
    </w:p>
    <w:p w14:paraId="73C8EA36" w14:textId="77777777" w:rsidR="00195EFE" w:rsidRDefault="00195EFE" w:rsidP="00CC65C5">
      <w:pPr>
        <w:jc w:val="both"/>
        <w:rPr>
          <w:rFonts w:cs="Arial"/>
          <w:color w:val="000000" w:themeColor="text1"/>
          <w:sz w:val="22"/>
          <w:szCs w:val="22"/>
        </w:rPr>
      </w:pPr>
    </w:p>
    <w:p w14:paraId="6403FE97" w14:textId="14FE0BF6" w:rsidR="00195EFE" w:rsidRPr="007B1612" w:rsidRDefault="00195EFE" w:rsidP="00CC65C5">
      <w:pPr>
        <w:jc w:val="both"/>
        <w:rPr>
          <w:rFonts w:cs="Arial"/>
          <w:color w:val="000000" w:themeColor="text1"/>
          <w:sz w:val="22"/>
          <w:szCs w:val="22"/>
        </w:rPr>
      </w:pPr>
      <w:r>
        <w:rPr>
          <w:rFonts w:cs="Arial"/>
          <w:color w:val="000000" w:themeColor="text1"/>
          <w:sz w:val="22"/>
          <w:szCs w:val="22"/>
        </w:rPr>
        <w:t xml:space="preserve">For this Outcome Set, it has been proposed under the UK ICF Results Collection process to include an indicator which will track against AIM4Forests potential to leverage/catalyse further funding. While this cannot yet be </w:t>
      </w:r>
      <w:r w:rsidR="000C1145">
        <w:rPr>
          <w:rFonts w:cs="Arial"/>
          <w:color w:val="000000" w:themeColor="text1"/>
          <w:sz w:val="22"/>
          <w:szCs w:val="22"/>
        </w:rPr>
        <w:t>causally linked to KPI 11, the idea is to collect data and report on potential for AIM4Forests to do so. [Recommendation 3]</w:t>
      </w:r>
      <w:r>
        <w:rPr>
          <w:rFonts w:cs="Arial"/>
          <w:color w:val="000000" w:themeColor="text1"/>
          <w:sz w:val="22"/>
          <w:szCs w:val="22"/>
        </w:rPr>
        <w:t xml:space="preserve"> </w:t>
      </w:r>
    </w:p>
    <w:p w14:paraId="1425205D"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 </w:t>
      </w:r>
    </w:p>
    <w:p w14:paraId="6F5758C3" w14:textId="77777777" w:rsidR="007B1612" w:rsidRPr="007B1612" w:rsidRDefault="007B1612" w:rsidP="007B1612">
      <w:pPr>
        <w:jc w:val="both"/>
        <w:rPr>
          <w:rFonts w:cs="Arial"/>
          <w:i/>
          <w:iCs/>
          <w:color w:val="000000" w:themeColor="text1"/>
          <w:sz w:val="22"/>
          <w:szCs w:val="22"/>
        </w:rPr>
      </w:pPr>
      <w:r w:rsidRPr="007B1612">
        <w:rPr>
          <w:rFonts w:cs="Arial"/>
          <w:b/>
          <w:bCs/>
          <w:i/>
          <w:iCs/>
          <w:color w:val="000000" w:themeColor="text1"/>
          <w:sz w:val="22"/>
          <w:szCs w:val="22"/>
        </w:rPr>
        <w:lastRenderedPageBreak/>
        <w:t>Outcome 2: Increased and sustained conservation and reforestation of forests, sustainable land management </w:t>
      </w:r>
      <w:proofErr w:type="gramStart"/>
      <w:r w:rsidRPr="007B1612">
        <w:rPr>
          <w:rFonts w:cs="Arial"/>
          <w:b/>
          <w:bCs/>
          <w:i/>
          <w:iCs/>
          <w:color w:val="000000" w:themeColor="text1"/>
          <w:sz w:val="22"/>
          <w:szCs w:val="22"/>
        </w:rPr>
        <w:t>as a result of</w:t>
      </w:r>
      <w:proofErr w:type="gramEnd"/>
      <w:r w:rsidRPr="007B1612">
        <w:rPr>
          <w:rFonts w:cs="Arial"/>
          <w:b/>
          <w:bCs/>
          <w:i/>
          <w:iCs/>
          <w:color w:val="000000" w:themeColor="text1"/>
          <w:sz w:val="22"/>
          <w:szCs w:val="22"/>
        </w:rPr>
        <w:t> enhanced data addressing technical, methodological and innovation gaps.</w:t>
      </w:r>
      <w:r w:rsidRPr="007B1612">
        <w:rPr>
          <w:rFonts w:cs="Arial"/>
          <w:i/>
          <w:iCs/>
          <w:color w:val="000000" w:themeColor="text1"/>
          <w:sz w:val="22"/>
          <w:szCs w:val="22"/>
        </w:rPr>
        <w:t> </w:t>
      </w:r>
    </w:p>
    <w:p w14:paraId="7D8A1F70" w14:textId="77777777" w:rsidR="00B939CE" w:rsidRDefault="00B939CE" w:rsidP="007B1612">
      <w:pPr>
        <w:jc w:val="both"/>
        <w:rPr>
          <w:rFonts w:cs="Arial"/>
          <w:i/>
          <w:iCs/>
          <w:color w:val="000000" w:themeColor="text1"/>
          <w:sz w:val="22"/>
          <w:szCs w:val="22"/>
        </w:rPr>
      </w:pPr>
    </w:p>
    <w:p w14:paraId="0C3F78FE" w14:textId="0ECA547E" w:rsidR="00B939CE" w:rsidRPr="00AF770B" w:rsidRDefault="00B939CE" w:rsidP="007B1612">
      <w:pPr>
        <w:jc w:val="both"/>
        <w:rPr>
          <w:rFonts w:cs="Arial"/>
          <w:color w:val="000000" w:themeColor="text1"/>
          <w:sz w:val="22"/>
          <w:szCs w:val="22"/>
        </w:rPr>
      </w:pPr>
      <w:r w:rsidRPr="00AF770B">
        <w:rPr>
          <w:rFonts w:cs="Arial"/>
          <w:color w:val="000000" w:themeColor="text1"/>
          <w:sz w:val="22"/>
          <w:szCs w:val="22"/>
        </w:rPr>
        <w:t xml:space="preserve">Outcome 2 has exceeded expectations. </w:t>
      </w:r>
    </w:p>
    <w:p w14:paraId="329150A2" w14:textId="77777777" w:rsidR="00696537" w:rsidRDefault="00696537" w:rsidP="007B1612">
      <w:pPr>
        <w:jc w:val="both"/>
        <w:rPr>
          <w:rFonts w:cs="Arial"/>
          <w:i/>
          <w:iCs/>
          <w:color w:val="000000" w:themeColor="text1"/>
          <w:sz w:val="22"/>
          <w:szCs w:val="22"/>
        </w:rPr>
      </w:pPr>
    </w:p>
    <w:p w14:paraId="2560D56D" w14:textId="60181AAF" w:rsidR="00696537" w:rsidRDefault="00696537" w:rsidP="002D770E">
      <w:pPr>
        <w:jc w:val="both"/>
        <w:rPr>
          <w:rFonts w:cs="Arial"/>
          <w:color w:val="000000" w:themeColor="text1"/>
          <w:sz w:val="22"/>
          <w:szCs w:val="22"/>
        </w:rPr>
      </w:pPr>
      <w:r>
        <w:rPr>
          <w:rFonts w:cs="Arial"/>
          <w:color w:val="000000" w:themeColor="text1"/>
          <w:sz w:val="22"/>
          <w:szCs w:val="22"/>
        </w:rPr>
        <w:t xml:space="preserve">AIM4Forests has </w:t>
      </w:r>
      <w:r w:rsidR="004571D5">
        <w:rPr>
          <w:rFonts w:cs="Arial"/>
          <w:color w:val="000000" w:themeColor="text1"/>
          <w:sz w:val="22"/>
          <w:szCs w:val="22"/>
        </w:rPr>
        <w:t xml:space="preserve">supported 19 countries during 2025 (cumulative and in-year), including supporting 16 of these counties with improved capacities in utilising high-resolution satellites and data for forests and land-use. </w:t>
      </w:r>
      <w:proofErr w:type="gramStart"/>
      <w:r w:rsidR="004571D5">
        <w:rPr>
          <w:rFonts w:cs="Arial"/>
          <w:color w:val="000000" w:themeColor="text1"/>
          <w:sz w:val="22"/>
          <w:szCs w:val="22"/>
        </w:rPr>
        <w:t>Outcome</w:t>
      </w:r>
      <w:proofErr w:type="gramEnd"/>
      <w:r w:rsidR="004571D5">
        <w:rPr>
          <w:rFonts w:cs="Arial"/>
          <w:color w:val="000000" w:themeColor="text1"/>
          <w:sz w:val="22"/>
          <w:szCs w:val="22"/>
        </w:rPr>
        <w:t xml:space="preserve"> 2.1 and 2.2 therefore exceed expectations. </w:t>
      </w:r>
      <w:r w:rsidR="002D770E">
        <w:rPr>
          <w:rFonts w:cs="Arial"/>
          <w:color w:val="000000" w:themeColor="text1"/>
          <w:sz w:val="22"/>
          <w:szCs w:val="22"/>
        </w:rPr>
        <w:t>T</w:t>
      </w:r>
      <w:r w:rsidR="002D770E" w:rsidRPr="002D770E">
        <w:rPr>
          <w:rFonts w:cs="Arial"/>
          <w:color w:val="000000" w:themeColor="text1"/>
          <w:sz w:val="22"/>
          <w:szCs w:val="22"/>
        </w:rPr>
        <w:t>he 19 countries are as follows: Brazil, DRC, Ghana, Guatemala, Kenya, Peru, PNG, Uganda,</w:t>
      </w:r>
      <w:r w:rsidR="002D770E">
        <w:rPr>
          <w:rFonts w:cs="Arial"/>
          <w:color w:val="000000" w:themeColor="text1"/>
          <w:sz w:val="22"/>
          <w:szCs w:val="22"/>
        </w:rPr>
        <w:t xml:space="preserve"> </w:t>
      </w:r>
      <w:r w:rsidR="002D770E" w:rsidRPr="002D770E">
        <w:rPr>
          <w:rFonts w:cs="Arial"/>
          <w:color w:val="000000" w:themeColor="text1"/>
          <w:sz w:val="22"/>
          <w:szCs w:val="22"/>
        </w:rPr>
        <w:t>Viet Nam, Bolivia, Colombia, Zambia, Indonesia, Costa Rica, Nigeria, Philippines, Fiji, Belize, and Cambodia.</w:t>
      </w:r>
    </w:p>
    <w:p w14:paraId="4CF6B4AC" w14:textId="77777777" w:rsidR="009355A7" w:rsidRDefault="009355A7" w:rsidP="002D770E">
      <w:pPr>
        <w:jc w:val="both"/>
        <w:rPr>
          <w:rFonts w:cs="Arial"/>
          <w:color w:val="000000" w:themeColor="text1"/>
          <w:sz w:val="22"/>
          <w:szCs w:val="22"/>
        </w:rPr>
      </w:pPr>
    </w:p>
    <w:p w14:paraId="13ABF0F8" w14:textId="52AF7258" w:rsidR="009355A7" w:rsidRPr="00696537" w:rsidRDefault="009355A7" w:rsidP="009355A7">
      <w:pPr>
        <w:jc w:val="both"/>
        <w:rPr>
          <w:rFonts w:cs="Arial"/>
          <w:color w:val="000000" w:themeColor="text1"/>
          <w:sz w:val="22"/>
          <w:szCs w:val="22"/>
        </w:rPr>
      </w:pPr>
      <w:r w:rsidRPr="009355A7">
        <w:rPr>
          <w:rFonts w:cs="Arial"/>
          <w:color w:val="000000" w:themeColor="text1"/>
          <w:sz w:val="22"/>
          <w:szCs w:val="22"/>
        </w:rPr>
        <w:t>Outcome indicator 2.3</w:t>
      </w:r>
      <w:r>
        <w:rPr>
          <w:rFonts w:cs="Arial"/>
          <w:color w:val="000000" w:themeColor="text1"/>
          <w:sz w:val="22"/>
          <w:szCs w:val="22"/>
        </w:rPr>
        <w:t xml:space="preserve"> reports on</w:t>
      </w:r>
      <w:r w:rsidRPr="009355A7">
        <w:rPr>
          <w:rFonts w:cs="Arial"/>
          <w:color w:val="000000" w:themeColor="text1"/>
          <w:sz w:val="22"/>
          <w:szCs w:val="22"/>
        </w:rPr>
        <w:t xml:space="preserve"> the number of methodological challenges addressed through research, technical exchange, and publications</w:t>
      </w:r>
      <w:r>
        <w:rPr>
          <w:rFonts w:cs="Arial"/>
          <w:color w:val="000000" w:themeColor="text1"/>
          <w:sz w:val="22"/>
          <w:szCs w:val="22"/>
        </w:rPr>
        <w:t xml:space="preserve">. In 2025 AIM4Forests </w:t>
      </w:r>
      <w:r w:rsidRPr="009355A7">
        <w:rPr>
          <w:rFonts w:cs="Arial"/>
          <w:color w:val="000000" w:themeColor="text1"/>
          <w:sz w:val="22"/>
          <w:szCs w:val="22"/>
        </w:rPr>
        <w:t>produced various resources on ecosystem restoration monitoring</w:t>
      </w:r>
      <w:r w:rsidR="000D6DF4">
        <w:rPr>
          <w:rFonts w:cs="Arial"/>
          <w:color w:val="000000" w:themeColor="text1"/>
          <w:sz w:val="22"/>
          <w:szCs w:val="22"/>
        </w:rPr>
        <w:t xml:space="preserve"> due to the new area on nature/ecosystem restoration (AIM4Nature). However, since this area is new</w:t>
      </w:r>
      <w:r w:rsidR="00AF770B">
        <w:rPr>
          <w:rFonts w:cs="Arial"/>
          <w:color w:val="000000" w:themeColor="text1"/>
          <w:sz w:val="22"/>
          <w:szCs w:val="22"/>
        </w:rPr>
        <w:t>, it is yet to fully come into fruition, with o</w:t>
      </w:r>
      <w:r w:rsidRPr="009355A7">
        <w:rPr>
          <w:rFonts w:cs="Arial"/>
          <w:color w:val="000000" w:themeColor="text1"/>
          <w:sz w:val="22"/>
          <w:szCs w:val="22"/>
        </w:rPr>
        <w:t xml:space="preserve">utcome indicator 2.4 </w:t>
      </w:r>
      <w:r w:rsidR="00AF770B">
        <w:rPr>
          <w:rFonts w:cs="Arial"/>
          <w:color w:val="000000" w:themeColor="text1"/>
          <w:sz w:val="22"/>
          <w:szCs w:val="22"/>
        </w:rPr>
        <w:t xml:space="preserve">not yet reporting – as expected. </w:t>
      </w:r>
    </w:p>
    <w:p w14:paraId="5C0F7A75" w14:textId="732214F0" w:rsidR="007B1612" w:rsidRPr="007B1612" w:rsidRDefault="007B1612" w:rsidP="007B1612">
      <w:pPr>
        <w:jc w:val="both"/>
        <w:rPr>
          <w:rFonts w:cs="Arial"/>
          <w:i/>
          <w:iCs/>
          <w:color w:val="000000" w:themeColor="text1"/>
          <w:sz w:val="22"/>
          <w:szCs w:val="22"/>
        </w:rPr>
      </w:pPr>
      <w:r w:rsidRPr="007B1612">
        <w:rPr>
          <w:rFonts w:cs="Arial"/>
          <w:i/>
          <w:iCs/>
          <w:color w:val="000000" w:themeColor="text1"/>
          <w:sz w:val="22"/>
          <w:szCs w:val="22"/>
        </w:rPr>
        <w:t> </w:t>
      </w:r>
    </w:p>
    <w:p w14:paraId="58D9BF5B" w14:textId="77777777" w:rsidR="007B1612" w:rsidRPr="007B1612" w:rsidRDefault="007B1612" w:rsidP="007B1612">
      <w:pPr>
        <w:jc w:val="both"/>
        <w:rPr>
          <w:rFonts w:cs="Arial"/>
          <w:i/>
          <w:iCs/>
          <w:color w:val="000000" w:themeColor="text1"/>
          <w:sz w:val="22"/>
          <w:szCs w:val="22"/>
        </w:rPr>
      </w:pPr>
      <w:r w:rsidRPr="007B1612">
        <w:rPr>
          <w:rFonts w:cs="Arial"/>
          <w:b/>
          <w:bCs/>
          <w:i/>
          <w:iCs/>
          <w:color w:val="000000" w:themeColor="text1"/>
          <w:sz w:val="22"/>
          <w:szCs w:val="22"/>
        </w:rPr>
        <w:t>Outcome 3: REDD+ programmes operating more effectively, accurately and inclusively, results being delivered </w:t>
      </w:r>
      <w:proofErr w:type="gramStart"/>
      <w:r w:rsidRPr="007B1612">
        <w:rPr>
          <w:rFonts w:cs="Arial"/>
          <w:b/>
          <w:bCs/>
          <w:i/>
          <w:iCs/>
          <w:color w:val="000000" w:themeColor="text1"/>
          <w:sz w:val="22"/>
          <w:szCs w:val="22"/>
        </w:rPr>
        <w:t>as a result of</w:t>
      </w:r>
      <w:proofErr w:type="gramEnd"/>
      <w:r w:rsidRPr="007B1612">
        <w:rPr>
          <w:rFonts w:cs="Arial"/>
          <w:b/>
          <w:bCs/>
          <w:i/>
          <w:iCs/>
          <w:color w:val="000000" w:themeColor="text1"/>
          <w:sz w:val="22"/>
          <w:szCs w:val="22"/>
        </w:rPr>
        <w:t> AIM4Forests, and increased consumer confidence on integrity of REDD+ credits. </w:t>
      </w:r>
      <w:r w:rsidRPr="007B1612">
        <w:rPr>
          <w:rFonts w:cs="Arial"/>
          <w:i/>
          <w:iCs/>
          <w:color w:val="000000" w:themeColor="text1"/>
          <w:sz w:val="22"/>
          <w:szCs w:val="22"/>
        </w:rPr>
        <w:t> </w:t>
      </w:r>
    </w:p>
    <w:p w14:paraId="4E407D30" w14:textId="77777777" w:rsidR="00AF770B" w:rsidRDefault="00AF770B" w:rsidP="007B1612">
      <w:pPr>
        <w:jc w:val="both"/>
        <w:rPr>
          <w:rFonts w:cs="Arial"/>
          <w:i/>
          <w:iCs/>
          <w:color w:val="000000" w:themeColor="text1"/>
          <w:sz w:val="22"/>
          <w:szCs w:val="22"/>
        </w:rPr>
      </w:pPr>
    </w:p>
    <w:p w14:paraId="348EF2A1" w14:textId="7ECA92F9" w:rsidR="007B1612" w:rsidRDefault="00AF770B" w:rsidP="007B1612">
      <w:pPr>
        <w:jc w:val="both"/>
        <w:rPr>
          <w:rFonts w:cs="Arial"/>
          <w:i/>
          <w:iCs/>
          <w:color w:val="000000" w:themeColor="text1"/>
          <w:sz w:val="22"/>
          <w:szCs w:val="22"/>
        </w:rPr>
      </w:pPr>
      <w:r>
        <w:rPr>
          <w:rFonts w:cs="Arial"/>
          <w:color w:val="000000" w:themeColor="text1"/>
          <w:sz w:val="22"/>
          <w:szCs w:val="22"/>
        </w:rPr>
        <w:t xml:space="preserve">Outcome 3 has generally achieved and in some areas exceeded expectations. </w:t>
      </w:r>
      <w:r w:rsidR="007B1612" w:rsidRPr="007B1612">
        <w:rPr>
          <w:rFonts w:cs="Arial"/>
          <w:i/>
          <w:iCs/>
          <w:color w:val="000000" w:themeColor="text1"/>
          <w:sz w:val="22"/>
          <w:szCs w:val="22"/>
        </w:rPr>
        <w:t> </w:t>
      </w:r>
    </w:p>
    <w:p w14:paraId="50AC8F20" w14:textId="77777777" w:rsidR="007B1612" w:rsidRPr="007B1612" w:rsidRDefault="007B1612" w:rsidP="007B1612">
      <w:pPr>
        <w:jc w:val="both"/>
        <w:rPr>
          <w:rFonts w:cs="Arial"/>
          <w:i/>
          <w:iCs/>
          <w:color w:val="000000" w:themeColor="text1"/>
          <w:sz w:val="22"/>
          <w:szCs w:val="22"/>
        </w:rPr>
      </w:pPr>
      <w:r w:rsidRPr="007B1612">
        <w:rPr>
          <w:rFonts w:cs="Arial"/>
          <w:i/>
          <w:iCs/>
          <w:color w:val="000000" w:themeColor="text1"/>
          <w:sz w:val="22"/>
          <w:szCs w:val="22"/>
        </w:rPr>
        <w:t> </w:t>
      </w:r>
    </w:p>
    <w:p w14:paraId="06FB9DDD" w14:textId="5AF611F3"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Under Outcome 3.1, in most countries the support that AIM4Forests provides is in the context of mitigation efforts. In 202</w:t>
      </w:r>
      <w:r w:rsidR="00777224" w:rsidRPr="00686C18">
        <w:rPr>
          <w:rFonts w:cs="Arial"/>
          <w:color w:val="000000" w:themeColor="text1"/>
          <w:sz w:val="22"/>
          <w:szCs w:val="22"/>
        </w:rPr>
        <w:t>5</w:t>
      </w:r>
      <w:r w:rsidRPr="007B1612">
        <w:rPr>
          <w:rFonts w:cs="Arial"/>
          <w:color w:val="000000" w:themeColor="text1"/>
          <w:sz w:val="22"/>
          <w:szCs w:val="22"/>
        </w:rPr>
        <w:t xml:space="preserve">, technical assistance was delivered on MRV for forest mitigation in Bolivia, Brazil, Colombia, Guatemala, the Democratic Republic of Congo, Ghana, Kenya, </w:t>
      </w:r>
      <w:r w:rsidR="00926220" w:rsidRPr="00686C18">
        <w:rPr>
          <w:rFonts w:cs="Arial"/>
          <w:color w:val="000000" w:themeColor="text1"/>
          <w:sz w:val="22"/>
          <w:szCs w:val="22"/>
        </w:rPr>
        <w:t xml:space="preserve">Nigeria, </w:t>
      </w:r>
      <w:r w:rsidRPr="007B1612">
        <w:rPr>
          <w:rFonts w:cs="Arial"/>
          <w:color w:val="000000" w:themeColor="text1"/>
          <w:sz w:val="22"/>
          <w:szCs w:val="22"/>
        </w:rPr>
        <w:t>Peru, Papua New Guinea, Uganda, and Zambia</w:t>
      </w:r>
      <w:r w:rsidR="00926220" w:rsidRPr="00686C18">
        <w:rPr>
          <w:rFonts w:cs="Arial"/>
          <w:color w:val="000000" w:themeColor="text1"/>
          <w:sz w:val="22"/>
          <w:szCs w:val="22"/>
        </w:rPr>
        <w:t xml:space="preserve">. </w:t>
      </w:r>
    </w:p>
    <w:p w14:paraId="7DE3D596" w14:textId="77777777" w:rsidR="007B1612" w:rsidRPr="007B1612" w:rsidRDefault="007B1612" w:rsidP="007B1612">
      <w:pPr>
        <w:jc w:val="both"/>
        <w:rPr>
          <w:rFonts w:cs="Arial"/>
          <w:color w:val="000000" w:themeColor="text1"/>
          <w:sz w:val="22"/>
          <w:szCs w:val="22"/>
        </w:rPr>
      </w:pPr>
      <w:r w:rsidRPr="007B1612">
        <w:rPr>
          <w:rFonts w:cs="Arial"/>
          <w:color w:val="000000" w:themeColor="text1"/>
          <w:sz w:val="22"/>
          <w:szCs w:val="22"/>
        </w:rPr>
        <w:t> </w:t>
      </w:r>
    </w:p>
    <w:p w14:paraId="597D5060" w14:textId="7F7088D8" w:rsidR="00686C18" w:rsidRPr="00686C18" w:rsidRDefault="00686C18" w:rsidP="00686C18">
      <w:pPr>
        <w:jc w:val="both"/>
        <w:rPr>
          <w:rFonts w:cs="Arial"/>
          <w:color w:val="000000" w:themeColor="text1"/>
          <w:sz w:val="22"/>
          <w:szCs w:val="22"/>
        </w:rPr>
      </w:pPr>
      <w:r w:rsidRPr="00686C18">
        <w:rPr>
          <w:rFonts w:cs="Arial"/>
          <w:color w:val="000000" w:themeColor="text1"/>
          <w:sz w:val="22"/>
          <w:szCs w:val="22"/>
        </w:rPr>
        <w:t>Outcome indicator 3.2 reports on the volume of emission reductions and is linked to outcome indicator 1.1, which reflects the resulting carbon credits after deductions. In 2025, AIM4Forests supported the submission of PNG’s BTR, meaning that AIM4Forests provided MRV support resulting in a total of 62,800,986 tCO2e emissions reductions reported by countries to reputable carbon standards and reporting contexts. This adds to the previous support provided to Colombia BTR, Ghana ART/TREES and Vietnam ART/TREES.</w:t>
      </w:r>
    </w:p>
    <w:p w14:paraId="2440FAEE" w14:textId="77777777" w:rsidR="00686C18" w:rsidRPr="00686C18" w:rsidRDefault="00686C18" w:rsidP="00686C18">
      <w:pPr>
        <w:jc w:val="both"/>
        <w:rPr>
          <w:rFonts w:cs="Arial"/>
          <w:i/>
          <w:iCs/>
          <w:color w:val="000000" w:themeColor="text1"/>
          <w:sz w:val="22"/>
          <w:szCs w:val="22"/>
        </w:rPr>
      </w:pPr>
    </w:p>
    <w:p w14:paraId="40D01C03" w14:textId="2ABD677C" w:rsidR="003D222C" w:rsidRPr="00D80C6C" w:rsidRDefault="00B34EB5" w:rsidP="5302A23D">
      <w:pPr>
        <w:contextualSpacing/>
        <w:jc w:val="both"/>
        <w:rPr>
          <w:rFonts w:cs="Arial"/>
          <w:sz w:val="22"/>
          <w:szCs w:val="22"/>
        </w:rPr>
      </w:pPr>
      <w:bookmarkStart w:id="11" w:name="_Toc228283633"/>
      <w:r w:rsidRPr="5302A23D">
        <w:rPr>
          <w:rStyle w:val="Heading2Char"/>
        </w:rPr>
        <w:t>L</w:t>
      </w:r>
      <w:r w:rsidR="003D222C" w:rsidRPr="5302A23D">
        <w:rPr>
          <w:rStyle w:val="Heading2Char"/>
        </w:rPr>
        <w:t>ogframe</w:t>
      </w:r>
      <w:r w:rsidRPr="5302A23D">
        <w:rPr>
          <w:rStyle w:val="Heading2Char"/>
        </w:rPr>
        <w:t xml:space="preserve"> </w:t>
      </w:r>
      <w:r w:rsidR="003D222C" w:rsidRPr="5302A23D">
        <w:rPr>
          <w:rStyle w:val="Heading2Char"/>
        </w:rPr>
        <w:t>update</w:t>
      </w:r>
      <w:r w:rsidRPr="5302A23D">
        <w:rPr>
          <w:rStyle w:val="Heading2Char"/>
        </w:rPr>
        <w:t>s</w:t>
      </w:r>
      <w:r w:rsidR="003D222C" w:rsidRPr="5302A23D">
        <w:rPr>
          <w:rStyle w:val="Heading2Char"/>
        </w:rPr>
        <w:t xml:space="preserve"> since the last review</w:t>
      </w:r>
      <w:bookmarkEnd w:id="11"/>
      <w:r w:rsidR="00F013F9" w:rsidRPr="5302A23D">
        <w:rPr>
          <w:rFonts w:cs="Arial"/>
          <w:b/>
          <w:bCs/>
          <w:sz w:val="22"/>
          <w:szCs w:val="22"/>
        </w:rPr>
        <w:t xml:space="preserve"> </w:t>
      </w:r>
    </w:p>
    <w:p w14:paraId="0ACF7E8D" w14:textId="77777777" w:rsidR="003D222C" w:rsidRPr="00D80C6C" w:rsidRDefault="003D222C" w:rsidP="004D5FD5">
      <w:pPr>
        <w:jc w:val="both"/>
        <w:rPr>
          <w:rFonts w:cs="Arial"/>
          <w:i/>
          <w:iCs/>
          <w:sz w:val="22"/>
          <w:szCs w:val="22"/>
        </w:rPr>
      </w:pPr>
    </w:p>
    <w:p w14:paraId="5536AA6F" w14:textId="6C22B714" w:rsidR="003D222C" w:rsidRDefault="00AA6660" w:rsidP="004D5FD5">
      <w:pPr>
        <w:jc w:val="both"/>
        <w:rPr>
          <w:rFonts w:cs="Arial"/>
          <w:sz w:val="22"/>
          <w:szCs w:val="22"/>
        </w:rPr>
      </w:pPr>
      <w:r>
        <w:rPr>
          <w:rFonts w:cs="Arial"/>
          <w:sz w:val="22"/>
          <w:szCs w:val="22"/>
        </w:rPr>
        <w:t>The</w:t>
      </w:r>
      <w:r w:rsidR="00B10CE2">
        <w:rPr>
          <w:rFonts w:cs="Arial"/>
          <w:sz w:val="22"/>
          <w:szCs w:val="22"/>
        </w:rPr>
        <w:t xml:space="preserve"> main</w:t>
      </w:r>
      <w:r>
        <w:rPr>
          <w:rFonts w:cs="Arial"/>
          <w:sz w:val="22"/>
          <w:szCs w:val="22"/>
        </w:rPr>
        <w:t xml:space="preserve"> updates to the 2025 logframe are highlighted above</w:t>
      </w:r>
      <w:r w:rsidR="00B10CE2">
        <w:rPr>
          <w:rFonts w:cs="Arial"/>
          <w:sz w:val="22"/>
          <w:szCs w:val="22"/>
        </w:rPr>
        <w:t xml:space="preserve"> for use against 2025 Annual Review reporting</w:t>
      </w:r>
      <w:r w:rsidR="006A5903">
        <w:rPr>
          <w:rFonts w:cs="Arial"/>
          <w:sz w:val="22"/>
          <w:szCs w:val="22"/>
        </w:rPr>
        <w:t>.</w:t>
      </w:r>
      <w:r>
        <w:rPr>
          <w:rFonts w:cs="Arial"/>
          <w:sz w:val="22"/>
          <w:szCs w:val="22"/>
        </w:rPr>
        <w:t xml:space="preserve"> </w:t>
      </w:r>
    </w:p>
    <w:p w14:paraId="17460EA3" w14:textId="33C7BC00" w:rsidR="00AA6660" w:rsidRDefault="00AA6660" w:rsidP="004D5FD5">
      <w:pPr>
        <w:jc w:val="both"/>
        <w:rPr>
          <w:rFonts w:cs="Arial"/>
          <w:sz w:val="22"/>
          <w:szCs w:val="22"/>
        </w:rPr>
      </w:pPr>
    </w:p>
    <w:p w14:paraId="3CB0E1DB" w14:textId="3AACF620" w:rsidR="002C73F6" w:rsidRDefault="00AA6660" w:rsidP="00AC32C1">
      <w:pPr>
        <w:jc w:val="both"/>
      </w:pPr>
      <w:r>
        <w:rPr>
          <w:rFonts w:cs="Arial"/>
          <w:sz w:val="22"/>
          <w:szCs w:val="22"/>
        </w:rPr>
        <w:t xml:space="preserve">To note, there have been </w:t>
      </w:r>
      <w:r w:rsidR="007C175F">
        <w:rPr>
          <w:rFonts w:cs="Arial"/>
          <w:sz w:val="22"/>
          <w:szCs w:val="22"/>
        </w:rPr>
        <w:t>further</w:t>
      </w:r>
      <w:r>
        <w:rPr>
          <w:rFonts w:cs="Arial"/>
          <w:sz w:val="22"/>
          <w:szCs w:val="22"/>
        </w:rPr>
        <w:t xml:space="preserve"> logframe updates since this point, as we have processed an Extension Business Case</w:t>
      </w:r>
      <w:r w:rsidR="005B2EB4">
        <w:rPr>
          <w:rFonts w:cs="Arial"/>
          <w:sz w:val="22"/>
          <w:szCs w:val="22"/>
        </w:rPr>
        <w:t>, which has added a new Output (AIM4Commodities), as well as</w:t>
      </w:r>
      <w:r w:rsidR="00AB6ED2">
        <w:rPr>
          <w:rFonts w:cs="Arial"/>
          <w:sz w:val="22"/>
          <w:szCs w:val="22"/>
        </w:rPr>
        <w:t xml:space="preserve"> an extension of the programme term (to 2030)</w:t>
      </w:r>
      <w:r>
        <w:rPr>
          <w:rFonts w:cs="Arial"/>
          <w:sz w:val="22"/>
          <w:szCs w:val="22"/>
        </w:rPr>
        <w:t xml:space="preserve">. </w:t>
      </w:r>
      <w:r w:rsidR="007C175F">
        <w:rPr>
          <w:rFonts w:cs="Arial"/>
          <w:sz w:val="22"/>
          <w:szCs w:val="22"/>
        </w:rPr>
        <w:t xml:space="preserve">The Extension Business Case Draft Logframe will be published alongside the Extension Business Case. </w:t>
      </w:r>
      <w:r w:rsidR="00AB6ED2">
        <w:rPr>
          <w:rFonts w:cs="Arial"/>
          <w:sz w:val="22"/>
          <w:szCs w:val="22"/>
        </w:rPr>
        <w:t>While t</w:t>
      </w:r>
      <w:r w:rsidR="005B2EB4">
        <w:rPr>
          <w:rFonts w:cs="Arial"/>
          <w:sz w:val="22"/>
          <w:szCs w:val="22"/>
        </w:rPr>
        <w:t>he Extension Business Case signed off a new</w:t>
      </w:r>
      <w:r w:rsidR="00AB6ED2">
        <w:rPr>
          <w:rFonts w:cs="Arial"/>
          <w:sz w:val="22"/>
          <w:szCs w:val="22"/>
        </w:rPr>
        <w:t xml:space="preserve"> draft</w:t>
      </w:r>
      <w:r w:rsidR="005B2EB4">
        <w:rPr>
          <w:rFonts w:cs="Arial"/>
          <w:sz w:val="22"/>
          <w:szCs w:val="22"/>
        </w:rPr>
        <w:t xml:space="preserve"> logframe, </w:t>
      </w:r>
      <w:r w:rsidR="00AB6ED2">
        <w:rPr>
          <w:rFonts w:cs="Arial"/>
          <w:sz w:val="22"/>
          <w:szCs w:val="22"/>
        </w:rPr>
        <w:t>t</w:t>
      </w:r>
      <w:r w:rsidR="005B2EB4">
        <w:rPr>
          <w:rFonts w:cs="Arial"/>
          <w:sz w:val="22"/>
          <w:szCs w:val="22"/>
        </w:rPr>
        <w:t xml:space="preserve">here </w:t>
      </w:r>
      <w:r w:rsidR="00AB6ED2">
        <w:rPr>
          <w:rFonts w:cs="Arial"/>
          <w:sz w:val="22"/>
          <w:szCs w:val="22"/>
        </w:rPr>
        <w:t>continue</w:t>
      </w:r>
      <w:r w:rsidR="001B025E">
        <w:rPr>
          <w:rFonts w:cs="Arial"/>
          <w:sz w:val="22"/>
          <w:szCs w:val="22"/>
        </w:rPr>
        <w:t>s</w:t>
      </w:r>
      <w:r w:rsidR="00AB6ED2">
        <w:rPr>
          <w:rFonts w:cs="Arial"/>
          <w:sz w:val="22"/>
          <w:szCs w:val="22"/>
        </w:rPr>
        <w:t xml:space="preserve"> to be updates to </w:t>
      </w:r>
      <w:proofErr w:type="gramStart"/>
      <w:r w:rsidR="00AB6ED2">
        <w:rPr>
          <w:rFonts w:cs="Arial"/>
          <w:sz w:val="22"/>
          <w:szCs w:val="22"/>
        </w:rPr>
        <w:t xml:space="preserve">this following </w:t>
      </w:r>
      <w:r w:rsidR="001B025E">
        <w:rPr>
          <w:rFonts w:cs="Arial"/>
          <w:sz w:val="22"/>
          <w:szCs w:val="22"/>
        </w:rPr>
        <w:t xml:space="preserve">additional </w:t>
      </w:r>
      <w:r w:rsidR="00AB6ED2">
        <w:rPr>
          <w:rFonts w:cs="Arial"/>
          <w:sz w:val="22"/>
          <w:szCs w:val="22"/>
        </w:rPr>
        <w:t>discussion</w:t>
      </w:r>
      <w:r w:rsidR="00B77F02">
        <w:rPr>
          <w:rFonts w:cs="Arial"/>
          <w:sz w:val="22"/>
          <w:szCs w:val="22"/>
        </w:rPr>
        <w:t>s</w:t>
      </w:r>
      <w:proofErr w:type="gramEnd"/>
      <w:r w:rsidR="00B77F02">
        <w:rPr>
          <w:rFonts w:cs="Arial"/>
          <w:sz w:val="22"/>
          <w:szCs w:val="22"/>
        </w:rPr>
        <w:t xml:space="preserve"> with FAO</w:t>
      </w:r>
      <w:r w:rsidR="00AB6ED2">
        <w:rPr>
          <w:rFonts w:cs="Arial"/>
          <w:sz w:val="22"/>
          <w:szCs w:val="22"/>
        </w:rPr>
        <w:t>,</w:t>
      </w:r>
      <w:r w:rsidR="00B77F02">
        <w:rPr>
          <w:rFonts w:cs="Arial"/>
          <w:sz w:val="22"/>
          <w:szCs w:val="22"/>
        </w:rPr>
        <w:t xml:space="preserve"> as well as </w:t>
      </w:r>
      <w:r w:rsidR="001B025E">
        <w:rPr>
          <w:rFonts w:cs="Arial"/>
          <w:sz w:val="22"/>
          <w:szCs w:val="22"/>
        </w:rPr>
        <w:t xml:space="preserve">anticipated </w:t>
      </w:r>
      <w:r w:rsidR="00B77F02">
        <w:rPr>
          <w:rFonts w:cs="Arial"/>
          <w:sz w:val="22"/>
          <w:szCs w:val="22"/>
        </w:rPr>
        <w:t xml:space="preserve">updates </w:t>
      </w:r>
      <w:r w:rsidR="005B2EB4">
        <w:rPr>
          <w:rFonts w:cs="Arial"/>
          <w:sz w:val="22"/>
          <w:szCs w:val="22"/>
        </w:rPr>
        <w:t>based on this Annual Review</w:t>
      </w:r>
      <w:r w:rsidR="00C65962">
        <w:rPr>
          <w:rFonts w:cs="Arial"/>
          <w:sz w:val="22"/>
          <w:szCs w:val="22"/>
        </w:rPr>
        <w:t xml:space="preserve"> and the 2025 Results Collection process</w:t>
      </w:r>
      <w:r w:rsidR="001B025E">
        <w:rPr>
          <w:rFonts w:cs="Arial"/>
          <w:sz w:val="22"/>
          <w:szCs w:val="22"/>
        </w:rPr>
        <w:t xml:space="preserve"> (described in sections </w:t>
      </w:r>
      <w:proofErr w:type="gramStart"/>
      <w:r w:rsidR="001B025E">
        <w:rPr>
          <w:rFonts w:cs="Arial"/>
          <w:sz w:val="22"/>
          <w:szCs w:val="22"/>
        </w:rPr>
        <w:t>below, and</w:t>
      </w:r>
      <w:proofErr w:type="gramEnd"/>
      <w:r w:rsidR="001B025E">
        <w:rPr>
          <w:rFonts w:cs="Arial"/>
          <w:sz w:val="22"/>
          <w:szCs w:val="22"/>
        </w:rPr>
        <w:t xml:space="preserve"> summarised in the Recommendations section)</w:t>
      </w:r>
      <w:r w:rsidR="005B2EB4">
        <w:rPr>
          <w:rFonts w:cs="Arial"/>
          <w:sz w:val="22"/>
          <w:szCs w:val="22"/>
        </w:rPr>
        <w:t>. Therefore, the final logframe for 2026</w:t>
      </w:r>
      <w:r w:rsidR="00B77F02">
        <w:rPr>
          <w:rFonts w:cs="Arial"/>
          <w:sz w:val="22"/>
          <w:szCs w:val="22"/>
        </w:rPr>
        <w:t xml:space="preserve"> reporting</w:t>
      </w:r>
      <w:r w:rsidR="005B2EB4">
        <w:rPr>
          <w:rFonts w:cs="Arial"/>
          <w:sz w:val="22"/>
          <w:szCs w:val="22"/>
        </w:rPr>
        <w:t xml:space="preserve"> has</w:t>
      </w:r>
      <w:r>
        <w:rPr>
          <w:rFonts w:cs="Arial"/>
          <w:sz w:val="22"/>
          <w:szCs w:val="22"/>
        </w:rPr>
        <w:t xml:space="preserve"> not yet been formally signed off</w:t>
      </w:r>
      <w:r w:rsidR="00B77F02">
        <w:rPr>
          <w:rFonts w:cs="Arial"/>
          <w:sz w:val="22"/>
          <w:szCs w:val="22"/>
        </w:rPr>
        <w:t xml:space="preserve">. </w:t>
      </w:r>
      <w:r w:rsidR="001B025E">
        <w:rPr>
          <w:rFonts w:cs="Arial"/>
          <w:sz w:val="22"/>
          <w:szCs w:val="22"/>
        </w:rPr>
        <w:t>This will be complete following the 2026 March Steering Committee</w:t>
      </w:r>
      <w:r w:rsidR="00C65962">
        <w:rPr>
          <w:rFonts w:cs="Arial"/>
          <w:sz w:val="22"/>
          <w:szCs w:val="22"/>
        </w:rPr>
        <w:t xml:space="preserve"> and the completion of this Annual Review</w:t>
      </w:r>
      <w:r w:rsidR="001B025E">
        <w:rPr>
          <w:rFonts w:cs="Arial"/>
          <w:sz w:val="22"/>
          <w:szCs w:val="22"/>
        </w:rPr>
        <w:t>. 2026 logframe c</w:t>
      </w:r>
      <w:r w:rsidR="005B2EB4">
        <w:rPr>
          <w:rFonts w:cs="Arial"/>
          <w:sz w:val="22"/>
          <w:szCs w:val="22"/>
        </w:rPr>
        <w:t>hanges</w:t>
      </w:r>
      <w:r>
        <w:rPr>
          <w:rFonts w:cs="Arial"/>
          <w:sz w:val="22"/>
          <w:szCs w:val="22"/>
        </w:rPr>
        <w:t xml:space="preserve"> have</w:t>
      </w:r>
      <w:r w:rsidR="005B2EB4">
        <w:rPr>
          <w:rFonts w:cs="Arial"/>
          <w:sz w:val="22"/>
          <w:szCs w:val="22"/>
        </w:rPr>
        <w:t xml:space="preserve"> therefore</w:t>
      </w:r>
      <w:r>
        <w:rPr>
          <w:rFonts w:cs="Arial"/>
          <w:sz w:val="22"/>
          <w:szCs w:val="22"/>
        </w:rPr>
        <w:t xml:space="preserve"> not been included for this review</w:t>
      </w:r>
      <w:r w:rsidR="005B2EB4">
        <w:rPr>
          <w:rFonts w:cs="Arial"/>
          <w:sz w:val="22"/>
          <w:szCs w:val="22"/>
        </w:rPr>
        <w:t>, as there will likely be</w:t>
      </w:r>
      <w:r w:rsidR="001B025E">
        <w:rPr>
          <w:rFonts w:cs="Arial"/>
          <w:sz w:val="22"/>
          <w:szCs w:val="22"/>
        </w:rPr>
        <w:t xml:space="preserve"> these further</w:t>
      </w:r>
      <w:r w:rsidR="005B2EB4">
        <w:rPr>
          <w:rFonts w:cs="Arial"/>
          <w:sz w:val="22"/>
          <w:szCs w:val="22"/>
        </w:rPr>
        <w:t xml:space="preserve"> updates</w:t>
      </w:r>
      <w:r>
        <w:rPr>
          <w:rFonts w:cs="Arial"/>
          <w:sz w:val="22"/>
          <w:szCs w:val="22"/>
        </w:rPr>
        <w:t xml:space="preserve">. However, it will be a key recommendation to sign these off and ensure </w:t>
      </w:r>
      <w:r w:rsidR="00380FD2">
        <w:rPr>
          <w:rFonts w:cs="Arial"/>
          <w:sz w:val="22"/>
          <w:szCs w:val="22"/>
        </w:rPr>
        <w:t>description of changes are made for the following Annual Review</w:t>
      </w:r>
      <w:r w:rsidR="00A61558">
        <w:rPr>
          <w:rFonts w:cs="Arial"/>
          <w:sz w:val="22"/>
          <w:szCs w:val="22"/>
        </w:rPr>
        <w:t>.</w:t>
      </w:r>
      <w:r w:rsidR="002C73F6">
        <w:br w:type="page"/>
      </w:r>
    </w:p>
    <w:tbl>
      <w:tblPr>
        <w:tblStyle w:val="TableGrid"/>
        <w:tblW w:w="0" w:type="auto"/>
        <w:tblLook w:val="04A0" w:firstRow="1" w:lastRow="0" w:firstColumn="1" w:lastColumn="0" w:noHBand="0" w:noVBand="1"/>
      </w:tblPr>
      <w:tblGrid>
        <w:gridCol w:w="9016"/>
      </w:tblGrid>
      <w:tr w:rsidR="00397703" w14:paraId="13F66B93" w14:textId="77777777" w:rsidTr="5302A23D">
        <w:tc>
          <w:tcPr>
            <w:tcW w:w="9016" w:type="dxa"/>
            <w:shd w:val="clear" w:color="auto" w:fill="DEEAF6" w:themeFill="accent5" w:themeFillTint="33"/>
          </w:tcPr>
          <w:p w14:paraId="3D58D529" w14:textId="1166F015" w:rsidR="00CB2873" w:rsidRDefault="00CB2873" w:rsidP="004D5FD5">
            <w:pPr>
              <w:jc w:val="both"/>
            </w:pPr>
            <w:bookmarkStart w:id="12" w:name="_Toc225240737"/>
            <w:bookmarkStart w:id="13" w:name="_Toc228283634"/>
            <w:r w:rsidRPr="5302A23D">
              <w:rPr>
                <w:rStyle w:val="Heading1Char"/>
                <w:rFonts w:ascii="Arial" w:hAnsi="Arial" w:cs="Arial"/>
                <w:b/>
                <w:bCs/>
                <w:color w:val="auto"/>
              </w:rPr>
              <w:lastRenderedPageBreak/>
              <w:t xml:space="preserve">Section C: Output </w:t>
            </w:r>
            <w:r w:rsidR="4FB023D7" w:rsidRPr="5302A23D">
              <w:rPr>
                <w:rStyle w:val="Heading1Char"/>
                <w:rFonts w:ascii="Arial" w:hAnsi="Arial" w:cs="Arial"/>
                <w:b/>
                <w:bCs/>
                <w:color w:val="auto"/>
              </w:rPr>
              <w:t>s</w:t>
            </w:r>
            <w:r w:rsidRPr="5302A23D">
              <w:rPr>
                <w:rStyle w:val="Heading1Char"/>
                <w:rFonts w:ascii="Arial" w:hAnsi="Arial" w:cs="Arial"/>
                <w:b/>
                <w:bCs/>
                <w:color w:val="auto"/>
              </w:rPr>
              <w:t>coring</w:t>
            </w:r>
            <w:bookmarkEnd w:id="12"/>
            <w:bookmarkEnd w:id="13"/>
            <w:r>
              <w:t xml:space="preserve"> </w:t>
            </w:r>
          </w:p>
        </w:tc>
      </w:tr>
    </w:tbl>
    <w:p w14:paraId="09A2755D" w14:textId="77777777" w:rsidR="00FC4207" w:rsidRPr="0039001D" w:rsidRDefault="003A0DCC" w:rsidP="0039001D">
      <w:pPr>
        <w:pStyle w:val="Heading2"/>
        <w:rPr>
          <w:sz w:val="24"/>
          <w:szCs w:val="24"/>
        </w:rPr>
      </w:pPr>
      <w:bookmarkStart w:id="14" w:name="_Toc228283635"/>
      <w:r w:rsidRPr="0039001D">
        <w:rPr>
          <w:sz w:val="24"/>
          <w:szCs w:val="24"/>
        </w:rPr>
        <w:t>Output 1: </w:t>
      </w:r>
      <w:r w:rsidR="00FC4207" w:rsidRPr="0039001D">
        <w:rPr>
          <w:sz w:val="24"/>
          <w:szCs w:val="24"/>
        </w:rPr>
        <w:t>Forest monitoring integrates latest technical knowledge as disseminated through open-access learning programmes, leverages innovative platforms and global datasets, and is guided by aligned methodologies.</w:t>
      </w:r>
      <w:bookmarkEnd w:id="14"/>
    </w:p>
    <w:p w14:paraId="0C2DF0BB" w14:textId="7F6610E1" w:rsidR="003A0DCC" w:rsidRPr="003A0DCC" w:rsidRDefault="003A0DCC" w:rsidP="003A0DCC">
      <w:pPr>
        <w:jc w:val="both"/>
        <w:rPr>
          <w:kern w:val="28"/>
          <w:sz w:val="22"/>
          <w:szCs w:val="22"/>
        </w:rPr>
      </w:pPr>
      <w:r w:rsidRPr="003A0DCC">
        <w:rPr>
          <w:kern w:val="28"/>
          <w:sz w:val="22"/>
          <w:szCs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7"/>
        <w:gridCol w:w="612"/>
        <w:gridCol w:w="928"/>
        <w:gridCol w:w="2960"/>
        <w:gridCol w:w="2974"/>
      </w:tblGrid>
      <w:tr w:rsidR="009758D6" w:rsidRPr="003A0DCC" w14:paraId="6C89B702" w14:textId="77777777">
        <w:trPr>
          <w:trHeight w:val="480"/>
        </w:trPr>
        <w:tc>
          <w:tcPr>
            <w:tcW w:w="1560" w:type="dxa"/>
            <w:tcBorders>
              <w:top w:val="single" w:sz="4" w:space="0" w:color="auto"/>
              <w:left w:val="single" w:sz="4" w:space="0" w:color="auto"/>
              <w:bottom w:val="single" w:sz="4" w:space="0" w:color="auto"/>
              <w:right w:val="single" w:sz="4" w:space="0" w:color="auto"/>
            </w:tcBorders>
            <w:shd w:val="clear" w:color="auto" w:fill="DEEAF6"/>
            <w:hideMark/>
          </w:tcPr>
          <w:p w14:paraId="5978F8B2" w14:textId="77777777" w:rsidR="003A0DCC" w:rsidRPr="003A0DCC" w:rsidRDefault="003A0DCC" w:rsidP="003A0DCC">
            <w:pPr>
              <w:jc w:val="both"/>
              <w:rPr>
                <w:kern w:val="28"/>
                <w:sz w:val="22"/>
                <w:szCs w:val="22"/>
              </w:rPr>
            </w:pPr>
            <w:r w:rsidRPr="003A0DCC">
              <w:rPr>
                <w:kern w:val="28"/>
                <w:sz w:val="22"/>
                <w:szCs w:val="22"/>
              </w:rPr>
              <w:t>Output Title  </w:t>
            </w:r>
          </w:p>
        </w:tc>
        <w:tc>
          <w:tcPr>
            <w:tcW w:w="750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0E99870" w14:textId="47BF0903" w:rsidR="003A0DCC" w:rsidRPr="003A0DCC" w:rsidRDefault="00734D93" w:rsidP="00734D93">
            <w:pPr>
              <w:jc w:val="both"/>
              <w:rPr>
                <w:kern w:val="28"/>
                <w:sz w:val="22"/>
                <w:szCs w:val="22"/>
              </w:rPr>
            </w:pPr>
            <w:r w:rsidRPr="00734D93">
              <w:rPr>
                <w:kern w:val="28"/>
                <w:sz w:val="22"/>
                <w:szCs w:val="22"/>
              </w:rPr>
              <w:t>Forest monitoring integrates latest technical knowledge as disseminated through open-access learning programmes, leverages innovative platforms and global datasets, and is guided by aligned methodologies.</w:t>
            </w:r>
          </w:p>
        </w:tc>
      </w:tr>
      <w:tr w:rsidR="00C430A5" w:rsidRPr="003A0DCC" w14:paraId="4526F05F" w14:textId="77777777">
        <w:trPr>
          <w:trHeight w:val="345"/>
        </w:trPr>
        <w:tc>
          <w:tcPr>
            <w:tcW w:w="2175"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A3EBC03" w14:textId="77777777" w:rsidR="003A0DCC" w:rsidRPr="003A0DCC" w:rsidRDefault="003A0DCC" w:rsidP="003A0DCC">
            <w:pPr>
              <w:jc w:val="both"/>
              <w:rPr>
                <w:kern w:val="28"/>
                <w:sz w:val="22"/>
                <w:szCs w:val="22"/>
              </w:rPr>
            </w:pPr>
            <w:r w:rsidRPr="003A0DCC">
              <w:rPr>
                <w:kern w:val="28"/>
                <w:sz w:val="22"/>
                <w:szCs w:val="22"/>
              </w:rPr>
              <w:t>Output number:  </w:t>
            </w:r>
          </w:p>
        </w:tc>
        <w:tc>
          <w:tcPr>
            <w:tcW w:w="930" w:type="dxa"/>
            <w:tcBorders>
              <w:top w:val="single" w:sz="4" w:space="0" w:color="auto"/>
              <w:left w:val="single" w:sz="4" w:space="0" w:color="auto"/>
              <w:bottom w:val="single" w:sz="4" w:space="0" w:color="auto"/>
              <w:right w:val="single" w:sz="4" w:space="0" w:color="auto"/>
            </w:tcBorders>
            <w:hideMark/>
          </w:tcPr>
          <w:p w14:paraId="53BFBBB2" w14:textId="77777777" w:rsidR="003A0DCC" w:rsidRPr="003A0DCC" w:rsidRDefault="003A0DCC" w:rsidP="003A0DCC">
            <w:pPr>
              <w:jc w:val="both"/>
              <w:rPr>
                <w:kern w:val="28"/>
                <w:sz w:val="22"/>
                <w:szCs w:val="22"/>
              </w:rPr>
            </w:pPr>
            <w:r w:rsidRPr="003A0DCC">
              <w:rPr>
                <w:kern w:val="28"/>
                <w:sz w:val="22"/>
                <w:szCs w:val="22"/>
              </w:rPr>
              <w:t>1 </w:t>
            </w:r>
          </w:p>
        </w:tc>
        <w:tc>
          <w:tcPr>
            <w:tcW w:w="2970" w:type="dxa"/>
            <w:tcBorders>
              <w:top w:val="single" w:sz="4" w:space="0" w:color="auto"/>
              <w:left w:val="single" w:sz="4" w:space="0" w:color="auto"/>
              <w:bottom w:val="single" w:sz="4" w:space="0" w:color="auto"/>
              <w:right w:val="single" w:sz="4" w:space="0" w:color="auto"/>
            </w:tcBorders>
            <w:shd w:val="clear" w:color="auto" w:fill="DEEAF6"/>
            <w:hideMark/>
          </w:tcPr>
          <w:p w14:paraId="7D907832" w14:textId="77777777" w:rsidR="003A0DCC" w:rsidRPr="003A0DCC" w:rsidRDefault="003A0DCC" w:rsidP="003A0DCC">
            <w:pPr>
              <w:jc w:val="both"/>
              <w:rPr>
                <w:kern w:val="28"/>
                <w:sz w:val="22"/>
                <w:szCs w:val="22"/>
              </w:rPr>
            </w:pPr>
            <w:r w:rsidRPr="003A0DCC">
              <w:rPr>
                <w:kern w:val="28"/>
                <w:sz w:val="22"/>
                <w:szCs w:val="22"/>
              </w:rPr>
              <w:t>Output Score:  </w:t>
            </w:r>
          </w:p>
        </w:tc>
        <w:tc>
          <w:tcPr>
            <w:tcW w:w="2970" w:type="dxa"/>
            <w:tcBorders>
              <w:top w:val="single" w:sz="4" w:space="0" w:color="auto"/>
              <w:left w:val="single" w:sz="4" w:space="0" w:color="auto"/>
              <w:bottom w:val="single" w:sz="4" w:space="0" w:color="auto"/>
              <w:right w:val="single" w:sz="4" w:space="0" w:color="auto"/>
            </w:tcBorders>
            <w:hideMark/>
          </w:tcPr>
          <w:p w14:paraId="2A6022E2" w14:textId="228FBD18" w:rsidR="003A0DCC" w:rsidRPr="003A0DCC" w:rsidRDefault="002C79C2" w:rsidP="003A0DCC">
            <w:pPr>
              <w:jc w:val="both"/>
              <w:rPr>
                <w:kern w:val="28"/>
                <w:sz w:val="22"/>
                <w:szCs w:val="22"/>
              </w:rPr>
            </w:pPr>
            <w:r>
              <w:rPr>
                <w:kern w:val="28"/>
                <w:sz w:val="22"/>
                <w:szCs w:val="22"/>
              </w:rPr>
              <w:t>A+</w:t>
            </w:r>
            <w:r w:rsidR="00693504">
              <w:rPr>
                <w:kern w:val="28"/>
                <w:sz w:val="22"/>
                <w:szCs w:val="22"/>
              </w:rPr>
              <w:t xml:space="preserve"> </w:t>
            </w:r>
          </w:p>
        </w:tc>
      </w:tr>
      <w:tr w:rsidR="00C430A5" w:rsidRPr="003A0DCC" w14:paraId="46FFEF54" w14:textId="77777777">
        <w:trPr>
          <w:trHeight w:val="345"/>
        </w:trPr>
        <w:tc>
          <w:tcPr>
            <w:tcW w:w="2175"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1E0562A" w14:textId="77777777" w:rsidR="003A0DCC" w:rsidRPr="003A0DCC" w:rsidRDefault="003A0DCC" w:rsidP="003A0DCC">
            <w:pPr>
              <w:jc w:val="both"/>
              <w:rPr>
                <w:kern w:val="28"/>
                <w:sz w:val="22"/>
                <w:szCs w:val="22"/>
              </w:rPr>
            </w:pPr>
            <w:r w:rsidRPr="003A0DCC">
              <w:rPr>
                <w:kern w:val="28"/>
                <w:sz w:val="22"/>
                <w:szCs w:val="22"/>
              </w:rPr>
              <w:t>Impact weighting (%):   </w:t>
            </w:r>
          </w:p>
        </w:tc>
        <w:tc>
          <w:tcPr>
            <w:tcW w:w="930" w:type="dxa"/>
            <w:tcBorders>
              <w:top w:val="single" w:sz="4" w:space="0" w:color="auto"/>
              <w:left w:val="single" w:sz="4" w:space="0" w:color="auto"/>
              <w:bottom w:val="single" w:sz="4" w:space="0" w:color="auto"/>
              <w:right w:val="single" w:sz="4" w:space="0" w:color="auto"/>
            </w:tcBorders>
            <w:hideMark/>
          </w:tcPr>
          <w:p w14:paraId="16564115" w14:textId="77777777" w:rsidR="003A0DCC" w:rsidRPr="003A0DCC" w:rsidRDefault="003A0DCC" w:rsidP="003A0DCC">
            <w:pPr>
              <w:jc w:val="both"/>
              <w:rPr>
                <w:kern w:val="28"/>
                <w:sz w:val="22"/>
                <w:szCs w:val="22"/>
              </w:rPr>
            </w:pPr>
            <w:r w:rsidRPr="003A0DCC">
              <w:rPr>
                <w:kern w:val="28"/>
                <w:sz w:val="22"/>
                <w:szCs w:val="22"/>
              </w:rPr>
              <w:t>40% </w:t>
            </w:r>
          </w:p>
        </w:tc>
        <w:tc>
          <w:tcPr>
            <w:tcW w:w="2970" w:type="dxa"/>
            <w:tcBorders>
              <w:top w:val="single" w:sz="4" w:space="0" w:color="auto"/>
              <w:left w:val="single" w:sz="4" w:space="0" w:color="auto"/>
              <w:bottom w:val="single" w:sz="4" w:space="0" w:color="auto"/>
              <w:right w:val="single" w:sz="4" w:space="0" w:color="auto"/>
            </w:tcBorders>
            <w:shd w:val="clear" w:color="auto" w:fill="DEEAF6"/>
            <w:hideMark/>
          </w:tcPr>
          <w:p w14:paraId="060B8279" w14:textId="77777777" w:rsidR="003A0DCC" w:rsidRPr="003A0DCC" w:rsidRDefault="003A0DCC" w:rsidP="003A0DCC">
            <w:pPr>
              <w:jc w:val="both"/>
              <w:rPr>
                <w:kern w:val="28"/>
                <w:sz w:val="22"/>
                <w:szCs w:val="22"/>
              </w:rPr>
            </w:pPr>
            <w:r w:rsidRPr="003A0DCC">
              <w:rPr>
                <w:kern w:val="28"/>
                <w:sz w:val="22"/>
                <w:szCs w:val="22"/>
              </w:rPr>
              <w:t>Weighting revised since last AR?  </w:t>
            </w:r>
          </w:p>
        </w:tc>
        <w:tc>
          <w:tcPr>
            <w:tcW w:w="2970" w:type="dxa"/>
            <w:tcBorders>
              <w:top w:val="single" w:sz="4" w:space="0" w:color="auto"/>
              <w:left w:val="single" w:sz="4" w:space="0" w:color="auto"/>
              <w:bottom w:val="single" w:sz="4" w:space="0" w:color="auto"/>
              <w:right w:val="single" w:sz="4" w:space="0" w:color="auto"/>
            </w:tcBorders>
            <w:hideMark/>
          </w:tcPr>
          <w:p w14:paraId="02991D26" w14:textId="77777777" w:rsidR="003A0DCC" w:rsidRPr="003A0DCC" w:rsidRDefault="003A0DCC" w:rsidP="003A0DCC">
            <w:pPr>
              <w:jc w:val="both"/>
              <w:rPr>
                <w:kern w:val="28"/>
                <w:sz w:val="22"/>
                <w:szCs w:val="22"/>
              </w:rPr>
            </w:pPr>
            <w:r w:rsidRPr="003A0DCC">
              <w:rPr>
                <w:kern w:val="28"/>
                <w:sz w:val="22"/>
                <w:szCs w:val="22"/>
              </w:rPr>
              <w:t>No </w:t>
            </w:r>
          </w:p>
        </w:tc>
      </w:tr>
      <w:tr w:rsidR="00C430A5" w:rsidRPr="003A0DCC" w14:paraId="3254449A" w14:textId="77777777">
        <w:trPr>
          <w:trHeight w:val="345"/>
        </w:trPr>
        <w:tc>
          <w:tcPr>
            <w:tcW w:w="2175"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638D5005" w14:textId="77777777" w:rsidR="003A0DCC" w:rsidRPr="003A0DCC" w:rsidRDefault="003A0DCC" w:rsidP="003A0DCC">
            <w:pPr>
              <w:jc w:val="both"/>
              <w:rPr>
                <w:kern w:val="28"/>
                <w:sz w:val="22"/>
                <w:szCs w:val="22"/>
              </w:rPr>
            </w:pPr>
            <w:r w:rsidRPr="003A0DCC">
              <w:rPr>
                <w:kern w:val="28"/>
                <w:sz w:val="22"/>
                <w:szCs w:val="22"/>
              </w:rPr>
              <w:t>Risk rating: </w:t>
            </w:r>
          </w:p>
        </w:tc>
        <w:tc>
          <w:tcPr>
            <w:tcW w:w="930" w:type="dxa"/>
            <w:tcBorders>
              <w:top w:val="single" w:sz="4" w:space="0" w:color="auto"/>
              <w:left w:val="single" w:sz="4" w:space="0" w:color="auto"/>
              <w:bottom w:val="single" w:sz="4" w:space="0" w:color="auto"/>
              <w:right w:val="single" w:sz="4" w:space="0" w:color="auto"/>
            </w:tcBorders>
            <w:hideMark/>
          </w:tcPr>
          <w:p w14:paraId="3F43ACE1" w14:textId="77777777" w:rsidR="003A0DCC" w:rsidRPr="003A0DCC" w:rsidRDefault="003A0DCC" w:rsidP="003A0DCC">
            <w:pPr>
              <w:jc w:val="both"/>
              <w:rPr>
                <w:kern w:val="28"/>
                <w:sz w:val="22"/>
                <w:szCs w:val="22"/>
              </w:rPr>
            </w:pPr>
            <w:r w:rsidRPr="003A0DCC">
              <w:rPr>
                <w:kern w:val="28"/>
                <w:sz w:val="22"/>
                <w:szCs w:val="22"/>
              </w:rPr>
              <w:t>Minor </w:t>
            </w:r>
          </w:p>
        </w:tc>
        <w:tc>
          <w:tcPr>
            <w:tcW w:w="2970" w:type="dxa"/>
            <w:tcBorders>
              <w:top w:val="single" w:sz="4" w:space="0" w:color="auto"/>
              <w:left w:val="single" w:sz="4" w:space="0" w:color="auto"/>
              <w:bottom w:val="single" w:sz="4" w:space="0" w:color="auto"/>
              <w:right w:val="single" w:sz="4" w:space="0" w:color="auto"/>
            </w:tcBorders>
            <w:shd w:val="clear" w:color="auto" w:fill="DEEAF6"/>
            <w:hideMark/>
          </w:tcPr>
          <w:p w14:paraId="224BFE25" w14:textId="77777777" w:rsidR="003A0DCC" w:rsidRPr="003A0DCC" w:rsidRDefault="003A0DCC" w:rsidP="003A0DCC">
            <w:pPr>
              <w:jc w:val="both"/>
              <w:rPr>
                <w:kern w:val="28"/>
                <w:sz w:val="22"/>
                <w:szCs w:val="22"/>
              </w:rPr>
            </w:pPr>
            <w:r w:rsidRPr="003A0DCC">
              <w:rPr>
                <w:kern w:val="28"/>
                <w:sz w:val="22"/>
                <w:szCs w:val="22"/>
              </w:rPr>
              <w:t>Risk revised since last AR? </w:t>
            </w:r>
          </w:p>
        </w:tc>
        <w:tc>
          <w:tcPr>
            <w:tcW w:w="2970" w:type="dxa"/>
            <w:tcBorders>
              <w:top w:val="single" w:sz="4" w:space="0" w:color="auto"/>
              <w:left w:val="single" w:sz="4" w:space="0" w:color="auto"/>
              <w:bottom w:val="single" w:sz="4" w:space="0" w:color="auto"/>
              <w:right w:val="single" w:sz="4" w:space="0" w:color="auto"/>
            </w:tcBorders>
            <w:hideMark/>
          </w:tcPr>
          <w:p w14:paraId="58619314" w14:textId="77777777" w:rsidR="003A0DCC" w:rsidRPr="003A0DCC" w:rsidRDefault="003A0DCC" w:rsidP="003A0DCC">
            <w:pPr>
              <w:jc w:val="both"/>
              <w:rPr>
                <w:kern w:val="28"/>
                <w:sz w:val="22"/>
                <w:szCs w:val="22"/>
              </w:rPr>
            </w:pPr>
            <w:r w:rsidRPr="003A0DCC">
              <w:rPr>
                <w:kern w:val="28"/>
                <w:sz w:val="22"/>
                <w:szCs w:val="22"/>
              </w:rPr>
              <w:t>Yes, revised down </w:t>
            </w:r>
          </w:p>
        </w:tc>
      </w:tr>
    </w:tbl>
    <w:p w14:paraId="65D895B8" w14:textId="77777777" w:rsidR="003A0DCC" w:rsidRPr="003A0DCC" w:rsidRDefault="003A0DCC" w:rsidP="003A0DCC">
      <w:pPr>
        <w:jc w:val="both"/>
        <w:rPr>
          <w:kern w:val="28"/>
          <w:sz w:val="22"/>
          <w:szCs w:val="22"/>
        </w:rPr>
      </w:pPr>
      <w:r w:rsidRPr="003A0DCC">
        <w:rPr>
          <w:kern w:val="28"/>
          <w:sz w:val="22"/>
          <w:szCs w:val="22"/>
        </w:rPr>
        <w:t> </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9"/>
        <w:gridCol w:w="2410"/>
        <w:gridCol w:w="3067"/>
      </w:tblGrid>
      <w:tr w:rsidR="00B559E4" w:rsidRPr="003A0DCC" w14:paraId="39C0D063" w14:textId="77777777" w:rsidTr="216BC43A">
        <w:trPr>
          <w:trHeight w:val="270"/>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0F4A283" w14:textId="77777777" w:rsidR="003A0DCC" w:rsidRPr="003A0DCC" w:rsidRDefault="003A0DCC" w:rsidP="003A0DCC">
            <w:pPr>
              <w:jc w:val="both"/>
              <w:rPr>
                <w:kern w:val="28"/>
                <w:sz w:val="22"/>
                <w:szCs w:val="22"/>
              </w:rPr>
            </w:pPr>
            <w:r w:rsidRPr="003A0DCC">
              <w:rPr>
                <w:kern w:val="28"/>
                <w:sz w:val="22"/>
                <w:szCs w:val="22"/>
              </w:rPr>
              <w:t>Indicator(s) </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0B604C" w14:textId="77777777" w:rsidR="003A0DCC" w:rsidRPr="003A0DCC" w:rsidRDefault="003A0DCC" w:rsidP="003A0DCC">
            <w:pPr>
              <w:jc w:val="both"/>
              <w:rPr>
                <w:kern w:val="28"/>
                <w:sz w:val="22"/>
                <w:szCs w:val="22"/>
              </w:rPr>
            </w:pPr>
            <w:r w:rsidRPr="003A0DCC">
              <w:rPr>
                <w:kern w:val="28"/>
                <w:sz w:val="22"/>
                <w:szCs w:val="22"/>
              </w:rPr>
              <w:t>Milestone(s) for this review </w:t>
            </w:r>
          </w:p>
        </w:tc>
        <w:tc>
          <w:tcPr>
            <w:tcW w:w="30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379FBE1" w14:textId="77777777" w:rsidR="003A0DCC" w:rsidRPr="003A0DCC" w:rsidRDefault="003A0DCC" w:rsidP="003A0DCC">
            <w:pPr>
              <w:jc w:val="both"/>
              <w:rPr>
                <w:kern w:val="28"/>
                <w:sz w:val="22"/>
                <w:szCs w:val="22"/>
              </w:rPr>
            </w:pPr>
            <w:r w:rsidRPr="003A0DCC">
              <w:rPr>
                <w:kern w:val="28"/>
                <w:sz w:val="22"/>
                <w:szCs w:val="22"/>
              </w:rPr>
              <w:t>Progress  </w:t>
            </w:r>
          </w:p>
        </w:tc>
      </w:tr>
      <w:tr w:rsidR="00B559E4" w:rsidRPr="003A0DCC" w14:paraId="073E9676"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hideMark/>
          </w:tcPr>
          <w:p w14:paraId="35074427" w14:textId="77777777" w:rsidR="003A0DCC" w:rsidRPr="003A0DCC" w:rsidRDefault="003A0DCC" w:rsidP="000F47D7">
            <w:pPr>
              <w:rPr>
                <w:kern w:val="28"/>
                <w:sz w:val="22"/>
                <w:szCs w:val="22"/>
              </w:rPr>
            </w:pPr>
            <w:r w:rsidRPr="0041011D">
              <w:rPr>
                <w:b/>
                <w:bCs/>
                <w:kern w:val="28"/>
                <w:sz w:val="22"/>
                <w:szCs w:val="22"/>
              </w:rPr>
              <w:t>Indicator 1.1:</w:t>
            </w:r>
            <w:r w:rsidRPr="003A0DCC">
              <w:rPr>
                <w:kern w:val="28"/>
                <w:sz w:val="22"/>
                <w:szCs w:val="22"/>
              </w:rPr>
              <w:t>  Number of open-access e-learning modules, online course and platforms created by AIM4Forests </w:t>
            </w:r>
          </w:p>
        </w:tc>
        <w:tc>
          <w:tcPr>
            <w:tcW w:w="2410" w:type="dxa"/>
            <w:tcBorders>
              <w:top w:val="single" w:sz="4" w:space="0" w:color="auto"/>
              <w:left w:val="single" w:sz="4" w:space="0" w:color="auto"/>
              <w:bottom w:val="single" w:sz="4" w:space="0" w:color="auto"/>
              <w:right w:val="single" w:sz="4" w:space="0" w:color="auto"/>
            </w:tcBorders>
            <w:hideMark/>
          </w:tcPr>
          <w:p w14:paraId="72CE4C01" w14:textId="49BC19E0" w:rsidR="003A0DCC" w:rsidRPr="003A0DCC" w:rsidRDefault="003A0DCC" w:rsidP="000F47D7">
            <w:pPr>
              <w:rPr>
                <w:kern w:val="28"/>
                <w:sz w:val="22"/>
                <w:szCs w:val="22"/>
              </w:rPr>
            </w:pPr>
            <w:r w:rsidRPr="003A0DCC">
              <w:rPr>
                <w:kern w:val="28"/>
                <w:sz w:val="22"/>
                <w:szCs w:val="22"/>
              </w:rPr>
              <w:t>FY2</w:t>
            </w:r>
            <w:r w:rsidR="00574544" w:rsidRPr="00574544">
              <w:rPr>
                <w:kern w:val="28"/>
                <w:sz w:val="22"/>
                <w:szCs w:val="22"/>
              </w:rPr>
              <w:t>5</w:t>
            </w:r>
            <w:r w:rsidRPr="003A0DCC">
              <w:rPr>
                <w:kern w:val="28"/>
                <w:sz w:val="22"/>
                <w:szCs w:val="22"/>
              </w:rPr>
              <w:t xml:space="preserve">: </w:t>
            </w:r>
            <w:r w:rsidR="00574544" w:rsidRPr="00574544">
              <w:rPr>
                <w:kern w:val="28"/>
                <w:sz w:val="22"/>
                <w:szCs w:val="22"/>
              </w:rPr>
              <w:t>11</w:t>
            </w:r>
            <w:r w:rsidRPr="003A0DCC">
              <w:rPr>
                <w:kern w:val="28"/>
                <w:sz w:val="22"/>
                <w:szCs w:val="22"/>
              </w:rPr>
              <w:t> </w:t>
            </w:r>
          </w:p>
        </w:tc>
        <w:tc>
          <w:tcPr>
            <w:tcW w:w="3067" w:type="dxa"/>
            <w:tcBorders>
              <w:top w:val="single" w:sz="4" w:space="0" w:color="auto"/>
              <w:left w:val="single" w:sz="4" w:space="0" w:color="auto"/>
              <w:bottom w:val="single" w:sz="4" w:space="0" w:color="auto"/>
              <w:right w:val="single" w:sz="4" w:space="0" w:color="auto"/>
            </w:tcBorders>
            <w:hideMark/>
          </w:tcPr>
          <w:p w14:paraId="5F031016" w14:textId="77777777" w:rsidR="00D76A92" w:rsidRDefault="003A0DCC" w:rsidP="000F47D7">
            <w:pPr>
              <w:rPr>
                <w:kern w:val="28"/>
                <w:sz w:val="22"/>
                <w:szCs w:val="22"/>
              </w:rPr>
            </w:pPr>
            <w:r w:rsidRPr="003A0DCC">
              <w:rPr>
                <w:kern w:val="28"/>
                <w:sz w:val="22"/>
                <w:szCs w:val="22"/>
              </w:rPr>
              <w:t xml:space="preserve">FY24 Result: </w:t>
            </w:r>
            <w:r w:rsidR="000F47D7">
              <w:rPr>
                <w:kern w:val="28"/>
                <w:sz w:val="22"/>
                <w:szCs w:val="22"/>
              </w:rPr>
              <w:t>11</w:t>
            </w:r>
            <w:r w:rsidRPr="003A0DCC">
              <w:rPr>
                <w:kern w:val="28"/>
                <w:sz w:val="22"/>
                <w:szCs w:val="22"/>
              </w:rPr>
              <w:t>. </w:t>
            </w:r>
          </w:p>
          <w:p w14:paraId="232FAD80" w14:textId="77777777" w:rsidR="00D76A92" w:rsidRDefault="00D76A92" w:rsidP="000F47D7">
            <w:pPr>
              <w:rPr>
                <w:kern w:val="28"/>
                <w:sz w:val="22"/>
                <w:szCs w:val="22"/>
              </w:rPr>
            </w:pPr>
          </w:p>
          <w:p w14:paraId="6F46B946" w14:textId="138CFF6D" w:rsidR="003A0DCC" w:rsidRPr="003A0DCC" w:rsidRDefault="003A0DCC" w:rsidP="000F47D7">
            <w:pPr>
              <w:rPr>
                <w:b/>
                <w:bCs/>
                <w:kern w:val="28"/>
                <w:sz w:val="22"/>
                <w:szCs w:val="22"/>
              </w:rPr>
            </w:pPr>
            <w:r w:rsidRPr="003A0DCC">
              <w:rPr>
                <w:b/>
                <w:bCs/>
                <w:kern w:val="28"/>
                <w:sz w:val="22"/>
                <w:szCs w:val="22"/>
              </w:rPr>
              <w:t>Progress met expectation. </w:t>
            </w:r>
          </w:p>
        </w:tc>
      </w:tr>
      <w:tr w:rsidR="00B559E4" w:rsidRPr="003A0DCC" w14:paraId="5A20DF87"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hideMark/>
          </w:tcPr>
          <w:p w14:paraId="4965C10D" w14:textId="6E87F0E4" w:rsidR="003A0DCC" w:rsidRPr="003A0DCC" w:rsidRDefault="003A0DCC" w:rsidP="0041011D">
            <w:pPr>
              <w:rPr>
                <w:kern w:val="28"/>
                <w:sz w:val="22"/>
                <w:szCs w:val="22"/>
              </w:rPr>
            </w:pPr>
            <w:r w:rsidRPr="0041011D">
              <w:rPr>
                <w:b/>
                <w:bCs/>
                <w:kern w:val="28"/>
                <w:sz w:val="22"/>
                <w:szCs w:val="22"/>
              </w:rPr>
              <w:t>Indicator 1.2: </w:t>
            </w:r>
            <w:r w:rsidRPr="003A0DCC">
              <w:rPr>
                <w:kern w:val="28"/>
                <w:sz w:val="22"/>
                <w:szCs w:val="22"/>
              </w:rPr>
              <w:t>Number of users of e-learning modules, online course and platforms created by AIM4Forests </w:t>
            </w:r>
          </w:p>
        </w:tc>
        <w:tc>
          <w:tcPr>
            <w:tcW w:w="2410" w:type="dxa"/>
            <w:tcBorders>
              <w:top w:val="single" w:sz="4" w:space="0" w:color="auto"/>
              <w:left w:val="single" w:sz="4" w:space="0" w:color="auto"/>
              <w:bottom w:val="single" w:sz="4" w:space="0" w:color="auto"/>
              <w:right w:val="single" w:sz="4" w:space="0" w:color="auto"/>
            </w:tcBorders>
            <w:hideMark/>
          </w:tcPr>
          <w:p w14:paraId="5FABE66A" w14:textId="03C62547" w:rsidR="003A0DCC" w:rsidRPr="003A0DCC" w:rsidRDefault="003A0DCC" w:rsidP="000F47D7">
            <w:pPr>
              <w:rPr>
                <w:kern w:val="28"/>
                <w:sz w:val="22"/>
                <w:szCs w:val="22"/>
              </w:rPr>
            </w:pPr>
            <w:r w:rsidRPr="003A0DCC">
              <w:rPr>
                <w:kern w:val="28"/>
                <w:sz w:val="22"/>
                <w:szCs w:val="22"/>
              </w:rPr>
              <w:t>FY2</w:t>
            </w:r>
            <w:r w:rsidR="00734D93">
              <w:rPr>
                <w:kern w:val="28"/>
                <w:sz w:val="22"/>
                <w:szCs w:val="22"/>
              </w:rPr>
              <w:t>5</w:t>
            </w:r>
            <w:r w:rsidRPr="003A0DCC">
              <w:rPr>
                <w:kern w:val="28"/>
                <w:sz w:val="22"/>
                <w:szCs w:val="22"/>
              </w:rPr>
              <w:t>:</w:t>
            </w:r>
            <w:r w:rsidR="00734D93">
              <w:rPr>
                <w:kern w:val="28"/>
                <w:sz w:val="22"/>
                <w:szCs w:val="22"/>
              </w:rPr>
              <w:t xml:space="preserve"> 10,000</w:t>
            </w:r>
          </w:p>
        </w:tc>
        <w:tc>
          <w:tcPr>
            <w:tcW w:w="3067" w:type="dxa"/>
            <w:tcBorders>
              <w:top w:val="single" w:sz="4" w:space="0" w:color="auto"/>
              <w:left w:val="single" w:sz="4" w:space="0" w:color="auto"/>
              <w:bottom w:val="single" w:sz="4" w:space="0" w:color="auto"/>
              <w:right w:val="single" w:sz="4" w:space="0" w:color="auto"/>
            </w:tcBorders>
            <w:hideMark/>
          </w:tcPr>
          <w:p w14:paraId="18B38AB8" w14:textId="77777777" w:rsidR="00D76A92" w:rsidRDefault="003A0DCC" w:rsidP="000F47D7">
            <w:pPr>
              <w:rPr>
                <w:kern w:val="28"/>
                <w:sz w:val="22"/>
                <w:szCs w:val="22"/>
              </w:rPr>
            </w:pPr>
            <w:r w:rsidRPr="003A0DCC">
              <w:rPr>
                <w:kern w:val="28"/>
                <w:sz w:val="22"/>
                <w:szCs w:val="22"/>
              </w:rPr>
              <w:t>FY</w:t>
            </w:r>
            <w:r w:rsidR="000F47D7">
              <w:rPr>
                <w:kern w:val="28"/>
                <w:sz w:val="22"/>
                <w:szCs w:val="22"/>
              </w:rPr>
              <w:t xml:space="preserve">25 </w:t>
            </w:r>
            <w:r w:rsidRPr="003A0DCC">
              <w:rPr>
                <w:kern w:val="28"/>
                <w:sz w:val="22"/>
                <w:szCs w:val="22"/>
              </w:rPr>
              <w:t>Result:</w:t>
            </w:r>
            <w:r w:rsidR="000F47D7">
              <w:rPr>
                <w:kern w:val="28"/>
                <w:sz w:val="22"/>
                <w:szCs w:val="22"/>
              </w:rPr>
              <w:t xml:space="preserve"> </w:t>
            </w:r>
            <w:r w:rsidRPr="003A0DCC">
              <w:rPr>
                <w:kern w:val="28"/>
                <w:sz w:val="22"/>
                <w:szCs w:val="22"/>
              </w:rPr>
              <w:t>1</w:t>
            </w:r>
            <w:r w:rsidR="000F47D7">
              <w:rPr>
                <w:kern w:val="28"/>
                <w:sz w:val="22"/>
                <w:szCs w:val="22"/>
              </w:rPr>
              <w:t>8,807</w:t>
            </w:r>
            <w:r w:rsidRPr="003A0DCC">
              <w:rPr>
                <w:kern w:val="28"/>
                <w:sz w:val="22"/>
                <w:szCs w:val="22"/>
              </w:rPr>
              <w:t>. </w:t>
            </w:r>
          </w:p>
          <w:p w14:paraId="5A4B6B38" w14:textId="77777777" w:rsidR="00D76A92" w:rsidRDefault="00D76A92" w:rsidP="000F47D7">
            <w:pPr>
              <w:rPr>
                <w:kern w:val="28"/>
                <w:sz w:val="22"/>
                <w:szCs w:val="22"/>
              </w:rPr>
            </w:pPr>
          </w:p>
          <w:p w14:paraId="60B3506A" w14:textId="3ADD63D3" w:rsidR="003A0DCC" w:rsidRPr="003A0DCC" w:rsidRDefault="003A0DCC" w:rsidP="000F47D7">
            <w:pPr>
              <w:rPr>
                <w:b/>
                <w:bCs/>
                <w:kern w:val="28"/>
                <w:sz w:val="22"/>
                <w:szCs w:val="22"/>
              </w:rPr>
            </w:pPr>
            <w:r w:rsidRPr="003A0DCC">
              <w:rPr>
                <w:b/>
                <w:bCs/>
                <w:kern w:val="28"/>
                <w:sz w:val="22"/>
                <w:szCs w:val="22"/>
              </w:rPr>
              <w:t>Progress</w:t>
            </w:r>
            <w:r w:rsidR="00AD6102" w:rsidRPr="00D76A92">
              <w:rPr>
                <w:b/>
                <w:bCs/>
                <w:kern w:val="28"/>
                <w:sz w:val="22"/>
                <w:szCs w:val="22"/>
              </w:rPr>
              <w:t xml:space="preserve"> substantially</w:t>
            </w:r>
            <w:r w:rsidRPr="003A0DCC">
              <w:rPr>
                <w:b/>
                <w:bCs/>
                <w:kern w:val="28"/>
                <w:sz w:val="22"/>
                <w:szCs w:val="22"/>
              </w:rPr>
              <w:t> exceeded expectation  </w:t>
            </w:r>
          </w:p>
        </w:tc>
      </w:tr>
      <w:tr w:rsidR="00B559E4" w:rsidRPr="003A0DCC" w14:paraId="4A0C747A"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hideMark/>
          </w:tcPr>
          <w:p w14:paraId="4A4397C3" w14:textId="434BA1FE" w:rsidR="003A0DCC" w:rsidRPr="003A0DCC" w:rsidRDefault="003A0DCC" w:rsidP="0041011D">
            <w:pPr>
              <w:rPr>
                <w:kern w:val="28"/>
                <w:sz w:val="22"/>
                <w:szCs w:val="22"/>
              </w:rPr>
            </w:pPr>
            <w:r w:rsidRPr="0041011D">
              <w:rPr>
                <w:b/>
                <w:bCs/>
                <w:kern w:val="28"/>
                <w:sz w:val="22"/>
                <w:szCs w:val="22"/>
              </w:rPr>
              <w:t>Indicator 1.3:  </w:t>
            </w:r>
            <w:r w:rsidRPr="003A0DCC">
              <w:rPr>
                <w:kern w:val="28"/>
                <w:sz w:val="22"/>
                <w:szCs w:val="22"/>
              </w:rPr>
              <w:t>% of participants at e-learning courses indicating that they (a) acquired new knowledge; (b) they will apply the new knowledge </w:t>
            </w:r>
          </w:p>
        </w:tc>
        <w:tc>
          <w:tcPr>
            <w:tcW w:w="2410" w:type="dxa"/>
            <w:tcBorders>
              <w:top w:val="single" w:sz="4" w:space="0" w:color="auto"/>
              <w:left w:val="single" w:sz="4" w:space="0" w:color="auto"/>
              <w:bottom w:val="single" w:sz="4" w:space="0" w:color="auto"/>
              <w:right w:val="single" w:sz="4" w:space="0" w:color="auto"/>
            </w:tcBorders>
            <w:hideMark/>
          </w:tcPr>
          <w:p w14:paraId="1E21F540" w14:textId="753EC8DB" w:rsidR="003A0DCC" w:rsidRPr="003A0DCC" w:rsidRDefault="003A0DCC" w:rsidP="000F47D7">
            <w:pPr>
              <w:rPr>
                <w:kern w:val="28"/>
                <w:sz w:val="22"/>
                <w:szCs w:val="22"/>
              </w:rPr>
            </w:pPr>
            <w:r w:rsidRPr="003A0DCC">
              <w:rPr>
                <w:kern w:val="28"/>
                <w:sz w:val="22"/>
                <w:szCs w:val="22"/>
              </w:rPr>
              <w:t>FY2</w:t>
            </w:r>
            <w:r w:rsidR="00574257">
              <w:rPr>
                <w:kern w:val="28"/>
                <w:sz w:val="22"/>
                <w:szCs w:val="22"/>
              </w:rPr>
              <w:t>5</w:t>
            </w:r>
            <w:r w:rsidRPr="003A0DCC">
              <w:rPr>
                <w:kern w:val="28"/>
                <w:sz w:val="22"/>
                <w:szCs w:val="22"/>
              </w:rPr>
              <w:t>: (a) 75% </w:t>
            </w:r>
          </w:p>
          <w:p w14:paraId="17CA50D3" w14:textId="77777777" w:rsidR="003A0DCC" w:rsidRPr="003A0DCC" w:rsidRDefault="003A0DCC" w:rsidP="000F47D7">
            <w:pPr>
              <w:rPr>
                <w:kern w:val="28"/>
                <w:sz w:val="22"/>
                <w:szCs w:val="22"/>
              </w:rPr>
            </w:pPr>
            <w:r w:rsidRPr="003A0DCC">
              <w:rPr>
                <w:kern w:val="28"/>
                <w:sz w:val="22"/>
                <w:szCs w:val="22"/>
              </w:rPr>
              <w:t>(b) 75% </w:t>
            </w:r>
          </w:p>
        </w:tc>
        <w:tc>
          <w:tcPr>
            <w:tcW w:w="3067" w:type="dxa"/>
            <w:tcBorders>
              <w:top w:val="single" w:sz="4" w:space="0" w:color="auto"/>
              <w:left w:val="single" w:sz="4" w:space="0" w:color="auto"/>
              <w:bottom w:val="single" w:sz="4" w:space="0" w:color="auto"/>
              <w:right w:val="single" w:sz="4" w:space="0" w:color="auto"/>
            </w:tcBorders>
            <w:hideMark/>
          </w:tcPr>
          <w:p w14:paraId="03B3890A" w14:textId="77777777" w:rsidR="00D76A92" w:rsidRDefault="003A0DCC" w:rsidP="000F47D7">
            <w:pPr>
              <w:rPr>
                <w:kern w:val="28"/>
                <w:sz w:val="22"/>
                <w:szCs w:val="22"/>
              </w:rPr>
            </w:pPr>
            <w:r w:rsidRPr="003A0DCC">
              <w:rPr>
                <w:kern w:val="28"/>
                <w:sz w:val="22"/>
                <w:szCs w:val="22"/>
              </w:rPr>
              <w:t>FY</w:t>
            </w:r>
            <w:r w:rsidR="00CD688D">
              <w:rPr>
                <w:kern w:val="28"/>
                <w:sz w:val="22"/>
                <w:szCs w:val="22"/>
              </w:rPr>
              <w:t xml:space="preserve">25 </w:t>
            </w:r>
            <w:r w:rsidRPr="003A0DCC">
              <w:rPr>
                <w:kern w:val="28"/>
                <w:sz w:val="22"/>
                <w:szCs w:val="22"/>
              </w:rPr>
              <w:t>Result: (a) 9</w:t>
            </w:r>
            <w:r w:rsidR="00AD6102">
              <w:rPr>
                <w:kern w:val="28"/>
                <w:sz w:val="22"/>
                <w:szCs w:val="22"/>
              </w:rPr>
              <w:t>8</w:t>
            </w:r>
            <w:r w:rsidRPr="003A0DCC">
              <w:rPr>
                <w:kern w:val="28"/>
                <w:sz w:val="22"/>
                <w:szCs w:val="22"/>
              </w:rPr>
              <w:t>% (b) 97%. </w:t>
            </w:r>
          </w:p>
          <w:p w14:paraId="36B61288" w14:textId="77777777" w:rsidR="00D76A92" w:rsidRDefault="00D76A92" w:rsidP="000F47D7">
            <w:pPr>
              <w:rPr>
                <w:kern w:val="28"/>
                <w:sz w:val="22"/>
                <w:szCs w:val="22"/>
              </w:rPr>
            </w:pPr>
          </w:p>
          <w:p w14:paraId="478B6773" w14:textId="199CFD82" w:rsidR="003A0DCC" w:rsidRPr="003A0DCC" w:rsidRDefault="003A0DCC" w:rsidP="000F47D7">
            <w:pPr>
              <w:rPr>
                <w:b/>
                <w:bCs/>
                <w:kern w:val="28"/>
                <w:sz w:val="22"/>
                <w:szCs w:val="22"/>
              </w:rPr>
            </w:pPr>
            <w:r w:rsidRPr="003A0DCC">
              <w:rPr>
                <w:b/>
                <w:bCs/>
                <w:kern w:val="28"/>
                <w:sz w:val="22"/>
                <w:szCs w:val="22"/>
              </w:rPr>
              <w:t>Progress substantially exceeded expectation  </w:t>
            </w:r>
          </w:p>
        </w:tc>
      </w:tr>
      <w:tr w:rsidR="00B559E4" w:rsidRPr="003A0DCC" w14:paraId="3004A97B"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tcPr>
          <w:p w14:paraId="7CCA9B2D" w14:textId="0C4DC9F7" w:rsidR="00F41A27" w:rsidRPr="003A0DCC" w:rsidRDefault="00F41A27" w:rsidP="0041011D">
            <w:pPr>
              <w:rPr>
                <w:kern w:val="28"/>
                <w:sz w:val="22"/>
                <w:szCs w:val="22"/>
              </w:rPr>
            </w:pPr>
            <w:r w:rsidRPr="0041011D">
              <w:rPr>
                <w:b/>
                <w:bCs/>
                <w:kern w:val="28"/>
                <w:sz w:val="22"/>
                <w:szCs w:val="22"/>
              </w:rPr>
              <w:t>Indicator 1.</w:t>
            </w:r>
            <w:r w:rsidR="00574257" w:rsidRPr="0041011D">
              <w:rPr>
                <w:b/>
                <w:bCs/>
                <w:kern w:val="28"/>
                <w:sz w:val="22"/>
                <w:szCs w:val="22"/>
              </w:rPr>
              <w:t>4</w:t>
            </w:r>
            <w:r w:rsidRPr="0041011D">
              <w:rPr>
                <w:b/>
                <w:bCs/>
                <w:kern w:val="28"/>
                <w:sz w:val="22"/>
                <w:szCs w:val="22"/>
              </w:rPr>
              <w:t>: </w:t>
            </w:r>
            <w:r w:rsidRPr="003A0DCC">
              <w:rPr>
                <w:kern w:val="28"/>
                <w:sz w:val="22"/>
                <w:szCs w:val="22"/>
              </w:rPr>
              <w:t>Number of emerging technologies, tools and innovative solutions developed/ supported to deployment by AIM4Forests </w:t>
            </w:r>
          </w:p>
        </w:tc>
        <w:tc>
          <w:tcPr>
            <w:tcW w:w="2410" w:type="dxa"/>
            <w:tcBorders>
              <w:top w:val="single" w:sz="4" w:space="0" w:color="auto"/>
              <w:left w:val="single" w:sz="4" w:space="0" w:color="auto"/>
              <w:bottom w:val="single" w:sz="4" w:space="0" w:color="auto"/>
              <w:right w:val="single" w:sz="4" w:space="0" w:color="auto"/>
            </w:tcBorders>
          </w:tcPr>
          <w:p w14:paraId="03B00550" w14:textId="76369A9F" w:rsidR="00F41A27" w:rsidRPr="003A0DCC" w:rsidRDefault="00F41A27" w:rsidP="00F41A27">
            <w:pPr>
              <w:rPr>
                <w:kern w:val="28"/>
                <w:sz w:val="22"/>
                <w:szCs w:val="22"/>
              </w:rPr>
            </w:pPr>
            <w:r w:rsidRPr="003A0DCC">
              <w:rPr>
                <w:kern w:val="28"/>
                <w:sz w:val="22"/>
                <w:szCs w:val="22"/>
              </w:rPr>
              <w:t>FY2</w:t>
            </w:r>
            <w:r w:rsidR="00574257">
              <w:rPr>
                <w:kern w:val="28"/>
                <w:sz w:val="22"/>
                <w:szCs w:val="22"/>
              </w:rPr>
              <w:t>5</w:t>
            </w:r>
            <w:r w:rsidRPr="003A0DCC">
              <w:rPr>
                <w:kern w:val="28"/>
                <w:sz w:val="22"/>
                <w:szCs w:val="22"/>
              </w:rPr>
              <w:t xml:space="preserve">: </w:t>
            </w:r>
            <w:r>
              <w:rPr>
                <w:kern w:val="28"/>
                <w:sz w:val="22"/>
                <w:szCs w:val="22"/>
              </w:rPr>
              <w:t>4</w:t>
            </w:r>
          </w:p>
        </w:tc>
        <w:tc>
          <w:tcPr>
            <w:tcW w:w="3067" w:type="dxa"/>
            <w:tcBorders>
              <w:top w:val="single" w:sz="4" w:space="0" w:color="auto"/>
              <w:left w:val="single" w:sz="4" w:space="0" w:color="auto"/>
              <w:bottom w:val="single" w:sz="4" w:space="0" w:color="auto"/>
              <w:right w:val="single" w:sz="4" w:space="0" w:color="auto"/>
            </w:tcBorders>
          </w:tcPr>
          <w:p w14:paraId="349E82BF" w14:textId="77777777" w:rsidR="00D76A92" w:rsidRDefault="00F41A27" w:rsidP="00F41A27">
            <w:pPr>
              <w:rPr>
                <w:kern w:val="28"/>
                <w:sz w:val="22"/>
                <w:szCs w:val="22"/>
              </w:rPr>
            </w:pPr>
            <w:r w:rsidRPr="003A0DCC">
              <w:rPr>
                <w:kern w:val="28"/>
                <w:sz w:val="22"/>
                <w:szCs w:val="22"/>
              </w:rPr>
              <w:t>FY2</w:t>
            </w:r>
            <w:r w:rsidR="00CD688D">
              <w:rPr>
                <w:kern w:val="28"/>
                <w:sz w:val="22"/>
                <w:szCs w:val="22"/>
              </w:rPr>
              <w:t>5</w:t>
            </w:r>
            <w:r w:rsidRPr="003A0DCC">
              <w:rPr>
                <w:kern w:val="28"/>
                <w:sz w:val="22"/>
                <w:szCs w:val="22"/>
              </w:rPr>
              <w:t xml:space="preserve"> Result: </w:t>
            </w:r>
            <w:r w:rsidR="00574257">
              <w:rPr>
                <w:kern w:val="28"/>
                <w:sz w:val="22"/>
                <w:szCs w:val="22"/>
              </w:rPr>
              <w:t>6</w:t>
            </w:r>
            <w:r w:rsidRPr="003A0DCC">
              <w:rPr>
                <w:kern w:val="28"/>
                <w:sz w:val="22"/>
                <w:szCs w:val="22"/>
              </w:rPr>
              <w:t>. </w:t>
            </w:r>
          </w:p>
          <w:p w14:paraId="75AD1F31" w14:textId="77777777" w:rsidR="00D76A92" w:rsidRDefault="00D76A92" w:rsidP="00F41A27">
            <w:pPr>
              <w:rPr>
                <w:kern w:val="28"/>
                <w:sz w:val="22"/>
                <w:szCs w:val="22"/>
              </w:rPr>
            </w:pPr>
          </w:p>
          <w:p w14:paraId="12C87A33" w14:textId="400AB421" w:rsidR="00F41A27" w:rsidRPr="00D76A92" w:rsidRDefault="00F41A27" w:rsidP="00F41A27">
            <w:pPr>
              <w:rPr>
                <w:b/>
                <w:bCs/>
                <w:kern w:val="28"/>
                <w:sz w:val="22"/>
                <w:szCs w:val="22"/>
              </w:rPr>
            </w:pPr>
            <w:r w:rsidRPr="003A0DCC">
              <w:rPr>
                <w:b/>
                <w:bCs/>
                <w:kern w:val="28"/>
                <w:sz w:val="22"/>
                <w:szCs w:val="22"/>
              </w:rPr>
              <w:t>Progress exceeded expectation.  </w:t>
            </w:r>
          </w:p>
        </w:tc>
      </w:tr>
      <w:tr w:rsidR="00B559E4" w:rsidRPr="003A0DCC" w14:paraId="430D326F"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hideMark/>
          </w:tcPr>
          <w:p w14:paraId="77ED2CA3" w14:textId="0AD6A01E" w:rsidR="00F41A27" w:rsidRPr="003A0DCC" w:rsidRDefault="00F41A27" w:rsidP="0041011D">
            <w:pPr>
              <w:rPr>
                <w:kern w:val="28"/>
                <w:sz w:val="22"/>
                <w:szCs w:val="22"/>
              </w:rPr>
            </w:pPr>
            <w:r w:rsidRPr="0041011D">
              <w:rPr>
                <w:b/>
                <w:bCs/>
                <w:kern w:val="28"/>
                <w:sz w:val="22"/>
                <w:szCs w:val="22"/>
              </w:rPr>
              <w:t>Indicator 1.5:  </w:t>
            </w:r>
            <w:r w:rsidRPr="003A0DCC">
              <w:rPr>
                <w:kern w:val="28"/>
                <w:sz w:val="22"/>
                <w:szCs w:val="22"/>
              </w:rPr>
              <w:t>Number of total users</w:t>
            </w:r>
            <w:r w:rsidR="00574257">
              <w:rPr>
                <w:kern w:val="28"/>
                <w:sz w:val="22"/>
                <w:szCs w:val="22"/>
              </w:rPr>
              <w:t xml:space="preserve"> </w:t>
            </w:r>
            <w:r w:rsidRPr="003A0DCC">
              <w:rPr>
                <w:kern w:val="28"/>
                <w:sz w:val="22"/>
                <w:szCs w:val="22"/>
              </w:rPr>
              <w:t xml:space="preserve">to new </w:t>
            </w:r>
            <w:r w:rsidR="1156B840" w:rsidRPr="003A0DCC">
              <w:rPr>
                <w:kern w:val="28"/>
                <w:sz w:val="22"/>
                <w:szCs w:val="22"/>
              </w:rPr>
              <w:t>t</w:t>
            </w:r>
            <w:r w:rsidRPr="003A0DCC">
              <w:rPr>
                <w:kern w:val="28"/>
                <w:sz w:val="22"/>
                <w:szCs w:val="22"/>
              </w:rPr>
              <w:t>echnologies, tools and innovative solutions </w:t>
            </w:r>
          </w:p>
        </w:tc>
        <w:tc>
          <w:tcPr>
            <w:tcW w:w="2410" w:type="dxa"/>
            <w:tcBorders>
              <w:top w:val="single" w:sz="4" w:space="0" w:color="auto"/>
              <w:left w:val="single" w:sz="4" w:space="0" w:color="auto"/>
              <w:bottom w:val="single" w:sz="4" w:space="0" w:color="auto"/>
              <w:right w:val="single" w:sz="4" w:space="0" w:color="auto"/>
            </w:tcBorders>
            <w:hideMark/>
          </w:tcPr>
          <w:p w14:paraId="60D66DD6" w14:textId="031D5A8B" w:rsidR="00CD688D" w:rsidRPr="003A0DCC" w:rsidRDefault="00F41A27" w:rsidP="00CD688D">
            <w:pPr>
              <w:rPr>
                <w:kern w:val="28"/>
                <w:sz w:val="22"/>
                <w:szCs w:val="22"/>
              </w:rPr>
            </w:pPr>
            <w:r w:rsidRPr="003A0DCC">
              <w:rPr>
                <w:kern w:val="28"/>
                <w:sz w:val="22"/>
                <w:szCs w:val="22"/>
              </w:rPr>
              <w:t>FY2</w:t>
            </w:r>
            <w:r w:rsidR="00574257">
              <w:rPr>
                <w:kern w:val="28"/>
                <w:sz w:val="22"/>
                <w:szCs w:val="22"/>
              </w:rPr>
              <w:t>5</w:t>
            </w:r>
            <w:r w:rsidRPr="003A0DCC">
              <w:rPr>
                <w:kern w:val="28"/>
                <w:sz w:val="22"/>
                <w:szCs w:val="22"/>
              </w:rPr>
              <w:t xml:space="preserve">: </w:t>
            </w:r>
            <w:r w:rsidR="00CD688D">
              <w:rPr>
                <w:kern w:val="28"/>
                <w:sz w:val="22"/>
                <w:szCs w:val="22"/>
              </w:rPr>
              <w:t>400</w:t>
            </w:r>
          </w:p>
          <w:p w14:paraId="1D409811" w14:textId="4671C85D" w:rsidR="00F41A27" w:rsidRPr="003A0DCC" w:rsidRDefault="00F41A27" w:rsidP="00F41A27">
            <w:pPr>
              <w:rPr>
                <w:kern w:val="28"/>
                <w:sz w:val="22"/>
                <w:szCs w:val="22"/>
              </w:rPr>
            </w:pPr>
          </w:p>
        </w:tc>
        <w:tc>
          <w:tcPr>
            <w:tcW w:w="3067" w:type="dxa"/>
            <w:tcBorders>
              <w:top w:val="single" w:sz="4" w:space="0" w:color="auto"/>
              <w:left w:val="single" w:sz="4" w:space="0" w:color="auto"/>
              <w:bottom w:val="single" w:sz="4" w:space="0" w:color="auto"/>
              <w:right w:val="single" w:sz="4" w:space="0" w:color="auto"/>
            </w:tcBorders>
            <w:hideMark/>
          </w:tcPr>
          <w:p w14:paraId="493ACA99" w14:textId="77777777" w:rsidR="00D76A92" w:rsidRDefault="00F41A27" w:rsidP="00F41A27">
            <w:pPr>
              <w:rPr>
                <w:kern w:val="28"/>
                <w:sz w:val="22"/>
                <w:szCs w:val="22"/>
              </w:rPr>
            </w:pPr>
            <w:r w:rsidRPr="003A0DCC">
              <w:rPr>
                <w:kern w:val="28"/>
                <w:sz w:val="22"/>
                <w:szCs w:val="22"/>
              </w:rPr>
              <w:t>FY2</w:t>
            </w:r>
            <w:r w:rsidR="00CD688D">
              <w:rPr>
                <w:kern w:val="28"/>
                <w:sz w:val="22"/>
                <w:szCs w:val="22"/>
              </w:rPr>
              <w:t>5</w:t>
            </w:r>
            <w:r w:rsidRPr="003A0DCC">
              <w:rPr>
                <w:kern w:val="28"/>
                <w:sz w:val="22"/>
                <w:szCs w:val="22"/>
              </w:rPr>
              <w:t xml:space="preserve"> Result: </w:t>
            </w:r>
            <w:r w:rsidR="00CD688D">
              <w:rPr>
                <w:kern w:val="28"/>
                <w:sz w:val="22"/>
                <w:szCs w:val="22"/>
              </w:rPr>
              <w:t xml:space="preserve">6373. </w:t>
            </w:r>
          </w:p>
          <w:p w14:paraId="65FBE2DB" w14:textId="77777777" w:rsidR="00D76A92" w:rsidRDefault="00D76A92" w:rsidP="00F41A27">
            <w:pPr>
              <w:rPr>
                <w:kern w:val="28"/>
                <w:sz w:val="22"/>
                <w:szCs w:val="22"/>
              </w:rPr>
            </w:pPr>
          </w:p>
          <w:p w14:paraId="5216782D" w14:textId="6F7B3DB9" w:rsidR="00F41A27" w:rsidRPr="003A0DCC" w:rsidRDefault="00CD688D" w:rsidP="00F41A27">
            <w:pPr>
              <w:rPr>
                <w:b/>
                <w:bCs/>
                <w:kern w:val="28"/>
                <w:sz w:val="22"/>
                <w:szCs w:val="22"/>
              </w:rPr>
            </w:pPr>
            <w:r w:rsidRPr="00D76A92">
              <w:rPr>
                <w:b/>
                <w:bCs/>
                <w:kern w:val="28"/>
                <w:sz w:val="22"/>
                <w:szCs w:val="22"/>
              </w:rPr>
              <w:t xml:space="preserve">Progress substantially exceeded expectations. </w:t>
            </w:r>
          </w:p>
        </w:tc>
      </w:tr>
      <w:tr w:rsidR="00B559E4" w:rsidRPr="003A0DCC" w14:paraId="55121287"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hideMark/>
          </w:tcPr>
          <w:p w14:paraId="27EE91C5" w14:textId="77777777" w:rsidR="00F41A27" w:rsidRPr="003A0DCC" w:rsidRDefault="00F41A27" w:rsidP="00F41A27">
            <w:pPr>
              <w:rPr>
                <w:kern w:val="28"/>
                <w:sz w:val="22"/>
                <w:szCs w:val="22"/>
              </w:rPr>
            </w:pPr>
            <w:r w:rsidRPr="0041011D">
              <w:rPr>
                <w:b/>
                <w:bCs/>
                <w:kern w:val="28"/>
                <w:sz w:val="22"/>
                <w:szCs w:val="22"/>
              </w:rPr>
              <w:t>Indicator 1.6:</w:t>
            </w:r>
            <w:r w:rsidRPr="003A0DCC">
              <w:rPr>
                <w:kern w:val="28"/>
                <w:sz w:val="22"/>
                <w:szCs w:val="22"/>
              </w:rPr>
              <w:t> Number of AIM4Forests hosted (a) technical meetings/webinars on methodological challenges, (b) publications on methodological challenges </w:t>
            </w:r>
          </w:p>
        </w:tc>
        <w:tc>
          <w:tcPr>
            <w:tcW w:w="2410" w:type="dxa"/>
            <w:tcBorders>
              <w:top w:val="single" w:sz="4" w:space="0" w:color="auto"/>
              <w:left w:val="single" w:sz="4" w:space="0" w:color="auto"/>
              <w:bottom w:val="single" w:sz="4" w:space="0" w:color="auto"/>
              <w:right w:val="single" w:sz="4" w:space="0" w:color="auto"/>
            </w:tcBorders>
            <w:hideMark/>
          </w:tcPr>
          <w:p w14:paraId="065B0C69" w14:textId="3A6A7B3B" w:rsidR="00F41A27" w:rsidRPr="003A0DCC" w:rsidRDefault="00F41A27" w:rsidP="00F41A27">
            <w:pPr>
              <w:rPr>
                <w:kern w:val="28"/>
                <w:sz w:val="22"/>
                <w:szCs w:val="22"/>
              </w:rPr>
            </w:pPr>
            <w:r w:rsidRPr="003A0DCC">
              <w:rPr>
                <w:kern w:val="28"/>
                <w:sz w:val="22"/>
                <w:szCs w:val="22"/>
              </w:rPr>
              <w:t>FY2</w:t>
            </w:r>
            <w:r w:rsidR="00574257">
              <w:rPr>
                <w:kern w:val="28"/>
                <w:sz w:val="22"/>
                <w:szCs w:val="22"/>
              </w:rPr>
              <w:t>5</w:t>
            </w:r>
            <w:r w:rsidRPr="003A0DCC">
              <w:rPr>
                <w:kern w:val="28"/>
                <w:sz w:val="22"/>
                <w:szCs w:val="22"/>
              </w:rPr>
              <w:t xml:space="preserve">: (a) </w:t>
            </w:r>
            <w:r>
              <w:rPr>
                <w:kern w:val="28"/>
                <w:sz w:val="22"/>
                <w:szCs w:val="22"/>
              </w:rPr>
              <w:t>4</w:t>
            </w:r>
            <w:r w:rsidRPr="003A0DCC">
              <w:rPr>
                <w:kern w:val="28"/>
                <w:sz w:val="22"/>
                <w:szCs w:val="22"/>
              </w:rPr>
              <w:t xml:space="preserve"> (b) </w:t>
            </w:r>
            <w:r>
              <w:rPr>
                <w:kern w:val="28"/>
                <w:sz w:val="22"/>
                <w:szCs w:val="22"/>
              </w:rPr>
              <w:t>4</w:t>
            </w:r>
            <w:r w:rsidRPr="003A0DCC">
              <w:rPr>
                <w:kern w:val="28"/>
                <w:sz w:val="22"/>
                <w:szCs w:val="22"/>
              </w:rPr>
              <w:t> </w:t>
            </w:r>
          </w:p>
        </w:tc>
        <w:tc>
          <w:tcPr>
            <w:tcW w:w="3067" w:type="dxa"/>
            <w:tcBorders>
              <w:top w:val="single" w:sz="4" w:space="0" w:color="auto"/>
              <w:left w:val="single" w:sz="4" w:space="0" w:color="auto"/>
              <w:bottom w:val="single" w:sz="4" w:space="0" w:color="auto"/>
              <w:right w:val="single" w:sz="4" w:space="0" w:color="auto"/>
            </w:tcBorders>
            <w:hideMark/>
          </w:tcPr>
          <w:p w14:paraId="6DC13187" w14:textId="77777777" w:rsidR="00D76A92" w:rsidRDefault="00F41A27" w:rsidP="00F41A27">
            <w:pPr>
              <w:rPr>
                <w:kern w:val="28"/>
                <w:sz w:val="22"/>
                <w:szCs w:val="22"/>
              </w:rPr>
            </w:pPr>
            <w:r w:rsidRPr="003A0DCC">
              <w:rPr>
                <w:kern w:val="28"/>
                <w:sz w:val="22"/>
                <w:szCs w:val="22"/>
              </w:rPr>
              <w:t>FY2</w:t>
            </w:r>
            <w:r w:rsidR="00CD688D">
              <w:rPr>
                <w:kern w:val="28"/>
                <w:sz w:val="22"/>
                <w:szCs w:val="22"/>
              </w:rPr>
              <w:t>5</w:t>
            </w:r>
            <w:r w:rsidRPr="003A0DCC">
              <w:rPr>
                <w:kern w:val="28"/>
                <w:sz w:val="22"/>
                <w:szCs w:val="22"/>
              </w:rPr>
              <w:t xml:space="preserve"> Result: (a) </w:t>
            </w:r>
            <w:r w:rsidR="00CD688D">
              <w:rPr>
                <w:kern w:val="28"/>
                <w:sz w:val="22"/>
                <w:szCs w:val="22"/>
              </w:rPr>
              <w:t>11</w:t>
            </w:r>
            <w:r w:rsidRPr="003A0DCC">
              <w:rPr>
                <w:kern w:val="28"/>
                <w:sz w:val="22"/>
                <w:szCs w:val="22"/>
              </w:rPr>
              <w:t xml:space="preserve"> (b) </w:t>
            </w:r>
            <w:r w:rsidR="00CD688D">
              <w:rPr>
                <w:kern w:val="28"/>
                <w:sz w:val="22"/>
                <w:szCs w:val="22"/>
              </w:rPr>
              <w:t>8</w:t>
            </w:r>
            <w:r w:rsidRPr="003A0DCC">
              <w:rPr>
                <w:kern w:val="28"/>
                <w:sz w:val="22"/>
                <w:szCs w:val="22"/>
              </w:rPr>
              <w:t>. </w:t>
            </w:r>
          </w:p>
          <w:p w14:paraId="3FC1C1EA" w14:textId="77777777" w:rsidR="00D76A92" w:rsidRDefault="00D76A92" w:rsidP="00F41A27">
            <w:pPr>
              <w:rPr>
                <w:kern w:val="28"/>
                <w:sz w:val="22"/>
                <w:szCs w:val="22"/>
              </w:rPr>
            </w:pPr>
          </w:p>
          <w:p w14:paraId="6DF7C373" w14:textId="2795FAC3" w:rsidR="00F41A27" w:rsidRPr="003A0DCC" w:rsidRDefault="00F41A27" w:rsidP="00F41A27">
            <w:pPr>
              <w:rPr>
                <w:b/>
                <w:bCs/>
                <w:kern w:val="28"/>
                <w:sz w:val="22"/>
                <w:szCs w:val="22"/>
              </w:rPr>
            </w:pPr>
            <w:r w:rsidRPr="003A0DCC">
              <w:rPr>
                <w:b/>
                <w:bCs/>
                <w:kern w:val="28"/>
                <w:sz w:val="22"/>
                <w:szCs w:val="22"/>
              </w:rPr>
              <w:t xml:space="preserve">Progress </w:t>
            </w:r>
            <w:r w:rsidR="00CD688D" w:rsidRPr="00D76A92">
              <w:rPr>
                <w:b/>
                <w:bCs/>
                <w:kern w:val="28"/>
                <w:sz w:val="22"/>
                <w:szCs w:val="22"/>
              </w:rPr>
              <w:t>substantially exceeded expectations.</w:t>
            </w:r>
            <w:r w:rsidRPr="003A0DCC">
              <w:rPr>
                <w:b/>
                <w:bCs/>
                <w:kern w:val="28"/>
                <w:sz w:val="22"/>
                <w:szCs w:val="22"/>
              </w:rPr>
              <w:t>  </w:t>
            </w:r>
          </w:p>
        </w:tc>
      </w:tr>
      <w:tr w:rsidR="00B559E4" w:rsidRPr="003A0DCC" w14:paraId="103B18BB"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tcPr>
          <w:p w14:paraId="13BB3C08" w14:textId="3CEB0279" w:rsidR="00B769A8" w:rsidRPr="003A0DCC" w:rsidRDefault="00B769A8" w:rsidP="00F41A27">
            <w:pPr>
              <w:rPr>
                <w:kern w:val="28"/>
                <w:sz w:val="22"/>
                <w:szCs w:val="22"/>
              </w:rPr>
            </w:pPr>
            <w:r w:rsidRPr="0041011D">
              <w:rPr>
                <w:b/>
                <w:bCs/>
                <w:kern w:val="28"/>
                <w:sz w:val="22"/>
                <w:szCs w:val="22"/>
              </w:rPr>
              <w:t>[NEW]: Indicator 1.7:</w:t>
            </w:r>
            <w:r>
              <w:rPr>
                <w:kern w:val="28"/>
                <w:sz w:val="22"/>
                <w:szCs w:val="22"/>
              </w:rPr>
              <w:t xml:space="preserve"> Global dataset on nature restoration</w:t>
            </w:r>
          </w:p>
        </w:tc>
        <w:tc>
          <w:tcPr>
            <w:tcW w:w="2410" w:type="dxa"/>
            <w:tcBorders>
              <w:top w:val="single" w:sz="4" w:space="0" w:color="auto"/>
              <w:left w:val="single" w:sz="4" w:space="0" w:color="auto"/>
              <w:bottom w:val="single" w:sz="4" w:space="0" w:color="auto"/>
              <w:right w:val="single" w:sz="4" w:space="0" w:color="auto"/>
            </w:tcBorders>
          </w:tcPr>
          <w:p w14:paraId="10FAB322" w14:textId="0F24FC30" w:rsidR="00B769A8" w:rsidRPr="003A0DCC" w:rsidRDefault="00916E5A" w:rsidP="00F41A27">
            <w:pPr>
              <w:rPr>
                <w:kern w:val="28"/>
                <w:sz w:val="22"/>
                <w:szCs w:val="22"/>
              </w:rPr>
            </w:pPr>
            <w:r>
              <w:rPr>
                <w:kern w:val="28"/>
                <w:sz w:val="22"/>
                <w:szCs w:val="22"/>
              </w:rPr>
              <w:t>FY25: 0</w:t>
            </w:r>
          </w:p>
        </w:tc>
        <w:tc>
          <w:tcPr>
            <w:tcW w:w="3067" w:type="dxa"/>
            <w:tcBorders>
              <w:top w:val="single" w:sz="4" w:space="0" w:color="auto"/>
              <w:left w:val="single" w:sz="4" w:space="0" w:color="auto"/>
              <w:bottom w:val="single" w:sz="4" w:space="0" w:color="auto"/>
              <w:right w:val="single" w:sz="4" w:space="0" w:color="auto"/>
            </w:tcBorders>
          </w:tcPr>
          <w:p w14:paraId="2F17A23A" w14:textId="77777777" w:rsidR="00D76A92" w:rsidRDefault="005E5B46" w:rsidP="00F41A27">
            <w:pPr>
              <w:rPr>
                <w:kern w:val="28"/>
                <w:sz w:val="22"/>
                <w:szCs w:val="22"/>
              </w:rPr>
            </w:pPr>
            <w:r>
              <w:rPr>
                <w:kern w:val="28"/>
                <w:sz w:val="22"/>
                <w:szCs w:val="22"/>
              </w:rPr>
              <w:t xml:space="preserve">FY25 Results: 0. </w:t>
            </w:r>
          </w:p>
          <w:p w14:paraId="69DBA789" w14:textId="77777777" w:rsidR="00D76A92" w:rsidRDefault="00D76A92" w:rsidP="00F41A27">
            <w:pPr>
              <w:rPr>
                <w:kern w:val="28"/>
                <w:sz w:val="22"/>
                <w:szCs w:val="22"/>
              </w:rPr>
            </w:pPr>
          </w:p>
          <w:p w14:paraId="7CB6E9FA" w14:textId="38B744EA" w:rsidR="00B769A8" w:rsidRPr="00D76A92" w:rsidRDefault="005E5B46" w:rsidP="00F41A27">
            <w:pPr>
              <w:rPr>
                <w:b/>
                <w:bCs/>
                <w:kern w:val="28"/>
                <w:sz w:val="22"/>
                <w:szCs w:val="22"/>
              </w:rPr>
            </w:pPr>
            <w:r w:rsidRPr="00D76A92">
              <w:rPr>
                <w:b/>
                <w:bCs/>
                <w:kern w:val="28"/>
                <w:sz w:val="22"/>
                <w:szCs w:val="22"/>
              </w:rPr>
              <w:t>Progress met expectation.</w:t>
            </w:r>
          </w:p>
        </w:tc>
      </w:tr>
      <w:tr w:rsidR="00B559E4" w:rsidRPr="003A0DCC" w14:paraId="5A430171"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tcPr>
          <w:p w14:paraId="10667E73" w14:textId="1E2C0BD9" w:rsidR="00B769A8" w:rsidRDefault="00B769A8" w:rsidP="00F41A27">
            <w:pPr>
              <w:rPr>
                <w:kern w:val="28"/>
                <w:sz w:val="22"/>
                <w:szCs w:val="22"/>
              </w:rPr>
            </w:pPr>
            <w:r w:rsidRPr="0041011D">
              <w:rPr>
                <w:b/>
                <w:bCs/>
                <w:kern w:val="28"/>
                <w:sz w:val="22"/>
                <w:szCs w:val="22"/>
              </w:rPr>
              <w:t>[NEW]: Indicator 1.8:</w:t>
            </w:r>
            <w:r>
              <w:rPr>
                <w:kern w:val="28"/>
                <w:sz w:val="22"/>
                <w:szCs w:val="22"/>
              </w:rPr>
              <w:t xml:space="preserve"> Number of countries involved in co-development of the global dataset on nature restoration through participation in regional workshops</w:t>
            </w:r>
          </w:p>
        </w:tc>
        <w:tc>
          <w:tcPr>
            <w:tcW w:w="2410" w:type="dxa"/>
            <w:tcBorders>
              <w:top w:val="single" w:sz="4" w:space="0" w:color="auto"/>
              <w:left w:val="single" w:sz="4" w:space="0" w:color="auto"/>
              <w:bottom w:val="single" w:sz="4" w:space="0" w:color="auto"/>
              <w:right w:val="single" w:sz="4" w:space="0" w:color="auto"/>
            </w:tcBorders>
          </w:tcPr>
          <w:p w14:paraId="470DBDCB" w14:textId="1D6F7E3A" w:rsidR="00B769A8" w:rsidRPr="003A0DCC" w:rsidRDefault="00916E5A" w:rsidP="00F41A27">
            <w:pPr>
              <w:rPr>
                <w:kern w:val="28"/>
                <w:sz w:val="22"/>
                <w:szCs w:val="22"/>
              </w:rPr>
            </w:pPr>
            <w:r>
              <w:rPr>
                <w:kern w:val="28"/>
                <w:sz w:val="22"/>
                <w:szCs w:val="22"/>
              </w:rPr>
              <w:t>FY25: 20</w:t>
            </w:r>
          </w:p>
        </w:tc>
        <w:tc>
          <w:tcPr>
            <w:tcW w:w="3067" w:type="dxa"/>
            <w:tcBorders>
              <w:top w:val="single" w:sz="4" w:space="0" w:color="auto"/>
              <w:left w:val="single" w:sz="4" w:space="0" w:color="auto"/>
              <w:bottom w:val="single" w:sz="4" w:space="0" w:color="auto"/>
              <w:right w:val="single" w:sz="4" w:space="0" w:color="auto"/>
            </w:tcBorders>
          </w:tcPr>
          <w:p w14:paraId="50597592" w14:textId="77777777" w:rsidR="00D76A92" w:rsidRDefault="005E5B46" w:rsidP="00F41A27">
            <w:pPr>
              <w:rPr>
                <w:kern w:val="28"/>
                <w:sz w:val="22"/>
                <w:szCs w:val="22"/>
              </w:rPr>
            </w:pPr>
            <w:r>
              <w:rPr>
                <w:kern w:val="28"/>
                <w:sz w:val="22"/>
                <w:szCs w:val="22"/>
              </w:rPr>
              <w:t xml:space="preserve">FY25 Result: 29. </w:t>
            </w:r>
          </w:p>
          <w:p w14:paraId="0A0BE3AA" w14:textId="77777777" w:rsidR="00D76A92" w:rsidRDefault="00D76A92" w:rsidP="00F41A27">
            <w:pPr>
              <w:rPr>
                <w:kern w:val="28"/>
                <w:sz w:val="22"/>
                <w:szCs w:val="22"/>
              </w:rPr>
            </w:pPr>
          </w:p>
          <w:p w14:paraId="7537018A" w14:textId="1300355D" w:rsidR="00B769A8" w:rsidRPr="00D76A92" w:rsidRDefault="005E5B46" w:rsidP="00F41A27">
            <w:pPr>
              <w:rPr>
                <w:b/>
                <w:bCs/>
                <w:kern w:val="28"/>
                <w:sz w:val="22"/>
                <w:szCs w:val="22"/>
              </w:rPr>
            </w:pPr>
            <w:r w:rsidRPr="00D76A92">
              <w:rPr>
                <w:b/>
                <w:bCs/>
                <w:kern w:val="28"/>
                <w:sz w:val="22"/>
                <w:szCs w:val="22"/>
              </w:rPr>
              <w:t xml:space="preserve">Progress moderately exceeded expectations. </w:t>
            </w:r>
          </w:p>
        </w:tc>
      </w:tr>
      <w:tr w:rsidR="00B559E4" w:rsidRPr="003A0DCC" w14:paraId="25F5B2E9" w14:textId="77777777" w:rsidTr="0084713E">
        <w:trPr>
          <w:trHeight w:val="300"/>
        </w:trPr>
        <w:tc>
          <w:tcPr>
            <w:tcW w:w="3539" w:type="dxa"/>
            <w:tcBorders>
              <w:top w:val="single" w:sz="4" w:space="0" w:color="auto"/>
              <w:left w:val="single" w:sz="4" w:space="0" w:color="auto"/>
              <w:bottom w:val="single" w:sz="4" w:space="0" w:color="auto"/>
              <w:right w:val="single" w:sz="4" w:space="0" w:color="auto"/>
            </w:tcBorders>
          </w:tcPr>
          <w:p w14:paraId="00474F72" w14:textId="3BEFB3D4" w:rsidR="00B769A8" w:rsidRDefault="00B769A8" w:rsidP="00F41A27">
            <w:pPr>
              <w:rPr>
                <w:kern w:val="28"/>
                <w:sz w:val="22"/>
                <w:szCs w:val="22"/>
              </w:rPr>
            </w:pPr>
            <w:r w:rsidRPr="0041011D">
              <w:rPr>
                <w:b/>
                <w:bCs/>
                <w:kern w:val="28"/>
                <w:sz w:val="22"/>
                <w:szCs w:val="22"/>
              </w:rPr>
              <w:lastRenderedPageBreak/>
              <w:t>[NEW]: Indicator 1.9:</w:t>
            </w:r>
            <w:r>
              <w:rPr>
                <w:kern w:val="28"/>
                <w:sz w:val="22"/>
                <w:szCs w:val="22"/>
              </w:rPr>
              <w:t xml:space="preserve"> Number of countries involved in the co-development of the </w:t>
            </w:r>
            <w:r w:rsidR="002A7D66">
              <w:rPr>
                <w:kern w:val="28"/>
                <w:sz w:val="22"/>
                <w:szCs w:val="22"/>
              </w:rPr>
              <w:t>global dataset on nature restoration which subsequently include nature restoration in the KM-Global Biodiversity Framework reporting in 2026.</w:t>
            </w:r>
          </w:p>
        </w:tc>
        <w:tc>
          <w:tcPr>
            <w:tcW w:w="2410" w:type="dxa"/>
            <w:tcBorders>
              <w:top w:val="single" w:sz="4" w:space="0" w:color="auto"/>
              <w:left w:val="single" w:sz="4" w:space="0" w:color="auto"/>
              <w:bottom w:val="single" w:sz="4" w:space="0" w:color="auto"/>
              <w:right w:val="single" w:sz="4" w:space="0" w:color="auto"/>
            </w:tcBorders>
          </w:tcPr>
          <w:p w14:paraId="4ABF887A" w14:textId="59688E9C" w:rsidR="00B769A8" w:rsidRPr="003A0DCC" w:rsidRDefault="00916E5A" w:rsidP="00F41A27">
            <w:pPr>
              <w:rPr>
                <w:kern w:val="28"/>
                <w:sz w:val="22"/>
                <w:szCs w:val="22"/>
              </w:rPr>
            </w:pPr>
            <w:r>
              <w:rPr>
                <w:kern w:val="28"/>
                <w:sz w:val="22"/>
                <w:szCs w:val="22"/>
              </w:rPr>
              <w:t>FY25: 0</w:t>
            </w:r>
          </w:p>
        </w:tc>
        <w:tc>
          <w:tcPr>
            <w:tcW w:w="3067" w:type="dxa"/>
            <w:tcBorders>
              <w:top w:val="single" w:sz="4" w:space="0" w:color="auto"/>
              <w:left w:val="single" w:sz="4" w:space="0" w:color="auto"/>
              <w:bottom w:val="single" w:sz="4" w:space="0" w:color="auto"/>
              <w:right w:val="single" w:sz="4" w:space="0" w:color="auto"/>
            </w:tcBorders>
          </w:tcPr>
          <w:p w14:paraId="72B4142E" w14:textId="77777777" w:rsidR="0084713E" w:rsidRDefault="005E5B46" w:rsidP="00F41A27">
            <w:pPr>
              <w:rPr>
                <w:kern w:val="28"/>
                <w:sz w:val="22"/>
                <w:szCs w:val="22"/>
              </w:rPr>
            </w:pPr>
            <w:r>
              <w:rPr>
                <w:kern w:val="28"/>
                <w:sz w:val="22"/>
                <w:szCs w:val="22"/>
              </w:rPr>
              <w:t xml:space="preserve">FY25 Results: 0. </w:t>
            </w:r>
          </w:p>
          <w:p w14:paraId="51DF9C8C" w14:textId="77777777" w:rsidR="0084713E" w:rsidRDefault="0084713E" w:rsidP="00F41A27">
            <w:pPr>
              <w:rPr>
                <w:kern w:val="28"/>
                <w:sz w:val="22"/>
                <w:szCs w:val="22"/>
              </w:rPr>
            </w:pPr>
          </w:p>
          <w:p w14:paraId="30E395C7" w14:textId="01771EA7" w:rsidR="00B769A8" w:rsidRPr="0084713E" w:rsidRDefault="005E5B46" w:rsidP="00F41A27">
            <w:pPr>
              <w:rPr>
                <w:b/>
                <w:bCs/>
                <w:kern w:val="28"/>
                <w:sz w:val="22"/>
                <w:szCs w:val="22"/>
              </w:rPr>
            </w:pPr>
            <w:r w:rsidRPr="0084713E">
              <w:rPr>
                <w:b/>
                <w:bCs/>
                <w:kern w:val="28"/>
                <w:sz w:val="22"/>
                <w:szCs w:val="22"/>
              </w:rPr>
              <w:t xml:space="preserve">Progress met expectations. </w:t>
            </w:r>
          </w:p>
        </w:tc>
      </w:tr>
    </w:tbl>
    <w:p w14:paraId="6D86956F" w14:textId="77777777" w:rsidR="003A0DCC" w:rsidRDefault="003A0DCC" w:rsidP="3A221014">
      <w:pPr>
        <w:jc w:val="both"/>
        <w:rPr>
          <w:b/>
          <w:bCs/>
          <w:i/>
          <w:iCs/>
          <w:sz w:val="28"/>
          <w:szCs w:val="28"/>
        </w:rPr>
      </w:pPr>
    </w:p>
    <w:p w14:paraId="14198001" w14:textId="60496AAB" w:rsidR="0080515E" w:rsidRDefault="007238FE" w:rsidP="004D5FD5">
      <w:pPr>
        <w:jc w:val="both"/>
        <w:rPr>
          <w:rFonts w:cs="Arial"/>
          <w:sz w:val="22"/>
          <w:szCs w:val="22"/>
        </w:rPr>
      </w:pPr>
      <w:r>
        <w:rPr>
          <w:rFonts w:cs="Arial"/>
          <w:sz w:val="22"/>
          <w:szCs w:val="22"/>
        </w:rPr>
        <w:t>In all cases, Output 1 indicators have either met or exceeded expectations</w:t>
      </w:r>
      <w:r w:rsidR="00BB6F70">
        <w:rPr>
          <w:rFonts w:cs="Arial"/>
          <w:sz w:val="22"/>
          <w:szCs w:val="22"/>
        </w:rPr>
        <w:t xml:space="preserve"> for progress in 2025</w:t>
      </w:r>
      <w:r w:rsidR="0080515E">
        <w:rPr>
          <w:rFonts w:cs="Arial"/>
          <w:sz w:val="22"/>
          <w:szCs w:val="22"/>
        </w:rPr>
        <w:t>, awarding this year an ‘A+’ in progress on this indicator set</w:t>
      </w:r>
      <w:r>
        <w:rPr>
          <w:rFonts w:cs="Arial"/>
          <w:sz w:val="22"/>
          <w:szCs w:val="22"/>
        </w:rPr>
        <w:t>.</w:t>
      </w:r>
      <w:r w:rsidR="00DF3F6B">
        <w:rPr>
          <w:rFonts w:cs="Arial"/>
          <w:sz w:val="22"/>
          <w:szCs w:val="22"/>
        </w:rPr>
        <w:t xml:space="preserve"> </w:t>
      </w:r>
      <w:r w:rsidR="0097161A">
        <w:rPr>
          <w:rFonts w:cs="Arial"/>
          <w:sz w:val="22"/>
          <w:szCs w:val="22"/>
        </w:rPr>
        <w:t>Risk remains minor.</w:t>
      </w:r>
    </w:p>
    <w:p w14:paraId="75733DAB" w14:textId="77777777" w:rsidR="0080515E" w:rsidRDefault="0080515E" w:rsidP="004D5FD5">
      <w:pPr>
        <w:jc w:val="both"/>
        <w:rPr>
          <w:rFonts w:cs="Arial"/>
          <w:sz w:val="22"/>
          <w:szCs w:val="22"/>
        </w:rPr>
      </w:pPr>
    </w:p>
    <w:p w14:paraId="2B956A99" w14:textId="39604C0E" w:rsidR="004A367B" w:rsidRDefault="0052537E" w:rsidP="004D5FD5">
      <w:pPr>
        <w:jc w:val="both"/>
        <w:rPr>
          <w:rFonts w:cs="Arial"/>
          <w:sz w:val="22"/>
          <w:szCs w:val="22"/>
        </w:rPr>
      </w:pPr>
      <w:r>
        <w:rPr>
          <w:rFonts w:cs="Arial"/>
          <w:sz w:val="22"/>
          <w:szCs w:val="22"/>
        </w:rPr>
        <w:t>Indicators 1.1, 1.2, and 1.3 show that AIM4Forests has achieved two additional</w:t>
      </w:r>
      <w:r w:rsidR="009E78BD">
        <w:rPr>
          <w:rFonts w:cs="Arial"/>
          <w:sz w:val="22"/>
          <w:szCs w:val="22"/>
        </w:rPr>
        <w:t xml:space="preserve"> e-learning / online-courses across the year and these continue to provide new knowledge to a </w:t>
      </w:r>
      <w:r w:rsidR="005D2C1B">
        <w:rPr>
          <w:rFonts w:cs="Arial"/>
          <w:sz w:val="22"/>
          <w:szCs w:val="22"/>
        </w:rPr>
        <w:t>wide-reaching</w:t>
      </w:r>
      <w:r w:rsidR="009E78BD">
        <w:rPr>
          <w:rFonts w:cs="Arial"/>
          <w:sz w:val="22"/>
          <w:szCs w:val="22"/>
        </w:rPr>
        <w:t xml:space="preserve"> audience</w:t>
      </w:r>
      <w:r w:rsidR="004E0E6D">
        <w:rPr>
          <w:rFonts w:cs="Arial"/>
          <w:sz w:val="22"/>
          <w:szCs w:val="22"/>
        </w:rPr>
        <w:t xml:space="preserve">, including an online-facilitated course on </w:t>
      </w:r>
      <w:hyperlink r:id="rId24" w:history="1">
        <w:r w:rsidR="004E0E6D" w:rsidRPr="009D5BC2">
          <w:rPr>
            <w:rStyle w:val="Hyperlink"/>
            <w:rFonts w:cs="Arial"/>
            <w:sz w:val="22"/>
            <w:szCs w:val="22"/>
          </w:rPr>
          <w:t>Institutionalising Forest Data,</w:t>
        </w:r>
      </w:hyperlink>
      <w:r w:rsidR="004E0E6D">
        <w:rPr>
          <w:rFonts w:cs="Arial"/>
          <w:sz w:val="22"/>
          <w:szCs w:val="22"/>
        </w:rPr>
        <w:t xml:space="preserve"> as well as a self-paced course on </w:t>
      </w:r>
      <w:hyperlink r:id="rId25" w:history="1">
        <w:proofErr w:type="spellStart"/>
        <w:r w:rsidR="004E0E6D" w:rsidRPr="003A6CA2">
          <w:rPr>
            <w:rStyle w:val="Hyperlink"/>
            <w:rFonts w:cs="Arial"/>
            <w:sz w:val="22"/>
            <w:szCs w:val="22"/>
          </w:rPr>
          <w:t>OpenForis</w:t>
        </w:r>
        <w:proofErr w:type="spellEnd"/>
        <w:r w:rsidR="004E0E6D" w:rsidRPr="003A6CA2">
          <w:rPr>
            <w:rStyle w:val="Hyperlink"/>
            <w:rFonts w:cs="Arial"/>
            <w:sz w:val="22"/>
            <w:szCs w:val="22"/>
          </w:rPr>
          <w:t xml:space="preserve"> Ground</w:t>
        </w:r>
      </w:hyperlink>
      <w:r w:rsidR="003A6CA2">
        <w:rPr>
          <w:rFonts w:cs="Arial"/>
          <w:sz w:val="22"/>
          <w:szCs w:val="22"/>
        </w:rPr>
        <w:t xml:space="preserve"> to support users better create surveys and georeferenced field data</w:t>
      </w:r>
      <w:r w:rsidR="009E78BD">
        <w:rPr>
          <w:rFonts w:cs="Arial"/>
          <w:sz w:val="22"/>
          <w:szCs w:val="22"/>
        </w:rPr>
        <w:t xml:space="preserve">. </w:t>
      </w:r>
      <w:r w:rsidR="005D2C1B">
        <w:rPr>
          <w:rFonts w:cs="Arial"/>
          <w:sz w:val="22"/>
          <w:szCs w:val="22"/>
        </w:rPr>
        <w:t xml:space="preserve">The cumulative total of </w:t>
      </w:r>
      <w:r w:rsidR="00196813">
        <w:rPr>
          <w:rFonts w:cs="Arial"/>
          <w:sz w:val="22"/>
          <w:szCs w:val="22"/>
        </w:rPr>
        <w:t>users of e-learning modules, online courses and platforms created by AIM4Forests now surpasses expectations with over 18,000 attendees reached</w:t>
      </w:r>
      <w:r w:rsidR="008D4B00">
        <w:rPr>
          <w:rFonts w:cs="Arial"/>
          <w:sz w:val="22"/>
          <w:szCs w:val="22"/>
        </w:rPr>
        <w:t>, which is commendable progress under the programme</w:t>
      </w:r>
      <w:r w:rsidR="00196813">
        <w:rPr>
          <w:rFonts w:cs="Arial"/>
          <w:sz w:val="22"/>
          <w:szCs w:val="22"/>
        </w:rPr>
        <w:t>. It is recommended this indicator be revised upwards.</w:t>
      </w:r>
    </w:p>
    <w:p w14:paraId="7BC7CC34" w14:textId="77777777" w:rsidR="00816681" w:rsidRDefault="00816681" w:rsidP="004D5FD5">
      <w:pPr>
        <w:jc w:val="both"/>
        <w:rPr>
          <w:rFonts w:cs="Arial"/>
          <w:sz w:val="22"/>
          <w:szCs w:val="22"/>
        </w:rPr>
      </w:pPr>
    </w:p>
    <w:p w14:paraId="6E5DA854" w14:textId="2AB1F8BA" w:rsidR="00816681" w:rsidRDefault="00816681" w:rsidP="004D5FD5">
      <w:pPr>
        <w:jc w:val="both"/>
        <w:rPr>
          <w:rFonts w:cs="Arial"/>
          <w:sz w:val="22"/>
          <w:szCs w:val="22"/>
        </w:rPr>
      </w:pPr>
      <w:r>
        <w:rPr>
          <w:rFonts w:cs="Arial"/>
          <w:sz w:val="22"/>
          <w:szCs w:val="22"/>
        </w:rPr>
        <w:t xml:space="preserve">AIM4Forests continued to exceed expectations relating to </w:t>
      </w:r>
      <w:r w:rsidRPr="00816681">
        <w:rPr>
          <w:rFonts w:cs="Arial"/>
          <w:sz w:val="22"/>
          <w:szCs w:val="22"/>
        </w:rPr>
        <w:t>emerging technologies, tools and innovative solutions developed</w:t>
      </w:r>
      <w:r>
        <w:rPr>
          <w:rFonts w:cs="Arial"/>
          <w:sz w:val="22"/>
          <w:szCs w:val="22"/>
        </w:rPr>
        <w:t xml:space="preserve"> (Indicator 1.4) as well as users of these solutions (Indicator 1.5). </w:t>
      </w:r>
      <w:r w:rsidR="007E7869">
        <w:rPr>
          <w:rFonts w:cs="Arial"/>
          <w:sz w:val="22"/>
          <w:szCs w:val="22"/>
        </w:rPr>
        <w:t xml:space="preserve">In 2025, two new </w:t>
      </w:r>
      <w:r w:rsidR="00F56214">
        <w:rPr>
          <w:rFonts w:cs="Arial"/>
          <w:sz w:val="22"/>
          <w:szCs w:val="22"/>
        </w:rPr>
        <w:t>solutions</w:t>
      </w:r>
      <w:r w:rsidR="007E7869">
        <w:rPr>
          <w:rFonts w:cs="Arial"/>
          <w:sz w:val="22"/>
          <w:szCs w:val="22"/>
        </w:rPr>
        <w:t xml:space="preserve"> were developed with AIM4Forests support – the first being an uncertainty analysis tool </w:t>
      </w:r>
      <w:r w:rsidR="008B0993">
        <w:rPr>
          <w:rFonts w:cs="Arial"/>
          <w:sz w:val="22"/>
          <w:szCs w:val="22"/>
        </w:rPr>
        <w:t>– a new Monte Carlo tool ‘</w:t>
      </w:r>
      <w:proofErr w:type="spellStart"/>
      <w:r w:rsidR="008B0993">
        <w:fldChar w:fldCharType="begin"/>
      </w:r>
      <w:r w:rsidR="008B0993">
        <w:instrText>HYPERLINK "https://openknowledge.fao.org/items/10c318e6-c244-4021-b827-f35072caed68"</w:instrText>
      </w:r>
      <w:r w:rsidR="008B0993">
        <w:fldChar w:fldCharType="separate"/>
      </w:r>
      <w:r w:rsidR="008B0993" w:rsidRPr="008B0993">
        <w:rPr>
          <w:rStyle w:val="Hyperlink"/>
          <w:rFonts w:cs="Arial"/>
          <w:sz w:val="22"/>
          <w:szCs w:val="22"/>
        </w:rPr>
        <w:t>mocaredd</w:t>
      </w:r>
      <w:proofErr w:type="spellEnd"/>
      <w:r w:rsidR="008B0993">
        <w:fldChar w:fldCharType="end"/>
      </w:r>
      <w:r w:rsidR="008B0993">
        <w:rPr>
          <w:rFonts w:cs="Arial"/>
          <w:sz w:val="22"/>
          <w:szCs w:val="22"/>
        </w:rPr>
        <w:t>’</w:t>
      </w:r>
      <w:r w:rsidR="00F56214">
        <w:rPr>
          <w:rFonts w:cs="Arial"/>
          <w:sz w:val="22"/>
          <w:szCs w:val="22"/>
        </w:rPr>
        <w:t xml:space="preserve">, and the second being the update of </w:t>
      </w:r>
      <w:hyperlink r:id="rId26" w:history="1">
        <w:r w:rsidR="00F56214" w:rsidRPr="00D76C6A">
          <w:rPr>
            <w:rStyle w:val="Hyperlink"/>
            <w:rFonts w:cs="Arial"/>
            <w:sz w:val="22"/>
            <w:szCs w:val="22"/>
          </w:rPr>
          <w:t>Open Foris Arena 2.0</w:t>
        </w:r>
      </w:hyperlink>
      <w:r w:rsidR="00F56214">
        <w:rPr>
          <w:rFonts w:cs="Arial"/>
          <w:sz w:val="22"/>
          <w:szCs w:val="22"/>
        </w:rPr>
        <w:t>, a free and open-source solution</w:t>
      </w:r>
      <w:r w:rsidR="00D76C6A">
        <w:rPr>
          <w:rFonts w:cs="Arial"/>
          <w:sz w:val="22"/>
          <w:szCs w:val="22"/>
        </w:rPr>
        <w:t xml:space="preserve"> designed for forest surveys, socio-economic surveys and more</w:t>
      </w:r>
      <w:r w:rsidR="00AA5524">
        <w:rPr>
          <w:rFonts w:cs="Arial"/>
          <w:sz w:val="22"/>
          <w:szCs w:val="22"/>
        </w:rPr>
        <w:t xml:space="preserve"> for data management and analysis</w:t>
      </w:r>
      <w:r w:rsidR="00D76C6A">
        <w:rPr>
          <w:rFonts w:cs="Arial"/>
          <w:sz w:val="22"/>
          <w:szCs w:val="22"/>
        </w:rPr>
        <w:t>.</w:t>
      </w:r>
    </w:p>
    <w:p w14:paraId="75996B1F" w14:textId="77777777" w:rsidR="00812107" w:rsidRDefault="00812107" w:rsidP="004D5FD5">
      <w:pPr>
        <w:jc w:val="both"/>
        <w:rPr>
          <w:rFonts w:cs="Arial"/>
          <w:sz w:val="22"/>
          <w:szCs w:val="22"/>
        </w:rPr>
      </w:pPr>
    </w:p>
    <w:p w14:paraId="7E4891AA" w14:textId="7D8A63F6" w:rsidR="00812107" w:rsidRDefault="00812107" w:rsidP="004D5FD5">
      <w:pPr>
        <w:jc w:val="both"/>
        <w:rPr>
          <w:rFonts w:cs="Arial"/>
          <w:sz w:val="22"/>
          <w:szCs w:val="22"/>
        </w:rPr>
      </w:pPr>
      <w:r>
        <w:rPr>
          <w:rFonts w:cs="Arial"/>
          <w:sz w:val="22"/>
          <w:szCs w:val="22"/>
        </w:rPr>
        <w:t>AIM4Forests has excelled through delivering</w:t>
      </w:r>
      <w:r w:rsidR="00B23E08">
        <w:rPr>
          <w:rFonts w:cs="Arial"/>
          <w:sz w:val="22"/>
          <w:szCs w:val="22"/>
        </w:rPr>
        <w:t xml:space="preserve"> on REDD+ MRV</w:t>
      </w:r>
      <w:r w:rsidR="00CA4CB2">
        <w:rPr>
          <w:rFonts w:cs="Arial"/>
          <w:sz w:val="22"/>
          <w:szCs w:val="22"/>
        </w:rPr>
        <w:t xml:space="preserve"> and other</w:t>
      </w:r>
      <w:r w:rsidR="00B23E08">
        <w:rPr>
          <w:rFonts w:cs="Arial"/>
          <w:sz w:val="22"/>
          <w:szCs w:val="22"/>
        </w:rPr>
        <w:t xml:space="preserve"> methodological challenges (Indicator 1.6), with additional publications and technical meetings to support addressing these challenges.</w:t>
      </w:r>
      <w:r w:rsidR="00070E5A">
        <w:rPr>
          <w:rFonts w:cs="Arial"/>
          <w:sz w:val="22"/>
          <w:szCs w:val="22"/>
        </w:rPr>
        <w:t xml:space="preserve"> This has spanned a variety of different topics, including </w:t>
      </w:r>
      <w:r w:rsidR="00270018">
        <w:rPr>
          <w:rFonts w:cs="Arial"/>
          <w:sz w:val="22"/>
          <w:szCs w:val="22"/>
        </w:rPr>
        <w:t>deforestation-risk assessments</w:t>
      </w:r>
      <w:r w:rsidR="00070E5A">
        <w:rPr>
          <w:rFonts w:cs="Arial"/>
          <w:sz w:val="22"/>
          <w:szCs w:val="22"/>
        </w:rPr>
        <w:t xml:space="preserve">, </w:t>
      </w:r>
      <w:r w:rsidR="003039FD">
        <w:rPr>
          <w:rFonts w:cs="Arial"/>
          <w:sz w:val="22"/>
          <w:szCs w:val="22"/>
        </w:rPr>
        <w:t>AI-driven forest growth and climate mitigation strategies</w:t>
      </w:r>
      <w:r w:rsidR="00070E5A">
        <w:rPr>
          <w:rFonts w:cs="Arial"/>
          <w:sz w:val="22"/>
          <w:szCs w:val="22"/>
        </w:rPr>
        <w:t xml:space="preserve">, </w:t>
      </w:r>
      <w:r w:rsidR="003039FD">
        <w:rPr>
          <w:rFonts w:cs="Arial"/>
          <w:sz w:val="22"/>
          <w:szCs w:val="22"/>
        </w:rPr>
        <w:t xml:space="preserve">using </w:t>
      </w:r>
      <w:r w:rsidR="00070E5A">
        <w:rPr>
          <w:rFonts w:cs="Arial"/>
          <w:sz w:val="22"/>
          <w:szCs w:val="22"/>
        </w:rPr>
        <w:t xml:space="preserve">Open Foris Arena, and the </w:t>
      </w:r>
      <w:r w:rsidR="0080515E">
        <w:rPr>
          <w:rFonts w:cs="Arial"/>
          <w:sz w:val="22"/>
          <w:szCs w:val="22"/>
        </w:rPr>
        <w:t xml:space="preserve">wide-reaching </w:t>
      </w:r>
      <w:hyperlink r:id="rId27" w:history="1">
        <w:r w:rsidR="0080515E" w:rsidRPr="003D3ACB">
          <w:rPr>
            <w:rStyle w:val="Hyperlink"/>
            <w:rFonts w:cs="Arial"/>
            <w:sz w:val="22"/>
            <w:szCs w:val="22"/>
          </w:rPr>
          <w:t>GFOI Plenary</w:t>
        </w:r>
      </w:hyperlink>
      <w:r w:rsidR="0080515E">
        <w:rPr>
          <w:rFonts w:cs="Arial"/>
          <w:sz w:val="22"/>
          <w:szCs w:val="22"/>
        </w:rPr>
        <w:t xml:space="preserve"> in October 2025.</w:t>
      </w:r>
      <w:r w:rsidR="009F6BF3">
        <w:rPr>
          <w:rFonts w:cs="Arial"/>
          <w:sz w:val="22"/>
          <w:szCs w:val="22"/>
        </w:rPr>
        <w:t xml:space="preserve"> The GFOI Plenary </w:t>
      </w:r>
      <w:r w:rsidR="009F6BF3" w:rsidRPr="009F6BF3">
        <w:rPr>
          <w:rFonts w:cs="Arial"/>
          <w:sz w:val="22"/>
          <w:szCs w:val="22"/>
        </w:rPr>
        <w:t>focused on how countries can be best supported to leverage their forest monitoring capabilities for greenhouse gas estimation, forest fires, commodities, biodiversity and other forms of forest monitoring.</w:t>
      </w:r>
      <w:r w:rsidR="009F6BF3">
        <w:rPr>
          <w:rFonts w:cs="Arial"/>
          <w:sz w:val="22"/>
          <w:szCs w:val="22"/>
        </w:rPr>
        <w:t xml:space="preserve"> On publications, t</w:t>
      </w:r>
      <w:r w:rsidR="00476190">
        <w:rPr>
          <w:rFonts w:cs="Arial"/>
          <w:sz w:val="22"/>
          <w:szCs w:val="22"/>
        </w:rPr>
        <w:t>hree</w:t>
      </w:r>
      <w:r w:rsidR="009F6BF3">
        <w:rPr>
          <w:rFonts w:cs="Arial"/>
          <w:sz w:val="22"/>
          <w:szCs w:val="22"/>
        </w:rPr>
        <w:t xml:space="preserve"> additional</w:t>
      </w:r>
      <w:r w:rsidR="00476190">
        <w:rPr>
          <w:rFonts w:cs="Arial"/>
          <w:sz w:val="22"/>
          <w:szCs w:val="22"/>
        </w:rPr>
        <w:t xml:space="preserve"> technical publications were published last year, on </w:t>
      </w:r>
      <w:hyperlink r:id="rId28" w:history="1">
        <w:r w:rsidR="00476190" w:rsidRPr="00CA4CB2">
          <w:rPr>
            <w:rStyle w:val="Hyperlink"/>
            <w:rFonts w:cs="Arial"/>
            <w:sz w:val="22"/>
            <w:szCs w:val="22"/>
          </w:rPr>
          <w:t>freshwater restoration</w:t>
        </w:r>
      </w:hyperlink>
      <w:r w:rsidR="00476190">
        <w:rPr>
          <w:rFonts w:cs="Arial"/>
          <w:sz w:val="22"/>
          <w:szCs w:val="22"/>
        </w:rPr>
        <w:t>,</w:t>
      </w:r>
      <w:r w:rsidR="00CA4CB2">
        <w:rPr>
          <w:rFonts w:cs="Arial"/>
          <w:sz w:val="22"/>
          <w:szCs w:val="22"/>
        </w:rPr>
        <w:t xml:space="preserve"> providing guidance on reporting on the restoration of freshwater </w:t>
      </w:r>
      <w:r w:rsidR="0086698C">
        <w:rPr>
          <w:rFonts w:cs="Arial"/>
          <w:sz w:val="22"/>
          <w:szCs w:val="22"/>
        </w:rPr>
        <w:t>to promote better consistent and coherent reporting,</w:t>
      </w:r>
      <w:r w:rsidR="00476190">
        <w:rPr>
          <w:rFonts w:cs="Arial"/>
          <w:sz w:val="22"/>
          <w:szCs w:val="22"/>
        </w:rPr>
        <w:t xml:space="preserve"> </w:t>
      </w:r>
      <w:hyperlink r:id="rId29" w:history="1">
        <w:r w:rsidR="00476190" w:rsidRPr="0086698C">
          <w:rPr>
            <w:rStyle w:val="Hyperlink"/>
            <w:rFonts w:cs="Arial"/>
            <w:sz w:val="22"/>
            <w:szCs w:val="22"/>
          </w:rPr>
          <w:t>bamboo mapping</w:t>
        </w:r>
      </w:hyperlink>
      <w:r w:rsidR="0086698C">
        <w:rPr>
          <w:rFonts w:cs="Arial"/>
          <w:sz w:val="22"/>
          <w:szCs w:val="22"/>
        </w:rPr>
        <w:t>, proposing an approach to large-scale mapping using the SEPAL platform,</w:t>
      </w:r>
      <w:r w:rsidR="00476190">
        <w:rPr>
          <w:rFonts w:cs="Arial"/>
          <w:sz w:val="22"/>
          <w:szCs w:val="22"/>
        </w:rPr>
        <w:t xml:space="preserve"> and </w:t>
      </w:r>
      <w:hyperlink r:id="rId30" w:history="1">
        <w:r w:rsidR="00476190" w:rsidRPr="00F22E24">
          <w:rPr>
            <w:rStyle w:val="Hyperlink"/>
            <w:rFonts w:cs="Arial"/>
            <w:sz w:val="22"/>
            <w:szCs w:val="22"/>
          </w:rPr>
          <w:t xml:space="preserve">forest data </w:t>
        </w:r>
        <w:r w:rsidR="00C82173" w:rsidRPr="00F22E24">
          <w:rPr>
            <w:rStyle w:val="Hyperlink"/>
            <w:rFonts w:cs="Arial"/>
            <w:sz w:val="22"/>
            <w:szCs w:val="22"/>
          </w:rPr>
          <w:t>governance</w:t>
        </w:r>
        <w:r w:rsidR="00947075" w:rsidRPr="00F22E24">
          <w:rPr>
            <w:rStyle w:val="Hyperlink"/>
            <w:rFonts w:cs="Arial"/>
            <w:sz w:val="22"/>
            <w:szCs w:val="22"/>
          </w:rPr>
          <w:t>,</w:t>
        </w:r>
      </w:hyperlink>
      <w:r w:rsidR="00947075">
        <w:rPr>
          <w:rFonts w:cs="Arial"/>
          <w:sz w:val="22"/>
          <w:szCs w:val="22"/>
        </w:rPr>
        <w:t xml:space="preserve"> to explore how countries can </w:t>
      </w:r>
      <w:r w:rsidR="00F22E24">
        <w:rPr>
          <w:rFonts w:cs="Arial"/>
          <w:sz w:val="22"/>
          <w:szCs w:val="22"/>
        </w:rPr>
        <w:t>improve</w:t>
      </w:r>
      <w:r w:rsidR="00947075">
        <w:rPr>
          <w:rFonts w:cs="Arial"/>
          <w:sz w:val="22"/>
          <w:szCs w:val="22"/>
        </w:rPr>
        <w:t xml:space="preserve"> forest data availability, promote collaboration and build trust through open, reliable and inclusive data </w:t>
      </w:r>
      <w:r w:rsidR="00F22E24">
        <w:rPr>
          <w:rFonts w:cs="Arial"/>
          <w:sz w:val="22"/>
          <w:szCs w:val="22"/>
        </w:rPr>
        <w:t>platforms</w:t>
      </w:r>
      <w:r w:rsidR="00947075">
        <w:rPr>
          <w:rFonts w:cs="Arial"/>
          <w:sz w:val="22"/>
          <w:szCs w:val="22"/>
        </w:rPr>
        <w:t xml:space="preserve">. </w:t>
      </w:r>
      <w:r w:rsidR="009F6BF3">
        <w:rPr>
          <w:rFonts w:cs="Arial"/>
          <w:sz w:val="22"/>
          <w:szCs w:val="22"/>
        </w:rPr>
        <w:t xml:space="preserve">This indicator demonstrates well how AIM4Forests is advancing on providing </w:t>
      </w:r>
      <w:r w:rsidR="00F32CCF" w:rsidRPr="00F32CCF">
        <w:rPr>
          <w:rFonts w:cs="Arial"/>
          <w:sz w:val="22"/>
          <w:szCs w:val="22"/>
        </w:rPr>
        <w:t>robust, science</w:t>
      </w:r>
      <w:r w:rsidR="00F32CCF" w:rsidRPr="00F32CCF">
        <w:rPr>
          <w:rFonts w:ascii="Cambria Math" w:hAnsi="Cambria Math" w:cs="Cambria Math"/>
          <w:sz w:val="22"/>
          <w:szCs w:val="22"/>
        </w:rPr>
        <w:t>‑</w:t>
      </w:r>
      <w:r w:rsidR="00F32CCF" w:rsidRPr="00F32CCF">
        <w:rPr>
          <w:rFonts w:cs="Arial"/>
          <w:sz w:val="22"/>
          <w:szCs w:val="22"/>
        </w:rPr>
        <w:t>based solutions that strengthen countr</w:t>
      </w:r>
      <w:r w:rsidR="00F32CCF">
        <w:rPr>
          <w:rFonts w:cs="Arial"/>
          <w:sz w:val="22"/>
          <w:szCs w:val="22"/>
        </w:rPr>
        <w:t>y</w:t>
      </w:r>
      <w:r w:rsidR="00F32CCF" w:rsidRPr="00F32CCF">
        <w:rPr>
          <w:rFonts w:cs="Arial"/>
          <w:sz w:val="22"/>
          <w:szCs w:val="22"/>
        </w:rPr>
        <w:t xml:space="preserve"> readiness to generate high</w:t>
      </w:r>
      <w:r w:rsidR="00F32CCF" w:rsidRPr="00F32CCF">
        <w:rPr>
          <w:rFonts w:ascii="Cambria Math" w:hAnsi="Cambria Math" w:cs="Cambria Math"/>
          <w:sz w:val="22"/>
          <w:szCs w:val="22"/>
        </w:rPr>
        <w:t>‑</w:t>
      </w:r>
      <w:r w:rsidR="00F32CCF" w:rsidRPr="00F32CCF">
        <w:rPr>
          <w:rFonts w:cs="Arial"/>
          <w:sz w:val="22"/>
          <w:szCs w:val="22"/>
        </w:rPr>
        <w:t>integrity forest data and participate effectively in results</w:t>
      </w:r>
      <w:r w:rsidR="00F32CCF" w:rsidRPr="00F32CCF">
        <w:rPr>
          <w:rFonts w:ascii="Cambria Math" w:hAnsi="Cambria Math" w:cs="Cambria Math"/>
          <w:sz w:val="22"/>
          <w:szCs w:val="22"/>
        </w:rPr>
        <w:t>‑</w:t>
      </w:r>
      <w:r w:rsidR="00F32CCF" w:rsidRPr="00F32CCF">
        <w:rPr>
          <w:rFonts w:cs="Arial"/>
          <w:sz w:val="22"/>
          <w:szCs w:val="22"/>
        </w:rPr>
        <w:t>based climate finance</w:t>
      </w:r>
      <w:r w:rsidR="00F32CCF">
        <w:rPr>
          <w:rFonts w:cs="Arial"/>
          <w:sz w:val="22"/>
          <w:szCs w:val="22"/>
        </w:rPr>
        <w:t xml:space="preserve"> and broader forests/nature reporting.</w:t>
      </w:r>
    </w:p>
    <w:p w14:paraId="5131C8ED" w14:textId="7D3E73B3" w:rsidR="007238FE" w:rsidRDefault="007238FE" w:rsidP="004D5FD5">
      <w:pPr>
        <w:jc w:val="both"/>
        <w:rPr>
          <w:rFonts w:cs="Arial"/>
          <w:sz w:val="22"/>
          <w:szCs w:val="22"/>
        </w:rPr>
      </w:pPr>
    </w:p>
    <w:p w14:paraId="59F4A6DC" w14:textId="6FBCCC83" w:rsidR="00DF3F6B" w:rsidRPr="00D80C6C" w:rsidRDefault="007238FE" w:rsidP="004D5FD5">
      <w:pPr>
        <w:jc w:val="both"/>
        <w:rPr>
          <w:rFonts w:cs="Arial"/>
          <w:sz w:val="22"/>
          <w:szCs w:val="22"/>
        </w:rPr>
      </w:pPr>
      <w:r>
        <w:rPr>
          <w:rFonts w:cs="Arial"/>
          <w:sz w:val="22"/>
          <w:szCs w:val="22"/>
        </w:rPr>
        <w:t xml:space="preserve">In 2025, three new indicators were added to this Output set </w:t>
      </w:r>
      <w:r w:rsidR="00921DAB">
        <w:rPr>
          <w:rFonts w:cs="Arial"/>
          <w:sz w:val="22"/>
          <w:szCs w:val="22"/>
        </w:rPr>
        <w:t>–</w:t>
      </w:r>
      <w:r>
        <w:rPr>
          <w:rFonts w:cs="Arial"/>
          <w:sz w:val="22"/>
          <w:szCs w:val="22"/>
        </w:rPr>
        <w:t xml:space="preserve"> </w:t>
      </w:r>
      <w:r w:rsidR="00921DAB">
        <w:rPr>
          <w:rFonts w:cs="Arial"/>
          <w:sz w:val="22"/>
          <w:szCs w:val="22"/>
        </w:rPr>
        <w:t>these relate to monitoring for ecosystem restoration</w:t>
      </w:r>
      <w:r w:rsidR="00DF385E">
        <w:rPr>
          <w:rFonts w:cs="Arial"/>
          <w:sz w:val="22"/>
          <w:szCs w:val="22"/>
        </w:rPr>
        <w:t xml:space="preserve"> and were added following the addition of </w:t>
      </w:r>
      <w:hyperlink r:id="rId31">
        <w:r w:rsidR="60BDCF1D" w:rsidRPr="11E3395A">
          <w:rPr>
            <w:rStyle w:val="Hyperlink"/>
            <w:rFonts w:cs="Arial"/>
            <w:sz w:val="22"/>
            <w:szCs w:val="22"/>
          </w:rPr>
          <w:t>AIM4NatuRE</w:t>
        </w:r>
      </w:hyperlink>
      <w:r w:rsidR="00DF385E">
        <w:rPr>
          <w:rFonts w:cs="Arial"/>
          <w:sz w:val="22"/>
          <w:szCs w:val="22"/>
        </w:rPr>
        <w:t xml:space="preserve"> based on the </w:t>
      </w:r>
      <w:r w:rsidR="00BB6F70">
        <w:rPr>
          <w:rFonts w:cs="Arial"/>
          <w:sz w:val="22"/>
          <w:szCs w:val="22"/>
        </w:rPr>
        <w:t xml:space="preserve">2025 Change Request for the programme. </w:t>
      </w:r>
      <w:r w:rsidR="00610B4C">
        <w:rPr>
          <w:rFonts w:cs="Arial"/>
          <w:sz w:val="22"/>
          <w:szCs w:val="22"/>
        </w:rPr>
        <w:t xml:space="preserve">In the first year of </w:t>
      </w:r>
      <w:r w:rsidR="00BF596F">
        <w:rPr>
          <w:rFonts w:cs="Arial"/>
          <w:sz w:val="22"/>
          <w:szCs w:val="22"/>
        </w:rPr>
        <w:t>its</w:t>
      </w:r>
      <w:r w:rsidR="00610B4C">
        <w:rPr>
          <w:rFonts w:cs="Arial"/>
          <w:sz w:val="22"/>
          <w:szCs w:val="22"/>
        </w:rPr>
        <w:t xml:space="preserve"> implementation, AIM4NatuRE </w:t>
      </w:r>
      <w:r w:rsidR="00DA1562">
        <w:rPr>
          <w:rFonts w:cs="Arial"/>
          <w:sz w:val="22"/>
          <w:szCs w:val="22"/>
        </w:rPr>
        <w:t xml:space="preserve">has typically met or exceeded expectation, and </w:t>
      </w:r>
      <w:r w:rsidR="00610B4C">
        <w:rPr>
          <w:rFonts w:cs="Arial"/>
          <w:sz w:val="22"/>
          <w:szCs w:val="22"/>
        </w:rPr>
        <w:t>has supported 29 countries</w:t>
      </w:r>
      <w:r w:rsidR="005F4346">
        <w:rPr>
          <w:rFonts w:cs="Arial"/>
          <w:sz w:val="22"/>
          <w:szCs w:val="22"/>
        </w:rPr>
        <w:t xml:space="preserve"> to better report under the Convention on Biological Diversity Kun</w:t>
      </w:r>
      <w:r w:rsidR="00CF6DC4">
        <w:rPr>
          <w:rFonts w:cs="Arial"/>
          <w:sz w:val="22"/>
          <w:szCs w:val="22"/>
        </w:rPr>
        <w:t>m</w:t>
      </w:r>
      <w:r w:rsidR="005F4346">
        <w:rPr>
          <w:rFonts w:cs="Arial"/>
          <w:sz w:val="22"/>
          <w:szCs w:val="22"/>
        </w:rPr>
        <w:t>ing</w:t>
      </w:r>
      <w:r w:rsidR="00CF6DC4">
        <w:rPr>
          <w:rFonts w:cs="Arial"/>
          <w:sz w:val="22"/>
          <w:szCs w:val="22"/>
        </w:rPr>
        <w:t>-Montreal</w:t>
      </w:r>
      <w:r w:rsidR="005F4346">
        <w:rPr>
          <w:rFonts w:cs="Arial"/>
          <w:sz w:val="22"/>
          <w:szCs w:val="22"/>
        </w:rPr>
        <w:t xml:space="preserve"> Global Biodiversity Framework and build </w:t>
      </w:r>
      <w:r w:rsidR="001A7C86">
        <w:rPr>
          <w:rFonts w:cs="Arial"/>
          <w:sz w:val="22"/>
          <w:szCs w:val="22"/>
        </w:rPr>
        <w:t>a global dataset on ecosystem restoration</w:t>
      </w:r>
      <w:r w:rsidR="00610B4C">
        <w:rPr>
          <w:rFonts w:cs="Arial"/>
          <w:sz w:val="22"/>
          <w:szCs w:val="22"/>
        </w:rPr>
        <w:t xml:space="preserve"> through </w:t>
      </w:r>
      <w:hyperlink r:id="rId32">
        <w:r w:rsidR="359F8D6B" w:rsidRPr="11E3395A">
          <w:rPr>
            <w:rStyle w:val="Hyperlink"/>
            <w:rFonts w:cs="Arial"/>
            <w:sz w:val="22"/>
            <w:szCs w:val="22"/>
          </w:rPr>
          <w:t>two regional workshops</w:t>
        </w:r>
      </w:hyperlink>
      <w:r w:rsidR="43BB78AD" w:rsidRPr="11E3395A">
        <w:rPr>
          <w:rFonts w:cs="Arial"/>
          <w:sz w:val="22"/>
          <w:szCs w:val="22"/>
        </w:rPr>
        <w:t>.</w:t>
      </w:r>
      <w:r w:rsidR="00DA1562">
        <w:rPr>
          <w:rFonts w:cs="Arial"/>
          <w:sz w:val="22"/>
          <w:szCs w:val="22"/>
        </w:rPr>
        <w:t xml:space="preserve"> This demonstrates the programme’s ability to mobilise quickly and already deliver support through new frameworks</w:t>
      </w:r>
      <w:r w:rsidR="00CF6DC4">
        <w:rPr>
          <w:rFonts w:cs="Arial"/>
          <w:sz w:val="22"/>
          <w:szCs w:val="22"/>
        </w:rPr>
        <w:t>, providing excellent efficiency and value for money</w:t>
      </w:r>
      <w:r w:rsidR="00DA1562">
        <w:rPr>
          <w:rFonts w:cs="Arial"/>
          <w:sz w:val="22"/>
          <w:szCs w:val="22"/>
        </w:rPr>
        <w:t xml:space="preserve">. </w:t>
      </w:r>
    </w:p>
    <w:p w14:paraId="24FB7728" w14:textId="77777777" w:rsidR="0084713E" w:rsidRDefault="0084713E">
      <w:pPr>
        <w:spacing w:after="160" w:line="259" w:lineRule="auto"/>
        <w:rPr>
          <w:b/>
          <w:i/>
          <w:kern w:val="28"/>
        </w:rPr>
      </w:pPr>
      <w:r>
        <w:br w:type="page"/>
      </w:r>
    </w:p>
    <w:p w14:paraId="6F13DE51" w14:textId="0107D823" w:rsidR="004A367B" w:rsidRPr="00594A9D" w:rsidRDefault="004A367B" w:rsidP="00594A9D">
      <w:pPr>
        <w:pStyle w:val="Heading2"/>
        <w:jc w:val="both"/>
        <w:rPr>
          <w:sz w:val="24"/>
          <w:szCs w:val="24"/>
        </w:rPr>
      </w:pPr>
      <w:bookmarkStart w:id="15" w:name="_Toc228283636"/>
      <w:r w:rsidRPr="5302A23D">
        <w:rPr>
          <w:sz w:val="24"/>
          <w:szCs w:val="24"/>
        </w:rPr>
        <w:lastRenderedPageBreak/>
        <w:t xml:space="preserve">Output 2: </w:t>
      </w:r>
      <w:r w:rsidR="00594A9D" w:rsidRPr="5302A23D">
        <w:rPr>
          <w:sz w:val="24"/>
          <w:szCs w:val="24"/>
        </w:rPr>
        <w:t>Forest Communities and Indigenous People are empowered to participate in forest monitoring and MRV for emerging carbon standards through a community of practice</w:t>
      </w:r>
      <w:bookmarkEnd w:id="15"/>
    </w:p>
    <w:p w14:paraId="6614CA3C" w14:textId="77777777" w:rsidR="00691842" w:rsidRPr="00691842" w:rsidRDefault="00691842" w:rsidP="00691842"/>
    <w:tbl>
      <w:tblPr>
        <w:tblStyle w:val="TableGrid"/>
        <w:tblW w:w="9072" w:type="dxa"/>
        <w:tblInd w:w="-5" w:type="dxa"/>
        <w:tblLook w:val="04A0" w:firstRow="1" w:lastRow="0" w:firstColumn="1" w:lastColumn="0" w:noHBand="0" w:noVBand="1"/>
      </w:tblPr>
      <w:tblGrid>
        <w:gridCol w:w="1548"/>
        <w:gridCol w:w="593"/>
        <w:gridCol w:w="1470"/>
        <w:gridCol w:w="2583"/>
        <w:gridCol w:w="2878"/>
      </w:tblGrid>
      <w:tr w:rsidR="009758D6" w:rsidRPr="00D80C6C" w14:paraId="41CE7F22" w14:textId="77777777" w:rsidTr="349C9757">
        <w:trPr>
          <w:trHeight w:val="489"/>
        </w:trPr>
        <w:tc>
          <w:tcPr>
            <w:tcW w:w="154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57EFC7" w14:textId="77777777" w:rsidR="00691842" w:rsidRPr="00D80C6C" w:rsidRDefault="00691842">
            <w:pPr>
              <w:jc w:val="both"/>
              <w:rPr>
                <w:rFonts w:cs="Arial"/>
                <w:b/>
                <w:bCs/>
                <w:sz w:val="22"/>
                <w:szCs w:val="22"/>
              </w:rPr>
            </w:pPr>
            <w:r w:rsidRPr="00D80C6C">
              <w:rPr>
                <w:rFonts w:cs="Arial"/>
                <w:b/>
                <w:bCs/>
                <w:sz w:val="22"/>
                <w:szCs w:val="22"/>
              </w:rPr>
              <w:t xml:space="preserve">Output Title </w:t>
            </w:r>
          </w:p>
        </w:tc>
        <w:tc>
          <w:tcPr>
            <w:tcW w:w="752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968739" w14:textId="68602BDE" w:rsidR="00691842" w:rsidRPr="00ED5FD4" w:rsidRDefault="00693504" w:rsidP="00693504">
            <w:pPr>
              <w:jc w:val="both"/>
              <w:rPr>
                <w:rFonts w:cs="Arial"/>
                <w:bCs/>
                <w:iCs/>
                <w:color w:val="FF0000"/>
                <w:sz w:val="22"/>
                <w:szCs w:val="22"/>
              </w:rPr>
            </w:pPr>
            <w:r w:rsidRPr="00693504">
              <w:rPr>
                <w:rFonts w:cs="Arial"/>
                <w:bCs/>
                <w:iCs/>
                <w:sz w:val="22"/>
                <w:szCs w:val="22"/>
              </w:rPr>
              <w:t>Forest Communities and Indigenous People are empowered to participate in forest monitoring and MRV for emerging carbon standards through a community of practice.</w:t>
            </w:r>
          </w:p>
        </w:tc>
      </w:tr>
      <w:tr w:rsidR="00C430A5" w:rsidRPr="00D80C6C" w14:paraId="1A461D66" w14:textId="77777777" w:rsidTr="349C9757">
        <w:trPr>
          <w:trHeight w:val="347"/>
        </w:trPr>
        <w:tc>
          <w:tcPr>
            <w:tcW w:w="214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9F004B5" w14:textId="77777777" w:rsidR="00691842" w:rsidRPr="00D80C6C" w:rsidRDefault="00691842">
            <w:pPr>
              <w:jc w:val="both"/>
              <w:rPr>
                <w:rFonts w:cs="Arial"/>
                <w:bCs/>
                <w:sz w:val="22"/>
                <w:szCs w:val="22"/>
              </w:rPr>
            </w:pPr>
            <w:r w:rsidRPr="00D80C6C">
              <w:rPr>
                <w:rFonts w:cs="Arial"/>
                <w:bCs/>
                <w:sz w:val="22"/>
                <w:szCs w:val="22"/>
              </w:rPr>
              <w:t xml:space="preserve">Output number: </w:t>
            </w:r>
          </w:p>
        </w:tc>
        <w:tc>
          <w:tcPr>
            <w:tcW w:w="1470" w:type="dxa"/>
            <w:tcBorders>
              <w:top w:val="single" w:sz="4" w:space="0" w:color="auto"/>
              <w:left w:val="single" w:sz="4" w:space="0" w:color="auto"/>
              <w:bottom w:val="single" w:sz="4" w:space="0" w:color="auto"/>
              <w:right w:val="single" w:sz="4" w:space="0" w:color="auto"/>
            </w:tcBorders>
          </w:tcPr>
          <w:p w14:paraId="77F166EC" w14:textId="4B82A170" w:rsidR="00691842" w:rsidRPr="00D80C6C" w:rsidRDefault="00693504">
            <w:pPr>
              <w:jc w:val="both"/>
              <w:rPr>
                <w:rFonts w:cs="Arial"/>
                <w:sz w:val="22"/>
                <w:szCs w:val="22"/>
              </w:rPr>
            </w:pPr>
            <w:r>
              <w:rPr>
                <w:rFonts w:cs="Arial"/>
                <w:sz w:val="22"/>
                <w:szCs w:val="22"/>
              </w:rPr>
              <w:t>2</w:t>
            </w:r>
          </w:p>
        </w:tc>
        <w:tc>
          <w:tcPr>
            <w:tcW w:w="258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3065D68" w14:textId="77777777" w:rsidR="00691842" w:rsidRPr="00D80C6C" w:rsidRDefault="00691842">
            <w:pPr>
              <w:jc w:val="both"/>
              <w:rPr>
                <w:rFonts w:cs="Arial"/>
                <w:sz w:val="22"/>
                <w:szCs w:val="22"/>
              </w:rPr>
            </w:pPr>
            <w:r w:rsidRPr="00D80C6C">
              <w:rPr>
                <w:rFonts w:cs="Arial"/>
                <w:bCs/>
                <w:sz w:val="22"/>
                <w:szCs w:val="22"/>
              </w:rPr>
              <w:t xml:space="preserve">Output Score: </w:t>
            </w:r>
          </w:p>
        </w:tc>
        <w:tc>
          <w:tcPr>
            <w:tcW w:w="2878" w:type="dxa"/>
            <w:tcBorders>
              <w:top w:val="single" w:sz="4" w:space="0" w:color="auto"/>
              <w:left w:val="single" w:sz="4" w:space="0" w:color="auto"/>
              <w:bottom w:val="single" w:sz="4" w:space="0" w:color="auto"/>
              <w:right w:val="single" w:sz="4" w:space="0" w:color="auto"/>
            </w:tcBorders>
          </w:tcPr>
          <w:p w14:paraId="263A0106" w14:textId="097DBFA0" w:rsidR="00691842" w:rsidRPr="00653F03" w:rsidRDefault="00653F03">
            <w:pPr>
              <w:jc w:val="both"/>
              <w:rPr>
                <w:rFonts w:cs="Arial"/>
                <w:iCs/>
                <w:sz w:val="22"/>
                <w:szCs w:val="22"/>
              </w:rPr>
            </w:pPr>
            <w:r w:rsidRPr="00653F03">
              <w:rPr>
                <w:rFonts w:cs="Arial"/>
                <w:iCs/>
                <w:sz w:val="22"/>
                <w:szCs w:val="22"/>
              </w:rPr>
              <w:t>A+</w:t>
            </w:r>
          </w:p>
        </w:tc>
      </w:tr>
      <w:tr w:rsidR="00C430A5" w:rsidRPr="00D80C6C" w14:paraId="08DC1373" w14:textId="77777777" w:rsidTr="349C9757">
        <w:trPr>
          <w:trHeight w:val="345"/>
        </w:trPr>
        <w:tc>
          <w:tcPr>
            <w:tcW w:w="214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E290D9" w14:textId="77777777" w:rsidR="00691842" w:rsidRPr="00D80C6C" w:rsidRDefault="00691842">
            <w:pPr>
              <w:jc w:val="both"/>
              <w:rPr>
                <w:rFonts w:cs="Arial"/>
                <w:sz w:val="22"/>
                <w:szCs w:val="22"/>
              </w:rPr>
            </w:pPr>
            <w:r w:rsidRPr="00D80C6C">
              <w:rPr>
                <w:rFonts w:cs="Arial"/>
                <w:bCs/>
                <w:sz w:val="22"/>
                <w:szCs w:val="22"/>
              </w:rPr>
              <w:t xml:space="preserve">Impact weighting (%):  </w:t>
            </w:r>
          </w:p>
        </w:tc>
        <w:tc>
          <w:tcPr>
            <w:tcW w:w="1470" w:type="dxa"/>
            <w:tcBorders>
              <w:top w:val="single" w:sz="4" w:space="0" w:color="auto"/>
              <w:left w:val="single" w:sz="4" w:space="0" w:color="auto"/>
              <w:bottom w:val="single" w:sz="4" w:space="0" w:color="auto"/>
              <w:right w:val="single" w:sz="4" w:space="0" w:color="auto"/>
            </w:tcBorders>
            <w:hideMark/>
          </w:tcPr>
          <w:p w14:paraId="24DB908D" w14:textId="3660D891" w:rsidR="00691842" w:rsidRPr="00D80C6C" w:rsidRDefault="00693504">
            <w:pPr>
              <w:jc w:val="both"/>
              <w:rPr>
                <w:rFonts w:cs="Arial"/>
                <w:bCs/>
                <w:sz w:val="22"/>
                <w:szCs w:val="22"/>
              </w:rPr>
            </w:pPr>
            <w:r>
              <w:rPr>
                <w:rFonts w:cs="Arial"/>
                <w:bCs/>
                <w:sz w:val="22"/>
                <w:szCs w:val="22"/>
              </w:rPr>
              <w:t>20</w:t>
            </w:r>
          </w:p>
        </w:tc>
        <w:tc>
          <w:tcPr>
            <w:tcW w:w="258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454226" w14:textId="77777777" w:rsidR="00691842" w:rsidRPr="00D80C6C" w:rsidRDefault="00691842">
            <w:pPr>
              <w:jc w:val="both"/>
              <w:rPr>
                <w:rFonts w:cs="Arial"/>
                <w:bCs/>
                <w:sz w:val="22"/>
                <w:szCs w:val="22"/>
              </w:rPr>
            </w:pPr>
            <w:r w:rsidRPr="00D80C6C">
              <w:rPr>
                <w:rFonts w:cs="Arial"/>
                <w:bCs/>
                <w:sz w:val="22"/>
                <w:szCs w:val="22"/>
              </w:rPr>
              <w:t xml:space="preserve">Weighting revised since last AR? </w:t>
            </w:r>
          </w:p>
        </w:tc>
        <w:tc>
          <w:tcPr>
            <w:tcW w:w="2878" w:type="dxa"/>
            <w:tcBorders>
              <w:top w:val="single" w:sz="4" w:space="0" w:color="auto"/>
              <w:left w:val="single" w:sz="4" w:space="0" w:color="auto"/>
              <w:bottom w:val="single" w:sz="4" w:space="0" w:color="auto"/>
              <w:right w:val="single" w:sz="4" w:space="0" w:color="auto"/>
            </w:tcBorders>
          </w:tcPr>
          <w:p w14:paraId="7A0765DF" w14:textId="563BB379" w:rsidR="00691842" w:rsidRPr="00D80C6C" w:rsidRDefault="00227642">
            <w:pPr>
              <w:jc w:val="both"/>
              <w:rPr>
                <w:rFonts w:cs="Arial"/>
                <w:bCs/>
                <w:sz w:val="22"/>
                <w:szCs w:val="22"/>
              </w:rPr>
            </w:pPr>
            <w:r>
              <w:rPr>
                <w:rFonts w:cs="Arial"/>
                <w:bCs/>
                <w:sz w:val="22"/>
                <w:szCs w:val="22"/>
              </w:rPr>
              <w:t>No</w:t>
            </w:r>
          </w:p>
        </w:tc>
      </w:tr>
      <w:tr w:rsidR="00C430A5" w:rsidRPr="00D80C6C" w14:paraId="2D4E6664" w14:textId="77777777" w:rsidTr="349C9757">
        <w:trPr>
          <w:trHeight w:val="345"/>
        </w:trPr>
        <w:tc>
          <w:tcPr>
            <w:tcW w:w="214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E2EAEE" w14:textId="5122F178" w:rsidR="00691842" w:rsidRPr="00D80C6C" w:rsidRDefault="00691842">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1470" w:type="dxa"/>
            <w:tcBorders>
              <w:top w:val="single" w:sz="4" w:space="0" w:color="auto"/>
              <w:left w:val="single" w:sz="4" w:space="0" w:color="auto"/>
              <w:bottom w:val="single" w:sz="4" w:space="0" w:color="auto"/>
              <w:right w:val="single" w:sz="4" w:space="0" w:color="auto"/>
            </w:tcBorders>
          </w:tcPr>
          <w:p w14:paraId="055BA998" w14:textId="67EB6A85" w:rsidR="00691842" w:rsidRPr="00D80C6C" w:rsidRDefault="00693504">
            <w:pPr>
              <w:jc w:val="both"/>
              <w:rPr>
                <w:rFonts w:cs="Arial"/>
                <w:bCs/>
                <w:sz w:val="22"/>
                <w:szCs w:val="22"/>
              </w:rPr>
            </w:pPr>
            <w:r>
              <w:rPr>
                <w:rFonts w:cs="Arial"/>
                <w:bCs/>
                <w:sz w:val="22"/>
                <w:szCs w:val="22"/>
              </w:rPr>
              <w:t>Moderate</w:t>
            </w:r>
          </w:p>
        </w:tc>
        <w:tc>
          <w:tcPr>
            <w:tcW w:w="25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85ECE2" w14:textId="77777777" w:rsidR="00691842" w:rsidRPr="00D80C6C" w:rsidRDefault="00691842">
            <w:pPr>
              <w:jc w:val="both"/>
              <w:rPr>
                <w:rFonts w:cs="Arial"/>
                <w:bCs/>
                <w:sz w:val="22"/>
                <w:szCs w:val="22"/>
              </w:rPr>
            </w:pPr>
            <w:r w:rsidRPr="00D80C6C">
              <w:rPr>
                <w:rFonts w:cs="Arial"/>
                <w:bCs/>
                <w:sz w:val="22"/>
                <w:szCs w:val="22"/>
              </w:rPr>
              <w:t>Risk revised since last AR?</w:t>
            </w:r>
          </w:p>
        </w:tc>
        <w:tc>
          <w:tcPr>
            <w:tcW w:w="2878" w:type="dxa"/>
            <w:tcBorders>
              <w:top w:val="single" w:sz="4" w:space="0" w:color="auto"/>
              <w:left w:val="single" w:sz="4" w:space="0" w:color="auto"/>
              <w:bottom w:val="single" w:sz="4" w:space="0" w:color="auto"/>
              <w:right w:val="single" w:sz="4" w:space="0" w:color="auto"/>
            </w:tcBorders>
          </w:tcPr>
          <w:p w14:paraId="34DD6A93" w14:textId="544FB251" w:rsidR="00691842" w:rsidRPr="00D80C6C" w:rsidRDefault="00693504">
            <w:pPr>
              <w:jc w:val="both"/>
              <w:rPr>
                <w:rFonts w:cs="Arial"/>
                <w:bCs/>
                <w:sz w:val="22"/>
                <w:szCs w:val="22"/>
              </w:rPr>
            </w:pPr>
            <w:r>
              <w:rPr>
                <w:rFonts w:cs="Arial"/>
                <w:bCs/>
                <w:sz w:val="22"/>
                <w:szCs w:val="22"/>
              </w:rPr>
              <w:t>No</w:t>
            </w:r>
          </w:p>
        </w:tc>
      </w:tr>
    </w:tbl>
    <w:p w14:paraId="7B86E4F7" w14:textId="5B81F296" w:rsidR="00C42751" w:rsidRPr="00D80C6C" w:rsidRDefault="00C42751" w:rsidP="00691842">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397"/>
        <w:gridCol w:w="2268"/>
        <w:gridCol w:w="3402"/>
      </w:tblGrid>
      <w:tr w:rsidR="0014270C" w:rsidRPr="00D80C6C" w14:paraId="72BA5779" w14:textId="77777777" w:rsidTr="00226001">
        <w:trPr>
          <w:trHeight w:val="273"/>
        </w:trPr>
        <w:tc>
          <w:tcPr>
            <w:tcW w:w="339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749DF7" w14:textId="77777777" w:rsidR="00691842" w:rsidRPr="00D80C6C" w:rsidRDefault="00691842">
            <w:pPr>
              <w:jc w:val="both"/>
              <w:rPr>
                <w:rFonts w:cs="Arial"/>
                <w:b/>
                <w:bCs/>
                <w:sz w:val="22"/>
                <w:szCs w:val="22"/>
              </w:rPr>
            </w:pPr>
            <w:r w:rsidRPr="00D80C6C">
              <w:rPr>
                <w:rFonts w:cs="Arial"/>
                <w:b/>
                <w:bCs/>
                <w:sz w:val="22"/>
                <w:szCs w:val="22"/>
              </w:rPr>
              <w:t>Indicator(s)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DCC454" w14:textId="77777777" w:rsidR="00691842" w:rsidRPr="00D80C6C" w:rsidRDefault="00691842">
            <w:pPr>
              <w:jc w:val="both"/>
              <w:rPr>
                <w:rFonts w:cs="Arial"/>
                <w:b/>
                <w:bCs/>
                <w:sz w:val="22"/>
                <w:szCs w:val="22"/>
              </w:rPr>
            </w:pPr>
            <w:r w:rsidRPr="00D80C6C">
              <w:rPr>
                <w:rFonts w:cs="Arial"/>
                <w:b/>
                <w:bCs/>
                <w:sz w:val="22"/>
                <w:szCs w:val="22"/>
              </w:rPr>
              <w:t>Milestone(s) for this review</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4649BD1" w14:textId="77777777" w:rsidR="00691842" w:rsidRPr="00D80C6C" w:rsidRDefault="00691842">
            <w:pPr>
              <w:jc w:val="both"/>
              <w:rPr>
                <w:rFonts w:cs="Arial"/>
                <w:b/>
                <w:bCs/>
                <w:sz w:val="22"/>
                <w:szCs w:val="22"/>
              </w:rPr>
            </w:pPr>
            <w:r w:rsidRPr="00D80C6C">
              <w:rPr>
                <w:rFonts w:cs="Arial"/>
                <w:b/>
                <w:bCs/>
                <w:sz w:val="22"/>
                <w:szCs w:val="22"/>
              </w:rPr>
              <w:t xml:space="preserve">Progress </w:t>
            </w:r>
          </w:p>
        </w:tc>
      </w:tr>
      <w:tr w:rsidR="0014270C" w:rsidRPr="00D80C6C" w14:paraId="1A9B1DC3" w14:textId="77777777" w:rsidTr="00226001">
        <w:tc>
          <w:tcPr>
            <w:tcW w:w="3397" w:type="dxa"/>
            <w:tcBorders>
              <w:top w:val="single" w:sz="4" w:space="0" w:color="auto"/>
              <w:left w:val="single" w:sz="4" w:space="0" w:color="auto"/>
              <w:bottom w:val="single" w:sz="4" w:space="0" w:color="auto"/>
              <w:right w:val="single" w:sz="4" w:space="0" w:color="auto"/>
            </w:tcBorders>
          </w:tcPr>
          <w:p w14:paraId="723E8C6D" w14:textId="77777777" w:rsidR="00071275" w:rsidRPr="00B80616" w:rsidRDefault="00071275" w:rsidP="00156F55">
            <w:pPr>
              <w:pStyle w:val="paragraph"/>
              <w:spacing w:before="0" w:beforeAutospacing="0" w:after="0" w:afterAutospacing="0"/>
              <w:ind w:right="-90"/>
              <w:textAlignment w:val="baseline"/>
              <w:rPr>
                <w:rFonts w:ascii="Segoe UI" w:hAnsi="Segoe UI" w:cs="Segoe UI"/>
                <w:sz w:val="22"/>
                <w:szCs w:val="22"/>
              </w:rPr>
            </w:pPr>
            <w:r w:rsidRPr="00B80616">
              <w:rPr>
                <w:rStyle w:val="normaltextrun"/>
                <w:rFonts w:ascii="Arial" w:hAnsi="Arial" w:cs="Arial"/>
                <w:b/>
                <w:bCs/>
                <w:sz w:val="22"/>
                <w:szCs w:val="22"/>
              </w:rPr>
              <w:t>Indicator 2.1:</w:t>
            </w:r>
            <w:r w:rsidRPr="00B80616">
              <w:rPr>
                <w:rStyle w:val="eop"/>
                <w:rFonts w:cs="Arial"/>
                <w:sz w:val="22"/>
                <w:szCs w:val="22"/>
              </w:rPr>
              <w:t> </w:t>
            </w:r>
          </w:p>
          <w:p w14:paraId="71BA9FC9" w14:textId="16A1D3FD" w:rsidR="00071275" w:rsidRPr="00B80616" w:rsidRDefault="00156F55" w:rsidP="00156F55">
            <w:pPr>
              <w:rPr>
                <w:rFonts w:cs="Arial"/>
                <w:bCs/>
                <w:iCs/>
                <w:sz w:val="22"/>
                <w:szCs w:val="22"/>
              </w:rPr>
            </w:pPr>
            <w:r w:rsidRPr="00B80616">
              <w:rPr>
                <w:rStyle w:val="normaltextrun"/>
                <w:rFonts w:cs="Arial"/>
                <w:sz w:val="22"/>
                <w:szCs w:val="22"/>
              </w:rPr>
              <w:t>Number of (a) events showcasing IPLC stewardship; (b) IP-led community of practice events</w:t>
            </w:r>
          </w:p>
        </w:tc>
        <w:tc>
          <w:tcPr>
            <w:tcW w:w="2268" w:type="dxa"/>
            <w:tcBorders>
              <w:top w:val="single" w:sz="4" w:space="0" w:color="auto"/>
              <w:left w:val="single" w:sz="4" w:space="0" w:color="auto"/>
              <w:bottom w:val="single" w:sz="4" w:space="0" w:color="auto"/>
              <w:right w:val="single" w:sz="4" w:space="0" w:color="auto"/>
            </w:tcBorders>
          </w:tcPr>
          <w:p w14:paraId="1F90D257" w14:textId="62488BDC" w:rsidR="00071275" w:rsidRPr="00B80616" w:rsidRDefault="00071275" w:rsidP="00156F55">
            <w:pPr>
              <w:rPr>
                <w:rFonts w:cs="Arial"/>
                <w:bCs/>
                <w:iCs/>
                <w:sz w:val="22"/>
                <w:szCs w:val="22"/>
              </w:rPr>
            </w:pPr>
            <w:r w:rsidRPr="00B80616">
              <w:rPr>
                <w:rStyle w:val="normaltextrun"/>
                <w:rFonts w:cs="Arial"/>
                <w:sz w:val="22"/>
                <w:szCs w:val="22"/>
              </w:rPr>
              <w:t>FY2</w:t>
            </w:r>
            <w:r w:rsidR="00226001" w:rsidRPr="00B80616">
              <w:rPr>
                <w:rStyle w:val="normaltextrun"/>
                <w:rFonts w:cs="Arial"/>
                <w:sz w:val="22"/>
                <w:szCs w:val="22"/>
              </w:rPr>
              <w:t>5</w:t>
            </w:r>
            <w:r w:rsidRPr="00B80616">
              <w:rPr>
                <w:rStyle w:val="normaltextrun"/>
                <w:rFonts w:cs="Arial"/>
                <w:sz w:val="22"/>
                <w:szCs w:val="22"/>
              </w:rPr>
              <w:t xml:space="preserve">: (a) </w:t>
            </w:r>
            <w:r w:rsidR="00226001" w:rsidRPr="00B80616">
              <w:rPr>
                <w:rStyle w:val="normaltextrun"/>
                <w:rFonts w:cs="Arial"/>
                <w:sz w:val="22"/>
                <w:szCs w:val="22"/>
              </w:rPr>
              <w:t>3; (b) 4</w:t>
            </w:r>
          </w:p>
        </w:tc>
        <w:tc>
          <w:tcPr>
            <w:tcW w:w="3402" w:type="dxa"/>
            <w:tcBorders>
              <w:top w:val="single" w:sz="4" w:space="0" w:color="auto"/>
              <w:left w:val="single" w:sz="4" w:space="0" w:color="auto"/>
              <w:bottom w:val="single" w:sz="4" w:space="0" w:color="auto"/>
              <w:right w:val="single" w:sz="4" w:space="0" w:color="auto"/>
            </w:tcBorders>
          </w:tcPr>
          <w:p w14:paraId="2B79ED5B" w14:textId="77777777" w:rsidR="00D76A92" w:rsidRDefault="00AD4AFE" w:rsidP="00156F55">
            <w:pPr>
              <w:contextualSpacing/>
              <w:rPr>
                <w:rFonts w:cs="Arial"/>
                <w:bCs/>
                <w:iCs/>
                <w:sz w:val="22"/>
                <w:szCs w:val="22"/>
              </w:rPr>
            </w:pPr>
            <w:r>
              <w:rPr>
                <w:rFonts w:cs="Arial"/>
                <w:bCs/>
                <w:iCs/>
                <w:sz w:val="22"/>
                <w:szCs w:val="22"/>
              </w:rPr>
              <w:t xml:space="preserve">FY25 Result: (a) 6; (b) 4. </w:t>
            </w:r>
          </w:p>
          <w:p w14:paraId="729EA16C" w14:textId="77777777" w:rsidR="00D76A92" w:rsidRDefault="00D76A92" w:rsidP="00156F55">
            <w:pPr>
              <w:contextualSpacing/>
              <w:rPr>
                <w:rFonts w:cs="Arial"/>
                <w:b/>
                <w:iCs/>
                <w:sz w:val="22"/>
                <w:szCs w:val="22"/>
              </w:rPr>
            </w:pPr>
          </w:p>
          <w:p w14:paraId="1C0583B9" w14:textId="5A5147B6" w:rsidR="00071275" w:rsidRPr="00B80616" w:rsidRDefault="00AD4AFE" w:rsidP="00156F55">
            <w:pPr>
              <w:contextualSpacing/>
              <w:rPr>
                <w:rFonts w:cs="Arial"/>
                <w:bCs/>
                <w:iCs/>
                <w:sz w:val="22"/>
                <w:szCs w:val="22"/>
              </w:rPr>
            </w:pPr>
            <w:r w:rsidRPr="00F57CE0">
              <w:rPr>
                <w:rFonts w:cs="Arial"/>
                <w:b/>
                <w:iCs/>
                <w:sz w:val="22"/>
                <w:szCs w:val="22"/>
              </w:rPr>
              <w:t>Progress exceeded</w:t>
            </w:r>
            <w:r w:rsidR="00005640">
              <w:rPr>
                <w:rFonts w:cs="Arial"/>
                <w:b/>
                <w:iCs/>
                <w:sz w:val="22"/>
                <w:szCs w:val="22"/>
              </w:rPr>
              <w:t xml:space="preserve">/met </w:t>
            </w:r>
            <w:r w:rsidRPr="00F57CE0">
              <w:rPr>
                <w:rFonts w:cs="Arial"/>
                <w:b/>
                <w:iCs/>
                <w:sz w:val="22"/>
                <w:szCs w:val="22"/>
              </w:rPr>
              <w:t>expectations</w:t>
            </w:r>
            <w:r w:rsidR="00F57CE0" w:rsidRPr="00F57CE0">
              <w:rPr>
                <w:rFonts w:cs="Arial"/>
                <w:b/>
                <w:iCs/>
                <w:sz w:val="22"/>
                <w:szCs w:val="22"/>
              </w:rPr>
              <w:t>.</w:t>
            </w:r>
          </w:p>
        </w:tc>
      </w:tr>
      <w:tr w:rsidR="0014270C" w:rsidRPr="00D80C6C" w14:paraId="6F627DFA" w14:textId="77777777" w:rsidTr="00226001">
        <w:tc>
          <w:tcPr>
            <w:tcW w:w="3397" w:type="dxa"/>
            <w:tcBorders>
              <w:top w:val="single" w:sz="4" w:space="0" w:color="auto"/>
              <w:left w:val="single" w:sz="4" w:space="0" w:color="auto"/>
              <w:bottom w:val="single" w:sz="4" w:space="0" w:color="auto"/>
              <w:right w:val="single" w:sz="4" w:space="0" w:color="auto"/>
            </w:tcBorders>
          </w:tcPr>
          <w:p w14:paraId="6950684B" w14:textId="77777777" w:rsidR="00071275" w:rsidRPr="00B80616" w:rsidRDefault="00071275" w:rsidP="00156F55">
            <w:pPr>
              <w:pStyle w:val="paragraph"/>
              <w:spacing w:before="0" w:beforeAutospacing="0" w:after="0" w:afterAutospacing="0"/>
              <w:textAlignment w:val="baseline"/>
              <w:rPr>
                <w:rFonts w:ascii="Segoe UI" w:hAnsi="Segoe UI" w:cs="Segoe UI"/>
                <w:sz w:val="22"/>
                <w:szCs w:val="22"/>
              </w:rPr>
            </w:pPr>
            <w:r w:rsidRPr="00B80616">
              <w:rPr>
                <w:rStyle w:val="normaltextrun"/>
                <w:rFonts w:ascii="Arial" w:hAnsi="Arial" w:cs="Arial"/>
                <w:b/>
                <w:bCs/>
                <w:sz w:val="22"/>
                <w:szCs w:val="22"/>
              </w:rPr>
              <w:t>Indicator 2.2: </w:t>
            </w:r>
            <w:r w:rsidRPr="00B80616">
              <w:rPr>
                <w:rStyle w:val="eop"/>
                <w:rFonts w:cs="Arial"/>
                <w:sz w:val="22"/>
                <w:szCs w:val="22"/>
              </w:rPr>
              <w:t> </w:t>
            </w:r>
          </w:p>
          <w:p w14:paraId="4BD1753E" w14:textId="20DD8537" w:rsidR="00071275" w:rsidRPr="00B80616" w:rsidRDefault="00647712" w:rsidP="00156F55">
            <w:pPr>
              <w:rPr>
                <w:rFonts w:cs="Arial"/>
                <w:bCs/>
                <w:iCs/>
                <w:sz w:val="22"/>
                <w:szCs w:val="22"/>
              </w:rPr>
            </w:pPr>
            <w:r w:rsidRPr="00B80616">
              <w:rPr>
                <w:rStyle w:val="normaltextrun"/>
                <w:rFonts w:cs="Arial"/>
                <w:sz w:val="22"/>
                <w:szCs w:val="22"/>
              </w:rPr>
              <w:t>Number of attendees at IP-led community of practice events and training events, specifically (a) the total number of attendees; and (b) % of women attendees; and (c) the number of countries represented</w:t>
            </w:r>
          </w:p>
        </w:tc>
        <w:tc>
          <w:tcPr>
            <w:tcW w:w="2268" w:type="dxa"/>
            <w:tcBorders>
              <w:top w:val="single" w:sz="4" w:space="0" w:color="auto"/>
              <w:left w:val="single" w:sz="4" w:space="0" w:color="auto"/>
              <w:bottom w:val="single" w:sz="4" w:space="0" w:color="auto"/>
              <w:right w:val="single" w:sz="4" w:space="0" w:color="auto"/>
            </w:tcBorders>
          </w:tcPr>
          <w:p w14:paraId="3D8B963A" w14:textId="46127288" w:rsidR="00071275" w:rsidRPr="00B80616" w:rsidRDefault="00226001" w:rsidP="00156F55">
            <w:pPr>
              <w:rPr>
                <w:rFonts w:cs="Arial"/>
                <w:bCs/>
                <w:iCs/>
                <w:sz w:val="22"/>
                <w:szCs w:val="22"/>
              </w:rPr>
            </w:pPr>
            <w:r w:rsidRPr="00B80616">
              <w:rPr>
                <w:rStyle w:val="normaltextrun"/>
                <w:sz w:val="22"/>
                <w:szCs w:val="22"/>
              </w:rPr>
              <w:t>FY25: (a) 40; (b) 50%; (c) 8</w:t>
            </w:r>
            <w:r w:rsidR="00071275" w:rsidRPr="00B80616">
              <w:rPr>
                <w:rStyle w:val="eop"/>
                <w:rFonts w:cs="Arial"/>
                <w:sz w:val="22"/>
                <w:szCs w:val="22"/>
              </w:rPr>
              <w:t> </w:t>
            </w:r>
          </w:p>
        </w:tc>
        <w:tc>
          <w:tcPr>
            <w:tcW w:w="3402" w:type="dxa"/>
            <w:tcBorders>
              <w:top w:val="single" w:sz="4" w:space="0" w:color="auto"/>
              <w:left w:val="single" w:sz="4" w:space="0" w:color="auto"/>
              <w:bottom w:val="single" w:sz="4" w:space="0" w:color="auto"/>
              <w:right w:val="single" w:sz="4" w:space="0" w:color="auto"/>
            </w:tcBorders>
          </w:tcPr>
          <w:p w14:paraId="6AAFF10A" w14:textId="77777777" w:rsidR="00071275" w:rsidRDefault="00F57CE0" w:rsidP="00156F55">
            <w:pPr>
              <w:contextualSpacing/>
              <w:rPr>
                <w:rFonts w:cs="Arial"/>
                <w:bCs/>
                <w:iCs/>
                <w:sz w:val="22"/>
                <w:szCs w:val="22"/>
              </w:rPr>
            </w:pPr>
            <w:r>
              <w:rPr>
                <w:rFonts w:cs="Arial"/>
                <w:bCs/>
                <w:iCs/>
                <w:sz w:val="22"/>
                <w:szCs w:val="22"/>
              </w:rPr>
              <w:t>FY25 Result: (a) 165; (b) 31%; (c) 21</w:t>
            </w:r>
          </w:p>
          <w:p w14:paraId="00CDFC76" w14:textId="77777777" w:rsidR="00D76A92" w:rsidRDefault="00D76A92" w:rsidP="00156F55">
            <w:pPr>
              <w:contextualSpacing/>
              <w:rPr>
                <w:rFonts w:cs="Arial"/>
                <w:b/>
                <w:iCs/>
                <w:sz w:val="22"/>
                <w:szCs w:val="22"/>
              </w:rPr>
            </w:pPr>
          </w:p>
          <w:p w14:paraId="2F0F0C95" w14:textId="73B35701" w:rsidR="00D76A92" w:rsidRPr="00B80616" w:rsidRDefault="00D76A92" w:rsidP="00156F55">
            <w:pPr>
              <w:contextualSpacing/>
              <w:rPr>
                <w:rFonts w:cs="Arial"/>
                <w:bCs/>
                <w:iCs/>
                <w:sz w:val="22"/>
                <w:szCs w:val="22"/>
              </w:rPr>
            </w:pPr>
            <w:r w:rsidRPr="00D76A92">
              <w:rPr>
                <w:rFonts w:cs="Arial"/>
                <w:b/>
                <w:iCs/>
                <w:sz w:val="22"/>
                <w:szCs w:val="22"/>
              </w:rPr>
              <w:t>Progress exceeded expectations</w:t>
            </w:r>
            <w:r w:rsidR="008D4B00" w:rsidRPr="008D4B00">
              <w:rPr>
                <w:rFonts w:cs="Arial"/>
                <w:bCs/>
                <w:iCs/>
                <w:sz w:val="22"/>
                <w:szCs w:val="22"/>
              </w:rPr>
              <w:t xml:space="preserve"> on number of attendees and countries represented</w:t>
            </w:r>
            <w:r>
              <w:rPr>
                <w:rFonts w:cs="Arial"/>
                <w:bCs/>
                <w:iCs/>
                <w:sz w:val="22"/>
                <w:szCs w:val="22"/>
              </w:rPr>
              <w:t xml:space="preserve"> (but </w:t>
            </w:r>
            <w:r w:rsidRPr="00D76A92">
              <w:rPr>
                <w:rFonts w:cs="Arial"/>
                <w:b/>
                <w:iCs/>
                <w:sz w:val="22"/>
                <w:szCs w:val="22"/>
              </w:rPr>
              <w:t xml:space="preserve">did not meet expectations </w:t>
            </w:r>
            <w:r>
              <w:rPr>
                <w:rFonts w:cs="Arial"/>
                <w:bCs/>
                <w:iCs/>
                <w:sz w:val="22"/>
                <w:szCs w:val="22"/>
              </w:rPr>
              <w:t>on % of women attendees).</w:t>
            </w:r>
          </w:p>
        </w:tc>
      </w:tr>
      <w:tr w:rsidR="0014270C" w:rsidRPr="00D80C6C" w14:paraId="62ED6BD9" w14:textId="77777777" w:rsidTr="00226001">
        <w:tc>
          <w:tcPr>
            <w:tcW w:w="3397" w:type="dxa"/>
            <w:tcBorders>
              <w:top w:val="single" w:sz="4" w:space="0" w:color="auto"/>
              <w:left w:val="single" w:sz="4" w:space="0" w:color="auto"/>
              <w:bottom w:val="single" w:sz="4" w:space="0" w:color="auto"/>
              <w:right w:val="single" w:sz="4" w:space="0" w:color="auto"/>
            </w:tcBorders>
          </w:tcPr>
          <w:p w14:paraId="0D555E89" w14:textId="77777777" w:rsidR="00071275" w:rsidRPr="00B80616" w:rsidRDefault="00071275" w:rsidP="00156F55">
            <w:pPr>
              <w:pStyle w:val="paragraph"/>
              <w:spacing w:before="0" w:beforeAutospacing="0" w:after="0" w:afterAutospacing="0"/>
              <w:textAlignment w:val="baseline"/>
              <w:rPr>
                <w:rFonts w:ascii="Segoe UI" w:hAnsi="Segoe UI" w:cs="Segoe UI"/>
                <w:sz w:val="22"/>
                <w:szCs w:val="22"/>
              </w:rPr>
            </w:pPr>
            <w:r w:rsidRPr="00B80616">
              <w:rPr>
                <w:rStyle w:val="normaltextrun"/>
                <w:rFonts w:ascii="Arial" w:hAnsi="Arial" w:cs="Arial"/>
                <w:b/>
                <w:bCs/>
                <w:sz w:val="22"/>
                <w:szCs w:val="22"/>
              </w:rPr>
              <w:t>Indicator 2.3:</w:t>
            </w:r>
            <w:r w:rsidRPr="00B80616">
              <w:rPr>
                <w:rStyle w:val="eop"/>
                <w:rFonts w:cs="Arial"/>
                <w:sz w:val="22"/>
                <w:szCs w:val="22"/>
              </w:rPr>
              <w:t> </w:t>
            </w:r>
          </w:p>
          <w:p w14:paraId="643136A2" w14:textId="7C55D42C" w:rsidR="00071275" w:rsidRPr="00B80616" w:rsidRDefault="00647712" w:rsidP="00156F55">
            <w:pPr>
              <w:rPr>
                <w:rFonts w:cs="Arial"/>
                <w:bCs/>
                <w:iCs/>
                <w:sz w:val="22"/>
                <w:szCs w:val="22"/>
              </w:rPr>
            </w:pPr>
            <w:r w:rsidRPr="00B80616">
              <w:rPr>
                <w:rStyle w:val="normaltextrun"/>
                <w:rFonts w:cs="Arial"/>
                <w:sz w:val="22"/>
                <w:szCs w:val="22"/>
              </w:rPr>
              <w:t>IP-led community of practice events and training events leading to knowledge growth, specifically: (a) percentage of participants indicating they acquired new knowledge; (b) percentage of participants indicating they will apply the new knowledge; and (c) indication from periodic surveys of growing technical knowledge on forest monitoring and MRV.</w:t>
            </w:r>
          </w:p>
        </w:tc>
        <w:tc>
          <w:tcPr>
            <w:tcW w:w="2268" w:type="dxa"/>
            <w:tcBorders>
              <w:top w:val="single" w:sz="4" w:space="0" w:color="auto"/>
              <w:left w:val="single" w:sz="4" w:space="0" w:color="auto"/>
              <w:bottom w:val="single" w:sz="4" w:space="0" w:color="auto"/>
              <w:right w:val="single" w:sz="4" w:space="0" w:color="auto"/>
            </w:tcBorders>
          </w:tcPr>
          <w:p w14:paraId="4F09C37C" w14:textId="3396538E" w:rsidR="00071275" w:rsidRPr="00B80616" w:rsidRDefault="00071275" w:rsidP="00156F55">
            <w:pPr>
              <w:rPr>
                <w:rFonts w:cs="Arial"/>
                <w:bCs/>
                <w:iCs/>
                <w:sz w:val="22"/>
                <w:szCs w:val="22"/>
              </w:rPr>
            </w:pPr>
            <w:r w:rsidRPr="00B80616">
              <w:rPr>
                <w:rStyle w:val="normaltextrun"/>
                <w:rFonts w:cs="Arial"/>
                <w:sz w:val="22"/>
                <w:szCs w:val="22"/>
              </w:rPr>
              <w:t>FY2</w:t>
            </w:r>
            <w:r w:rsidR="00B80616" w:rsidRPr="00B80616">
              <w:rPr>
                <w:rStyle w:val="normaltextrun"/>
                <w:rFonts w:cs="Arial"/>
                <w:sz w:val="22"/>
                <w:szCs w:val="22"/>
              </w:rPr>
              <w:t>5: (a) 75%; (b) 75%; (c) Yes</w:t>
            </w:r>
          </w:p>
        </w:tc>
        <w:tc>
          <w:tcPr>
            <w:tcW w:w="3402" w:type="dxa"/>
            <w:tcBorders>
              <w:top w:val="single" w:sz="4" w:space="0" w:color="auto"/>
              <w:left w:val="single" w:sz="4" w:space="0" w:color="auto"/>
              <w:bottom w:val="single" w:sz="4" w:space="0" w:color="auto"/>
              <w:right w:val="single" w:sz="4" w:space="0" w:color="auto"/>
            </w:tcBorders>
          </w:tcPr>
          <w:p w14:paraId="4AB4134E" w14:textId="77777777" w:rsidR="00D76A92" w:rsidRDefault="00D76A92" w:rsidP="00D76A92">
            <w:pPr>
              <w:rPr>
                <w:rFonts w:cs="Arial"/>
                <w:bCs/>
                <w:iCs/>
                <w:sz w:val="22"/>
                <w:szCs w:val="22"/>
              </w:rPr>
            </w:pPr>
            <w:r>
              <w:rPr>
                <w:rFonts w:cs="Arial"/>
                <w:bCs/>
                <w:iCs/>
                <w:sz w:val="22"/>
                <w:szCs w:val="22"/>
              </w:rPr>
              <w:t xml:space="preserve">FY25 Result: (a) 100%; (b) 100%; (c) Yes. </w:t>
            </w:r>
          </w:p>
          <w:p w14:paraId="2F096811" w14:textId="77777777" w:rsidR="00D76A92" w:rsidRDefault="00D76A92" w:rsidP="00D76A92">
            <w:pPr>
              <w:rPr>
                <w:rFonts w:cs="Arial"/>
                <w:bCs/>
                <w:iCs/>
                <w:sz w:val="22"/>
                <w:szCs w:val="22"/>
              </w:rPr>
            </w:pPr>
          </w:p>
          <w:p w14:paraId="449D55B2" w14:textId="2B829726" w:rsidR="00071275" w:rsidRPr="00D76A92" w:rsidRDefault="00D76A92" w:rsidP="00D76A92">
            <w:pPr>
              <w:rPr>
                <w:rFonts w:cs="Arial"/>
                <w:bCs/>
                <w:iCs/>
                <w:sz w:val="22"/>
                <w:szCs w:val="22"/>
              </w:rPr>
            </w:pPr>
            <w:r w:rsidRPr="00D76A92">
              <w:rPr>
                <w:rFonts w:cs="Arial"/>
                <w:b/>
                <w:iCs/>
                <w:sz w:val="22"/>
                <w:szCs w:val="22"/>
              </w:rPr>
              <w:t xml:space="preserve">Progress </w:t>
            </w:r>
            <w:r>
              <w:rPr>
                <w:rFonts w:cs="Arial"/>
                <w:b/>
                <w:iCs/>
                <w:sz w:val="22"/>
                <w:szCs w:val="22"/>
              </w:rPr>
              <w:t xml:space="preserve">substantially </w:t>
            </w:r>
            <w:r w:rsidRPr="00D76A92">
              <w:rPr>
                <w:rFonts w:cs="Arial"/>
                <w:b/>
                <w:iCs/>
                <w:sz w:val="22"/>
                <w:szCs w:val="22"/>
              </w:rPr>
              <w:t>exceeded expectations</w:t>
            </w:r>
            <w:r>
              <w:rPr>
                <w:rFonts w:cs="Arial"/>
                <w:bCs/>
                <w:iCs/>
                <w:sz w:val="22"/>
                <w:szCs w:val="22"/>
              </w:rPr>
              <w:t xml:space="preserve">. </w:t>
            </w:r>
          </w:p>
        </w:tc>
      </w:tr>
      <w:tr w:rsidR="0014270C" w:rsidRPr="00D80C6C" w14:paraId="63D8A3F6" w14:textId="77777777" w:rsidTr="00226001">
        <w:tc>
          <w:tcPr>
            <w:tcW w:w="3397" w:type="dxa"/>
            <w:tcBorders>
              <w:top w:val="single" w:sz="4" w:space="0" w:color="auto"/>
              <w:left w:val="single" w:sz="4" w:space="0" w:color="auto"/>
              <w:bottom w:val="single" w:sz="4" w:space="0" w:color="auto"/>
              <w:right w:val="single" w:sz="4" w:space="0" w:color="auto"/>
            </w:tcBorders>
          </w:tcPr>
          <w:p w14:paraId="279F425E" w14:textId="74EF7BF6" w:rsidR="00071275" w:rsidRPr="00B80616" w:rsidRDefault="0041011D" w:rsidP="00156F55">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b/>
                <w:bCs/>
                <w:sz w:val="22"/>
                <w:szCs w:val="22"/>
              </w:rPr>
              <w:t xml:space="preserve">[NEW] </w:t>
            </w:r>
            <w:r w:rsidR="00071275" w:rsidRPr="00B80616">
              <w:rPr>
                <w:rStyle w:val="normaltextrun"/>
                <w:rFonts w:ascii="Arial" w:hAnsi="Arial" w:cs="Arial"/>
                <w:b/>
                <w:bCs/>
                <w:sz w:val="22"/>
                <w:szCs w:val="22"/>
              </w:rPr>
              <w:t>Indicator 2.4: </w:t>
            </w:r>
            <w:r w:rsidR="00071275" w:rsidRPr="00B80616">
              <w:rPr>
                <w:rStyle w:val="eop"/>
                <w:rFonts w:cs="Arial"/>
                <w:sz w:val="22"/>
                <w:szCs w:val="22"/>
              </w:rPr>
              <w:t> </w:t>
            </w:r>
          </w:p>
          <w:p w14:paraId="31DB816B" w14:textId="52FBDCBB" w:rsidR="00071275" w:rsidRPr="00B80616" w:rsidRDefault="00226001" w:rsidP="00156F55">
            <w:pPr>
              <w:rPr>
                <w:rFonts w:cs="Arial"/>
                <w:bCs/>
                <w:iCs/>
                <w:sz w:val="22"/>
                <w:szCs w:val="22"/>
              </w:rPr>
            </w:pPr>
            <w:r w:rsidRPr="00B80616">
              <w:rPr>
                <w:rStyle w:val="normaltextrun"/>
                <w:rFonts w:cs="Arial"/>
                <w:sz w:val="22"/>
                <w:szCs w:val="22"/>
              </w:rPr>
              <w:t>Integration of IP&amp;LC land indicators in international reporting frameworks.</w:t>
            </w:r>
          </w:p>
        </w:tc>
        <w:tc>
          <w:tcPr>
            <w:tcW w:w="2268" w:type="dxa"/>
            <w:tcBorders>
              <w:top w:val="single" w:sz="4" w:space="0" w:color="auto"/>
              <w:left w:val="single" w:sz="4" w:space="0" w:color="auto"/>
              <w:bottom w:val="single" w:sz="4" w:space="0" w:color="auto"/>
              <w:right w:val="single" w:sz="4" w:space="0" w:color="auto"/>
            </w:tcBorders>
          </w:tcPr>
          <w:p w14:paraId="4D00C302" w14:textId="33956722" w:rsidR="00071275" w:rsidRPr="00B80616" w:rsidRDefault="00071275" w:rsidP="00156F55">
            <w:pPr>
              <w:rPr>
                <w:rFonts w:cs="Arial"/>
                <w:bCs/>
                <w:iCs/>
                <w:sz w:val="22"/>
                <w:szCs w:val="22"/>
              </w:rPr>
            </w:pPr>
            <w:r w:rsidRPr="00B80616">
              <w:rPr>
                <w:rStyle w:val="normaltextrun"/>
                <w:rFonts w:cs="Arial"/>
                <w:sz w:val="22"/>
                <w:szCs w:val="22"/>
              </w:rPr>
              <w:t>FY2</w:t>
            </w:r>
            <w:r w:rsidR="00B80616" w:rsidRPr="00B80616">
              <w:rPr>
                <w:rStyle w:val="normaltextrun"/>
                <w:rFonts w:cs="Arial"/>
                <w:sz w:val="22"/>
                <w:szCs w:val="22"/>
              </w:rPr>
              <w:t>5: 1</w:t>
            </w:r>
          </w:p>
        </w:tc>
        <w:tc>
          <w:tcPr>
            <w:tcW w:w="3402" w:type="dxa"/>
            <w:tcBorders>
              <w:top w:val="single" w:sz="4" w:space="0" w:color="auto"/>
              <w:left w:val="single" w:sz="4" w:space="0" w:color="auto"/>
              <w:bottom w:val="single" w:sz="4" w:space="0" w:color="auto"/>
              <w:right w:val="single" w:sz="4" w:space="0" w:color="auto"/>
            </w:tcBorders>
          </w:tcPr>
          <w:p w14:paraId="78789FDA" w14:textId="77777777" w:rsidR="00071275" w:rsidRDefault="0031510A" w:rsidP="00156F55">
            <w:pPr>
              <w:contextualSpacing/>
              <w:rPr>
                <w:rFonts w:cs="Arial"/>
                <w:bCs/>
                <w:iCs/>
                <w:sz w:val="22"/>
                <w:szCs w:val="22"/>
              </w:rPr>
            </w:pPr>
            <w:r>
              <w:rPr>
                <w:rFonts w:cs="Arial"/>
                <w:bCs/>
                <w:iCs/>
                <w:sz w:val="22"/>
                <w:szCs w:val="22"/>
              </w:rPr>
              <w:t>FY25 Result: 1</w:t>
            </w:r>
          </w:p>
          <w:p w14:paraId="0638BBDF" w14:textId="77777777" w:rsidR="0031510A" w:rsidRDefault="0031510A" w:rsidP="00156F55">
            <w:pPr>
              <w:contextualSpacing/>
              <w:rPr>
                <w:rFonts w:cs="Arial"/>
                <w:bCs/>
                <w:iCs/>
                <w:sz w:val="22"/>
                <w:szCs w:val="22"/>
              </w:rPr>
            </w:pPr>
          </w:p>
          <w:p w14:paraId="3145F51A" w14:textId="04738059" w:rsidR="0031510A" w:rsidRPr="0031510A" w:rsidRDefault="0031510A" w:rsidP="00156F55">
            <w:pPr>
              <w:contextualSpacing/>
              <w:rPr>
                <w:rFonts w:cs="Arial"/>
                <w:b/>
                <w:iCs/>
                <w:sz w:val="22"/>
                <w:szCs w:val="22"/>
              </w:rPr>
            </w:pPr>
            <w:r w:rsidRPr="0031510A">
              <w:rPr>
                <w:rFonts w:cs="Arial"/>
                <w:b/>
                <w:iCs/>
                <w:sz w:val="22"/>
                <w:szCs w:val="22"/>
              </w:rPr>
              <w:t>Progress met expectation</w:t>
            </w:r>
          </w:p>
        </w:tc>
      </w:tr>
      <w:tr w:rsidR="0014270C" w:rsidRPr="00D80C6C" w14:paraId="6E692575" w14:textId="77777777" w:rsidTr="00226001">
        <w:tc>
          <w:tcPr>
            <w:tcW w:w="3397" w:type="dxa"/>
            <w:tcBorders>
              <w:top w:val="single" w:sz="4" w:space="0" w:color="auto"/>
              <w:left w:val="single" w:sz="4" w:space="0" w:color="auto"/>
              <w:bottom w:val="single" w:sz="4" w:space="0" w:color="auto"/>
              <w:right w:val="single" w:sz="4" w:space="0" w:color="auto"/>
            </w:tcBorders>
          </w:tcPr>
          <w:p w14:paraId="1DDB5446" w14:textId="1651E061" w:rsidR="00071275" w:rsidRPr="00B80616" w:rsidRDefault="00071275" w:rsidP="00156F55">
            <w:pPr>
              <w:pStyle w:val="paragraph"/>
              <w:spacing w:before="0" w:beforeAutospacing="0" w:after="0" w:afterAutospacing="0"/>
              <w:textAlignment w:val="baseline"/>
              <w:rPr>
                <w:rFonts w:ascii="Segoe UI" w:hAnsi="Segoe UI" w:cs="Segoe UI"/>
                <w:sz w:val="22"/>
                <w:szCs w:val="22"/>
              </w:rPr>
            </w:pPr>
            <w:r w:rsidRPr="00B80616">
              <w:rPr>
                <w:rStyle w:val="normaltextrun"/>
                <w:rFonts w:ascii="Arial" w:hAnsi="Arial" w:cs="Arial"/>
                <w:b/>
                <w:bCs/>
                <w:sz w:val="22"/>
                <w:szCs w:val="22"/>
              </w:rPr>
              <w:t>Indicator 2.5:</w:t>
            </w:r>
            <w:r w:rsidRPr="00B80616">
              <w:rPr>
                <w:rStyle w:val="eop"/>
                <w:rFonts w:cs="Arial"/>
                <w:sz w:val="22"/>
                <w:szCs w:val="22"/>
              </w:rPr>
              <w:t> </w:t>
            </w:r>
          </w:p>
          <w:p w14:paraId="15C8A7D1" w14:textId="023CB296" w:rsidR="00071275" w:rsidRPr="00B80616" w:rsidRDefault="00071275" w:rsidP="00156F55">
            <w:pPr>
              <w:rPr>
                <w:rFonts w:cs="Arial"/>
                <w:bCs/>
                <w:iCs/>
                <w:sz w:val="22"/>
                <w:szCs w:val="22"/>
              </w:rPr>
            </w:pPr>
            <w:r w:rsidRPr="00B80616">
              <w:rPr>
                <w:rStyle w:val="normaltextrun"/>
                <w:rFonts w:cs="Arial"/>
                <w:sz w:val="22"/>
                <w:szCs w:val="22"/>
              </w:rPr>
              <w:t>Assessment on "to what extent is AIM4Forests contributing to enhancing the role of IP&amp;LC within national forest monitoring systems and forest mitigation efforts in target countries?"</w:t>
            </w:r>
            <w:r w:rsidRPr="00B80616">
              <w:rPr>
                <w:rStyle w:val="eop"/>
                <w:rFonts w:cs="Arial"/>
                <w:sz w:val="22"/>
                <w:szCs w:val="22"/>
              </w:rPr>
              <w:t> </w:t>
            </w:r>
          </w:p>
        </w:tc>
        <w:tc>
          <w:tcPr>
            <w:tcW w:w="2268" w:type="dxa"/>
            <w:tcBorders>
              <w:top w:val="single" w:sz="4" w:space="0" w:color="auto"/>
              <w:left w:val="single" w:sz="4" w:space="0" w:color="auto"/>
              <w:bottom w:val="single" w:sz="4" w:space="0" w:color="auto"/>
              <w:right w:val="single" w:sz="4" w:space="0" w:color="auto"/>
            </w:tcBorders>
          </w:tcPr>
          <w:p w14:paraId="4DDAC9F4" w14:textId="10059A52" w:rsidR="00071275" w:rsidRPr="00B80616" w:rsidRDefault="00B80616" w:rsidP="00156F55">
            <w:pPr>
              <w:rPr>
                <w:rFonts w:cs="Arial"/>
                <w:bCs/>
                <w:iCs/>
                <w:sz w:val="22"/>
                <w:szCs w:val="22"/>
              </w:rPr>
            </w:pPr>
            <w:r w:rsidRPr="00B80616">
              <w:rPr>
                <w:rStyle w:val="normaltextrun"/>
                <w:sz w:val="22"/>
                <w:szCs w:val="22"/>
              </w:rPr>
              <w:t>FY25: Score 3</w:t>
            </w:r>
            <w:r w:rsidR="00071275" w:rsidRPr="00B80616">
              <w:rPr>
                <w:rStyle w:val="eop"/>
                <w:rFonts w:cs="Arial"/>
                <w:sz w:val="22"/>
                <w:szCs w:val="22"/>
              </w:rPr>
              <w:t> </w:t>
            </w:r>
          </w:p>
        </w:tc>
        <w:tc>
          <w:tcPr>
            <w:tcW w:w="3402" w:type="dxa"/>
            <w:tcBorders>
              <w:top w:val="single" w:sz="4" w:space="0" w:color="auto"/>
              <w:left w:val="single" w:sz="4" w:space="0" w:color="auto"/>
              <w:bottom w:val="single" w:sz="4" w:space="0" w:color="auto"/>
              <w:right w:val="single" w:sz="4" w:space="0" w:color="auto"/>
            </w:tcBorders>
          </w:tcPr>
          <w:p w14:paraId="3E0EBEBA" w14:textId="77777777" w:rsidR="00071275" w:rsidRDefault="00653F03" w:rsidP="00156F55">
            <w:pPr>
              <w:contextualSpacing/>
              <w:rPr>
                <w:rFonts w:cs="Arial"/>
                <w:bCs/>
                <w:iCs/>
                <w:sz w:val="22"/>
                <w:szCs w:val="22"/>
              </w:rPr>
            </w:pPr>
            <w:r>
              <w:rPr>
                <w:rFonts w:cs="Arial"/>
                <w:bCs/>
                <w:iCs/>
                <w:sz w:val="22"/>
                <w:szCs w:val="22"/>
              </w:rPr>
              <w:t>FY2 5 Result: Score 3 (not enough evidence yet to assess, or balance of evidence is inconclusive).</w:t>
            </w:r>
          </w:p>
          <w:p w14:paraId="645ED7FC" w14:textId="77777777" w:rsidR="00653F03" w:rsidRDefault="00653F03" w:rsidP="00156F55">
            <w:pPr>
              <w:contextualSpacing/>
              <w:rPr>
                <w:rFonts w:cs="Arial"/>
                <w:bCs/>
                <w:iCs/>
                <w:sz w:val="22"/>
                <w:szCs w:val="22"/>
              </w:rPr>
            </w:pPr>
          </w:p>
          <w:p w14:paraId="5D8264FD" w14:textId="51265E5A" w:rsidR="00653F03" w:rsidRPr="00653F03" w:rsidRDefault="00653F03" w:rsidP="00156F55">
            <w:pPr>
              <w:contextualSpacing/>
              <w:rPr>
                <w:rFonts w:cs="Arial"/>
                <w:b/>
                <w:iCs/>
                <w:sz w:val="22"/>
                <w:szCs w:val="22"/>
              </w:rPr>
            </w:pPr>
            <w:r w:rsidRPr="00653F03">
              <w:rPr>
                <w:rFonts w:cs="Arial"/>
                <w:b/>
                <w:iCs/>
                <w:sz w:val="22"/>
                <w:szCs w:val="22"/>
              </w:rPr>
              <w:t>Progress met expectation</w:t>
            </w:r>
          </w:p>
        </w:tc>
      </w:tr>
    </w:tbl>
    <w:p w14:paraId="06981544" w14:textId="65890145" w:rsidR="008D4B00" w:rsidRDefault="008D4B00" w:rsidP="008D4B00">
      <w:pPr>
        <w:jc w:val="both"/>
        <w:rPr>
          <w:rFonts w:cs="Arial"/>
          <w:sz w:val="22"/>
          <w:szCs w:val="22"/>
        </w:rPr>
      </w:pPr>
      <w:r>
        <w:rPr>
          <w:rFonts w:cs="Arial"/>
          <w:sz w:val="22"/>
          <w:szCs w:val="22"/>
        </w:rPr>
        <w:lastRenderedPageBreak/>
        <w:t>Overall, Output 2 indicators have</w:t>
      </w:r>
      <w:r w:rsidR="00EB201D">
        <w:rPr>
          <w:rFonts w:cs="Arial"/>
          <w:sz w:val="22"/>
          <w:szCs w:val="22"/>
        </w:rPr>
        <w:t xml:space="preserve"> generally</w:t>
      </w:r>
      <w:r>
        <w:rPr>
          <w:rFonts w:cs="Arial"/>
          <w:sz w:val="22"/>
          <w:szCs w:val="22"/>
        </w:rPr>
        <w:t xml:space="preserve"> either met or exceeded expectations for progress in 2025, awarding this year an ‘A+’ in progress on this indicator set. </w:t>
      </w:r>
      <w:r w:rsidR="008477B1">
        <w:rPr>
          <w:rFonts w:cs="Arial"/>
          <w:sz w:val="22"/>
          <w:szCs w:val="22"/>
        </w:rPr>
        <w:t>Delivery risk continues to be moderate</w:t>
      </w:r>
      <w:r w:rsidR="009D6F64">
        <w:rPr>
          <w:rFonts w:cs="Arial"/>
          <w:sz w:val="22"/>
          <w:szCs w:val="22"/>
        </w:rPr>
        <w:t>.</w:t>
      </w:r>
    </w:p>
    <w:p w14:paraId="3D4EBA87" w14:textId="77777777" w:rsidR="004112A0" w:rsidRDefault="004112A0" w:rsidP="008D4B00">
      <w:pPr>
        <w:jc w:val="both"/>
        <w:rPr>
          <w:rFonts w:cs="Arial"/>
          <w:sz w:val="22"/>
          <w:szCs w:val="22"/>
        </w:rPr>
      </w:pPr>
    </w:p>
    <w:p w14:paraId="40AB86D2" w14:textId="77777777" w:rsidR="00836FA8" w:rsidRDefault="004112A0" w:rsidP="008D4B00">
      <w:pPr>
        <w:jc w:val="both"/>
        <w:rPr>
          <w:rFonts w:cs="Arial"/>
          <w:sz w:val="22"/>
          <w:szCs w:val="22"/>
        </w:rPr>
      </w:pPr>
      <w:r>
        <w:rPr>
          <w:rFonts w:cs="Arial"/>
          <w:sz w:val="22"/>
          <w:szCs w:val="22"/>
        </w:rPr>
        <w:t>The past year has seen a significant acceleration of activity and achievements under this Output set</w:t>
      </w:r>
      <w:r w:rsidR="006A4235">
        <w:rPr>
          <w:rFonts w:cs="Arial"/>
          <w:sz w:val="22"/>
          <w:szCs w:val="22"/>
        </w:rPr>
        <w:t xml:space="preserve">, comparable to last year. </w:t>
      </w:r>
      <w:r w:rsidR="00E93C56">
        <w:rPr>
          <w:rFonts w:cs="Arial"/>
          <w:sz w:val="22"/>
          <w:szCs w:val="22"/>
        </w:rPr>
        <w:t xml:space="preserve"> Notably, there were a number of Indigenous-led Communities of Practice over the course of the year, with three thematic </w:t>
      </w:r>
      <w:r w:rsidR="00B50006">
        <w:rPr>
          <w:rFonts w:cs="Arial"/>
          <w:sz w:val="22"/>
          <w:szCs w:val="22"/>
        </w:rPr>
        <w:t>areas</w:t>
      </w:r>
      <w:r w:rsidR="00FF192C">
        <w:rPr>
          <w:rFonts w:cs="Arial"/>
          <w:sz w:val="22"/>
          <w:szCs w:val="22"/>
        </w:rPr>
        <w:t xml:space="preserve"> operationalised</w:t>
      </w:r>
      <w:r w:rsidR="003448CC">
        <w:rPr>
          <w:rFonts w:cs="Arial"/>
          <w:sz w:val="22"/>
          <w:szCs w:val="22"/>
        </w:rPr>
        <w:t xml:space="preserve"> (Indicator 2.1.b):</w:t>
      </w:r>
      <w:r w:rsidR="00B50006">
        <w:rPr>
          <w:rFonts w:cs="Arial"/>
          <w:sz w:val="22"/>
          <w:szCs w:val="22"/>
        </w:rPr>
        <w:t xml:space="preserve"> (1) MRV (with the first event in Peru); (2) National Forest Inventories (with two events in Guatemala); and (3) Land Tenure (with events in </w:t>
      </w:r>
      <w:r w:rsidR="00FF192C">
        <w:rPr>
          <w:rFonts w:cs="Arial"/>
          <w:sz w:val="22"/>
          <w:szCs w:val="22"/>
        </w:rPr>
        <w:t xml:space="preserve">Republic of Congo, Thailand, Kenya and Peru). At these events, </w:t>
      </w:r>
      <w:r w:rsidR="003448CC">
        <w:rPr>
          <w:rFonts w:cs="Arial"/>
          <w:sz w:val="22"/>
          <w:szCs w:val="22"/>
        </w:rPr>
        <w:t xml:space="preserve">there have been 165 attendees, with 21 countries represented across the different areas (Indicator 2.2). </w:t>
      </w:r>
      <w:r w:rsidR="00BE5D9D">
        <w:rPr>
          <w:rFonts w:cs="Arial"/>
          <w:sz w:val="22"/>
          <w:szCs w:val="22"/>
        </w:rPr>
        <w:t>This is essential progress under AIM4Forests objectives</w:t>
      </w:r>
      <w:r w:rsidR="00BE5D9D" w:rsidRPr="00BE5D9D">
        <w:t xml:space="preserve"> </w:t>
      </w:r>
      <w:r w:rsidR="00BE5D9D">
        <w:rPr>
          <w:rFonts w:cs="Arial"/>
          <w:sz w:val="22"/>
          <w:szCs w:val="22"/>
        </w:rPr>
        <w:t>to ensure that f</w:t>
      </w:r>
      <w:r w:rsidR="00BE5D9D" w:rsidRPr="00BE5D9D">
        <w:rPr>
          <w:rFonts w:cs="Arial"/>
          <w:sz w:val="22"/>
          <w:szCs w:val="22"/>
        </w:rPr>
        <w:t xml:space="preserve">orest </w:t>
      </w:r>
      <w:r w:rsidR="00BE5D9D">
        <w:rPr>
          <w:rFonts w:cs="Arial"/>
          <w:sz w:val="22"/>
          <w:szCs w:val="22"/>
        </w:rPr>
        <w:t>c</w:t>
      </w:r>
      <w:r w:rsidR="00BE5D9D" w:rsidRPr="00BE5D9D">
        <w:rPr>
          <w:rFonts w:cs="Arial"/>
          <w:sz w:val="22"/>
          <w:szCs w:val="22"/>
        </w:rPr>
        <w:t>ommunities and Indigenous People are empowered to participate in forest monitoring and MRV</w:t>
      </w:r>
      <w:r w:rsidR="00BE5D9D">
        <w:rPr>
          <w:rFonts w:cs="Arial"/>
          <w:sz w:val="22"/>
          <w:szCs w:val="22"/>
        </w:rPr>
        <w:t xml:space="preserve">. </w:t>
      </w:r>
    </w:p>
    <w:p w14:paraId="2C7FF9E8" w14:textId="77777777" w:rsidR="00836FA8" w:rsidRDefault="00836FA8" w:rsidP="008D4B00">
      <w:pPr>
        <w:jc w:val="both"/>
        <w:rPr>
          <w:rFonts w:cs="Arial"/>
          <w:sz w:val="22"/>
          <w:szCs w:val="22"/>
        </w:rPr>
      </w:pPr>
    </w:p>
    <w:p w14:paraId="3F357D07" w14:textId="5644ACBE" w:rsidR="00836FA8" w:rsidRDefault="00E372A5" w:rsidP="00836FAD">
      <w:pPr>
        <w:jc w:val="both"/>
        <w:rPr>
          <w:rFonts w:cs="Arial"/>
          <w:sz w:val="22"/>
          <w:szCs w:val="22"/>
        </w:rPr>
      </w:pPr>
      <w:r>
        <w:rPr>
          <w:rFonts w:cs="Arial"/>
          <w:sz w:val="22"/>
          <w:szCs w:val="22"/>
        </w:rPr>
        <w:t>Survey responses from these events (Indicator 2.3) show there is significant positive responses with all attendees indicating that they not only acquired new knowledge but also will apply it</w:t>
      </w:r>
      <w:r w:rsidR="00836FAD">
        <w:rPr>
          <w:rFonts w:cs="Arial"/>
          <w:sz w:val="22"/>
          <w:szCs w:val="22"/>
        </w:rPr>
        <w:t>. Additionally, FAO</w:t>
      </w:r>
      <w:r w:rsidR="00836FAD" w:rsidRPr="00836FAD">
        <w:rPr>
          <w:rFonts w:cs="Arial"/>
          <w:sz w:val="22"/>
          <w:szCs w:val="22"/>
        </w:rPr>
        <w:t xml:space="preserve"> facilitated focus groups discussions with IP-led CoP training participants, based on 4 guiding questions</w:t>
      </w:r>
      <w:r w:rsidR="00533185">
        <w:rPr>
          <w:rFonts w:cs="Arial"/>
          <w:sz w:val="22"/>
          <w:szCs w:val="22"/>
        </w:rPr>
        <w:t xml:space="preserve"> to assess how the programme is enhancing the role of IP &amp; </w:t>
      </w:r>
      <w:proofErr w:type="gramStart"/>
      <w:r w:rsidR="00533185">
        <w:rPr>
          <w:rFonts w:cs="Arial"/>
          <w:sz w:val="22"/>
          <w:szCs w:val="22"/>
        </w:rPr>
        <w:t>LC’s</w:t>
      </w:r>
      <w:proofErr w:type="gramEnd"/>
      <w:r w:rsidR="00533185">
        <w:rPr>
          <w:rFonts w:cs="Arial"/>
          <w:sz w:val="22"/>
          <w:szCs w:val="22"/>
        </w:rPr>
        <w:t xml:space="preserve"> within forest monitoring (Indicator 2.5)</w:t>
      </w:r>
      <w:r w:rsidR="00836FAD" w:rsidRPr="00836FAD">
        <w:rPr>
          <w:rFonts w:cs="Arial"/>
          <w:sz w:val="22"/>
          <w:szCs w:val="22"/>
        </w:rPr>
        <w:t xml:space="preserve">. This was enriched with input from IP-led scoping events organized by ILC. In total, 165 Indigenous Peoples and community representatives </w:t>
      </w:r>
      <w:r w:rsidR="00A76021">
        <w:rPr>
          <w:rFonts w:cs="Arial"/>
          <w:sz w:val="22"/>
          <w:szCs w:val="22"/>
        </w:rPr>
        <w:t>from</w:t>
      </w:r>
      <w:r w:rsidR="00836FAD" w:rsidRPr="00836FAD">
        <w:rPr>
          <w:rFonts w:cs="Arial"/>
          <w:sz w:val="22"/>
          <w:szCs w:val="22"/>
        </w:rPr>
        <w:t xml:space="preserve"> 21 countries were consulted. Based on the evidence, a score of “3” was assigned, indicating that although baseline evidence gathered and progress made seems </w:t>
      </w:r>
      <w:r w:rsidR="00A76021">
        <w:rPr>
          <w:rFonts w:cs="Arial"/>
          <w:sz w:val="22"/>
          <w:szCs w:val="22"/>
        </w:rPr>
        <w:t xml:space="preserve">initially </w:t>
      </w:r>
      <w:r w:rsidR="00836FAD" w:rsidRPr="00836FAD">
        <w:rPr>
          <w:rFonts w:cs="Arial"/>
          <w:sz w:val="22"/>
          <w:szCs w:val="22"/>
        </w:rPr>
        <w:t>promising (validated approaches, actionable steps, building lasting partnerships and networks), there is not enough evidence yet to assess</w:t>
      </w:r>
      <w:r w:rsidR="00A76021">
        <w:rPr>
          <w:rFonts w:cs="Arial"/>
          <w:sz w:val="22"/>
          <w:szCs w:val="22"/>
        </w:rPr>
        <w:t xml:space="preserve"> fully</w:t>
      </w:r>
      <w:r w:rsidR="00836FAD" w:rsidRPr="00836FAD">
        <w:rPr>
          <w:rFonts w:cs="Arial"/>
          <w:sz w:val="22"/>
          <w:szCs w:val="22"/>
        </w:rPr>
        <w:t xml:space="preserve"> to what extent AIM4Forests’ intervention is likely to have transformational impact</w:t>
      </w:r>
      <w:r w:rsidR="00A76021">
        <w:rPr>
          <w:rFonts w:cs="Arial"/>
          <w:sz w:val="22"/>
          <w:szCs w:val="22"/>
        </w:rPr>
        <w:t xml:space="preserve"> in the longer term</w:t>
      </w:r>
      <w:r w:rsidR="00836FAD" w:rsidRPr="00836FAD">
        <w:rPr>
          <w:rFonts w:cs="Arial"/>
          <w:sz w:val="22"/>
          <w:szCs w:val="22"/>
        </w:rPr>
        <w:t>.</w:t>
      </w:r>
      <w:r w:rsidR="00836FAD">
        <w:rPr>
          <w:rFonts w:cs="Arial"/>
          <w:sz w:val="22"/>
          <w:szCs w:val="22"/>
        </w:rPr>
        <w:t xml:space="preserve"> </w:t>
      </w:r>
      <w:r w:rsidR="00C66CD3">
        <w:rPr>
          <w:rFonts w:cs="Arial"/>
          <w:sz w:val="22"/>
          <w:szCs w:val="22"/>
        </w:rPr>
        <w:t xml:space="preserve">The team will continue to assess this indicator next year, including through focus group discussions, complemented by </w:t>
      </w:r>
      <w:r w:rsidR="00533185">
        <w:rPr>
          <w:rFonts w:cs="Arial"/>
          <w:sz w:val="22"/>
          <w:szCs w:val="22"/>
        </w:rPr>
        <w:t>Delivery Partner qualitative assessment of progress.</w:t>
      </w:r>
    </w:p>
    <w:p w14:paraId="73058BBB" w14:textId="77777777" w:rsidR="00836FA8" w:rsidRDefault="00836FA8" w:rsidP="008D4B00">
      <w:pPr>
        <w:jc w:val="both"/>
        <w:rPr>
          <w:rFonts w:cs="Arial"/>
          <w:sz w:val="22"/>
          <w:szCs w:val="22"/>
        </w:rPr>
      </w:pPr>
    </w:p>
    <w:p w14:paraId="67BFF899" w14:textId="5C1CDA13" w:rsidR="004112A0" w:rsidRDefault="00533185" w:rsidP="008D4B00">
      <w:pPr>
        <w:jc w:val="both"/>
        <w:rPr>
          <w:rFonts w:cs="Arial"/>
          <w:sz w:val="22"/>
          <w:szCs w:val="22"/>
        </w:rPr>
      </w:pPr>
      <w:r w:rsidRPr="6F3FE58C">
        <w:rPr>
          <w:rFonts w:cs="Arial"/>
          <w:sz w:val="22"/>
          <w:szCs w:val="22"/>
        </w:rPr>
        <w:t>It should be noted, however, at</w:t>
      </w:r>
      <w:r w:rsidR="00172A34" w:rsidRPr="6F3FE58C">
        <w:rPr>
          <w:rFonts w:cs="Arial"/>
          <w:sz w:val="22"/>
          <w:szCs w:val="22"/>
        </w:rPr>
        <w:t xml:space="preserve"> </w:t>
      </w:r>
      <w:r w:rsidR="19B92A1F" w:rsidRPr="6F3FE58C">
        <w:rPr>
          <w:rFonts w:cs="Arial"/>
          <w:sz w:val="22"/>
          <w:szCs w:val="22"/>
        </w:rPr>
        <w:t>these first</w:t>
      </w:r>
      <w:r w:rsidR="00172A34" w:rsidRPr="6F3FE58C">
        <w:rPr>
          <w:rFonts w:cs="Arial"/>
          <w:sz w:val="22"/>
          <w:szCs w:val="22"/>
        </w:rPr>
        <w:t xml:space="preserve"> </w:t>
      </w:r>
      <w:r w:rsidR="00A76021" w:rsidRPr="6F3FE58C">
        <w:rPr>
          <w:rFonts w:cs="Arial"/>
          <w:sz w:val="22"/>
          <w:szCs w:val="22"/>
        </w:rPr>
        <w:t xml:space="preserve">Community of Practice </w:t>
      </w:r>
      <w:r w:rsidR="00172A34" w:rsidRPr="6F3FE58C">
        <w:rPr>
          <w:rFonts w:cs="Arial"/>
          <w:sz w:val="22"/>
          <w:szCs w:val="22"/>
        </w:rPr>
        <w:t>events</w:t>
      </w:r>
      <w:r w:rsidRPr="6F3FE58C">
        <w:rPr>
          <w:rFonts w:cs="Arial"/>
          <w:sz w:val="22"/>
          <w:szCs w:val="22"/>
        </w:rPr>
        <w:t xml:space="preserve"> there were</w:t>
      </w:r>
      <w:r w:rsidR="00172A34" w:rsidRPr="6F3FE58C">
        <w:rPr>
          <w:rFonts w:cs="Arial"/>
          <w:sz w:val="22"/>
          <w:szCs w:val="22"/>
        </w:rPr>
        <w:t xml:space="preserve"> typically less women (only 31%) participat</w:t>
      </w:r>
      <w:r w:rsidRPr="6F3FE58C">
        <w:rPr>
          <w:rFonts w:cs="Arial"/>
          <w:sz w:val="22"/>
          <w:szCs w:val="22"/>
        </w:rPr>
        <w:t>ing</w:t>
      </w:r>
      <w:r w:rsidR="00A76021" w:rsidRPr="6F3FE58C">
        <w:rPr>
          <w:rFonts w:cs="Arial"/>
          <w:sz w:val="22"/>
          <w:szCs w:val="22"/>
        </w:rPr>
        <w:t>, with an ambition of 50%</w:t>
      </w:r>
      <w:r w:rsidR="00172A34" w:rsidRPr="6F3FE58C">
        <w:rPr>
          <w:rFonts w:cs="Arial"/>
          <w:sz w:val="22"/>
          <w:szCs w:val="22"/>
        </w:rPr>
        <w:t>. This shows there</w:t>
      </w:r>
      <w:r w:rsidR="00A76021" w:rsidRPr="6F3FE58C">
        <w:rPr>
          <w:rFonts w:cs="Arial"/>
          <w:sz w:val="22"/>
          <w:szCs w:val="22"/>
        </w:rPr>
        <w:t xml:space="preserve"> continues to be a</w:t>
      </w:r>
      <w:r w:rsidR="00172A34" w:rsidRPr="6F3FE58C">
        <w:rPr>
          <w:rFonts w:cs="Arial"/>
          <w:sz w:val="22"/>
          <w:szCs w:val="22"/>
        </w:rPr>
        <w:t xml:space="preserve"> need to </w:t>
      </w:r>
      <w:r w:rsidR="00A76021" w:rsidRPr="6F3FE58C">
        <w:rPr>
          <w:rFonts w:cs="Arial"/>
          <w:sz w:val="22"/>
          <w:szCs w:val="22"/>
        </w:rPr>
        <w:t>have an</w:t>
      </w:r>
      <w:r w:rsidR="00172A34" w:rsidRPr="6F3FE58C">
        <w:rPr>
          <w:rFonts w:cs="Arial"/>
          <w:sz w:val="22"/>
          <w:szCs w:val="22"/>
        </w:rPr>
        <w:t xml:space="preserve"> increased focus on gender equity</w:t>
      </w:r>
      <w:r w:rsidR="00A76021" w:rsidRPr="6F3FE58C">
        <w:rPr>
          <w:rFonts w:cs="Arial"/>
          <w:sz w:val="22"/>
          <w:szCs w:val="22"/>
        </w:rPr>
        <w:t xml:space="preserve"> and participation of women</w:t>
      </w:r>
      <w:r w:rsidR="00172A34" w:rsidRPr="6F3FE58C">
        <w:rPr>
          <w:rFonts w:cs="Arial"/>
          <w:sz w:val="22"/>
          <w:szCs w:val="22"/>
        </w:rPr>
        <w:t xml:space="preserve">, particularly </w:t>
      </w:r>
      <w:r w:rsidR="003425AC" w:rsidRPr="6F3FE58C">
        <w:rPr>
          <w:rFonts w:cs="Arial"/>
          <w:sz w:val="22"/>
          <w:szCs w:val="22"/>
        </w:rPr>
        <w:t xml:space="preserve">considering intersectionality of </w:t>
      </w:r>
      <w:r w:rsidR="008E3FD4" w:rsidRPr="6F3FE58C">
        <w:rPr>
          <w:rFonts w:cs="Arial"/>
          <w:sz w:val="22"/>
          <w:szCs w:val="22"/>
        </w:rPr>
        <w:t xml:space="preserve">already </w:t>
      </w:r>
      <w:r w:rsidR="003425AC" w:rsidRPr="6F3FE58C">
        <w:rPr>
          <w:rFonts w:cs="Arial"/>
          <w:sz w:val="22"/>
          <w:szCs w:val="22"/>
        </w:rPr>
        <w:t>disadvantaged communities where female voices may not be as</w:t>
      </w:r>
      <w:r w:rsidR="00E61492" w:rsidRPr="6F3FE58C">
        <w:rPr>
          <w:rFonts w:cs="Arial"/>
          <w:sz w:val="22"/>
          <w:szCs w:val="22"/>
        </w:rPr>
        <w:t xml:space="preserve"> commonly</w:t>
      </w:r>
      <w:r w:rsidR="003425AC" w:rsidRPr="6F3FE58C">
        <w:rPr>
          <w:rFonts w:cs="Arial"/>
          <w:sz w:val="22"/>
          <w:szCs w:val="22"/>
        </w:rPr>
        <w:t xml:space="preserve"> heard</w:t>
      </w:r>
      <w:r w:rsidR="00DD5A0E" w:rsidRPr="6F3FE58C">
        <w:rPr>
          <w:rFonts w:cs="Arial"/>
          <w:sz w:val="22"/>
          <w:szCs w:val="22"/>
        </w:rPr>
        <w:t xml:space="preserve"> and therefore are a significantly </w:t>
      </w:r>
      <w:r w:rsidR="008E3FD4" w:rsidRPr="6F3FE58C">
        <w:rPr>
          <w:rFonts w:cs="Arial"/>
          <w:sz w:val="22"/>
          <w:szCs w:val="22"/>
        </w:rPr>
        <w:t>marginalised group</w:t>
      </w:r>
      <w:r w:rsidR="003425AC" w:rsidRPr="6F3FE58C">
        <w:rPr>
          <w:rFonts w:cs="Arial"/>
          <w:sz w:val="22"/>
          <w:szCs w:val="22"/>
        </w:rPr>
        <w:t>.</w:t>
      </w:r>
      <w:r w:rsidR="492BB82A" w:rsidRPr="6F3FE58C">
        <w:rPr>
          <w:rFonts w:cs="Arial"/>
          <w:sz w:val="22"/>
          <w:szCs w:val="22"/>
        </w:rPr>
        <w:t xml:space="preserve"> There should be a continued focus on this during the next year and ongoing implementation of </w:t>
      </w:r>
      <w:proofErr w:type="gramStart"/>
      <w:r w:rsidR="492BB82A" w:rsidRPr="6F3FE58C">
        <w:rPr>
          <w:rFonts w:cs="Arial"/>
          <w:sz w:val="22"/>
          <w:szCs w:val="22"/>
        </w:rPr>
        <w:t>AIM4Forests</w:t>
      </w:r>
      <w:r w:rsidR="00DD5A0E" w:rsidRPr="6F3FE58C">
        <w:rPr>
          <w:rFonts w:cs="Arial"/>
          <w:sz w:val="22"/>
          <w:szCs w:val="22"/>
        </w:rPr>
        <w:t>, and</w:t>
      </w:r>
      <w:proofErr w:type="gramEnd"/>
      <w:r w:rsidR="00DD5A0E" w:rsidRPr="6F3FE58C">
        <w:rPr>
          <w:rFonts w:cs="Arial"/>
          <w:sz w:val="22"/>
          <w:szCs w:val="22"/>
        </w:rPr>
        <w:t xml:space="preserve"> will be a key </w:t>
      </w:r>
      <w:r w:rsidR="008E3FD4" w:rsidRPr="6F3FE58C">
        <w:rPr>
          <w:rFonts w:cs="Arial"/>
          <w:sz w:val="22"/>
          <w:szCs w:val="22"/>
        </w:rPr>
        <w:t>recommendation to consider how to increase their participation</w:t>
      </w:r>
      <w:r w:rsidR="492BB82A" w:rsidRPr="6F3FE58C">
        <w:rPr>
          <w:rFonts w:cs="Arial"/>
          <w:sz w:val="22"/>
          <w:szCs w:val="22"/>
        </w:rPr>
        <w:t xml:space="preserve">. </w:t>
      </w:r>
      <w:r w:rsidR="5316F431" w:rsidRPr="6F3FE58C">
        <w:rPr>
          <w:rFonts w:cs="Arial"/>
          <w:sz w:val="22"/>
          <w:szCs w:val="22"/>
        </w:rPr>
        <w:t>[Recommendation 5]</w:t>
      </w:r>
    </w:p>
    <w:p w14:paraId="576E4BAC" w14:textId="77777777" w:rsidR="00171876" w:rsidRDefault="00171876" w:rsidP="008D4B00">
      <w:pPr>
        <w:jc w:val="both"/>
        <w:rPr>
          <w:rFonts w:cs="Arial"/>
          <w:sz w:val="22"/>
          <w:szCs w:val="22"/>
        </w:rPr>
      </w:pPr>
    </w:p>
    <w:p w14:paraId="06468782" w14:textId="74F3EDCC" w:rsidR="0097161A" w:rsidRDefault="00171876" w:rsidP="008D4B00">
      <w:pPr>
        <w:jc w:val="both"/>
        <w:rPr>
          <w:rFonts w:cs="Arial"/>
          <w:sz w:val="22"/>
          <w:szCs w:val="22"/>
        </w:rPr>
      </w:pPr>
      <w:r>
        <w:rPr>
          <w:rFonts w:cs="Arial"/>
          <w:sz w:val="22"/>
          <w:szCs w:val="22"/>
        </w:rPr>
        <w:t>A</w:t>
      </w:r>
      <w:r w:rsidR="00AB7F18">
        <w:rPr>
          <w:rFonts w:cs="Arial"/>
          <w:sz w:val="22"/>
          <w:szCs w:val="22"/>
        </w:rPr>
        <w:t xml:space="preserve"> key</w:t>
      </w:r>
      <w:r>
        <w:rPr>
          <w:rFonts w:cs="Arial"/>
          <w:sz w:val="22"/>
          <w:szCs w:val="22"/>
        </w:rPr>
        <w:t xml:space="preserve"> additional </w:t>
      </w:r>
      <w:r w:rsidR="00127CC5">
        <w:rPr>
          <w:rFonts w:cs="Arial"/>
          <w:sz w:val="22"/>
          <w:szCs w:val="22"/>
        </w:rPr>
        <w:t xml:space="preserve">advancement of this Output was through Indicator 2.4 – where, for the first time, </w:t>
      </w:r>
      <w:r w:rsidR="00C34A88">
        <w:rPr>
          <w:rFonts w:cs="Arial"/>
          <w:sz w:val="22"/>
          <w:szCs w:val="22"/>
        </w:rPr>
        <w:t>AIM4Forests was able to support the inclusion of an Indigenous People &amp; Local Community related indicator i</w:t>
      </w:r>
      <w:r w:rsidR="00FE1B2E">
        <w:rPr>
          <w:rFonts w:cs="Arial"/>
          <w:sz w:val="22"/>
          <w:szCs w:val="22"/>
        </w:rPr>
        <w:t>n the Kunming-Montreal Global Biodiversity Framework adoption of Target 22.1</w:t>
      </w:r>
      <w:r w:rsidR="002E0303">
        <w:rPr>
          <w:rFonts w:cs="Arial"/>
          <w:sz w:val="22"/>
          <w:szCs w:val="22"/>
        </w:rPr>
        <w:t xml:space="preserve"> (</w:t>
      </w:r>
      <w:r w:rsidR="002E0303" w:rsidRPr="002E0303">
        <w:rPr>
          <w:rFonts w:cs="Arial"/>
          <w:i/>
          <w:iCs/>
          <w:sz w:val="22"/>
          <w:szCs w:val="22"/>
        </w:rPr>
        <w:t>Land-use change and land tenure in the traditional territories of indigenous peoples and local communities</w:t>
      </w:r>
      <w:r w:rsidR="002E0303">
        <w:rPr>
          <w:rFonts w:cs="Arial"/>
          <w:sz w:val="22"/>
          <w:szCs w:val="22"/>
        </w:rPr>
        <w:t>)</w:t>
      </w:r>
      <w:r w:rsidR="00AB7F18">
        <w:rPr>
          <w:rFonts w:cs="Arial"/>
          <w:sz w:val="22"/>
          <w:szCs w:val="22"/>
        </w:rPr>
        <w:t xml:space="preserve">, during the </w:t>
      </w:r>
      <w:r w:rsidR="008550D4">
        <w:rPr>
          <w:rFonts w:cs="Arial"/>
          <w:sz w:val="22"/>
          <w:szCs w:val="22"/>
        </w:rPr>
        <w:t xml:space="preserve">COP16 Convention of Biological Diversity second resumed session in </w:t>
      </w:r>
      <w:r w:rsidR="002E0303">
        <w:rPr>
          <w:rFonts w:cs="Arial"/>
          <w:sz w:val="22"/>
          <w:szCs w:val="22"/>
        </w:rPr>
        <w:t xml:space="preserve">February 2025. </w:t>
      </w:r>
      <w:r w:rsidR="00A92B97">
        <w:rPr>
          <w:rFonts w:cs="Arial"/>
          <w:sz w:val="22"/>
          <w:szCs w:val="22"/>
        </w:rPr>
        <w:t>This is a</w:t>
      </w:r>
      <w:r w:rsidR="00EB3226">
        <w:rPr>
          <w:rFonts w:cs="Arial"/>
          <w:sz w:val="22"/>
          <w:szCs w:val="22"/>
        </w:rPr>
        <w:t xml:space="preserve">n impactful, long-term achievement under the programme which ensures </w:t>
      </w:r>
      <w:r w:rsidR="006B484F">
        <w:rPr>
          <w:rFonts w:cs="Arial"/>
          <w:sz w:val="22"/>
          <w:szCs w:val="22"/>
        </w:rPr>
        <w:t xml:space="preserve">continued emphasis internationally on Indigenous People &amp; Local Communities. </w:t>
      </w:r>
    </w:p>
    <w:p w14:paraId="0F188CE6" w14:textId="77777777" w:rsidR="00071275" w:rsidRDefault="00071275" w:rsidP="004D5FD5">
      <w:pPr>
        <w:pStyle w:val="Heading2"/>
        <w:jc w:val="both"/>
      </w:pPr>
    </w:p>
    <w:p w14:paraId="6A17A55C" w14:textId="77777777" w:rsidR="00071275" w:rsidRDefault="00071275">
      <w:pPr>
        <w:spacing w:after="160" w:line="259" w:lineRule="auto"/>
        <w:rPr>
          <w:b/>
          <w:i/>
          <w:kern w:val="28"/>
          <w:sz w:val="28"/>
          <w:szCs w:val="28"/>
        </w:rPr>
      </w:pPr>
      <w:r>
        <w:br w:type="page"/>
      </w:r>
    </w:p>
    <w:p w14:paraId="345661C3" w14:textId="3A117750" w:rsidR="004A367B" w:rsidRPr="00501608" w:rsidRDefault="004A367B" w:rsidP="004D5FD5">
      <w:pPr>
        <w:pStyle w:val="Heading2"/>
        <w:jc w:val="both"/>
        <w:rPr>
          <w:sz w:val="22"/>
          <w:szCs w:val="22"/>
        </w:rPr>
      </w:pPr>
      <w:bookmarkStart w:id="16" w:name="_Toc228283637"/>
      <w:r w:rsidRPr="5302A23D">
        <w:rPr>
          <w:sz w:val="22"/>
          <w:szCs w:val="22"/>
        </w:rPr>
        <w:lastRenderedPageBreak/>
        <w:t xml:space="preserve">Output 3: </w:t>
      </w:r>
      <w:r w:rsidR="00501608" w:rsidRPr="5302A23D">
        <w:rPr>
          <w:sz w:val="22"/>
          <w:szCs w:val="22"/>
        </w:rPr>
        <w:t>Countries address technical and functional gaps and develop forest monitoring systems that are sustainable, robust, relevant to policy priorities and accessible to all.</w:t>
      </w:r>
      <w:bookmarkEnd w:id="16"/>
    </w:p>
    <w:p w14:paraId="23CF0139" w14:textId="77777777" w:rsidR="00ED5FD4" w:rsidRPr="00ED5FD4" w:rsidRDefault="00ED5FD4" w:rsidP="00ED5FD4"/>
    <w:tbl>
      <w:tblPr>
        <w:tblStyle w:val="TableGrid"/>
        <w:tblW w:w="9072" w:type="dxa"/>
        <w:tblInd w:w="-5" w:type="dxa"/>
        <w:tblLook w:val="04A0" w:firstRow="1" w:lastRow="0" w:firstColumn="1" w:lastColumn="0" w:noHBand="0" w:noVBand="1"/>
      </w:tblPr>
      <w:tblGrid>
        <w:gridCol w:w="1548"/>
        <w:gridCol w:w="593"/>
        <w:gridCol w:w="1335"/>
        <w:gridCol w:w="2718"/>
        <w:gridCol w:w="2878"/>
      </w:tblGrid>
      <w:tr w:rsidR="009758D6" w:rsidRPr="00D80C6C" w14:paraId="343E8A59" w14:textId="77777777" w:rsidTr="349C9757">
        <w:trPr>
          <w:trHeight w:val="489"/>
        </w:trPr>
        <w:tc>
          <w:tcPr>
            <w:tcW w:w="154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F6358D7" w14:textId="77777777" w:rsidR="00ED5FD4" w:rsidRPr="00D80C6C" w:rsidRDefault="00ED5FD4">
            <w:pPr>
              <w:jc w:val="both"/>
              <w:rPr>
                <w:rFonts w:cs="Arial"/>
                <w:b/>
                <w:bCs/>
                <w:sz w:val="22"/>
                <w:szCs w:val="22"/>
              </w:rPr>
            </w:pPr>
            <w:r w:rsidRPr="00D80C6C">
              <w:rPr>
                <w:rFonts w:cs="Arial"/>
                <w:b/>
                <w:bCs/>
                <w:sz w:val="22"/>
                <w:szCs w:val="22"/>
              </w:rPr>
              <w:t xml:space="preserve">Output Title </w:t>
            </w:r>
          </w:p>
        </w:tc>
        <w:tc>
          <w:tcPr>
            <w:tcW w:w="752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5425E5" w14:textId="21FCCF77" w:rsidR="00ED5FD4" w:rsidRPr="00ED5FD4" w:rsidRDefault="00501608">
            <w:pPr>
              <w:jc w:val="both"/>
              <w:rPr>
                <w:rFonts w:cs="Arial"/>
                <w:bCs/>
                <w:iCs/>
                <w:color w:val="FF0000"/>
                <w:sz w:val="22"/>
                <w:szCs w:val="22"/>
              </w:rPr>
            </w:pPr>
            <w:r w:rsidRPr="00501608">
              <w:rPr>
                <w:rFonts w:cs="Arial"/>
                <w:bCs/>
                <w:iCs/>
                <w:sz w:val="22"/>
                <w:szCs w:val="22"/>
              </w:rPr>
              <w:t>Countries address technical and functional gaps and develop forest monitoring systems that are sustainable, robust, relevant to policy priorities and accessible to all.</w:t>
            </w:r>
          </w:p>
        </w:tc>
      </w:tr>
      <w:tr w:rsidR="00C430A5" w:rsidRPr="00D80C6C" w14:paraId="0D129A7F" w14:textId="77777777" w:rsidTr="349C9757">
        <w:trPr>
          <w:trHeight w:val="347"/>
        </w:trPr>
        <w:tc>
          <w:tcPr>
            <w:tcW w:w="214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4E4F19" w14:textId="77777777" w:rsidR="00ED5FD4" w:rsidRPr="00D80C6C" w:rsidRDefault="00ED5FD4">
            <w:pPr>
              <w:jc w:val="both"/>
              <w:rPr>
                <w:rFonts w:cs="Arial"/>
                <w:bCs/>
                <w:sz w:val="22"/>
                <w:szCs w:val="22"/>
              </w:rPr>
            </w:pPr>
            <w:r w:rsidRPr="00D80C6C">
              <w:rPr>
                <w:rFonts w:cs="Arial"/>
                <w:bCs/>
                <w:sz w:val="22"/>
                <w:szCs w:val="22"/>
              </w:rPr>
              <w:t xml:space="preserve">Output number: </w:t>
            </w:r>
          </w:p>
        </w:tc>
        <w:tc>
          <w:tcPr>
            <w:tcW w:w="1335" w:type="dxa"/>
            <w:tcBorders>
              <w:top w:val="single" w:sz="4" w:space="0" w:color="auto"/>
              <w:left w:val="single" w:sz="4" w:space="0" w:color="auto"/>
              <w:bottom w:val="single" w:sz="4" w:space="0" w:color="auto"/>
              <w:right w:val="single" w:sz="4" w:space="0" w:color="auto"/>
            </w:tcBorders>
          </w:tcPr>
          <w:p w14:paraId="7D3D58F5" w14:textId="4B1AFAF9" w:rsidR="00ED5FD4" w:rsidRPr="00D80C6C" w:rsidRDefault="00501608">
            <w:pPr>
              <w:jc w:val="both"/>
              <w:rPr>
                <w:rFonts w:cs="Arial"/>
                <w:sz w:val="22"/>
                <w:szCs w:val="22"/>
              </w:rPr>
            </w:pPr>
            <w:r>
              <w:rPr>
                <w:rFonts w:cs="Arial"/>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8A97E8" w14:textId="77777777" w:rsidR="00ED5FD4" w:rsidRPr="00D80C6C" w:rsidRDefault="00ED5FD4">
            <w:pPr>
              <w:jc w:val="both"/>
              <w:rPr>
                <w:rFonts w:cs="Arial"/>
                <w:sz w:val="22"/>
                <w:szCs w:val="22"/>
              </w:rPr>
            </w:pPr>
            <w:r w:rsidRPr="00D80C6C">
              <w:rPr>
                <w:rFonts w:cs="Arial"/>
                <w:bCs/>
                <w:sz w:val="22"/>
                <w:szCs w:val="22"/>
              </w:rPr>
              <w:t xml:space="preserve">Output Score: </w:t>
            </w:r>
          </w:p>
        </w:tc>
        <w:tc>
          <w:tcPr>
            <w:tcW w:w="2878" w:type="dxa"/>
            <w:tcBorders>
              <w:top w:val="single" w:sz="4" w:space="0" w:color="auto"/>
              <w:left w:val="single" w:sz="4" w:space="0" w:color="auto"/>
              <w:bottom w:val="single" w:sz="4" w:space="0" w:color="auto"/>
              <w:right w:val="single" w:sz="4" w:space="0" w:color="auto"/>
            </w:tcBorders>
          </w:tcPr>
          <w:p w14:paraId="20F25E26" w14:textId="17BFE472" w:rsidR="00ED5FD4" w:rsidRPr="00DB3B57" w:rsidRDefault="00606F97">
            <w:pPr>
              <w:jc w:val="both"/>
              <w:rPr>
                <w:rFonts w:cs="Arial"/>
                <w:sz w:val="22"/>
                <w:szCs w:val="22"/>
              </w:rPr>
            </w:pPr>
            <w:r w:rsidRPr="349C9757">
              <w:rPr>
                <w:rFonts w:cs="Arial"/>
                <w:sz w:val="22"/>
                <w:szCs w:val="22"/>
              </w:rPr>
              <w:t>A</w:t>
            </w:r>
          </w:p>
        </w:tc>
      </w:tr>
      <w:tr w:rsidR="00C430A5" w:rsidRPr="00D80C6C" w14:paraId="71D6D4AA" w14:textId="77777777" w:rsidTr="349C9757">
        <w:trPr>
          <w:trHeight w:val="345"/>
        </w:trPr>
        <w:tc>
          <w:tcPr>
            <w:tcW w:w="214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BDA094" w14:textId="77777777" w:rsidR="00ED5FD4" w:rsidRPr="00D80C6C" w:rsidRDefault="00ED5FD4">
            <w:pPr>
              <w:jc w:val="both"/>
              <w:rPr>
                <w:rFonts w:cs="Arial"/>
                <w:sz w:val="22"/>
                <w:szCs w:val="22"/>
              </w:rPr>
            </w:pPr>
            <w:r w:rsidRPr="00D80C6C">
              <w:rPr>
                <w:rFonts w:cs="Arial"/>
                <w:bCs/>
                <w:sz w:val="22"/>
                <w:szCs w:val="22"/>
              </w:rPr>
              <w:t xml:space="preserve">Impact weighting (%):  </w:t>
            </w:r>
          </w:p>
        </w:tc>
        <w:tc>
          <w:tcPr>
            <w:tcW w:w="1335" w:type="dxa"/>
            <w:tcBorders>
              <w:top w:val="single" w:sz="4" w:space="0" w:color="auto"/>
              <w:left w:val="single" w:sz="4" w:space="0" w:color="auto"/>
              <w:bottom w:val="single" w:sz="4" w:space="0" w:color="auto"/>
              <w:right w:val="single" w:sz="4" w:space="0" w:color="auto"/>
            </w:tcBorders>
            <w:hideMark/>
          </w:tcPr>
          <w:p w14:paraId="0EC60837" w14:textId="17DE2F11" w:rsidR="00ED5FD4" w:rsidRPr="00D80C6C" w:rsidRDefault="00501608">
            <w:pPr>
              <w:jc w:val="both"/>
              <w:rPr>
                <w:rFonts w:cs="Arial"/>
                <w:bCs/>
                <w:sz w:val="22"/>
                <w:szCs w:val="22"/>
              </w:rPr>
            </w:pPr>
            <w:r>
              <w:rPr>
                <w:rFonts w:cs="Arial"/>
                <w:bCs/>
                <w:sz w:val="22"/>
                <w:szCs w:val="22"/>
              </w:rPr>
              <w:t>40%</w:t>
            </w:r>
          </w:p>
        </w:tc>
        <w:tc>
          <w:tcPr>
            <w:tcW w:w="271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35CD2B" w14:textId="77777777" w:rsidR="00ED5FD4" w:rsidRPr="00D80C6C" w:rsidRDefault="00ED5FD4">
            <w:pPr>
              <w:jc w:val="both"/>
              <w:rPr>
                <w:rFonts w:cs="Arial"/>
                <w:bCs/>
                <w:sz w:val="22"/>
                <w:szCs w:val="22"/>
              </w:rPr>
            </w:pPr>
            <w:r w:rsidRPr="00D80C6C">
              <w:rPr>
                <w:rFonts w:cs="Arial"/>
                <w:bCs/>
                <w:sz w:val="22"/>
                <w:szCs w:val="22"/>
              </w:rPr>
              <w:t xml:space="preserve">Weighting revised since last AR? </w:t>
            </w:r>
          </w:p>
        </w:tc>
        <w:tc>
          <w:tcPr>
            <w:tcW w:w="2878" w:type="dxa"/>
            <w:tcBorders>
              <w:top w:val="single" w:sz="4" w:space="0" w:color="auto"/>
              <w:left w:val="single" w:sz="4" w:space="0" w:color="auto"/>
              <w:bottom w:val="single" w:sz="4" w:space="0" w:color="auto"/>
              <w:right w:val="single" w:sz="4" w:space="0" w:color="auto"/>
            </w:tcBorders>
          </w:tcPr>
          <w:p w14:paraId="510CC462" w14:textId="31C45AC2" w:rsidR="00ED5FD4" w:rsidRPr="00D80C6C" w:rsidRDefault="00501608">
            <w:pPr>
              <w:jc w:val="both"/>
              <w:rPr>
                <w:rFonts w:cs="Arial"/>
                <w:bCs/>
                <w:sz w:val="22"/>
                <w:szCs w:val="22"/>
              </w:rPr>
            </w:pPr>
            <w:r>
              <w:rPr>
                <w:rFonts w:cs="Arial"/>
                <w:bCs/>
                <w:sz w:val="22"/>
                <w:szCs w:val="22"/>
              </w:rPr>
              <w:t>No</w:t>
            </w:r>
          </w:p>
        </w:tc>
      </w:tr>
      <w:tr w:rsidR="00C430A5" w:rsidRPr="00D80C6C" w14:paraId="13EB579E" w14:textId="77777777" w:rsidTr="349C9757">
        <w:trPr>
          <w:trHeight w:val="345"/>
        </w:trPr>
        <w:tc>
          <w:tcPr>
            <w:tcW w:w="214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A981A1" w14:textId="44967B89" w:rsidR="00ED5FD4" w:rsidRPr="00D80C6C" w:rsidRDefault="00ED5FD4">
            <w:pPr>
              <w:jc w:val="both"/>
              <w:rPr>
                <w:rFonts w:cs="Arial"/>
                <w:bCs/>
                <w:sz w:val="22"/>
                <w:szCs w:val="22"/>
              </w:rPr>
            </w:pPr>
            <w:r w:rsidRPr="00D80C6C">
              <w:rPr>
                <w:rFonts w:cs="Arial"/>
                <w:bCs/>
                <w:sz w:val="22"/>
                <w:szCs w:val="22"/>
              </w:rPr>
              <w:t>Risk rating</w:t>
            </w:r>
            <w:r w:rsidR="00DB3B57">
              <w:rPr>
                <w:rFonts w:cs="Arial"/>
                <w:bCs/>
                <w:sz w:val="22"/>
                <w:szCs w:val="22"/>
              </w:rPr>
              <w:t>:</w:t>
            </w:r>
          </w:p>
        </w:tc>
        <w:tc>
          <w:tcPr>
            <w:tcW w:w="1335" w:type="dxa"/>
            <w:tcBorders>
              <w:top w:val="single" w:sz="4" w:space="0" w:color="auto"/>
              <w:left w:val="single" w:sz="4" w:space="0" w:color="auto"/>
              <w:bottom w:val="single" w:sz="4" w:space="0" w:color="auto"/>
              <w:right w:val="single" w:sz="4" w:space="0" w:color="auto"/>
            </w:tcBorders>
          </w:tcPr>
          <w:p w14:paraId="56DEF1B3" w14:textId="07346020" w:rsidR="00ED5FD4" w:rsidRPr="00D80C6C" w:rsidRDefault="00501608">
            <w:pPr>
              <w:jc w:val="both"/>
              <w:rPr>
                <w:rFonts w:cs="Arial"/>
                <w:bCs/>
                <w:sz w:val="22"/>
                <w:szCs w:val="22"/>
              </w:rPr>
            </w:pPr>
            <w:r>
              <w:rPr>
                <w:rFonts w:cs="Arial"/>
                <w:bCs/>
                <w:sz w:val="22"/>
                <w:szCs w:val="22"/>
              </w:rPr>
              <w:t>Moderate</w:t>
            </w:r>
          </w:p>
        </w:tc>
        <w:tc>
          <w:tcPr>
            <w:tcW w:w="27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EB55AA" w14:textId="77777777" w:rsidR="00ED5FD4" w:rsidRPr="00D80C6C" w:rsidRDefault="00ED5FD4">
            <w:pPr>
              <w:jc w:val="both"/>
              <w:rPr>
                <w:rFonts w:cs="Arial"/>
                <w:bCs/>
                <w:sz w:val="22"/>
                <w:szCs w:val="22"/>
              </w:rPr>
            </w:pPr>
            <w:r w:rsidRPr="00D80C6C">
              <w:rPr>
                <w:rFonts w:cs="Arial"/>
                <w:bCs/>
                <w:sz w:val="22"/>
                <w:szCs w:val="22"/>
              </w:rPr>
              <w:t>Risk revised since last AR?</w:t>
            </w:r>
          </w:p>
        </w:tc>
        <w:tc>
          <w:tcPr>
            <w:tcW w:w="2878" w:type="dxa"/>
            <w:tcBorders>
              <w:top w:val="single" w:sz="4" w:space="0" w:color="auto"/>
              <w:left w:val="single" w:sz="4" w:space="0" w:color="auto"/>
              <w:bottom w:val="single" w:sz="4" w:space="0" w:color="auto"/>
              <w:right w:val="single" w:sz="4" w:space="0" w:color="auto"/>
            </w:tcBorders>
          </w:tcPr>
          <w:p w14:paraId="7C423B56" w14:textId="629673FC" w:rsidR="00ED5FD4" w:rsidRPr="00D80C6C" w:rsidRDefault="00501608">
            <w:pPr>
              <w:jc w:val="both"/>
              <w:rPr>
                <w:rFonts w:cs="Arial"/>
                <w:bCs/>
                <w:sz w:val="22"/>
                <w:szCs w:val="22"/>
              </w:rPr>
            </w:pPr>
            <w:r>
              <w:rPr>
                <w:rFonts w:cs="Arial"/>
                <w:bCs/>
                <w:sz w:val="22"/>
                <w:szCs w:val="22"/>
              </w:rPr>
              <w:t>No</w:t>
            </w:r>
          </w:p>
        </w:tc>
      </w:tr>
    </w:tbl>
    <w:p w14:paraId="468D082A" w14:textId="77777777" w:rsidR="00ED5FD4" w:rsidRPr="00D80C6C" w:rsidRDefault="00ED5FD4" w:rsidP="00ED5FD4">
      <w:pPr>
        <w:jc w:val="both"/>
        <w:rPr>
          <w:rFonts w:cs="Arial"/>
          <w:b/>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964"/>
        <w:gridCol w:w="1985"/>
        <w:gridCol w:w="3118"/>
      </w:tblGrid>
      <w:tr w:rsidR="0014270C" w:rsidRPr="00D80C6C" w14:paraId="1DCF0917" w14:textId="77777777" w:rsidTr="003271AF">
        <w:trPr>
          <w:trHeight w:val="273"/>
        </w:trPr>
        <w:tc>
          <w:tcPr>
            <w:tcW w:w="396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7EFCD7" w14:textId="77777777" w:rsidR="00ED5FD4" w:rsidRPr="00D80C6C" w:rsidRDefault="00ED5FD4" w:rsidP="00EF7586">
            <w:pPr>
              <w:rPr>
                <w:rFonts w:cs="Arial"/>
                <w:b/>
                <w:bCs/>
                <w:sz w:val="22"/>
                <w:szCs w:val="22"/>
              </w:rPr>
            </w:pPr>
            <w:r w:rsidRPr="00D80C6C">
              <w:rPr>
                <w:rFonts w:cs="Arial"/>
                <w:b/>
                <w:bCs/>
                <w:sz w:val="22"/>
                <w:szCs w:val="22"/>
              </w:rPr>
              <w:t>Indicator(s)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B685D1" w14:textId="77777777" w:rsidR="00ED5FD4" w:rsidRPr="00D80C6C" w:rsidRDefault="00ED5FD4" w:rsidP="00EF7586">
            <w:pPr>
              <w:rPr>
                <w:rFonts w:cs="Arial"/>
                <w:b/>
                <w:bCs/>
                <w:sz w:val="22"/>
                <w:szCs w:val="22"/>
              </w:rPr>
            </w:pPr>
            <w:r w:rsidRPr="00D80C6C">
              <w:rPr>
                <w:rFonts w:cs="Arial"/>
                <w:b/>
                <w:bCs/>
                <w:sz w:val="22"/>
                <w:szCs w:val="22"/>
              </w:rPr>
              <w:t>Milestone(s) for this review</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38883B" w14:textId="77777777" w:rsidR="00ED5FD4" w:rsidRPr="00D80C6C" w:rsidRDefault="00ED5FD4" w:rsidP="00EF7586">
            <w:pPr>
              <w:rPr>
                <w:rFonts w:cs="Arial"/>
                <w:b/>
                <w:bCs/>
                <w:sz w:val="22"/>
                <w:szCs w:val="22"/>
              </w:rPr>
            </w:pPr>
            <w:r w:rsidRPr="00D80C6C">
              <w:rPr>
                <w:rFonts w:cs="Arial"/>
                <w:b/>
                <w:bCs/>
                <w:sz w:val="22"/>
                <w:szCs w:val="22"/>
              </w:rPr>
              <w:t xml:space="preserve">Progress </w:t>
            </w:r>
          </w:p>
        </w:tc>
      </w:tr>
      <w:tr w:rsidR="0014270C" w:rsidRPr="00D80C6C" w14:paraId="0D9D6326" w14:textId="77777777" w:rsidTr="003271AF">
        <w:tc>
          <w:tcPr>
            <w:tcW w:w="3964" w:type="dxa"/>
            <w:tcBorders>
              <w:top w:val="single" w:sz="4" w:space="0" w:color="auto"/>
              <w:left w:val="single" w:sz="4" w:space="0" w:color="auto"/>
              <w:bottom w:val="single" w:sz="4" w:space="0" w:color="auto"/>
              <w:right w:val="single" w:sz="4" w:space="0" w:color="auto"/>
            </w:tcBorders>
          </w:tcPr>
          <w:p w14:paraId="2A9C800A" w14:textId="176BE572" w:rsidR="00ED5FD4" w:rsidRPr="00D80C6C" w:rsidRDefault="00EF7586" w:rsidP="00EF7586">
            <w:pPr>
              <w:rPr>
                <w:rFonts w:cs="Arial"/>
                <w:bCs/>
                <w:iCs/>
                <w:sz w:val="22"/>
                <w:szCs w:val="22"/>
              </w:rPr>
            </w:pPr>
            <w:r w:rsidRPr="00EF7586">
              <w:rPr>
                <w:rFonts w:cs="Arial"/>
                <w:b/>
                <w:iCs/>
                <w:sz w:val="22"/>
                <w:szCs w:val="22"/>
              </w:rPr>
              <w:t>Indicator 3.1:</w:t>
            </w:r>
            <w:r>
              <w:rPr>
                <w:rFonts w:cs="Arial"/>
                <w:bCs/>
                <w:iCs/>
                <w:sz w:val="22"/>
                <w:szCs w:val="22"/>
              </w:rPr>
              <w:t xml:space="preserve"> </w:t>
            </w:r>
            <w:r w:rsidR="00F861B9" w:rsidRPr="00F861B9">
              <w:rPr>
                <w:rFonts w:cs="Arial"/>
                <w:bCs/>
                <w:iCs/>
                <w:sz w:val="22"/>
                <w:szCs w:val="22"/>
              </w:rPr>
              <w:t>Number of countries (a) engaging with the CLP Programme of Support to initiate the country-led planning process; and (b) with progress towards institutionalized forest monitoring through a country-led planning process with strong momentum and full country ownership.</w:t>
            </w:r>
          </w:p>
        </w:tc>
        <w:tc>
          <w:tcPr>
            <w:tcW w:w="1985" w:type="dxa"/>
            <w:tcBorders>
              <w:top w:val="single" w:sz="4" w:space="0" w:color="auto"/>
              <w:left w:val="single" w:sz="4" w:space="0" w:color="auto"/>
              <w:bottom w:val="single" w:sz="4" w:space="0" w:color="auto"/>
              <w:right w:val="single" w:sz="4" w:space="0" w:color="auto"/>
            </w:tcBorders>
          </w:tcPr>
          <w:p w14:paraId="50E8BA73" w14:textId="57838F75" w:rsidR="00ED5FD4" w:rsidRPr="00D80C6C" w:rsidRDefault="00E03B17" w:rsidP="00EF7586">
            <w:pPr>
              <w:rPr>
                <w:rFonts w:cs="Arial"/>
                <w:bCs/>
                <w:iCs/>
                <w:sz w:val="22"/>
                <w:szCs w:val="22"/>
              </w:rPr>
            </w:pPr>
            <w:r>
              <w:rPr>
                <w:rFonts w:cs="Arial"/>
                <w:bCs/>
                <w:iCs/>
                <w:sz w:val="22"/>
                <w:szCs w:val="22"/>
              </w:rPr>
              <w:t>FY25: (a) 10; (b) 4</w:t>
            </w:r>
          </w:p>
        </w:tc>
        <w:tc>
          <w:tcPr>
            <w:tcW w:w="3118" w:type="dxa"/>
            <w:tcBorders>
              <w:top w:val="single" w:sz="4" w:space="0" w:color="auto"/>
              <w:left w:val="single" w:sz="4" w:space="0" w:color="auto"/>
              <w:bottom w:val="single" w:sz="4" w:space="0" w:color="auto"/>
              <w:right w:val="single" w:sz="4" w:space="0" w:color="auto"/>
            </w:tcBorders>
          </w:tcPr>
          <w:p w14:paraId="2C89E73B" w14:textId="77777777" w:rsidR="00ED5FD4" w:rsidRDefault="00391C1D" w:rsidP="00EF7586">
            <w:pPr>
              <w:contextualSpacing/>
              <w:rPr>
                <w:rFonts w:cs="Arial"/>
                <w:bCs/>
                <w:iCs/>
                <w:sz w:val="22"/>
                <w:szCs w:val="22"/>
              </w:rPr>
            </w:pPr>
            <w:r>
              <w:rPr>
                <w:rFonts w:cs="Arial"/>
                <w:bCs/>
                <w:iCs/>
                <w:sz w:val="22"/>
                <w:szCs w:val="22"/>
              </w:rPr>
              <w:t>FY25 Result: (a) 10; (b) 5</w:t>
            </w:r>
          </w:p>
          <w:p w14:paraId="4AA59FE3" w14:textId="77777777" w:rsidR="00391C1D" w:rsidRDefault="00391C1D" w:rsidP="00EF7586">
            <w:pPr>
              <w:contextualSpacing/>
              <w:rPr>
                <w:rFonts w:cs="Arial"/>
                <w:bCs/>
                <w:iCs/>
                <w:sz w:val="22"/>
                <w:szCs w:val="22"/>
              </w:rPr>
            </w:pPr>
          </w:p>
          <w:p w14:paraId="0B45BE2C" w14:textId="1D616823" w:rsidR="00391C1D" w:rsidRPr="005C1CD8" w:rsidRDefault="00391C1D" w:rsidP="00EF7586">
            <w:pPr>
              <w:contextualSpacing/>
              <w:rPr>
                <w:rFonts w:cs="Arial"/>
                <w:bCs/>
                <w:iCs/>
                <w:sz w:val="22"/>
                <w:szCs w:val="22"/>
              </w:rPr>
            </w:pPr>
            <w:r w:rsidRPr="008360DC">
              <w:rPr>
                <w:rFonts w:cs="Arial"/>
                <w:b/>
                <w:iCs/>
                <w:sz w:val="22"/>
                <w:szCs w:val="22"/>
              </w:rPr>
              <w:t>Progress met</w:t>
            </w:r>
            <w:r w:rsidR="000149D9">
              <w:rPr>
                <w:rFonts w:cs="Arial"/>
                <w:b/>
                <w:iCs/>
                <w:sz w:val="22"/>
                <w:szCs w:val="22"/>
              </w:rPr>
              <w:t xml:space="preserve"> expectations </w:t>
            </w:r>
            <w:r w:rsidR="000149D9">
              <w:rPr>
                <w:rFonts w:cs="Arial"/>
                <w:bCs/>
                <w:iCs/>
                <w:sz w:val="22"/>
                <w:szCs w:val="22"/>
              </w:rPr>
              <w:t xml:space="preserve">for </w:t>
            </w:r>
            <w:r w:rsidR="005C1CD8">
              <w:rPr>
                <w:rFonts w:cs="Arial"/>
                <w:bCs/>
                <w:iCs/>
                <w:sz w:val="22"/>
                <w:szCs w:val="22"/>
              </w:rPr>
              <w:t xml:space="preserve">engaging of countries on </w:t>
            </w:r>
            <w:proofErr w:type="gramStart"/>
            <w:r w:rsidR="005C1CD8">
              <w:rPr>
                <w:rFonts w:cs="Arial"/>
                <w:bCs/>
                <w:iCs/>
                <w:sz w:val="22"/>
                <w:szCs w:val="22"/>
              </w:rPr>
              <w:t>CLP, and</w:t>
            </w:r>
            <w:proofErr w:type="gramEnd"/>
            <w:r w:rsidR="005C1CD8">
              <w:rPr>
                <w:rFonts w:cs="Arial"/>
                <w:bCs/>
                <w:iCs/>
                <w:sz w:val="22"/>
                <w:szCs w:val="22"/>
              </w:rPr>
              <w:t xml:space="preserve"> </w:t>
            </w:r>
            <w:r w:rsidRPr="008360DC">
              <w:rPr>
                <w:rFonts w:cs="Arial"/>
                <w:b/>
                <w:iCs/>
                <w:sz w:val="22"/>
                <w:szCs w:val="22"/>
              </w:rPr>
              <w:t>exceeded expectations</w:t>
            </w:r>
            <w:r w:rsidR="005C1CD8">
              <w:rPr>
                <w:rFonts w:cs="Arial"/>
                <w:b/>
                <w:iCs/>
                <w:sz w:val="22"/>
                <w:szCs w:val="22"/>
              </w:rPr>
              <w:t xml:space="preserve"> </w:t>
            </w:r>
            <w:r w:rsidR="005C1CD8">
              <w:rPr>
                <w:rFonts w:cs="Arial"/>
                <w:bCs/>
                <w:iCs/>
                <w:sz w:val="22"/>
                <w:szCs w:val="22"/>
              </w:rPr>
              <w:t>on progress towards a CLP planning process.</w:t>
            </w:r>
          </w:p>
        </w:tc>
      </w:tr>
      <w:tr w:rsidR="0014270C" w:rsidRPr="00D80C6C" w14:paraId="1F90D51E" w14:textId="77777777" w:rsidTr="003271AF">
        <w:tc>
          <w:tcPr>
            <w:tcW w:w="3964" w:type="dxa"/>
            <w:tcBorders>
              <w:top w:val="single" w:sz="4" w:space="0" w:color="auto"/>
              <w:left w:val="single" w:sz="4" w:space="0" w:color="auto"/>
              <w:bottom w:val="single" w:sz="4" w:space="0" w:color="auto"/>
              <w:right w:val="single" w:sz="4" w:space="0" w:color="auto"/>
            </w:tcBorders>
          </w:tcPr>
          <w:p w14:paraId="69F14F04" w14:textId="74EDFAD6" w:rsidR="00ED5FD4" w:rsidRPr="00D80C6C" w:rsidRDefault="00EF7586" w:rsidP="00EF7586">
            <w:pPr>
              <w:rPr>
                <w:rFonts w:cs="Arial"/>
                <w:bCs/>
                <w:iCs/>
                <w:sz w:val="22"/>
                <w:szCs w:val="22"/>
              </w:rPr>
            </w:pPr>
            <w:r w:rsidRPr="00EF7586">
              <w:rPr>
                <w:rFonts w:cs="Arial"/>
                <w:b/>
                <w:iCs/>
                <w:sz w:val="22"/>
                <w:szCs w:val="22"/>
              </w:rPr>
              <w:t>Indicator 3.2:</w:t>
            </w:r>
            <w:r>
              <w:rPr>
                <w:rFonts w:cs="Arial"/>
                <w:bCs/>
                <w:iCs/>
                <w:sz w:val="22"/>
                <w:szCs w:val="22"/>
              </w:rPr>
              <w:t xml:space="preserve"> </w:t>
            </w:r>
            <w:r w:rsidR="00F861B9" w:rsidRPr="00F861B9">
              <w:rPr>
                <w:rFonts w:cs="Arial"/>
                <w:bCs/>
                <w:iCs/>
                <w:sz w:val="22"/>
                <w:szCs w:val="22"/>
              </w:rPr>
              <w:t>Number of technical support providers using the country-led planning process (other than FAO through AIM4Forests)</w:t>
            </w:r>
          </w:p>
        </w:tc>
        <w:tc>
          <w:tcPr>
            <w:tcW w:w="1985" w:type="dxa"/>
            <w:tcBorders>
              <w:top w:val="single" w:sz="4" w:space="0" w:color="auto"/>
              <w:left w:val="single" w:sz="4" w:space="0" w:color="auto"/>
              <w:bottom w:val="single" w:sz="4" w:space="0" w:color="auto"/>
              <w:right w:val="single" w:sz="4" w:space="0" w:color="auto"/>
            </w:tcBorders>
          </w:tcPr>
          <w:p w14:paraId="69713EB7" w14:textId="13ACB4A7" w:rsidR="00ED5FD4" w:rsidRPr="00D80C6C" w:rsidRDefault="00E03B17" w:rsidP="00EF7586">
            <w:pPr>
              <w:rPr>
                <w:rFonts w:cs="Arial"/>
                <w:bCs/>
                <w:iCs/>
                <w:sz w:val="22"/>
                <w:szCs w:val="22"/>
              </w:rPr>
            </w:pPr>
            <w:r>
              <w:rPr>
                <w:rFonts w:cs="Arial"/>
                <w:bCs/>
                <w:iCs/>
                <w:sz w:val="22"/>
                <w:szCs w:val="22"/>
              </w:rPr>
              <w:t>FY25: 3</w:t>
            </w:r>
          </w:p>
        </w:tc>
        <w:tc>
          <w:tcPr>
            <w:tcW w:w="3118" w:type="dxa"/>
            <w:tcBorders>
              <w:top w:val="single" w:sz="4" w:space="0" w:color="auto"/>
              <w:left w:val="single" w:sz="4" w:space="0" w:color="auto"/>
              <w:bottom w:val="single" w:sz="4" w:space="0" w:color="auto"/>
              <w:right w:val="single" w:sz="4" w:space="0" w:color="auto"/>
            </w:tcBorders>
          </w:tcPr>
          <w:p w14:paraId="53CEEE7F" w14:textId="77777777" w:rsidR="00ED5FD4" w:rsidRDefault="00391C1D" w:rsidP="00EF7586">
            <w:pPr>
              <w:contextualSpacing/>
              <w:rPr>
                <w:rFonts w:cs="Arial"/>
                <w:bCs/>
                <w:iCs/>
                <w:sz w:val="22"/>
                <w:szCs w:val="22"/>
              </w:rPr>
            </w:pPr>
            <w:r>
              <w:rPr>
                <w:rFonts w:cs="Arial"/>
                <w:bCs/>
                <w:iCs/>
                <w:sz w:val="22"/>
                <w:szCs w:val="22"/>
              </w:rPr>
              <w:t xml:space="preserve">FY25 Result: 2. </w:t>
            </w:r>
          </w:p>
          <w:p w14:paraId="594FE17A" w14:textId="77777777" w:rsidR="00391C1D" w:rsidRDefault="00391C1D" w:rsidP="00EF7586">
            <w:pPr>
              <w:contextualSpacing/>
              <w:rPr>
                <w:rFonts w:cs="Arial"/>
                <w:bCs/>
                <w:iCs/>
                <w:sz w:val="22"/>
                <w:szCs w:val="22"/>
              </w:rPr>
            </w:pPr>
          </w:p>
          <w:p w14:paraId="387FF2C2" w14:textId="768F922D" w:rsidR="00391C1D" w:rsidRPr="008360DC" w:rsidRDefault="00391C1D" w:rsidP="00EF7586">
            <w:pPr>
              <w:contextualSpacing/>
              <w:rPr>
                <w:rFonts w:cs="Arial"/>
                <w:b/>
                <w:iCs/>
                <w:sz w:val="22"/>
                <w:szCs w:val="22"/>
              </w:rPr>
            </w:pPr>
            <w:r w:rsidRPr="008360DC">
              <w:rPr>
                <w:rFonts w:cs="Arial"/>
                <w:b/>
                <w:iCs/>
                <w:sz w:val="22"/>
                <w:szCs w:val="22"/>
              </w:rPr>
              <w:t>Progress did not meet expectation</w:t>
            </w:r>
          </w:p>
        </w:tc>
      </w:tr>
      <w:tr w:rsidR="0014270C" w:rsidRPr="00D80C6C" w14:paraId="1699F27A" w14:textId="77777777" w:rsidTr="003271AF">
        <w:tc>
          <w:tcPr>
            <w:tcW w:w="3964" w:type="dxa"/>
            <w:tcBorders>
              <w:top w:val="single" w:sz="4" w:space="0" w:color="auto"/>
              <w:left w:val="single" w:sz="4" w:space="0" w:color="auto"/>
              <w:bottom w:val="single" w:sz="4" w:space="0" w:color="auto"/>
              <w:right w:val="single" w:sz="4" w:space="0" w:color="auto"/>
            </w:tcBorders>
          </w:tcPr>
          <w:p w14:paraId="5A5AB57D" w14:textId="45991BF5" w:rsidR="00EF7586" w:rsidRPr="00F861B9" w:rsidRDefault="00EF7586" w:rsidP="00EF7586">
            <w:pPr>
              <w:rPr>
                <w:rFonts w:cs="Arial"/>
                <w:bCs/>
                <w:iCs/>
                <w:sz w:val="22"/>
                <w:szCs w:val="22"/>
              </w:rPr>
            </w:pPr>
            <w:r>
              <w:rPr>
                <w:rFonts w:cs="Arial"/>
                <w:b/>
                <w:iCs/>
                <w:sz w:val="22"/>
                <w:szCs w:val="22"/>
              </w:rPr>
              <w:t xml:space="preserve">Indicator 3.3: </w:t>
            </w:r>
            <w:r w:rsidRPr="00EF7586">
              <w:rPr>
                <w:rFonts w:cs="Arial"/>
                <w:bCs/>
                <w:iCs/>
                <w:sz w:val="22"/>
                <w:szCs w:val="22"/>
              </w:rPr>
              <w:t>Number of countries with technical assistance packages deployed in the context of (a) data-driven resource management, (b) high-quality measurement, reporting and verification of mitigation actions, (c) transparent commodity value chains, (d) tracking nature restoration progress, (e) any of the above</w:t>
            </w:r>
          </w:p>
        </w:tc>
        <w:tc>
          <w:tcPr>
            <w:tcW w:w="1985" w:type="dxa"/>
            <w:tcBorders>
              <w:top w:val="single" w:sz="4" w:space="0" w:color="auto"/>
              <w:left w:val="single" w:sz="4" w:space="0" w:color="auto"/>
              <w:bottom w:val="single" w:sz="4" w:space="0" w:color="auto"/>
              <w:right w:val="single" w:sz="4" w:space="0" w:color="auto"/>
            </w:tcBorders>
          </w:tcPr>
          <w:p w14:paraId="64F1604A" w14:textId="5C5CE19E" w:rsidR="00EF7586" w:rsidRPr="00D80C6C" w:rsidRDefault="00E03B17" w:rsidP="00EF7586">
            <w:pPr>
              <w:rPr>
                <w:rFonts w:cs="Arial"/>
                <w:bCs/>
                <w:iCs/>
                <w:sz w:val="22"/>
                <w:szCs w:val="22"/>
              </w:rPr>
            </w:pPr>
            <w:r>
              <w:rPr>
                <w:rFonts w:cs="Arial"/>
                <w:bCs/>
                <w:iCs/>
                <w:sz w:val="22"/>
                <w:szCs w:val="22"/>
              </w:rPr>
              <w:t xml:space="preserve">FY25: (a) 10; (b) 12; (c) 4; (d) 5; (e) </w:t>
            </w:r>
            <w:r w:rsidR="003271AF">
              <w:rPr>
                <w:rFonts w:cs="Arial"/>
                <w:bCs/>
                <w:iCs/>
                <w:sz w:val="22"/>
                <w:szCs w:val="22"/>
              </w:rPr>
              <w:t>14</w:t>
            </w:r>
          </w:p>
        </w:tc>
        <w:tc>
          <w:tcPr>
            <w:tcW w:w="3118" w:type="dxa"/>
            <w:tcBorders>
              <w:top w:val="single" w:sz="4" w:space="0" w:color="auto"/>
              <w:left w:val="single" w:sz="4" w:space="0" w:color="auto"/>
              <w:bottom w:val="single" w:sz="4" w:space="0" w:color="auto"/>
              <w:right w:val="single" w:sz="4" w:space="0" w:color="auto"/>
            </w:tcBorders>
          </w:tcPr>
          <w:p w14:paraId="5835C165" w14:textId="77777777" w:rsidR="00EF7586" w:rsidRDefault="00391C1D" w:rsidP="00EF7586">
            <w:pPr>
              <w:contextualSpacing/>
              <w:rPr>
                <w:rFonts w:cs="Arial"/>
                <w:bCs/>
                <w:iCs/>
                <w:sz w:val="22"/>
                <w:szCs w:val="22"/>
              </w:rPr>
            </w:pPr>
            <w:r>
              <w:rPr>
                <w:rFonts w:cs="Arial"/>
                <w:bCs/>
                <w:iCs/>
                <w:sz w:val="22"/>
                <w:szCs w:val="22"/>
              </w:rPr>
              <w:t>FY25 Result: (a) 12; (b)</w:t>
            </w:r>
            <w:r w:rsidR="008360DC">
              <w:rPr>
                <w:rFonts w:cs="Arial"/>
                <w:bCs/>
                <w:iCs/>
                <w:sz w:val="22"/>
                <w:szCs w:val="22"/>
              </w:rPr>
              <w:t xml:space="preserve"> 12; (c) 5; (d) 5; (e) 16</w:t>
            </w:r>
          </w:p>
          <w:p w14:paraId="0C6B07D3" w14:textId="77777777" w:rsidR="008360DC" w:rsidRDefault="008360DC" w:rsidP="00EF7586">
            <w:pPr>
              <w:contextualSpacing/>
              <w:rPr>
                <w:rFonts w:cs="Arial"/>
                <w:bCs/>
                <w:iCs/>
                <w:sz w:val="22"/>
                <w:szCs w:val="22"/>
              </w:rPr>
            </w:pPr>
          </w:p>
          <w:p w14:paraId="1B07D598" w14:textId="3DC764C6" w:rsidR="008360DC" w:rsidRPr="008360DC" w:rsidRDefault="008360DC" w:rsidP="00EF7586">
            <w:pPr>
              <w:contextualSpacing/>
              <w:rPr>
                <w:rFonts w:cs="Arial"/>
                <w:b/>
                <w:iCs/>
                <w:sz w:val="22"/>
                <w:szCs w:val="22"/>
              </w:rPr>
            </w:pPr>
            <w:r w:rsidRPr="008360DC">
              <w:rPr>
                <w:rFonts w:cs="Arial"/>
                <w:b/>
                <w:iCs/>
                <w:sz w:val="22"/>
                <w:szCs w:val="22"/>
              </w:rPr>
              <w:t>Progress met/exceeded expectations for all.</w:t>
            </w:r>
          </w:p>
        </w:tc>
      </w:tr>
      <w:tr w:rsidR="0014270C" w:rsidRPr="00D80C6C" w14:paraId="1AAE8304" w14:textId="77777777" w:rsidTr="003271AF">
        <w:tc>
          <w:tcPr>
            <w:tcW w:w="3964" w:type="dxa"/>
            <w:tcBorders>
              <w:top w:val="single" w:sz="4" w:space="0" w:color="auto"/>
              <w:left w:val="single" w:sz="4" w:space="0" w:color="auto"/>
              <w:bottom w:val="single" w:sz="4" w:space="0" w:color="auto"/>
              <w:right w:val="single" w:sz="4" w:space="0" w:color="auto"/>
            </w:tcBorders>
          </w:tcPr>
          <w:p w14:paraId="17A319E8" w14:textId="7595038C" w:rsidR="00EF7586" w:rsidRPr="00EF7586" w:rsidRDefault="00EF7586" w:rsidP="00EF7586">
            <w:pPr>
              <w:rPr>
                <w:rFonts w:cs="Arial"/>
                <w:bCs/>
                <w:iCs/>
                <w:sz w:val="22"/>
                <w:szCs w:val="22"/>
              </w:rPr>
            </w:pPr>
            <w:r w:rsidRPr="00EF7586">
              <w:rPr>
                <w:rFonts w:cs="Arial"/>
                <w:b/>
                <w:iCs/>
                <w:sz w:val="22"/>
                <w:szCs w:val="22"/>
              </w:rPr>
              <w:t>Indicator 3.4:</w:t>
            </w:r>
            <w:r>
              <w:rPr>
                <w:rFonts w:cs="Arial"/>
                <w:bCs/>
                <w:iCs/>
                <w:sz w:val="22"/>
                <w:szCs w:val="22"/>
              </w:rPr>
              <w:t xml:space="preserve"> </w:t>
            </w:r>
            <w:r w:rsidRPr="00EF7586">
              <w:rPr>
                <w:rFonts w:cs="Arial"/>
                <w:bCs/>
                <w:iCs/>
                <w:sz w:val="22"/>
                <w:szCs w:val="22"/>
              </w:rPr>
              <w:t>Number of countries (a) with capacity assessments conducted in the context of country technical assistance and (b) with integrated capacity development trajectories guiding capacity development.</w:t>
            </w:r>
          </w:p>
        </w:tc>
        <w:tc>
          <w:tcPr>
            <w:tcW w:w="1985" w:type="dxa"/>
            <w:tcBorders>
              <w:top w:val="single" w:sz="4" w:space="0" w:color="auto"/>
              <w:left w:val="single" w:sz="4" w:space="0" w:color="auto"/>
              <w:bottom w:val="single" w:sz="4" w:space="0" w:color="auto"/>
              <w:right w:val="single" w:sz="4" w:space="0" w:color="auto"/>
            </w:tcBorders>
          </w:tcPr>
          <w:p w14:paraId="672597D8" w14:textId="447FFB5B" w:rsidR="00EF7586" w:rsidRPr="00D80C6C" w:rsidRDefault="003271AF" w:rsidP="00EF7586">
            <w:pPr>
              <w:rPr>
                <w:rFonts w:cs="Arial"/>
                <w:bCs/>
                <w:iCs/>
                <w:sz w:val="22"/>
                <w:szCs w:val="22"/>
              </w:rPr>
            </w:pPr>
            <w:r>
              <w:rPr>
                <w:rFonts w:cs="Arial"/>
                <w:bCs/>
                <w:iCs/>
                <w:sz w:val="22"/>
                <w:szCs w:val="22"/>
              </w:rPr>
              <w:t>FY25: (a) 18; (b) 5</w:t>
            </w:r>
          </w:p>
        </w:tc>
        <w:tc>
          <w:tcPr>
            <w:tcW w:w="3118" w:type="dxa"/>
            <w:tcBorders>
              <w:top w:val="single" w:sz="4" w:space="0" w:color="auto"/>
              <w:left w:val="single" w:sz="4" w:space="0" w:color="auto"/>
              <w:bottom w:val="single" w:sz="4" w:space="0" w:color="auto"/>
              <w:right w:val="single" w:sz="4" w:space="0" w:color="auto"/>
            </w:tcBorders>
          </w:tcPr>
          <w:p w14:paraId="332D3F2E" w14:textId="77777777" w:rsidR="00EF7586" w:rsidRDefault="008360DC" w:rsidP="00EF7586">
            <w:pPr>
              <w:contextualSpacing/>
              <w:rPr>
                <w:rFonts w:cs="Arial"/>
                <w:bCs/>
                <w:iCs/>
                <w:sz w:val="22"/>
                <w:szCs w:val="22"/>
              </w:rPr>
            </w:pPr>
            <w:r>
              <w:rPr>
                <w:rFonts w:cs="Arial"/>
                <w:bCs/>
                <w:iCs/>
                <w:sz w:val="22"/>
                <w:szCs w:val="22"/>
              </w:rPr>
              <w:t>FY25 Result: (a) 15; (b) 5</w:t>
            </w:r>
          </w:p>
          <w:p w14:paraId="74F34242" w14:textId="77777777" w:rsidR="008360DC" w:rsidRDefault="008360DC" w:rsidP="00EF7586">
            <w:pPr>
              <w:contextualSpacing/>
              <w:rPr>
                <w:rFonts w:cs="Arial"/>
                <w:bCs/>
                <w:iCs/>
                <w:sz w:val="22"/>
                <w:szCs w:val="22"/>
              </w:rPr>
            </w:pPr>
          </w:p>
          <w:p w14:paraId="283F2D03" w14:textId="1BC819E0" w:rsidR="008360DC" w:rsidRPr="00D80C6C" w:rsidRDefault="008360DC" w:rsidP="00EF7586">
            <w:pPr>
              <w:contextualSpacing/>
              <w:rPr>
                <w:rFonts w:cs="Arial"/>
                <w:bCs/>
                <w:iCs/>
                <w:sz w:val="22"/>
                <w:szCs w:val="22"/>
              </w:rPr>
            </w:pPr>
            <w:r w:rsidRPr="008360DC">
              <w:rPr>
                <w:rFonts w:cs="Arial"/>
                <w:b/>
                <w:iCs/>
                <w:sz w:val="22"/>
                <w:szCs w:val="22"/>
              </w:rPr>
              <w:t>Progress did not meet expectations</w:t>
            </w:r>
            <w:r>
              <w:rPr>
                <w:rFonts w:cs="Arial"/>
                <w:bCs/>
                <w:iCs/>
                <w:sz w:val="22"/>
                <w:szCs w:val="22"/>
              </w:rPr>
              <w:t xml:space="preserve"> for capacity assessments</w:t>
            </w:r>
            <w:r w:rsidR="000149D9">
              <w:rPr>
                <w:rFonts w:cs="Arial"/>
                <w:bCs/>
                <w:iCs/>
                <w:sz w:val="22"/>
                <w:szCs w:val="22"/>
              </w:rPr>
              <w:t xml:space="preserve">. </w:t>
            </w:r>
            <w:r w:rsidRPr="008360DC">
              <w:rPr>
                <w:rFonts w:cs="Arial"/>
                <w:b/>
                <w:iCs/>
                <w:sz w:val="22"/>
                <w:szCs w:val="22"/>
              </w:rPr>
              <w:t xml:space="preserve">Progress </w:t>
            </w:r>
            <w:r w:rsidR="000149D9">
              <w:rPr>
                <w:rFonts w:cs="Arial"/>
                <w:b/>
                <w:iCs/>
                <w:sz w:val="22"/>
                <w:szCs w:val="22"/>
              </w:rPr>
              <w:t>met</w:t>
            </w:r>
            <w:r w:rsidRPr="008360DC">
              <w:rPr>
                <w:rFonts w:cs="Arial"/>
                <w:b/>
                <w:iCs/>
                <w:sz w:val="22"/>
                <w:szCs w:val="22"/>
              </w:rPr>
              <w:t xml:space="preserve"> expectations</w:t>
            </w:r>
            <w:r>
              <w:rPr>
                <w:rFonts w:cs="Arial"/>
                <w:bCs/>
                <w:iCs/>
                <w:sz w:val="22"/>
                <w:szCs w:val="22"/>
              </w:rPr>
              <w:t xml:space="preserve"> for capacity development trajectories</w:t>
            </w:r>
          </w:p>
        </w:tc>
      </w:tr>
      <w:tr w:rsidR="0014270C" w:rsidRPr="00D80C6C" w14:paraId="7EC75510" w14:textId="77777777" w:rsidTr="003271AF">
        <w:tc>
          <w:tcPr>
            <w:tcW w:w="3964" w:type="dxa"/>
            <w:tcBorders>
              <w:top w:val="single" w:sz="4" w:space="0" w:color="auto"/>
              <w:left w:val="single" w:sz="4" w:space="0" w:color="auto"/>
              <w:bottom w:val="single" w:sz="4" w:space="0" w:color="auto"/>
              <w:right w:val="single" w:sz="4" w:space="0" w:color="auto"/>
            </w:tcBorders>
          </w:tcPr>
          <w:p w14:paraId="77444A51" w14:textId="51EDD36A" w:rsidR="00EF7586" w:rsidRPr="00EF7586" w:rsidRDefault="00144D29" w:rsidP="00EF7586">
            <w:pPr>
              <w:rPr>
                <w:rFonts w:cs="Arial"/>
                <w:bCs/>
                <w:iCs/>
                <w:sz w:val="22"/>
                <w:szCs w:val="22"/>
              </w:rPr>
            </w:pPr>
            <w:r>
              <w:rPr>
                <w:rFonts w:cs="Arial"/>
                <w:b/>
                <w:iCs/>
                <w:sz w:val="22"/>
                <w:szCs w:val="22"/>
              </w:rPr>
              <w:t xml:space="preserve">[NEW] </w:t>
            </w:r>
            <w:r w:rsidR="00EF7586" w:rsidRPr="00EF7586">
              <w:rPr>
                <w:rFonts w:cs="Arial"/>
                <w:b/>
                <w:iCs/>
                <w:sz w:val="22"/>
                <w:szCs w:val="22"/>
              </w:rPr>
              <w:t>Indicator 3.5:</w:t>
            </w:r>
            <w:r w:rsidR="00EF7586">
              <w:rPr>
                <w:rFonts w:cs="Arial"/>
                <w:bCs/>
                <w:iCs/>
                <w:sz w:val="22"/>
                <w:szCs w:val="22"/>
              </w:rPr>
              <w:t xml:space="preserve"> </w:t>
            </w:r>
            <w:r w:rsidR="00EF7586" w:rsidRPr="00EF7586">
              <w:rPr>
                <w:rFonts w:cs="Arial"/>
                <w:bCs/>
                <w:iCs/>
                <w:sz w:val="22"/>
                <w:szCs w:val="22"/>
              </w:rPr>
              <w:t>Number of (sub)national forest and climate policies and legislation informed by country technical assistance.</w:t>
            </w:r>
          </w:p>
        </w:tc>
        <w:tc>
          <w:tcPr>
            <w:tcW w:w="1985" w:type="dxa"/>
            <w:tcBorders>
              <w:top w:val="single" w:sz="4" w:space="0" w:color="auto"/>
              <w:left w:val="single" w:sz="4" w:space="0" w:color="auto"/>
              <w:bottom w:val="single" w:sz="4" w:space="0" w:color="auto"/>
              <w:right w:val="single" w:sz="4" w:space="0" w:color="auto"/>
            </w:tcBorders>
          </w:tcPr>
          <w:p w14:paraId="11E3F945" w14:textId="02E3B211" w:rsidR="00EF7586" w:rsidRPr="00D80C6C" w:rsidRDefault="003271AF" w:rsidP="00EF7586">
            <w:pPr>
              <w:rPr>
                <w:rFonts w:cs="Arial"/>
                <w:bCs/>
                <w:iCs/>
                <w:sz w:val="22"/>
                <w:szCs w:val="22"/>
              </w:rPr>
            </w:pPr>
            <w:r>
              <w:rPr>
                <w:rFonts w:cs="Arial"/>
                <w:bCs/>
                <w:iCs/>
                <w:sz w:val="22"/>
                <w:szCs w:val="22"/>
              </w:rPr>
              <w:t>FY25: 2</w:t>
            </w:r>
          </w:p>
        </w:tc>
        <w:tc>
          <w:tcPr>
            <w:tcW w:w="3118" w:type="dxa"/>
            <w:tcBorders>
              <w:top w:val="single" w:sz="4" w:space="0" w:color="auto"/>
              <w:left w:val="single" w:sz="4" w:space="0" w:color="auto"/>
              <w:bottom w:val="single" w:sz="4" w:space="0" w:color="auto"/>
              <w:right w:val="single" w:sz="4" w:space="0" w:color="auto"/>
            </w:tcBorders>
          </w:tcPr>
          <w:p w14:paraId="4326D41E" w14:textId="77777777" w:rsidR="00EF7586" w:rsidRDefault="00606F97" w:rsidP="00EF7586">
            <w:pPr>
              <w:contextualSpacing/>
              <w:rPr>
                <w:rFonts w:cs="Arial"/>
                <w:bCs/>
                <w:iCs/>
                <w:sz w:val="22"/>
                <w:szCs w:val="22"/>
              </w:rPr>
            </w:pPr>
            <w:r>
              <w:rPr>
                <w:rFonts w:cs="Arial"/>
                <w:bCs/>
                <w:iCs/>
                <w:sz w:val="22"/>
                <w:szCs w:val="22"/>
              </w:rPr>
              <w:t>FY25 Result: 3</w:t>
            </w:r>
          </w:p>
          <w:p w14:paraId="156F3A59" w14:textId="77777777" w:rsidR="00606F97" w:rsidRDefault="00606F97" w:rsidP="00EF7586">
            <w:pPr>
              <w:contextualSpacing/>
              <w:rPr>
                <w:rFonts w:cs="Arial"/>
                <w:bCs/>
                <w:iCs/>
                <w:sz w:val="22"/>
                <w:szCs w:val="22"/>
              </w:rPr>
            </w:pPr>
          </w:p>
          <w:p w14:paraId="71DE78A5" w14:textId="54688CCD" w:rsidR="00606F97" w:rsidRPr="00606F97" w:rsidRDefault="00606F97" w:rsidP="00EF7586">
            <w:pPr>
              <w:contextualSpacing/>
              <w:rPr>
                <w:rFonts w:cs="Arial"/>
                <w:b/>
                <w:iCs/>
                <w:sz w:val="22"/>
                <w:szCs w:val="22"/>
              </w:rPr>
            </w:pPr>
            <w:r w:rsidRPr="00606F97">
              <w:rPr>
                <w:rFonts w:cs="Arial"/>
                <w:b/>
                <w:iCs/>
                <w:sz w:val="22"/>
                <w:szCs w:val="22"/>
              </w:rPr>
              <w:t>Progress exceeded expectations</w:t>
            </w:r>
          </w:p>
        </w:tc>
      </w:tr>
    </w:tbl>
    <w:p w14:paraId="6BE3E8E2" w14:textId="21570876" w:rsidR="00171876" w:rsidRDefault="00166AD8" w:rsidP="00171876">
      <w:pPr>
        <w:jc w:val="both"/>
        <w:rPr>
          <w:rFonts w:cs="Arial"/>
          <w:sz w:val="22"/>
          <w:szCs w:val="22"/>
        </w:rPr>
      </w:pPr>
      <w:r>
        <w:rPr>
          <w:rFonts w:cs="Arial"/>
          <w:sz w:val="22"/>
          <w:szCs w:val="22"/>
        </w:rPr>
        <w:t xml:space="preserve">Progress on Output 3 has been </w:t>
      </w:r>
      <w:proofErr w:type="gramStart"/>
      <w:r>
        <w:rPr>
          <w:rFonts w:cs="Arial"/>
          <w:sz w:val="22"/>
          <w:szCs w:val="22"/>
        </w:rPr>
        <w:t>fairly mixed</w:t>
      </w:r>
      <w:proofErr w:type="gramEnd"/>
      <w:r w:rsidR="00F738AA">
        <w:rPr>
          <w:rFonts w:cs="Arial"/>
          <w:sz w:val="22"/>
          <w:szCs w:val="22"/>
        </w:rPr>
        <w:t>, with generally positive progress</w:t>
      </w:r>
      <w:r>
        <w:rPr>
          <w:rFonts w:cs="Arial"/>
          <w:sz w:val="22"/>
          <w:szCs w:val="22"/>
        </w:rPr>
        <w:t xml:space="preserve">. </w:t>
      </w:r>
      <w:r w:rsidR="00F738AA">
        <w:rPr>
          <w:rFonts w:cs="Arial"/>
          <w:sz w:val="22"/>
          <w:szCs w:val="22"/>
        </w:rPr>
        <w:t>In most instances,</w:t>
      </w:r>
      <w:r>
        <w:rPr>
          <w:rFonts w:cs="Arial"/>
          <w:sz w:val="22"/>
          <w:szCs w:val="22"/>
        </w:rPr>
        <w:t xml:space="preserve"> progress has met or exceeded expectations, but in two indicators, progress did not meet expectations. Therefore, this indicator set has been awarded an ‘A’</w:t>
      </w:r>
      <w:r w:rsidR="002851E0">
        <w:rPr>
          <w:rFonts w:cs="Arial"/>
          <w:sz w:val="22"/>
          <w:szCs w:val="22"/>
        </w:rPr>
        <w:t xml:space="preserve">, as the balance of the indicator </w:t>
      </w:r>
      <w:r w:rsidR="00174740">
        <w:rPr>
          <w:rFonts w:cs="Arial"/>
          <w:sz w:val="22"/>
          <w:szCs w:val="22"/>
        </w:rPr>
        <w:t xml:space="preserve">is that while good progress has been made, some areas could accelerate further. </w:t>
      </w:r>
      <w:r>
        <w:rPr>
          <w:rFonts w:cs="Arial"/>
          <w:sz w:val="22"/>
          <w:szCs w:val="22"/>
        </w:rPr>
        <w:t xml:space="preserve"> </w:t>
      </w:r>
    </w:p>
    <w:p w14:paraId="10244675" w14:textId="77777777" w:rsidR="000A65F7" w:rsidRDefault="000A65F7" w:rsidP="00171876">
      <w:pPr>
        <w:jc w:val="both"/>
        <w:rPr>
          <w:rFonts w:cs="Arial"/>
          <w:sz w:val="22"/>
          <w:szCs w:val="22"/>
        </w:rPr>
      </w:pPr>
    </w:p>
    <w:p w14:paraId="2EFE3995" w14:textId="533271D7" w:rsidR="004A367B" w:rsidRDefault="000A65F7" w:rsidP="004D5FD5">
      <w:pPr>
        <w:jc w:val="both"/>
        <w:rPr>
          <w:rFonts w:cs="Arial"/>
          <w:sz w:val="22"/>
          <w:szCs w:val="22"/>
        </w:rPr>
      </w:pPr>
      <w:r>
        <w:rPr>
          <w:rFonts w:cs="Arial"/>
          <w:sz w:val="22"/>
          <w:szCs w:val="22"/>
        </w:rPr>
        <w:lastRenderedPageBreak/>
        <w:t>This Output set focuses on supporting countries to</w:t>
      </w:r>
      <w:r w:rsidRPr="000A65F7">
        <w:rPr>
          <w:rFonts w:cs="Arial"/>
          <w:sz w:val="22"/>
          <w:szCs w:val="22"/>
        </w:rPr>
        <w:t xml:space="preserve"> address technical and functional gaps and develop forest monitoring systems that are sustainable, robus</w:t>
      </w:r>
      <w:r>
        <w:rPr>
          <w:rFonts w:cs="Arial"/>
          <w:sz w:val="22"/>
          <w:szCs w:val="22"/>
        </w:rPr>
        <w:t>t and relevant, through direct support to countrie</w:t>
      </w:r>
      <w:r w:rsidR="00F23240">
        <w:rPr>
          <w:rFonts w:cs="Arial"/>
          <w:sz w:val="22"/>
          <w:szCs w:val="22"/>
        </w:rPr>
        <w:t xml:space="preserve">s, including via an innovative </w:t>
      </w:r>
      <w:hyperlink r:id="rId33" w:history="1">
        <w:r w:rsidR="00F23240" w:rsidRPr="001A0A33">
          <w:rPr>
            <w:rStyle w:val="Hyperlink"/>
            <w:rFonts w:cs="Arial"/>
            <w:sz w:val="22"/>
            <w:szCs w:val="22"/>
          </w:rPr>
          <w:t>Country-Led Planning</w:t>
        </w:r>
      </w:hyperlink>
      <w:r w:rsidR="00F23240">
        <w:rPr>
          <w:rFonts w:cs="Arial"/>
          <w:sz w:val="22"/>
          <w:szCs w:val="22"/>
        </w:rPr>
        <w:t xml:space="preserve"> </w:t>
      </w:r>
      <w:r w:rsidR="00D57132">
        <w:rPr>
          <w:rFonts w:cs="Arial"/>
          <w:sz w:val="22"/>
          <w:szCs w:val="22"/>
        </w:rPr>
        <w:t xml:space="preserve">(CLP) </w:t>
      </w:r>
      <w:r w:rsidR="00F23240">
        <w:rPr>
          <w:rFonts w:cs="Arial"/>
          <w:sz w:val="22"/>
          <w:szCs w:val="22"/>
        </w:rPr>
        <w:t xml:space="preserve">process. </w:t>
      </w:r>
      <w:r w:rsidR="00D57132">
        <w:rPr>
          <w:rFonts w:cs="Arial"/>
          <w:sz w:val="22"/>
          <w:szCs w:val="22"/>
        </w:rPr>
        <w:t xml:space="preserve">The </w:t>
      </w:r>
      <w:r w:rsidR="00D57132" w:rsidRPr="00D57132">
        <w:rPr>
          <w:rFonts w:cs="Arial"/>
          <w:sz w:val="22"/>
          <w:szCs w:val="22"/>
        </w:rPr>
        <w:t xml:space="preserve">objective </w:t>
      </w:r>
      <w:r w:rsidR="00D57132">
        <w:rPr>
          <w:rFonts w:cs="Arial"/>
          <w:sz w:val="22"/>
          <w:szCs w:val="22"/>
        </w:rPr>
        <w:t>of the CLP is to</w:t>
      </w:r>
      <w:r w:rsidR="00D57132" w:rsidRPr="00D57132">
        <w:rPr>
          <w:rFonts w:cs="Arial"/>
          <w:sz w:val="22"/>
          <w:szCs w:val="22"/>
        </w:rPr>
        <w:t xml:space="preserve"> support motivated countries with identifying a coherent sequence of steps to operationali</w:t>
      </w:r>
      <w:r w:rsidR="008178BB">
        <w:rPr>
          <w:rFonts w:cs="Arial"/>
          <w:sz w:val="22"/>
          <w:szCs w:val="22"/>
        </w:rPr>
        <w:t>s</w:t>
      </w:r>
      <w:r w:rsidR="00D57132" w:rsidRPr="00D57132">
        <w:rPr>
          <w:rFonts w:cs="Arial"/>
          <w:sz w:val="22"/>
          <w:szCs w:val="22"/>
        </w:rPr>
        <w:t xml:space="preserve">e and sustain their </w:t>
      </w:r>
      <w:r w:rsidR="008178BB">
        <w:rPr>
          <w:rFonts w:cs="Arial"/>
          <w:sz w:val="22"/>
          <w:szCs w:val="22"/>
        </w:rPr>
        <w:t xml:space="preserve">National Forest Monitoring Systems </w:t>
      </w:r>
      <w:r w:rsidR="00D57132" w:rsidRPr="00D57132">
        <w:rPr>
          <w:rFonts w:cs="Arial"/>
          <w:sz w:val="22"/>
          <w:szCs w:val="22"/>
        </w:rPr>
        <w:t>within national institutions</w:t>
      </w:r>
      <w:r w:rsidR="008178BB">
        <w:rPr>
          <w:rFonts w:cs="Arial"/>
          <w:sz w:val="22"/>
          <w:szCs w:val="22"/>
        </w:rPr>
        <w:t xml:space="preserve">. In 2025, 10 countries were engaged in this process – Peru, Vietnam, DRC, Fiji, Guatemala, Kenya, Nigeria, Zambia, Cambodia, and Belize (Indicator 3.1). </w:t>
      </w:r>
      <w:r w:rsidR="00A20EAD">
        <w:rPr>
          <w:rFonts w:cs="Arial"/>
          <w:sz w:val="22"/>
          <w:szCs w:val="22"/>
        </w:rPr>
        <w:t xml:space="preserve">Of these countries, five of these report strong ownership and momentum – Kenya, Zambia, Nigeria, Peru, and Guatemala. </w:t>
      </w:r>
    </w:p>
    <w:p w14:paraId="52293B72" w14:textId="77777777" w:rsidR="009E72C2" w:rsidRDefault="009E72C2" w:rsidP="004D5FD5">
      <w:pPr>
        <w:jc w:val="both"/>
        <w:rPr>
          <w:rFonts w:cs="Arial"/>
          <w:sz w:val="22"/>
          <w:szCs w:val="22"/>
        </w:rPr>
      </w:pPr>
    </w:p>
    <w:p w14:paraId="60755D3B" w14:textId="07228A3A" w:rsidR="009E72C2" w:rsidRDefault="00F674D1" w:rsidP="004D5FD5">
      <w:pPr>
        <w:jc w:val="both"/>
        <w:rPr>
          <w:rFonts w:cs="Arial"/>
          <w:sz w:val="22"/>
          <w:szCs w:val="22"/>
        </w:rPr>
      </w:pPr>
      <w:r>
        <w:rPr>
          <w:rFonts w:cs="Arial"/>
          <w:sz w:val="22"/>
          <w:szCs w:val="22"/>
        </w:rPr>
        <w:t xml:space="preserve">In 2025, </w:t>
      </w:r>
      <w:r w:rsidR="007E0C79">
        <w:rPr>
          <w:rFonts w:cs="Arial"/>
          <w:sz w:val="22"/>
          <w:szCs w:val="22"/>
        </w:rPr>
        <w:t xml:space="preserve">Indicator 3.2 did not meet expectations, as it was anticipated that the number of technical users utilising the CLP (other than FAO through this programme) was lower than anticipated (only 2 users, expected 3). To ensure the long-term </w:t>
      </w:r>
      <w:r w:rsidR="00F850FF">
        <w:rPr>
          <w:rFonts w:cs="Arial"/>
          <w:sz w:val="22"/>
          <w:szCs w:val="22"/>
        </w:rPr>
        <w:t xml:space="preserve">implementation of CLP beyond the terms of this programme, it will be important to ensure that other entities are able to utilise the products </w:t>
      </w:r>
      <w:r w:rsidR="000F501C">
        <w:rPr>
          <w:rFonts w:cs="Arial"/>
          <w:sz w:val="22"/>
          <w:szCs w:val="22"/>
        </w:rPr>
        <w:t>and processes it develops. As such, the CLP team is developin</w:t>
      </w:r>
      <w:r w:rsidR="00E66B72">
        <w:rPr>
          <w:rFonts w:cs="Arial"/>
          <w:sz w:val="22"/>
          <w:szCs w:val="22"/>
        </w:rPr>
        <w:t xml:space="preserve">g </w:t>
      </w:r>
      <w:r w:rsidR="000F501C">
        <w:rPr>
          <w:rFonts w:cs="Arial"/>
          <w:sz w:val="22"/>
          <w:szCs w:val="22"/>
        </w:rPr>
        <w:t xml:space="preserve">out a Programme of Support </w:t>
      </w:r>
      <w:r w:rsidR="00E66B72">
        <w:rPr>
          <w:rFonts w:cs="Arial"/>
          <w:sz w:val="22"/>
          <w:szCs w:val="22"/>
        </w:rPr>
        <w:t>which will seek to provide guidance on how technical support providers will be able to lead the CLP process autonomously. It will be key to ensure that this is shared widely, including through the GFOI but also beyond</w:t>
      </w:r>
      <w:r w:rsidR="000D4D7A">
        <w:rPr>
          <w:rFonts w:cs="Arial"/>
          <w:sz w:val="22"/>
          <w:szCs w:val="22"/>
        </w:rPr>
        <w:t>, and through the CLP webpage.</w:t>
      </w:r>
      <w:r w:rsidR="00E66B72">
        <w:rPr>
          <w:rFonts w:cs="Arial"/>
          <w:sz w:val="22"/>
          <w:szCs w:val="22"/>
        </w:rPr>
        <w:t xml:space="preserve"> </w:t>
      </w:r>
      <w:r w:rsidR="00B9645D" w:rsidRPr="09E3DA98">
        <w:rPr>
          <w:rFonts w:cs="Arial"/>
          <w:sz w:val="22"/>
          <w:szCs w:val="22"/>
        </w:rPr>
        <w:t>[Recommendation 6]</w:t>
      </w:r>
    </w:p>
    <w:p w14:paraId="2BEBFB13" w14:textId="77777777" w:rsidR="00FF4A3B" w:rsidRDefault="00FF4A3B" w:rsidP="004D5FD5">
      <w:pPr>
        <w:jc w:val="both"/>
        <w:rPr>
          <w:rFonts w:cs="Arial"/>
          <w:sz w:val="22"/>
          <w:szCs w:val="22"/>
        </w:rPr>
      </w:pPr>
    </w:p>
    <w:p w14:paraId="3A53BE33" w14:textId="40419973" w:rsidR="00FF4A3B" w:rsidRDefault="00FF4A3B" w:rsidP="004D5FD5">
      <w:pPr>
        <w:jc w:val="both"/>
        <w:rPr>
          <w:rFonts w:cs="Arial"/>
          <w:sz w:val="22"/>
          <w:szCs w:val="22"/>
        </w:rPr>
      </w:pPr>
      <w:r>
        <w:rPr>
          <w:rFonts w:cs="Arial"/>
          <w:sz w:val="22"/>
          <w:szCs w:val="22"/>
        </w:rPr>
        <w:t>AIM4Forests works directly with forest countries through providing technical assistance in-country.</w:t>
      </w:r>
      <w:r w:rsidR="007941ED">
        <w:rPr>
          <w:rFonts w:cs="Arial"/>
          <w:sz w:val="22"/>
          <w:szCs w:val="22"/>
        </w:rPr>
        <w:t xml:space="preserve"> This can be support through technical assistance on data-driven resource management, high-quality measurement, reporting and verification of mitigation outcomes, transparent commodity value chains, and nature restoration progress, and many country work-plans include numerous thematic areas to </w:t>
      </w:r>
      <w:r w:rsidR="00F0651D">
        <w:rPr>
          <w:rFonts w:cs="Arial"/>
          <w:sz w:val="22"/>
          <w:szCs w:val="22"/>
        </w:rPr>
        <w:t>deliver holistic support for National Forest Monitoring Systems</w:t>
      </w:r>
      <w:r w:rsidR="007941ED">
        <w:rPr>
          <w:rFonts w:cs="Arial"/>
          <w:sz w:val="22"/>
          <w:szCs w:val="22"/>
        </w:rPr>
        <w:t xml:space="preserve">. </w:t>
      </w:r>
      <w:r w:rsidR="00F0651D">
        <w:rPr>
          <w:rFonts w:cs="Arial"/>
          <w:sz w:val="22"/>
          <w:szCs w:val="22"/>
        </w:rPr>
        <w:t xml:space="preserve">This indicator (Indicator 3.3) has exceeded expectations for all areas, </w:t>
      </w:r>
      <w:r w:rsidR="006577E8">
        <w:rPr>
          <w:rFonts w:cs="Arial"/>
          <w:sz w:val="22"/>
          <w:szCs w:val="22"/>
        </w:rPr>
        <w:t xml:space="preserve">demonstrating how AIM4Forests is able to provide diverse, targeted and </w:t>
      </w:r>
      <w:r w:rsidR="00815B5F">
        <w:rPr>
          <w:rFonts w:cs="Arial"/>
          <w:sz w:val="22"/>
          <w:szCs w:val="22"/>
        </w:rPr>
        <w:t xml:space="preserve">country-driven support for many areas. Overall, 16 countries were supported with TA, which exceeds expectations on number of countries supported. At the time of writing this, four additional countries have been supported, meaning that AIM4Forests has already achieved its end of programme target of 20 countries supported. </w:t>
      </w:r>
    </w:p>
    <w:p w14:paraId="72F43498" w14:textId="77777777" w:rsidR="002F1C47" w:rsidRDefault="002F1C47" w:rsidP="004D5FD5">
      <w:pPr>
        <w:jc w:val="both"/>
        <w:rPr>
          <w:rFonts w:cs="Arial"/>
          <w:sz w:val="22"/>
          <w:szCs w:val="22"/>
        </w:rPr>
      </w:pPr>
    </w:p>
    <w:p w14:paraId="1FFAB238" w14:textId="66BFE8FD" w:rsidR="002F1C47" w:rsidRDefault="002F1C47" w:rsidP="004D5FD5">
      <w:pPr>
        <w:jc w:val="both"/>
        <w:rPr>
          <w:rFonts w:cs="Arial"/>
          <w:sz w:val="22"/>
          <w:szCs w:val="22"/>
        </w:rPr>
      </w:pPr>
      <w:r>
        <w:rPr>
          <w:rFonts w:cs="Arial"/>
          <w:sz w:val="22"/>
          <w:szCs w:val="22"/>
        </w:rPr>
        <w:t>During the March 2026 Steering Committee meeting, it was decided that the programme management team (FAO and UK DESNZ) would have a country strategy / reflection meeting to assess what is working and not working for country work</w:t>
      </w:r>
      <w:r w:rsidR="0097248B">
        <w:rPr>
          <w:rFonts w:cs="Arial"/>
          <w:sz w:val="22"/>
          <w:szCs w:val="22"/>
        </w:rPr>
        <w:t>-</w:t>
      </w:r>
      <w:r>
        <w:rPr>
          <w:rFonts w:cs="Arial"/>
          <w:sz w:val="22"/>
          <w:szCs w:val="22"/>
        </w:rPr>
        <w:t>planning. This will also reflect on how support is provided through AIM4Forests</w:t>
      </w:r>
      <w:r w:rsidR="0097248B">
        <w:rPr>
          <w:rFonts w:cs="Arial"/>
          <w:sz w:val="22"/>
          <w:szCs w:val="22"/>
        </w:rPr>
        <w:t xml:space="preserve"> countries</w:t>
      </w:r>
      <w:r>
        <w:rPr>
          <w:rFonts w:cs="Arial"/>
          <w:sz w:val="22"/>
          <w:szCs w:val="22"/>
        </w:rPr>
        <w:t xml:space="preserve"> (e.g., whether to increase number of countries supported, how to transition countries away from support (exit strategies), and </w:t>
      </w:r>
      <w:r w:rsidR="0097248B">
        <w:rPr>
          <w:rFonts w:cs="Arial"/>
          <w:sz w:val="22"/>
          <w:szCs w:val="22"/>
        </w:rPr>
        <w:t xml:space="preserve">how/where support could be more holistic). </w:t>
      </w:r>
      <w:r w:rsidR="0A76B750" w:rsidRPr="09E3DA98">
        <w:rPr>
          <w:rFonts w:cs="Arial"/>
          <w:sz w:val="22"/>
          <w:szCs w:val="22"/>
        </w:rPr>
        <w:t xml:space="preserve">[Recommendation </w:t>
      </w:r>
      <w:r w:rsidR="0B529EB2" w:rsidRPr="09E3DA98">
        <w:rPr>
          <w:rFonts w:cs="Arial"/>
          <w:sz w:val="22"/>
          <w:szCs w:val="22"/>
        </w:rPr>
        <w:t>7</w:t>
      </w:r>
      <w:r w:rsidR="0A76B750" w:rsidRPr="09E3DA98">
        <w:rPr>
          <w:rFonts w:cs="Arial"/>
          <w:sz w:val="22"/>
          <w:szCs w:val="22"/>
        </w:rPr>
        <w:t>]</w:t>
      </w:r>
    </w:p>
    <w:p w14:paraId="653EFE01" w14:textId="77777777" w:rsidR="003F0F9D" w:rsidRDefault="003F0F9D" w:rsidP="004D5FD5">
      <w:pPr>
        <w:jc w:val="both"/>
        <w:rPr>
          <w:rFonts w:cs="Arial"/>
          <w:sz w:val="22"/>
          <w:szCs w:val="22"/>
        </w:rPr>
      </w:pPr>
    </w:p>
    <w:p w14:paraId="5F672373" w14:textId="2B20BB70" w:rsidR="003F0F9D" w:rsidRDefault="003F0F9D" w:rsidP="003F0F9D">
      <w:pPr>
        <w:jc w:val="both"/>
        <w:rPr>
          <w:rFonts w:cs="Arial"/>
          <w:sz w:val="22"/>
          <w:szCs w:val="22"/>
        </w:rPr>
      </w:pPr>
      <w:r>
        <w:rPr>
          <w:rFonts w:cs="Arial"/>
          <w:sz w:val="22"/>
          <w:szCs w:val="22"/>
        </w:rPr>
        <w:t>C</w:t>
      </w:r>
      <w:r w:rsidRPr="003F0F9D">
        <w:rPr>
          <w:rFonts w:cs="Arial"/>
          <w:sz w:val="22"/>
          <w:szCs w:val="22"/>
        </w:rPr>
        <w:t>ountry technical assistance is</w:t>
      </w:r>
      <w:r>
        <w:rPr>
          <w:rFonts w:cs="Arial"/>
          <w:sz w:val="22"/>
          <w:szCs w:val="22"/>
        </w:rPr>
        <w:t xml:space="preserve"> also</w:t>
      </w:r>
      <w:r w:rsidRPr="003F0F9D">
        <w:rPr>
          <w:rFonts w:cs="Arial"/>
          <w:sz w:val="22"/>
          <w:szCs w:val="22"/>
        </w:rPr>
        <w:t xml:space="preserve"> informed by country </w:t>
      </w:r>
      <w:hyperlink r:id="rId34" w:history="1">
        <w:r w:rsidRPr="00144D29">
          <w:rPr>
            <w:rStyle w:val="Hyperlink"/>
            <w:rFonts w:cs="Arial"/>
            <w:sz w:val="22"/>
            <w:szCs w:val="22"/>
          </w:rPr>
          <w:t>self-assessment tools</w:t>
        </w:r>
      </w:hyperlink>
      <w:r w:rsidRPr="003F0F9D">
        <w:rPr>
          <w:rFonts w:cs="Arial"/>
          <w:sz w:val="22"/>
          <w:szCs w:val="22"/>
        </w:rPr>
        <w:t xml:space="preserve"> (</w:t>
      </w:r>
      <w:r>
        <w:rPr>
          <w:rFonts w:cs="Arial"/>
          <w:sz w:val="22"/>
          <w:szCs w:val="22"/>
        </w:rPr>
        <w:t>I</w:t>
      </w:r>
      <w:r w:rsidRPr="003F0F9D">
        <w:rPr>
          <w:rFonts w:cs="Arial"/>
          <w:sz w:val="22"/>
          <w:szCs w:val="22"/>
        </w:rPr>
        <w:t>ndicator 3.4), which support countries to identify technical and institutional gaps in their NFMS, prioriti</w:t>
      </w:r>
      <w:r>
        <w:rPr>
          <w:rFonts w:cs="Arial"/>
          <w:sz w:val="22"/>
          <w:szCs w:val="22"/>
        </w:rPr>
        <w:t>s</w:t>
      </w:r>
      <w:r w:rsidRPr="003F0F9D">
        <w:rPr>
          <w:rFonts w:cs="Arial"/>
          <w:sz w:val="22"/>
          <w:szCs w:val="22"/>
        </w:rPr>
        <w:t>e needs, and inform work planning</w:t>
      </w:r>
      <w:r w:rsidR="00AF5ABB">
        <w:rPr>
          <w:rFonts w:cs="Arial"/>
          <w:sz w:val="22"/>
          <w:szCs w:val="22"/>
        </w:rPr>
        <w:t>, with 15 countries having applied these tools</w:t>
      </w:r>
      <w:r w:rsidRPr="003F0F9D">
        <w:rPr>
          <w:rFonts w:cs="Arial"/>
          <w:sz w:val="22"/>
          <w:szCs w:val="22"/>
        </w:rPr>
        <w:t>. As the self-assessment tools were not applied in the CLP</w:t>
      </w:r>
      <w:r w:rsidR="00AF5ABB">
        <w:rPr>
          <w:rFonts w:cs="Arial"/>
          <w:sz w:val="22"/>
          <w:szCs w:val="22"/>
        </w:rPr>
        <w:t>-</w:t>
      </w:r>
      <w:r w:rsidRPr="003F0F9D">
        <w:rPr>
          <w:rFonts w:cs="Arial"/>
          <w:sz w:val="22"/>
          <w:szCs w:val="22"/>
        </w:rPr>
        <w:t>only countries (Cambodia, Belize, Fiji), the target for this indicator was not met.</w:t>
      </w:r>
      <w:r w:rsidR="00AF5ABB">
        <w:rPr>
          <w:rFonts w:cs="Arial"/>
          <w:sz w:val="22"/>
          <w:szCs w:val="22"/>
        </w:rPr>
        <w:t xml:space="preserve"> It is </w:t>
      </w:r>
      <w:r w:rsidR="00241B89">
        <w:rPr>
          <w:rFonts w:cs="Arial"/>
          <w:sz w:val="22"/>
          <w:szCs w:val="22"/>
        </w:rPr>
        <w:t>anticipated</w:t>
      </w:r>
      <w:r w:rsidR="00AF5ABB">
        <w:rPr>
          <w:rFonts w:cs="Arial"/>
          <w:sz w:val="22"/>
          <w:szCs w:val="22"/>
        </w:rPr>
        <w:t xml:space="preserve"> that further countries would </w:t>
      </w:r>
      <w:r w:rsidR="00241B89">
        <w:rPr>
          <w:rFonts w:cs="Arial"/>
          <w:sz w:val="22"/>
          <w:szCs w:val="22"/>
        </w:rPr>
        <w:t>apply these tools in 2026.</w:t>
      </w:r>
    </w:p>
    <w:p w14:paraId="0C3C52CB" w14:textId="77777777" w:rsidR="00144D29" w:rsidRDefault="00144D29" w:rsidP="003F0F9D">
      <w:pPr>
        <w:jc w:val="both"/>
        <w:rPr>
          <w:rFonts w:cs="Arial"/>
          <w:sz w:val="22"/>
          <w:szCs w:val="22"/>
        </w:rPr>
      </w:pPr>
    </w:p>
    <w:p w14:paraId="34AFC551" w14:textId="6D5F4CAE" w:rsidR="00144D29" w:rsidRDefault="00144D29" w:rsidP="003F0F9D">
      <w:pPr>
        <w:jc w:val="both"/>
        <w:rPr>
          <w:rFonts w:cs="Arial"/>
          <w:sz w:val="22"/>
          <w:szCs w:val="22"/>
        </w:rPr>
      </w:pPr>
      <w:r>
        <w:rPr>
          <w:rFonts w:cs="Arial"/>
          <w:sz w:val="22"/>
          <w:szCs w:val="22"/>
        </w:rPr>
        <w:t xml:space="preserve">In 2025, </w:t>
      </w:r>
      <w:r w:rsidR="00CC55A7">
        <w:rPr>
          <w:rFonts w:cs="Arial"/>
          <w:sz w:val="22"/>
          <w:szCs w:val="22"/>
        </w:rPr>
        <w:t xml:space="preserve">the programme also began reporting under a new Indicator 3.5 to capture the long-term impacts of forests and climate policies and legislation which </w:t>
      </w:r>
      <w:r w:rsidR="003870CF">
        <w:rPr>
          <w:rFonts w:cs="Arial"/>
          <w:sz w:val="22"/>
          <w:szCs w:val="22"/>
        </w:rPr>
        <w:t xml:space="preserve">AIM4Forests has been able to support. During the year, AIM4Forests was able to support </w:t>
      </w:r>
      <w:r w:rsidR="007F54D1">
        <w:rPr>
          <w:rFonts w:cs="Arial"/>
          <w:sz w:val="22"/>
          <w:szCs w:val="22"/>
        </w:rPr>
        <w:t>the development of 3 different forest/climate policies</w:t>
      </w:r>
      <w:r w:rsidR="00BE72A7">
        <w:rPr>
          <w:rFonts w:cs="Arial"/>
          <w:sz w:val="22"/>
          <w:szCs w:val="22"/>
        </w:rPr>
        <w:t xml:space="preserve"> including Indonesia’s </w:t>
      </w:r>
      <w:r w:rsidR="004D2027">
        <w:rPr>
          <w:rFonts w:cs="Arial"/>
          <w:sz w:val="22"/>
          <w:szCs w:val="22"/>
        </w:rPr>
        <w:t>forest monitoring legislation</w:t>
      </w:r>
      <w:r w:rsidR="00696FDB">
        <w:rPr>
          <w:rFonts w:cs="Arial"/>
          <w:sz w:val="22"/>
          <w:szCs w:val="22"/>
        </w:rPr>
        <w:t xml:space="preserve">, Brazil’s Public Forest Management Law Decree, and Guatemala’s Inter-Institutional Group for Monitoring and Land-Use. </w:t>
      </w:r>
      <w:r w:rsidR="004D2027">
        <w:rPr>
          <w:rFonts w:cs="Arial"/>
          <w:sz w:val="22"/>
          <w:szCs w:val="22"/>
        </w:rPr>
        <w:t>This progress is instrumental in ensuring the transformational and long-term impacts of AIM4Forests</w:t>
      </w:r>
      <w:r w:rsidR="00473B33">
        <w:rPr>
          <w:rFonts w:cs="Arial"/>
          <w:sz w:val="22"/>
          <w:szCs w:val="22"/>
        </w:rPr>
        <w:t xml:space="preserve"> that will last beyond the terms of the programme</w:t>
      </w:r>
      <w:r w:rsidR="00FE408A">
        <w:rPr>
          <w:rFonts w:cs="Arial"/>
          <w:sz w:val="22"/>
          <w:szCs w:val="22"/>
        </w:rPr>
        <w:t xml:space="preserve">, and it is </w:t>
      </w:r>
      <w:r w:rsidR="00EE1ED9">
        <w:rPr>
          <w:rFonts w:cs="Arial"/>
          <w:sz w:val="22"/>
          <w:szCs w:val="22"/>
        </w:rPr>
        <w:t>encouraging to see the positive progress here</w:t>
      </w:r>
      <w:r w:rsidR="004D2027">
        <w:rPr>
          <w:rFonts w:cs="Arial"/>
          <w:sz w:val="22"/>
          <w:szCs w:val="22"/>
        </w:rPr>
        <w:t xml:space="preserve">. </w:t>
      </w:r>
    </w:p>
    <w:p w14:paraId="030AD0D8" w14:textId="77777777" w:rsidR="003D7983" w:rsidRDefault="003D7983" w:rsidP="003F0F9D">
      <w:pPr>
        <w:jc w:val="both"/>
        <w:rPr>
          <w:rFonts w:cs="Arial"/>
          <w:sz w:val="22"/>
          <w:szCs w:val="22"/>
        </w:rPr>
      </w:pPr>
    </w:p>
    <w:p w14:paraId="3B90A22A" w14:textId="325BB760" w:rsidR="003D7983" w:rsidRDefault="003D7983" w:rsidP="003F0F9D">
      <w:pPr>
        <w:jc w:val="both"/>
        <w:rPr>
          <w:rFonts w:cs="Arial"/>
          <w:sz w:val="22"/>
          <w:szCs w:val="22"/>
        </w:rPr>
      </w:pPr>
      <w:r>
        <w:rPr>
          <w:rFonts w:cs="Arial"/>
          <w:noProof/>
          <w:sz w:val="22"/>
          <w:szCs w:val="22"/>
        </w:rPr>
        <w:lastRenderedPageBreak/>
        <mc:AlternateContent>
          <mc:Choice Requires="wps">
            <w:drawing>
              <wp:inline distT="0" distB="0" distL="0" distR="0" wp14:anchorId="0396B791" wp14:editId="4833555C">
                <wp:extent cx="5709424" cy="2665142"/>
                <wp:effectExtent l="0" t="0" r="24765" b="20955"/>
                <wp:docPr id="1958328076" name="Rectangle 1"/>
                <wp:cNvGraphicFramePr/>
                <a:graphic xmlns:a="http://schemas.openxmlformats.org/drawingml/2006/main">
                  <a:graphicData uri="http://schemas.microsoft.com/office/word/2010/wordprocessingShape">
                    <wps:wsp>
                      <wps:cNvSpPr/>
                      <wps:spPr>
                        <a:xfrm>
                          <a:off x="0" y="0"/>
                          <a:ext cx="5709424" cy="266514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F1081C" w14:textId="7434DDD3" w:rsidR="003D7983" w:rsidRPr="007A3066" w:rsidRDefault="003D7983" w:rsidP="00004ED4">
                            <w:pPr>
                              <w:rPr>
                                <w:b/>
                                <w:bCs/>
                                <w:sz w:val="20"/>
                                <w:szCs w:val="20"/>
                              </w:rPr>
                            </w:pPr>
                            <w:r w:rsidRPr="007A3066">
                              <w:rPr>
                                <w:b/>
                                <w:bCs/>
                                <w:sz w:val="20"/>
                                <w:szCs w:val="20"/>
                              </w:rPr>
                              <w:t xml:space="preserve">Examples of Technical Assistance </w:t>
                            </w:r>
                            <w:r w:rsidR="00DA221A" w:rsidRPr="007A3066">
                              <w:rPr>
                                <w:b/>
                                <w:bCs/>
                                <w:sz w:val="20"/>
                                <w:szCs w:val="20"/>
                              </w:rPr>
                              <w:t>Provided in 2025</w:t>
                            </w:r>
                          </w:p>
                          <w:p w14:paraId="04DB0E92" w14:textId="77777777" w:rsidR="00DF022A" w:rsidRDefault="00DF022A" w:rsidP="00004ED4">
                            <w:pPr>
                              <w:rPr>
                                <w:sz w:val="20"/>
                                <w:szCs w:val="20"/>
                              </w:rPr>
                            </w:pPr>
                          </w:p>
                          <w:p w14:paraId="14EDD0C4" w14:textId="72858E85" w:rsidR="00DF022A" w:rsidRDefault="00DF022A" w:rsidP="00DF022A">
                            <w:pPr>
                              <w:pStyle w:val="ListParagraph"/>
                              <w:numPr>
                                <w:ilvl w:val="0"/>
                                <w:numId w:val="45"/>
                              </w:numPr>
                              <w:rPr>
                                <w:sz w:val="20"/>
                              </w:rPr>
                            </w:pPr>
                            <w:r>
                              <w:rPr>
                                <w:sz w:val="20"/>
                              </w:rPr>
                              <w:t>Peru: AIM4Forests has supported Peru in advancing a more efficient, innovative and inclusive NFMS</w:t>
                            </w:r>
                            <w:r w:rsidR="00447D0A">
                              <w:rPr>
                                <w:sz w:val="20"/>
                              </w:rPr>
                              <w:t>. This has included improving data management, accessibility and reporting through Open Foris Arena, hosting a regional workshop on Climate Finance for Indigenous Peoples</w:t>
                            </w:r>
                            <w:r w:rsidR="00FC6BA0">
                              <w:rPr>
                                <w:sz w:val="20"/>
                              </w:rPr>
                              <w:t xml:space="preserve">, supported the launch of Peru’s Ecosystem Restoration work area and peatland monitoring aligned with Peru’s ART/TREES submission. </w:t>
                            </w:r>
                          </w:p>
                          <w:p w14:paraId="50ECAAC0" w14:textId="5436F91B" w:rsidR="00FC6BA0" w:rsidRDefault="00FC6BA0" w:rsidP="00DF022A">
                            <w:pPr>
                              <w:pStyle w:val="ListParagraph"/>
                              <w:numPr>
                                <w:ilvl w:val="0"/>
                                <w:numId w:val="45"/>
                              </w:numPr>
                              <w:rPr>
                                <w:sz w:val="20"/>
                              </w:rPr>
                            </w:pPr>
                            <w:r>
                              <w:rPr>
                                <w:sz w:val="20"/>
                              </w:rPr>
                              <w:t xml:space="preserve">Brazil: </w:t>
                            </w:r>
                            <w:r w:rsidR="0096024B">
                              <w:rPr>
                                <w:sz w:val="20"/>
                              </w:rPr>
                              <w:t xml:space="preserve">AIM4Forests and AIM4NatuRE has supported Brazil with enhanced </w:t>
                            </w:r>
                            <w:r w:rsidR="00292CB3">
                              <w:rPr>
                                <w:sz w:val="20"/>
                              </w:rPr>
                              <w:t xml:space="preserve">national forest monitoring capabilities and expanding restoration efforts, including through biocentric approaches. This has included updating forest cover maps, informing the design of the new Tropical Forest Forever Facility, </w:t>
                            </w:r>
                            <w:r w:rsidR="007A3066">
                              <w:rPr>
                                <w:sz w:val="20"/>
                              </w:rPr>
                              <w:t xml:space="preserve">and providing technical guidance on methodologies for estimating restoration areas, among other work areas. </w:t>
                            </w:r>
                          </w:p>
                          <w:p w14:paraId="48697B84" w14:textId="57780B5C" w:rsidR="00FC6BA0" w:rsidRPr="007A3066" w:rsidRDefault="00FC6BA0" w:rsidP="007A3066">
                            <w:pPr>
                              <w:pStyle w:val="ListParagraph"/>
                              <w:numPr>
                                <w:ilvl w:val="0"/>
                                <w:numId w:val="45"/>
                              </w:numPr>
                              <w:rPr>
                                <w:sz w:val="20"/>
                              </w:rPr>
                            </w:pPr>
                            <w:r>
                              <w:rPr>
                                <w:sz w:val="20"/>
                              </w:rPr>
                              <w:t>Article 6</w:t>
                            </w:r>
                            <w:r w:rsidR="004F02AB">
                              <w:rPr>
                                <w:sz w:val="20"/>
                              </w:rPr>
                              <w:t>.2</w:t>
                            </w:r>
                            <w:r>
                              <w:rPr>
                                <w:sz w:val="20"/>
                              </w:rPr>
                              <w:t xml:space="preserve"> support:</w:t>
                            </w:r>
                            <w:r w:rsidR="004F02AB">
                              <w:rPr>
                                <w:sz w:val="20"/>
                              </w:rPr>
                              <w:t xml:space="preserve"> AIM4Forests has supported tropical forest countries to better understand and assess technical and institutional gaps, capacity building on participation requirements, and reporting and verification requirements</w:t>
                            </w:r>
                            <w:r w:rsidR="00AB44BE">
                              <w:rPr>
                                <w:sz w:val="20"/>
                              </w:rPr>
                              <w:t xml:space="preserve"> in Papua New Guinea and Guatemala – informing the decision-making of these Governments to progress efforts to transition REDD+ under Article 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1" style="width:449.55pt;height:209.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color="#70ad47 [3209]" strokeweight="1pt" w14:anchorId="0396B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">
                <v:textbox>
                  <w:txbxContent>
                    <w:p w:rsidRPr="007A3066" w:rsidR="003D7983" w:rsidP="00004ED4" w:rsidRDefault="003D7983" w14:paraId="26F1081C" w14:textId="7434DDD3">
                      <w:pPr>
                        <w:rPr>
                          <w:b/>
                          <w:bCs/>
                          <w:sz w:val="20"/>
                          <w:szCs w:val="20"/>
                        </w:rPr>
                      </w:pPr>
                      <w:r w:rsidRPr="007A3066">
                        <w:rPr>
                          <w:b/>
                          <w:bCs/>
                          <w:sz w:val="20"/>
                          <w:szCs w:val="20"/>
                        </w:rPr>
                        <w:t xml:space="preserve">Examples of Technical Assistance </w:t>
                      </w:r>
                      <w:r w:rsidRPr="007A3066" w:rsidR="00DA221A">
                        <w:rPr>
                          <w:b/>
                          <w:bCs/>
                          <w:sz w:val="20"/>
                          <w:szCs w:val="20"/>
                        </w:rPr>
                        <w:t>Provided in 2025</w:t>
                      </w:r>
                    </w:p>
                    <w:p w:rsidR="00DF022A" w:rsidP="00004ED4" w:rsidRDefault="00DF022A" w14:paraId="04DB0E92" w14:textId="77777777">
                      <w:pPr>
                        <w:rPr>
                          <w:sz w:val="20"/>
                          <w:szCs w:val="20"/>
                        </w:rPr>
                      </w:pPr>
                    </w:p>
                    <w:p w:rsidR="00DF022A" w:rsidP="00DF022A" w:rsidRDefault="00DF022A" w14:paraId="14EDD0C4" w14:textId="72858E85">
                      <w:pPr>
                        <w:pStyle w:val="ListParagraph"/>
                        <w:numPr>
                          <w:ilvl w:val="0"/>
                          <w:numId w:val="45"/>
                        </w:numPr>
                        <w:rPr>
                          <w:sz w:val="20"/>
                        </w:rPr>
                      </w:pPr>
                      <w:r>
                        <w:rPr>
                          <w:sz w:val="20"/>
                        </w:rPr>
                        <w:t>Peru: AIM4Forests has supported Peru in advancing a more efficient, innovative and inclusive NFMS</w:t>
                      </w:r>
                      <w:r w:rsidR="00447D0A">
                        <w:rPr>
                          <w:sz w:val="20"/>
                        </w:rPr>
                        <w:t>. This has included improving data management, accessibility and reporting through Open Foris Arena, hosting a regional workshop on Climate Finance for Indigenous Peoples</w:t>
                      </w:r>
                      <w:r w:rsidR="00FC6BA0">
                        <w:rPr>
                          <w:sz w:val="20"/>
                        </w:rPr>
                        <w:t xml:space="preserve">, supported the launch of Peru’s Ecosystem Restoration work area and peatland monitoring aligned with Peru’s ART/TREES submission. </w:t>
                      </w:r>
                    </w:p>
                    <w:p w:rsidR="00FC6BA0" w:rsidP="00DF022A" w:rsidRDefault="00FC6BA0" w14:paraId="50ECAAC0" w14:textId="5436F91B">
                      <w:pPr>
                        <w:pStyle w:val="ListParagraph"/>
                        <w:numPr>
                          <w:ilvl w:val="0"/>
                          <w:numId w:val="45"/>
                        </w:numPr>
                        <w:rPr>
                          <w:sz w:val="20"/>
                        </w:rPr>
                      </w:pPr>
                      <w:r>
                        <w:rPr>
                          <w:sz w:val="20"/>
                        </w:rPr>
                        <w:t xml:space="preserve">Brazil: </w:t>
                      </w:r>
                      <w:r w:rsidR="0096024B">
                        <w:rPr>
                          <w:sz w:val="20"/>
                        </w:rPr>
                        <w:t xml:space="preserve">AIM4Forests and AIM4NatuRE has supported Brazil with enhanced </w:t>
                      </w:r>
                      <w:r w:rsidR="00292CB3">
                        <w:rPr>
                          <w:sz w:val="20"/>
                        </w:rPr>
                        <w:t xml:space="preserve">national forest monitoring capabilities and expanding restoration efforts, including through biocentric approaches. This has included updating forest cover maps, informing the design of the new Tropical Forest Forever Facility, </w:t>
                      </w:r>
                      <w:r w:rsidR="007A3066">
                        <w:rPr>
                          <w:sz w:val="20"/>
                        </w:rPr>
                        <w:t xml:space="preserve">and providing technical guidance on methodologies for estimating restoration areas, among other work areas. </w:t>
                      </w:r>
                    </w:p>
                    <w:p w:rsidRPr="007A3066" w:rsidR="00FC6BA0" w:rsidP="007A3066" w:rsidRDefault="00FC6BA0" w14:paraId="48697B84" w14:textId="57780B5C">
                      <w:pPr>
                        <w:pStyle w:val="ListParagraph"/>
                        <w:numPr>
                          <w:ilvl w:val="0"/>
                          <w:numId w:val="45"/>
                        </w:numPr>
                        <w:rPr>
                          <w:sz w:val="20"/>
                        </w:rPr>
                      </w:pPr>
                      <w:r>
                        <w:rPr>
                          <w:sz w:val="20"/>
                        </w:rPr>
                        <w:t>Article 6</w:t>
                      </w:r>
                      <w:r w:rsidR="004F02AB">
                        <w:rPr>
                          <w:sz w:val="20"/>
                        </w:rPr>
                        <w:t>.2</w:t>
                      </w:r>
                      <w:r>
                        <w:rPr>
                          <w:sz w:val="20"/>
                        </w:rPr>
                        <w:t xml:space="preserve"> support:</w:t>
                      </w:r>
                      <w:r w:rsidR="004F02AB">
                        <w:rPr>
                          <w:sz w:val="20"/>
                        </w:rPr>
                        <w:t xml:space="preserve"> AIM4Forests has supported tropical forest countries to better understand and assess technical and institutional gaps, capacity building on participation requirements, and reporting and verification requirements</w:t>
                      </w:r>
                      <w:r w:rsidR="00AB44BE">
                        <w:rPr>
                          <w:sz w:val="20"/>
                        </w:rPr>
                        <w:t xml:space="preserve"> in Papua New Guinea and Guatemala – informing the decision-making of these Governments to progress efforts to transition REDD+ under Article 6.2.</w:t>
                      </w:r>
                    </w:p>
                  </w:txbxContent>
                </v:textbox>
                <w10:anchorlock/>
              </v:rect>
            </w:pict>
          </mc:Fallback>
        </mc:AlternateContent>
      </w:r>
    </w:p>
    <w:p w14:paraId="63AD4B91" w14:textId="77777777" w:rsidR="00F83035" w:rsidRDefault="00F83035">
      <w:r>
        <w:br w:type="page"/>
      </w:r>
    </w:p>
    <w:tbl>
      <w:tblPr>
        <w:tblStyle w:val="TableGrid"/>
        <w:tblW w:w="0" w:type="auto"/>
        <w:tblLook w:val="04A0" w:firstRow="1" w:lastRow="0" w:firstColumn="1" w:lastColumn="0" w:noHBand="0" w:noVBand="1"/>
      </w:tblPr>
      <w:tblGrid>
        <w:gridCol w:w="9016"/>
      </w:tblGrid>
      <w:tr w:rsidR="00FF25ED" w14:paraId="625A7711" w14:textId="77777777" w:rsidTr="5302A23D">
        <w:tc>
          <w:tcPr>
            <w:tcW w:w="9016" w:type="dxa"/>
            <w:shd w:val="clear" w:color="auto" w:fill="DEEAF6" w:themeFill="accent5" w:themeFillTint="33"/>
          </w:tcPr>
          <w:p w14:paraId="78474CCE" w14:textId="297017B0" w:rsidR="00CB2873" w:rsidRDefault="2C7057B1" w:rsidP="004D5FD5">
            <w:pPr>
              <w:jc w:val="both"/>
            </w:pPr>
            <w:bookmarkStart w:id="17" w:name="_Toc225240740"/>
            <w:bookmarkStart w:id="18" w:name="_Toc228283638"/>
            <w:r w:rsidRPr="5302A23D">
              <w:rPr>
                <w:rStyle w:val="Heading1Char"/>
                <w:rFonts w:ascii="Arial" w:hAnsi="Arial" w:cs="Arial"/>
                <w:b/>
                <w:bCs/>
                <w:color w:val="auto"/>
              </w:rPr>
              <w:lastRenderedPageBreak/>
              <w:t>Section D: Pro</w:t>
            </w:r>
            <w:r w:rsidR="001330CE" w:rsidRPr="5302A23D">
              <w:rPr>
                <w:rStyle w:val="Heading1Char"/>
                <w:rFonts w:ascii="Arial" w:hAnsi="Arial" w:cs="Arial"/>
                <w:b/>
                <w:bCs/>
                <w:color w:val="auto"/>
              </w:rPr>
              <w:t xml:space="preserve">gramme </w:t>
            </w:r>
            <w:r w:rsidRPr="5302A23D">
              <w:rPr>
                <w:rStyle w:val="Heading1Char"/>
                <w:rFonts w:ascii="Arial" w:hAnsi="Arial" w:cs="Arial"/>
                <w:b/>
                <w:bCs/>
                <w:color w:val="auto"/>
              </w:rPr>
              <w:t>performance not captured by outputs</w:t>
            </w:r>
            <w:bookmarkEnd w:id="17"/>
            <w:bookmarkEnd w:id="18"/>
            <w:r>
              <w:t xml:space="preserve"> </w:t>
            </w:r>
          </w:p>
        </w:tc>
      </w:tr>
    </w:tbl>
    <w:p w14:paraId="358B70D4" w14:textId="77777777" w:rsidR="00CB2873" w:rsidRPr="00D80C6C" w:rsidRDefault="00CB2873" w:rsidP="004D5FD5">
      <w:pPr>
        <w:jc w:val="both"/>
        <w:rPr>
          <w:rFonts w:cs="Arial"/>
          <w:sz w:val="22"/>
          <w:szCs w:val="22"/>
        </w:rPr>
      </w:pPr>
    </w:p>
    <w:p w14:paraId="639754EF" w14:textId="2B0DA7FE" w:rsidR="003D222C" w:rsidRPr="004B1ECC" w:rsidRDefault="004B1ECC" w:rsidP="004D5FD5">
      <w:pPr>
        <w:jc w:val="both"/>
        <w:rPr>
          <w:rFonts w:cs="Arial"/>
          <w:sz w:val="22"/>
          <w:szCs w:val="22"/>
        </w:rPr>
      </w:pPr>
      <w:r w:rsidRPr="004B1ECC">
        <w:rPr>
          <w:rFonts w:cs="Arial"/>
          <w:sz w:val="22"/>
          <w:szCs w:val="22"/>
        </w:rPr>
        <w:t xml:space="preserve">AIM4Forests has advanced in </w:t>
      </w:r>
      <w:proofErr w:type="gramStart"/>
      <w:r w:rsidRPr="004B1ECC">
        <w:rPr>
          <w:rFonts w:cs="Arial"/>
          <w:sz w:val="22"/>
          <w:szCs w:val="22"/>
        </w:rPr>
        <w:t>a number of</w:t>
      </w:r>
      <w:proofErr w:type="gramEnd"/>
      <w:r w:rsidRPr="004B1ECC">
        <w:rPr>
          <w:rFonts w:cs="Arial"/>
          <w:sz w:val="22"/>
          <w:szCs w:val="22"/>
        </w:rPr>
        <w:t xml:space="preserve"> areas which are not fully captured by the Output Sections. These are summarised below</w:t>
      </w:r>
      <w:r w:rsidR="003D7983">
        <w:rPr>
          <w:rFonts w:cs="Arial"/>
          <w:sz w:val="22"/>
          <w:szCs w:val="22"/>
        </w:rPr>
        <w:t xml:space="preserve">: </w:t>
      </w:r>
    </w:p>
    <w:p w14:paraId="436C7CE8" w14:textId="77777777" w:rsidR="00F03BA6" w:rsidRPr="004B1ECC" w:rsidRDefault="00F03BA6" w:rsidP="004D5FD5">
      <w:pPr>
        <w:jc w:val="both"/>
        <w:rPr>
          <w:rFonts w:cs="Arial"/>
          <w:sz w:val="22"/>
          <w:szCs w:val="22"/>
        </w:rPr>
      </w:pPr>
    </w:p>
    <w:p w14:paraId="0355B839" w14:textId="306C9CF0" w:rsidR="00AA22C7" w:rsidRDefault="003D7983" w:rsidP="000170C3">
      <w:pPr>
        <w:pStyle w:val="ListParagraph"/>
        <w:numPr>
          <w:ilvl w:val="0"/>
          <w:numId w:val="21"/>
        </w:numPr>
        <w:jc w:val="both"/>
        <w:rPr>
          <w:rFonts w:cs="Arial"/>
          <w:sz w:val="22"/>
          <w:szCs w:val="22"/>
        </w:rPr>
      </w:pPr>
      <w:r w:rsidRPr="0032019A">
        <w:rPr>
          <w:rFonts w:cs="Arial"/>
          <w:b/>
          <w:bCs/>
          <w:sz w:val="22"/>
          <w:szCs w:val="22"/>
        </w:rPr>
        <w:t xml:space="preserve">Young </w:t>
      </w:r>
      <w:r w:rsidR="00AA22C7" w:rsidRPr="0032019A">
        <w:rPr>
          <w:rFonts w:cs="Arial"/>
          <w:b/>
          <w:bCs/>
          <w:sz w:val="22"/>
          <w:szCs w:val="22"/>
        </w:rPr>
        <w:t>F</w:t>
      </w:r>
      <w:r w:rsidRPr="0032019A">
        <w:rPr>
          <w:rFonts w:cs="Arial"/>
          <w:b/>
          <w:bCs/>
          <w:sz w:val="22"/>
          <w:szCs w:val="22"/>
        </w:rPr>
        <w:t xml:space="preserve">orest </w:t>
      </w:r>
      <w:r w:rsidR="00AA22C7" w:rsidRPr="0032019A">
        <w:rPr>
          <w:rFonts w:cs="Arial"/>
          <w:b/>
          <w:bCs/>
          <w:sz w:val="22"/>
          <w:szCs w:val="22"/>
        </w:rPr>
        <w:t>C</w:t>
      </w:r>
      <w:r w:rsidRPr="0032019A">
        <w:rPr>
          <w:rFonts w:cs="Arial"/>
          <w:b/>
          <w:bCs/>
          <w:sz w:val="22"/>
          <w:szCs w:val="22"/>
        </w:rPr>
        <w:t>hampions</w:t>
      </w:r>
      <w:r w:rsidR="00A064FF">
        <w:rPr>
          <w:rFonts w:cs="Arial"/>
          <w:sz w:val="22"/>
          <w:szCs w:val="22"/>
        </w:rPr>
        <w:t xml:space="preserve">: </w:t>
      </w:r>
      <w:r w:rsidR="000170C3">
        <w:rPr>
          <w:rFonts w:cs="Arial"/>
          <w:sz w:val="22"/>
          <w:szCs w:val="22"/>
        </w:rPr>
        <w:t>This initiative is</w:t>
      </w:r>
      <w:r w:rsidR="00A064FF" w:rsidRPr="00A064FF">
        <w:rPr>
          <w:rFonts w:cs="Arial"/>
          <w:sz w:val="22"/>
          <w:szCs w:val="22"/>
        </w:rPr>
        <w:t xml:space="preserve"> empowering youth to contribute directly to forest monitoring, restoration, and climate action across Ghana, Kenya, Peru, Uganda, and </w:t>
      </w:r>
      <w:r w:rsidR="00A064FF" w:rsidRPr="000170C3">
        <w:rPr>
          <w:rFonts w:cs="Arial"/>
          <w:sz w:val="22"/>
          <w:szCs w:val="22"/>
        </w:rPr>
        <w:t>Zambia. In 2025, the programme expanded from its pilot phase in Kenya to four additional countries, selecting 50 young leaders aged 22–30 from more than 1,500 applicants. The cohort reflects strong diversity, including women, Indigenous Peoples and Local Communities (IPLCs), and youth with disabilities, ensuring inclusive participation in forest governance</w:t>
      </w:r>
      <w:r w:rsidR="0032019A">
        <w:rPr>
          <w:rFonts w:cs="Arial"/>
          <w:sz w:val="22"/>
          <w:szCs w:val="22"/>
        </w:rPr>
        <w:t>.</w:t>
      </w:r>
    </w:p>
    <w:p w14:paraId="4FCFDA6B" w14:textId="77777777" w:rsidR="0032019A" w:rsidRPr="000170C3" w:rsidRDefault="0032019A" w:rsidP="0032019A">
      <w:pPr>
        <w:pStyle w:val="ListParagraph"/>
        <w:jc w:val="both"/>
        <w:rPr>
          <w:rFonts w:cs="Arial"/>
          <w:sz w:val="22"/>
          <w:szCs w:val="22"/>
        </w:rPr>
      </w:pPr>
    </w:p>
    <w:p w14:paraId="0458E4A5" w14:textId="45FA2EDE" w:rsidR="0032019A" w:rsidRPr="0032019A" w:rsidRDefault="003D7983" w:rsidP="0032019A">
      <w:pPr>
        <w:pStyle w:val="ListParagraph"/>
        <w:numPr>
          <w:ilvl w:val="0"/>
          <w:numId w:val="21"/>
        </w:numPr>
        <w:jc w:val="both"/>
        <w:rPr>
          <w:rFonts w:cs="Arial"/>
          <w:sz w:val="22"/>
          <w:szCs w:val="22"/>
        </w:rPr>
      </w:pPr>
      <w:r w:rsidRPr="0032019A">
        <w:rPr>
          <w:rFonts w:cs="Arial"/>
          <w:b/>
          <w:bCs/>
          <w:sz w:val="22"/>
          <w:szCs w:val="22"/>
        </w:rPr>
        <w:t>AIM4Comm</w:t>
      </w:r>
      <w:r w:rsidR="004F02AB" w:rsidRPr="0032019A">
        <w:rPr>
          <w:rFonts w:cs="Arial"/>
          <w:b/>
          <w:bCs/>
          <w:sz w:val="22"/>
          <w:szCs w:val="22"/>
        </w:rPr>
        <w:t>odities</w:t>
      </w:r>
      <w:r w:rsidR="00442974">
        <w:rPr>
          <w:rFonts w:cs="Arial"/>
          <w:sz w:val="22"/>
          <w:szCs w:val="22"/>
        </w:rPr>
        <w:t xml:space="preserve">: Following COP30 announcement of additional funding and extension of AIM4Forests, </w:t>
      </w:r>
      <w:r w:rsidR="00442974" w:rsidRPr="00442974">
        <w:rPr>
          <w:rFonts w:cs="Arial"/>
          <w:sz w:val="22"/>
          <w:szCs w:val="22"/>
        </w:rPr>
        <w:t xml:space="preserve">AIM4Commodities (Accelerating Innovative Monitoring for Forests and Commodities) has </w:t>
      </w:r>
      <w:r w:rsidR="00442974">
        <w:rPr>
          <w:rFonts w:cs="Arial"/>
          <w:sz w:val="22"/>
          <w:szCs w:val="22"/>
        </w:rPr>
        <w:t xml:space="preserve">now </w:t>
      </w:r>
      <w:r w:rsidR="00442974" w:rsidRPr="00442974">
        <w:rPr>
          <w:rFonts w:cs="Arial"/>
          <w:sz w:val="22"/>
          <w:szCs w:val="22"/>
        </w:rPr>
        <w:t>expanded into a partnership between FAO, the United Kingdom and Germany</w:t>
      </w:r>
      <w:r w:rsidR="00442974">
        <w:rPr>
          <w:rFonts w:cs="Arial"/>
          <w:sz w:val="22"/>
          <w:szCs w:val="22"/>
        </w:rPr>
        <w:t xml:space="preserve">. The aim of the initiative is </w:t>
      </w:r>
      <w:r w:rsidR="00442974" w:rsidRPr="00442974">
        <w:rPr>
          <w:rFonts w:cs="Arial"/>
          <w:sz w:val="22"/>
          <w:szCs w:val="22"/>
        </w:rPr>
        <w:t xml:space="preserve">to promote transparency and innovation across global commodity value chains. </w:t>
      </w:r>
      <w:r w:rsidR="00CC39B8">
        <w:rPr>
          <w:rFonts w:cs="Arial"/>
          <w:sz w:val="22"/>
          <w:szCs w:val="22"/>
        </w:rPr>
        <w:t>It will</w:t>
      </w:r>
      <w:r w:rsidR="00442974" w:rsidRPr="00442974">
        <w:rPr>
          <w:rFonts w:cs="Arial"/>
          <w:sz w:val="22"/>
          <w:szCs w:val="22"/>
        </w:rPr>
        <w:t xml:space="preserve"> develop</w:t>
      </w:r>
      <w:r w:rsidR="00CC39B8">
        <w:rPr>
          <w:rFonts w:cs="Arial"/>
          <w:sz w:val="22"/>
          <w:szCs w:val="22"/>
        </w:rPr>
        <w:t xml:space="preserve"> </w:t>
      </w:r>
      <w:r w:rsidR="00442974" w:rsidRPr="00442974">
        <w:rPr>
          <w:rFonts w:cs="Arial"/>
          <w:sz w:val="22"/>
          <w:szCs w:val="22"/>
        </w:rPr>
        <w:t>open, inclusive, and scalable solutions to help producers, companies, and regulators respond to growing demands for reliable geospatial data and compliance with deforestation-free supply chain regulations. AIM4Commodities addresses data gaps, particularly for smallholders, through 4 pillars</w:t>
      </w:r>
      <w:r w:rsidR="00442974">
        <w:rPr>
          <w:rFonts w:cs="Arial"/>
          <w:sz w:val="22"/>
          <w:szCs w:val="22"/>
        </w:rPr>
        <w:t xml:space="preserve">: (1) </w:t>
      </w:r>
      <w:r w:rsidR="00442974" w:rsidRPr="00442974">
        <w:rPr>
          <w:rFonts w:cs="Arial"/>
          <w:sz w:val="22"/>
          <w:szCs w:val="22"/>
        </w:rPr>
        <w:t xml:space="preserve">engaging governments and commodity platforms to align supply chain actors with national systems; </w:t>
      </w:r>
      <w:r w:rsidR="00442974">
        <w:rPr>
          <w:rFonts w:cs="Arial"/>
          <w:sz w:val="22"/>
          <w:szCs w:val="22"/>
        </w:rPr>
        <w:t xml:space="preserve">(2) </w:t>
      </w:r>
      <w:r w:rsidR="00442974" w:rsidRPr="00442974">
        <w:rPr>
          <w:rFonts w:cs="Arial"/>
          <w:sz w:val="22"/>
          <w:szCs w:val="22"/>
        </w:rPr>
        <w:t>locating production areas through large-scale field data collection;</w:t>
      </w:r>
      <w:r w:rsidR="00442974">
        <w:rPr>
          <w:rFonts w:cs="Arial"/>
          <w:sz w:val="22"/>
          <w:szCs w:val="22"/>
        </w:rPr>
        <w:t xml:space="preserve"> (3)</w:t>
      </w:r>
      <w:r w:rsidR="00442974" w:rsidRPr="00442974">
        <w:rPr>
          <w:rFonts w:cs="Arial"/>
          <w:sz w:val="22"/>
          <w:szCs w:val="22"/>
        </w:rPr>
        <w:t xml:space="preserve"> enhancing monitoring by integrating Open Foris solutions with NFMS; and </w:t>
      </w:r>
      <w:r w:rsidR="00442974">
        <w:rPr>
          <w:rFonts w:cs="Arial"/>
          <w:sz w:val="22"/>
          <w:szCs w:val="22"/>
        </w:rPr>
        <w:t xml:space="preserve">(4) </w:t>
      </w:r>
      <w:r w:rsidR="00442974" w:rsidRPr="00442974">
        <w:rPr>
          <w:rFonts w:cs="Arial"/>
          <w:sz w:val="22"/>
          <w:szCs w:val="22"/>
        </w:rPr>
        <w:t>strengthening physical and digital traceability using open-source tools</w:t>
      </w:r>
      <w:r w:rsidR="00442974">
        <w:rPr>
          <w:rFonts w:cs="Arial"/>
          <w:sz w:val="22"/>
          <w:szCs w:val="22"/>
        </w:rPr>
        <w:t>.</w:t>
      </w:r>
    </w:p>
    <w:p w14:paraId="13748B76" w14:textId="77777777" w:rsidR="0032019A" w:rsidRPr="0032019A" w:rsidRDefault="0032019A" w:rsidP="0032019A">
      <w:pPr>
        <w:pStyle w:val="ListParagraph"/>
        <w:jc w:val="both"/>
        <w:rPr>
          <w:rFonts w:cs="Arial"/>
          <w:sz w:val="22"/>
          <w:szCs w:val="22"/>
        </w:rPr>
      </w:pPr>
    </w:p>
    <w:p w14:paraId="4A34E9CA" w14:textId="5144F5ED" w:rsidR="004F02AB" w:rsidRPr="00587390" w:rsidRDefault="004F02AB" w:rsidP="00587390">
      <w:pPr>
        <w:pStyle w:val="ListParagraph"/>
        <w:numPr>
          <w:ilvl w:val="0"/>
          <w:numId w:val="21"/>
        </w:numPr>
        <w:jc w:val="both"/>
        <w:rPr>
          <w:rFonts w:cs="Arial"/>
          <w:sz w:val="22"/>
          <w:szCs w:val="22"/>
        </w:rPr>
      </w:pPr>
      <w:r w:rsidRPr="0032019A">
        <w:rPr>
          <w:rFonts w:cs="Arial"/>
          <w:b/>
          <w:bCs/>
          <w:sz w:val="22"/>
          <w:szCs w:val="22"/>
        </w:rPr>
        <w:t>Tropical Forest Forever Facility (TFFF)</w:t>
      </w:r>
      <w:r w:rsidR="0028117A" w:rsidRPr="0032019A">
        <w:rPr>
          <w:rFonts w:cs="Arial"/>
          <w:b/>
          <w:bCs/>
          <w:sz w:val="22"/>
          <w:szCs w:val="22"/>
        </w:rPr>
        <w:t>:</w:t>
      </w:r>
      <w:r w:rsidR="0028117A">
        <w:rPr>
          <w:rFonts w:cs="Arial"/>
          <w:sz w:val="22"/>
          <w:szCs w:val="22"/>
        </w:rPr>
        <w:t xml:space="preserve"> </w:t>
      </w:r>
      <w:r w:rsidR="00587390" w:rsidRPr="00587390">
        <w:rPr>
          <w:rFonts w:cs="Arial"/>
          <w:sz w:val="22"/>
          <w:szCs w:val="22"/>
        </w:rPr>
        <w:t>The Tropical Forest Forever Facility (TFFF) is an innovative financing mechanism designed to provide long-term, large</w:t>
      </w:r>
      <w:r w:rsidR="00587390">
        <w:rPr>
          <w:rFonts w:cs="Arial"/>
          <w:sz w:val="22"/>
          <w:szCs w:val="22"/>
        </w:rPr>
        <w:t>-</w:t>
      </w:r>
      <w:r w:rsidR="00587390" w:rsidRPr="00587390">
        <w:rPr>
          <w:rFonts w:cs="Arial"/>
          <w:sz w:val="22"/>
          <w:szCs w:val="22"/>
        </w:rPr>
        <w:t xml:space="preserve">scale funding for the conservation of tropical forests. FAO through AIM4Forests has played a key role in shaping the eligibility criteria and monitoring framework of TFFF and serves as an important technical partner in developing the TFFF Operations Manual alongside the World Bank, WCS, and Brazil’s National Institute for Space Research (INPE). In 2025, </w:t>
      </w:r>
      <w:r w:rsidR="00587390">
        <w:rPr>
          <w:rFonts w:cs="Arial"/>
          <w:sz w:val="22"/>
          <w:szCs w:val="22"/>
        </w:rPr>
        <w:t>AIM4Forests</w:t>
      </w:r>
      <w:r w:rsidR="00587390" w:rsidRPr="00587390">
        <w:rPr>
          <w:rFonts w:cs="Arial"/>
          <w:sz w:val="22"/>
          <w:szCs w:val="22"/>
        </w:rPr>
        <w:t xml:space="preserve"> tested the collection of TFFF-compliant data from the national forest monitoring system in among other countries Brazil</w:t>
      </w:r>
      <w:r w:rsidR="009758D6">
        <w:rPr>
          <w:rFonts w:cs="Arial"/>
          <w:sz w:val="22"/>
          <w:szCs w:val="22"/>
        </w:rPr>
        <w:t>,</w:t>
      </w:r>
      <w:r w:rsidR="00587390" w:rsidRPr="00587390">
        <w:rPr>
          <w:rFonts w:cs="Arial"/>
          <w:sz w:val="22"/>
          <w:szCs w:val="22"/>
        </w:rPr>
        <w:t xml:space="preserve"> Indonesia</w:t>
      </w:r>
      <w:r w:rsidR="009758D6">
        <w:rPr>
          <w:rFonts w:cs="Arial"/>
          <w:sz w:val="22"/>
          <w:szCs w:val="22"/>
        </w:rPr>
        <w:t xml:space="preserve"> and Papua New Guinea</w:t>
      </w:r>
      <w:r w:rsidR="00587390" w:rsidRPr="00587390">
        <w:rPr>
          <w:rFonts w:cs="Arial"/>
          <w:sz w:val="22"/>
          <w:szCs w:val="22"/>
        </w:rPr>
        <w:t xml:space="preserve"> and fed these lessons directly into the development of the Operations Manual.</w:t>
      </w:r>
      <w:r w:rsidR="00244DDD">
        <w:rPr>
          <w:rFonts w:cs="Arial"/>
          <w:sz w:val="22"/>
          <w:szCs w:val="22"/>
        </w:rPr>
        <w:t xml:space="preserve"> The extension under AIM4Forests, announced at COP30 will ensure the programme continues to</w:t>
      </w:r>
      <w:r w:rsidR="00244DDD" w:rsidRPr="00244DDD">
        <w:rPr>
          <w:rFonts w:cs="Arial"/>
          <w:sz w:val="22"/>
          <w:szCs w:val="22"/>
        </w:rPr>
        <w:t xml:space="preserve"> support countries to understand their national data and capacity with emerging financial opportunities such as TFFF, and how they may be able to benefit as a country according to their deforestation and degradation rates data. </w:t>
      </w:r>
    </w:p>
    <w:p w14:paraId="7E87B65C" w14:textId="77777777" w:rsidR="0032019A" w:rsidRDefault="0032019A" w:rsidP="0032019A">
      <w:pPr>
        <w:pStyle w:val="ListParagraph"/>
        <w:jc w:val="both"/>
        <w:rPr>
          <w:rFonts w:cs="Arial"/>
          <w:sz w:val="22"/>
          <w:szCs w:val="22"/>
        </w:rPr>
      </w:pPr>
    </w:p>
    <w:p w14:paraId="1B63C618" w14:textId="100F2512" w:rsidR="003D222C" w:rsidRPr="00F03BA6" w:rsidRDefault="00AA22C7" w:rsidP="2BB7B83D">
      <w:pPr>
        <w:pStyle w:val="ListParagraph"/>
        <w:numPr>
          <w:ilvl w:val="0"/>
          <w:numId w:val="21"/>
        </w:numPr>
        <w:jc w:val="both"/>
        <w:rPr>
          <w:rFonts w:cs="Arial"/>
          <w:sz w:val="22"/>
          <w:szCs w:val="22"/>
        </w:rPr>
      </w:pPr>
      <w:r w:rsidRPr="08C53D8C">
        <w:rPr>
          <w:rFonts w:cs="Arial"/>
          <w:b/>
          <w:bCs/>
          <w:sz w:val="22"/>
          <w:szCs w:val="22"/>
        </w:rPr>
        <w:t>Outreach and knowledge management</w:t>
      </w:r>
      <w:r w:rsidR="2CD664D5" w:rsidRPr="08C53D8C">
        <w:rPr>
          <w:rFonts w:cs="Arial"/>
          <w:b/>
          <w:bCs/>
          <w:sz w:val="22"/>
          <w:szCs w:val="22"/>
        </w:rPr>
        <w:t>:</w:t>
      </w:r>
      <w:r w:rsidR="2CD664D5" w:rsidRPr="08C53D8C">
        <w:rPr>
          <w:rFonts w:cs="Arial"/>
          <w:sz w:val="22"/>
          <w:szCs w:val="22"/>
        </w:rPr>
        <w:t xml:space="preserve"> AIM4Forests has strengthened visibility and reach of forest monitoring efforts at both country and global scales. The AIM4Forests webpage attracted 13,715 users demonstrating strong interest in activities and results. In addition, the pro</w:t>
      </w:r>
      <w:r w:rsidR="0EC45210" w:rsidRPr="08C53D8C">
        <w:rPr>
          <w:rFonts w:cs="Arial"/>
          <w:sz w:val="22"/>
          <w:szCs w:val="22"/>
        </w:rPr>
        <w:t xml:space="preserve">gramme’s </w:t>
      </w:r>
      <w:r w:rsidR="2CD664D5" w:rsidRPr="08C53D8C">
        <w:rPr>
          <w:rFonts w:cs="Arial"/>
          <w:sz w:val="22"/>
          <w:szCs w:val="22"/>
        </w:rPr>
        <w:t>flyer was widely accessed and downloaded, further supporting knowledge dissemination among partners and stakeholders.</w:t>
      </w:r>
      <w:r w:rsidR="11D2514C" w:rsidRPr="08C53D8C">
        <w:rPr>
          <w:rFonts w:cs="Arial"/>
          <w:sz w:val="22"/>
          <w:szCs w:val="22"/>
        </w:rPr>
        <w:t xml:space="preserve"> Programme results and country-level experiences were shared globally through 40 AIM4Forests-produced news articles and 24 co-produced pieces, including press releases and features on partner platforms. Social media engagement further amplified this reach, with the project hashtag mentioned 1.11k times across the web and social media such as X, LinkedIn, Instagram, Facebook, and Bluesky. In additional, the </w:t>
      </w:r>
      <w:hyperlink r:id="rId35">
        <w:r w:rsidR="11D2514C" w:rsidRPr="08C53D8C">
          <w:rPr>
            <w:rStyle w:val="Hyperlink"/>
            <w:rFonts w:cs="Arial"/>
            <w:sz w:val="22"/>
            <w:szCs w:val="22"/>
          </w:rPr>
          <w:t>AIM4Forests newsletter</w:t>
        </w:r>
      </w:hyperlink>
      <w:r w:rsidR="11D2514C" w:rsidRPr="08C53D8C">
        <w:rPr>
          <w:rFonts w:cs="Arial"/>
          <w:sz w:val="22"/>
          <w:szCs w:val="22"/>
        </w:rPr>
        <w:t xml:space="preserve"> was launched in September 2025 alongside an impact report highlighting early results and reaching over 1,800 readers.</w:t>
      </w:r>
    </w:p>
    <w:p w14:paraId="45D16A2E" w14:textId="01D953E2" w:rsidR="00F83035" w:rsidRPr="00F03BA6" w:rsidRDefault="00F83035"/>
    <w:tbl>
      <w:tblPr>
        <w:tblStyle w:val="TableGrid"/>
        <w:tblW w:w="0" w:type="auto"/>
        <w:tblLook w:val="04A0" w:firstRow="1" w:lastRow="0" w:firstColumn="1" w:lastColumn="0" w:noHBand="0" w:noVBand="1"/>
      </w:tblPr>
      <w:tblGrid>
        <w:gridCol w:w="9016"/>
      </w:tblGrid>
      <w:tr w:rsidR="00FF25ED" w14:paraId="406A1DDB" w14:textId="77777777" w:rsidTr="5302A23D">
        <w:tc>
          <w:tcPr>
            <w:tcW w:w="9016" w:type="dxa"/>
            <w:shd w:val="clear" w:color="auto" w:fill="DEEAF6" w:themeFill="accent5" w:themeFillTint="33"/>
          </w:tcPr>
          <w:p w14:paraId="5F18405D" w14:textId="232E104C" w:rsidR="00CB2873" w:rsidRDefault="2C7057B1" w:rsidP="004D5FD5">
            <w:pPr>
              <w:jc w:val="both"/>
            </w:pPr>
            <w:bookmarkStart w:id="19" w:name="_Toc225240741"/>
            <w:bookmarkStart w:id="20" w:name="_Toc228283639"/>
            <w:r w:rsidRPr="5302A23D">
              <w:rPr>
                <w:rStyle w:val="Heading1Char"/>
                <w:rFonts w:ascii="Arial" w:hAnsi="Arial" w:cs="Arial"/>
                <w:b/>
                <w:bCs/>
                <w:color w:val="auto"/>
              </w:rPr>
              <w:t>Section E: Risk</w:t>
            </w:r>
            <w:bookmarkEnd w:id="19"/>
            <w:bookmarkEnd w:id="20"/>
            <w:r>
              <w:t xml:space="preserve"> </w:t>
            </w:r>
          </w:p>
        </w:tc>
      </w:tr>
    </w:tbl>
    <w:p w14:paraId="7D07A5C2" w14:textId="77777777" w:rsidR="003D222C" w:rsidRPr="00D80C6C" w:rsidRDefault="003D222C" w:rsidP="004D5FD5">
      <w:pPr>
        <w:jc w:val="both"/>
        <w:rPr>
          <w:rFonts w:cs="Arial"/>
          <w:b/>
          <w:bCs/>
          <w:sz w:val="22"/>
          <w:szCs w:val="22"/>
        </w:rPr>
      </w:pPr>
    </w:p>
    <w:p w14:paraId="7CBD3830" w14:textId="5FF21C28" w:rsidR="00B74143" w:rsidRDefault="00B74143" w:rsidP="5302A23D">
      <w:pPr>
        <w:contextualSpacing/>
        <w:jc w:val="both"/>
        <w:rPr>
          <w:rFonts w:cs="Arial"/>
          <w:b/>
          <w:bCs/>
          <w:sz w:val="22"/>
          <w:szCs w:val="22"/>
        </w:rPr>
      </w:pPr>
      <w:bookmarkStart w:id="21" w:name="_Toc228283640"/>
      <w:r w:rsidRPr="5302A23D">
        <w:rPr>
          <w:rStyle w:val="Heading2Char"/>
        </w:rPr>
        <w:t>Overall risk rating</w:t>
      </w:r>
      <w:bookmarkEnd w:id="21"/>
      <w:r w:rsidRPr="5302A23D">
        <w:rPr>
          <w:rFonts w:cs="Arial"/>
          <w:b/>
          <w:bCs/>
          <w:sz w:val="22"/>
          <w:szCs w:val="22"/>
        </w:rPr>
        <w:t xml:space="preserve">: </w:t>
      </w:r>
      <w:r w:rsidR="00DA61B2" w:rsidRPr="5302A23D">
        <w:rPr>
          <w:rFonts w:cs="Arial"/>
          <w:b/>
          <w:bCs/>
          <w:sz w:val="22"/>
          <w:szCs w:val="22"/>
        </w:rPr>
        <w:t>Moderate</w:t>
      </w:r>
    </w:p>
    <w:p w14:paraId="1CF1001B" w14:textId="77777777" w:rsidR="00DA61B2" w:rsidRPr="00D80C6C" w:rsidRDefault="00DA61B2" w:rsidP="527A8EFF">
      <w:pPr>
        <w:contextualSpacing/>
        <w:jc w:val="both"/>
        <w:rPr>
          <w:rFonts w:cs="Arial"/>
          <w:b/>
          <w:bCs/>
          <w:sz w:val="22"/>
          <w:szCs w:val="22"/>
        </w:rPr>
      </w:pPr>
    </w:p>
    <w:p w14:paraId="55743C55" w14:textId="33AE9881" w:rsidR="00B74143" w:rsidRPr="00D80C6C" w:rsidRDefault="00B74143" w:rsidP="004D5FD5">
      <w:pPr>
        <w:jc w:val="both"/>
        <w:rPr>
          <w:rFonts w:cs="Arial"/>
          <w:sz w:val="22"/>
          <w:szCs w:val="22"/>
        </w:rPr>
      </w:pPr>
      <w:bookmarkStart w:id="22" w:name="_Toc228283641"/>
      <w:r w:rsidRPr="5302A23D">
        <w:rPr>
          <w:rStyle w:val="Heading2Char"/>
        </w:rPr>
        <w:t>Overview of risk management</w:t>
      </w:r>
      <w:bookmarkEnd w:id="22"/>
    </w:p>
    <w:p w14:paraId="673B755F" w14:textId="77777777" w:rsidR="00B74143" w:rsidRPr="00D80C6C" w:rsidRDefault="00B74143" w:rsidP="004D5FD5">
      <w:pPr>
        <w:jc w:val="both"/>
        <w:rPr>
          <w:rFonts w:cs="Arial"/>
          <w:sz w:val="22"/>
          <w:szCs w:val="22"/>
        </w:rPr>
      </w:pPr>
    </w:p>
    <w:p w14:paraId="605F4B55" w14:textId="4588D3F6" w:rsidR="00DA61B2" w:rsidRPr="00DA61B2" w:rsidRDefault="00DA61B2" w:rsidP="00DA61B2">
      <w:pPr>
        <w:jc w:val="both"/>
        <w:rPr>
          <w:rFonts w:cs="Arial"/>
          <w:sz w:val="22"/>
          <w:szCs w:val="22"/>
        </w:rPr>
      </w:pPr>
      <w:r w:rsidRPr="00DA61B2">
        <w:rPr>
          <w:rFonts w:cs="Arial"/>
          <w:sz w:val="22"/>
          <w:szCs w:val="22"/>
        </w:rPr>
        <w:t>We have monitored risks and will seek up-to-date and accurate information through our delivery partner FAO. We check in with the FAO regularly on the risks at ad-hoc programme meetings (generally once a month) and via </w:t>
      </w:r>
      <w:proofErr w:type="gramStart"/>
      <w:r w:rsidRPr="00DA61B2">
        <w:rPr>
          <w:rFonts w:cs="Arial"/>
          <w:sz w:val="22"/>
          <w:szCs w:val="22"/>
        </w:rPr>
        <w:t>email, and</w:t>
      </w:r>
      <w:proofErr w:type="gramEnd"/>
      <w:r w:rsidRPr="00DA61B2">
        <w:rPr>
          <w:rFonts w:cs="Arial"/>
          <w:sz w:val="22"/>
          <w:szCs w:val="22"/>
        </w:rPr>
        <w:t> raise any major concerns on progress where needed. This is taken on a case-by-case basis depending on different risk level and concern, and in-country desk offices and/or other policy experts are drawn upon where there is an assessed need. FAO and UK DESNZ share a joint risk mitigation plan, which operates as a live document and is actively discussed during annual steering committee meetings. There is also a semi-annual meeting which covers risks. We are satisfied with the current risk management approach and find it proportionate to the needs of the programme.</w:t>
      </w:r>
      <w:r>
        <w:rPr>
          <w:rFonts w:cs="Arial"/>
          <w:sz w:val="22"/>
          <w:szCs w:val="22"/>
        </w:rPr>
        <w:t xml:space="preserve"> The Extension Business Case (approved in Q4 2025) provided an update to risks under the programme, which are now also reflected in the below</w:t>
      </w:r>
      <w:r w:rsidR="003F1D1E">
        <w:rPr>
          <w:rFonts w:cs="Arial"/>
          <w:sz w:val="22"/>
          <w:szCs w:val="22"/>
        </w:rPr>
        <w:t>, and these have been discussed and agreed with FAO</w:t>
      </w:r>
      <w:r>
        <w:rPr>
          <w:rFonts w:cs="Arial"/>
          <w:sz w:val="22"/>
          <w:szCs w:val="22"/>
        </w:rPr>
        <w:t>.</w:t>
      </w:r>
    </w:p>
    <w:p w14:paraId="6553C2DF" w14:textId="77777777" w:rsidR="00B74143" w:rsidRPr="00D80C6C" w:rsidRDefault="00B74143" w:rsidP="004D5FD5">
      <w:pPr>
        <w:pStyle w:val="Heading2"/>
        <w:jc w:val="both"/>
      </w:pPr>
      <w:bookmarkStart w:id="23" w:name="_Toc228283642"/>
      <w:r>
        <w:t>Current risks</w:t>
      </w:r>
      <w:bookmarkEnd w:id="23"/>
    </w:p>
    <w:p w14:paraId="7CD7D9F1" w14:textId="77777777" w:rsidR="00B74143" w:rsidRPr="00D80C6C" w:rsidRDefault="00B74143" w:rsidP="004D5FD5">
      <w:pPr>
        <w:contextualSpacing/>
        <w:jc w:val="both"/>
        <w:rPr>
          <w:rFonts w:cs="Arial"/>
          <w:i/>
          <w:iCs/>
          <w:sz w:val="22"/>
          <w:szCs w:val="22"/>
        </w:rPr>
      </w:pPr>
    </w:p>
    <w:tbl>
      <w:tblPr>
        <w:tblStyle w:val="TableGrid"/>
        <w:tblW w:w="9016" w:type="dxa"/>
        <w:jc w:val="center"/>
        <w:tblLook w:val="04A0" w:firstRow="1" w:lastRow="0" w:firstColumn="1" w:lastColumn="0" w:noHBand="0" w:noVBand="1"/>
      </w:tblPr>
      <w:tblGrid>
        <w:gridCol w:w="3035"/>
        <w:gridCol w:w="3825"/>
        <w:gridCol w:w="2156"/>
      </w:tblGrid>
      <w:tr w:rsidR="009758D6" w:rsidRPr="00D80C6C" w14:paraId="44DB7905" w14:textId="77777777" w:rsidTr="24E2CB19">
        <w:trPr>
          <w:jc w:val="center"/>
        </w:trPr>
        <w:tc>
          <w:tcPr>
            <w:tcW w:w="3035" w:type="dxa"/>
            <w:shd w:val="clear" w:color="auto" w:fill="DEEAF6" w:themeFill="accent5" w:themeFillTint="33"/>
          </w:tcPr>
          <w:p w14:paraId="65DD4058" w14:textId="1ECD1913" w:rsidR="24E2CB19" w:rsidRPr="24E2CB19" w:rsidRDefault="24E2CB19" w:rsidP="24E2CB19">
            <w:pPr>
              <w:contextualSpacing/>
              <w:jc w:val="both"/>
              <w:rPr>
                <w:rFonts w:eastAsia="Arial" w:cs="Arial"/>
                <w:b/>
                <w:bCs/>
                <w:color w:val="000000" w:themeColor="text1"/>
                <w:sz w:val="22"/>
                <w:szCs w:val="22"/>
              </w:rPr>
            </w:pPr>
            <w:r w:rsidRPr="24E2CB19">
              <w:rPr>
                <w:rFonts w:eastAsia="Arial" w:cs="Arial"/>
                <w:b/>
                <w:bCs/>
                <w:color w:val="000000" w:themeColor="text1"/>
                <w:sz w:val="22"/>
                <w:szCs w:val="22"/>
              </w:rPr>
              <w:t xml:space="preserve">Risk description </w:t>
            </w:r>
          </w:p>
        </w:tc>
        <w:tc>
          <w:tcPr>
            <w:tcW w:w="3825" w:type="dxa"/>
            <w:shd w:val="clear" w:color="auto" w:fill="DEEAF6" w:themeFill="accent5" w:themeFillTint="33"/>
          </w:tcPr>
          <w:p w14:paraId="6D05862A" w14:textId="6F8A401B" w:rsidR="24E2CB19" w:rsidRPr="24E2CB19" w:rsidRDefault="24E2CB19" w:rsidP="24E2CB19">
            <w:pPr>
              <w:contextualSpacing/>
              <w:jc w:val="both"/>
              <w:rPr>
                <w:rFonts w:eastAsia="Arial" w:cs="Arial"/>
                <w:b/>
                <w:bCs/>
                <w:color w:val="000000" w:themeColor="text1"/>
                <w:sz w:val="22"/>
                <w:szCs w:val="22"/>
              </w:rPr>
            </w:pPr>
            <w:r w:rsidRPr="24E2CB19">
              <w:rPr>
                <w:rFonts w:eastAsia="Arial" w:cs="Arial"/>
                <w:b/>
                <w:bCs/>
                <w:color w:val="000000" w:themeColor="text1"/>
                <w:sz w:val="22"/>
                <w:szCs w:val="22"/>
              </w:rPr>
              <w:t xml:space="preserve">Mitigation strategy </w:t>
            </w:r>
          </w:p>
        </w:tc>
        <w:tc>
          <w:tcPr>
            <w:tcW w:w="2156" w:type="dxa"/>
            <w:shd w:val="clear" w:color="auto" w:fill="DEEAF6" w:themeFill="accent5" w:themeFillTint="33"/>
          </w:tcPr>
          <w:p w14:paraId="39E91E79" w14:textId="4197A764" w:rsidR="24E2CB19" w:rsidRPr="24E2CB19" w:rsidRDefault="24E2CB19" w:rsidP="24E2CB19">
            <w:pPr>
              <w:contextualSpacing/>
              <w:jc w:val="both"/>
              <w:rPr>
                <w:rFonts w:eastAsia="Arial" w:cs="Arial"/>
                <w:b/>
                <w:bCs/>
                <w:color w:val="000000" w:themeColor="text1"/>
                <w:sz w:val="22"/>
                <w:szCs w:val="22"/>
              </w:rPr>
            </w:pPr>
            <w:r w:rsidRPr="24E2CB19">
              <w:rPr>
                <w:rFonts w:eastAsia="Arial" w:cs="Arial"/>
                <w:b/>
                <w:bCs/>
                <w:color w:val="000000" w:themeColor="text1"/>
                <w:sz w:val="22"/>
                <w:szCs w:val="22"/>
              </w:rPr>
              <w:t>Residual Risk rating</w:t>
            </w:r>
          </w:p>
        </w:tc>
      </w:tr>
      <w:tr w:rsidR="009758D6" w:rsidRPr="00D80C6C" w14:paraId="38C3D524" w14:textId="77777777" w:rsidTr="00486554">
        <w:trPr>
          <w:jc w:val="center"/>
        </w:trPr>
        <w:tc>
          <w:tcPr>
            <w:tcW w:w="3035" w:type="dxa"/>
          </w:tcPr>
          <w:p w14:paraId="0EE8C9AE" w14:textId="1096E120" w:rsidR="24E2CB19" w:rsidRP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Conflict escalates or political change weakens environmental protections and reduces progress on REDD+ and forest protection within AIM4Forests countries.</w:t>
            </w:r>
          </w:p>
        </w:tc>
        <w:tc>
          <w:tcPr>
            <w:tcW w:w="3825" w:type="dxa"/>
          </w:tcPr>
          <w:p w14:paraId="43BDC997" w14:textId="28D782DE" w:rsidR="24E2CB19" w:rsidRP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Monitoring conflict and political risks with Posts and FAO; adaptive management approaches to flex depending on demands internationally (including evolving opportunities such as Article 6 and TFFF); embedding national priorities to maintain delivery – ensure country-driven; maintaining diverse portfolio of countries (operating in 20 countries).</w:t>
            </w:r>
          </w:p>
        </w:tc>
        <w:tc>
          <w:tcPr>
            <w:tcW w:w="2156" w:type="dxa"/>
            <w:shd w:val="clear" w:color="auto" w:fill="EE0000"/>
          </w:tcPr>
          <w:p w14:paraId="7DA6E8A8" w14:textId="6E16938B" w:rsidR="24E2CB19" w:rsidRP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Major</w:t>
            </w:r>
          </w:p>
        </w:tc>
      </w:tr>
      <w:tr w:rsidR="009758D6" w:rsidRPr="00D80C6C" w14:paraId="4130C0B9" w14:textId="77777777" w:rsidTr="007B7922">
        <w:trPr>
          <w:jc w:val="center"/>
        </w:trPr>
        <w:tc>
          <w:tcPr>
            <w:tcW w:w="3035" w:type="dxa"/>
          </w:tcPr>
          <w:p w14:paraId="13B8DD3D" w14:textId="5ED9B591" w:rsid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Economic or political downturns reduce public spending and appetite for forest protection and engagement, limiting uptake of improved forest management.</w:t>
            </w:r>
          </w:p>
          <w:p w14:paraId="20F75DB1" w14:textId="425B9CC7" w:rsidR="24E2CB19" w:rsidRPr="24E2CB19" w:rsidRDefault="24E2CB19" w:rsidP="24E2CB19">
            <w:pPr>
              <w:contextualSpacing/>
              <w:rPr>
                <w:rFonts w:eastAsia="Arial" w:cs="Arial"/>
                <w:color w:val="000000" w:themeColor="text1"/>
                <w:sz w:val="22"/>
                <w:szCs w:val="22"/>
              </w:rPr>
            </w:pPr>
          </w:p>
        </w:tc>
        <w:tc>
          <w:tcPr>
            <w:tcW w:w="3825" w:type="dxa"/>
          </w:tcPr>
          <w:p w14:paraId="1A13190F" w14:textId="1BEB6AFE" w:rsidR="24E2CB19" w:rsidRP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Ongoing monitoring with FAO and Posts; selection of engaged countries aligned with national priorities and impact potential; adaptive, iterative planning; improved data availability and transparency to sustain momentum.</w:t>
            </w:r>
          </w:p>
        </w:tc>
        <w:tc>
          <w:tcPr>
            <w:tcW w:w="2156" w:type="dxa"/>
            <w:shd w:val="clear" w:color="auto" w:fill="FFC000" w:themeFill="accent4"/>
          </w:tcPr>
          <w:p w14:paraId="70DED2BE" w14:textId="7D785136" w:rsidR="24E2CB19" w:rsidRP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Moderate</w:t>
            </w:r>
          </w:p>
        </w:tc>
      </w:tr>
      <w:tr w:rsidR="009758D6" w:rsidRPr="00D80C6C" w14:paraId="7BF9B575" w14:textId="77777777" w:rsidTr="007B7922">
        <w:trPr>
          <w:jc w:val="center"/>
        </w:trPr>
        <w:tc>
          <w:tcPr>
            <w:tcW w:w="3035" w:type="dxa"/>
          </w:tcPr>
          <w:p w14:paraId="5F2F5E4E" w14:textId="7D1D26FD" w:rsidR="24E2CB19" w:rsidRP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Under or overspend due to delivery delays or limited disbursement capacity results in ineffective use of funds.</w:t>
            </w:r>
          </w:p>
        </w:tc>
        <w:tc>
          <w:tcPr>
            <w:tcW w:w="3825" w:type="dxa"/>
          </w:tcPr>
          <w:p w14:paraId="4AC52FDC" w14:textId="1EDCFF58" w:rsidR="24E2CB19" w:rsidRP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Annual collaborative work-planning with FAO team; close financial monitoring with FAO and budget sign offs; ability to reprofile activities and budgets responsively – encashments are based on need.</w:t>
            </w:r>
          </w:p>
        </w:tc>
        <w:tc>
          <w:tcPr>
            <w:tcW w:w="2156" w:type="dxa"/>
            <w:shd w:val="clear" w:color="auto" w:fill="FFC000" w:themeFill="accent4"/>
          </w:tcPr>
          <w:p w14:paraId="7E420A9A" w14:textId="498673D4" w:rsidR="24E2CB19" w:rsidRP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Moderate</w:t>
            </w:r>
          </w:p>
        </w:tc>
      </w:tr>
      <w:tr w:rsidR="009758D6" w14:paraId="25F04695" w14:textId="77777777" w:rsidTr="007B7922">
        <w:trPr>
          <w:trHeight w:val="300"/>
          <w:jc w:val="center"/>
        </w:trPr>
        <w:tc>
          <w:tcPr>
            <w:tcW w:w="3035" w:type="dxa"/>
          </w:tcPr>
          <w:p w14:paraId="110E9251" w14:textId="5A819153"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Exchange rate fluctuations reduce the GBP value of programme funding.</w:t>
            </w:r>
          </w:p>
          <w:p w14:paraId="60CCAFBA" w14:textId="44C8B835" w:rsidR="24E2CB19" w:rsidRDefault="24E2CB19" w:rsidP="24E2CB19">
            <w:pPr>
              <w:rPr>
                <w:rFonts w:eastAsia="Arial" w:cs="Arial"/>
                <w:color w:val="000000" w:themeColor="text1"/>
                <w:sz w:val="22"/>
                <w:szCs w:val="22"/>
              </w:rPr>
            </w:pPr>
          </w:p>
        </w:tc>
        <w:tc>
          <w:tcPr>
            <w:tcW w:w="3825" w:type="dxa"/>
          </w:tcPr>
          <w:p w14:paraId="73A5FE2B" w14:textId="57007D1D"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Monitoring promissory note encashment schedules and adapting timing where needed.</w:t>
            </w:r>
          </w:p>
        </w:tc>
        <w:tc>
          <w:tcPr>
            <w:tcW w:w="2156" w:type="dxa"/>
            <w:shd w:val="clear" w:color="auto" w:fill="FFC000" w:themeFill="accent4"/>
          </w:tcPr>
          <w:p w14:paraId="093FD874" w14:textId="148874F5"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Moderate</w:t>
            </w:r>
          </w:p>
        </w:tc>
      </w:tr>
      <w:tr w:rsidR="009758D6" w14:paraId="27573536" w14:textId="77777777" w:rsidTr="007B7922">
        <w:trPr>
          <w:trHeight w:val="300"/>
          <w:jc w:val="center"/>
        </w:trPr>
        <w:tc>
          <w:tcPr>
            <w:tcW w:w="3035" w:type="dxa"/>
          </w:tcPr>
          <w:p w14:paraId="40408925" w14:textId="41D2C2CF"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lastRenderedPageBreak/>
              <w:t>Limited fiduciary capacity or misuse of funds leads to financial loss or reputational damage. [see additional Fraud Risk Assessment conducted during extension Business Case]</w:t>
            </w:r>
          </w:p>
          <w:p w14:paraId="65FDC618" w14:textId="1F0AB4AA" w:rsidR="24E2CB19" w:rsidRDefault="24E2CB19" w:rsidP="24E2CB19">
            <w:pPr>
              <w:rPr>
                <w:rFonts w:eastAsia="Arial" w:cs="Arial"/>
                <w:color w:val="000000" w:themeColor="text1"/>
                <w:sz w:val="22"/>
                <w:szCs w:val="22"/>
              </w:rPr>
            </w:pPr>
          </w:p>
        </w:tc>
        <w:tc>
          <w:tcPr>
            <w:tcW w:w="3825" w:type="dxa"/>
          </w:tcPr>
          <w:p w14:paraId="43C8C57F" w14:textId="46F87F11"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 xml:space="preserve">Delivery through FAO with established fiduciary controls (e.g., disbursement as when needed); rigorous financial management; fraud provisions and enhanced management and clawback clauses in agreements. Review Fraud Risk Assessment each </w:t>
            </w:r>
            <w:proofErr w:type="gramStart"/>
            <w:r w:rsidRPr="24E2CB19">
              <w:rPr>
                <w:rFonts w:eastAsia="Arial" w:cs="Arial"/>
                <w:color w:val="000000" w:themeColor="text1"/>
                <w:sz w:val="22"/>
                <w:szCs w:val="22"/>
              </w:rPr>
              <w:t>year, and</w:t>
            </w:r>
            <w:proofErr w:type="gramEnd"/>
            <w:r w:rsidRPr="24E2CB19">
              <w:rPr>
                <w:rFonts w:eastAsia="Arial" w:cs="Arial"/>
                <w:color w:val="000000" w:themeColor="text1"/>
                <w:sz w:val="22"/>
                <w:szCs w:val="22"/>
              </w:rPr>
              <w:t xml:space="preserve"> confirm whether any instances of Fraud with FAO team each month.</w:t>
            </w:r>
          </w:p>
        </w:tc>
        <w:tc>
          <w:tcPr>
            <w:tcW w:w="2156" w:type="dxa"/>
            <w:shd w:val="clear" w:color="auto" w:fill="FFC000" w:themeFill="accent4"/>
          </w:tcPr>
          <w:p w14:paraId="75D0DF80" w14:textId="08B11A40"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Moderate</w:t>
            </w:r>
          </w:p>
        </w:tc>
      </w:tr>
      <w:tr w:rsidR="009758D6" w14:paraId="6F90D2B0" w14:textId="77777777" w:rsidTr="007B7922">
        <w:trPr>
          <w:trHeight w:val="300"/>
          <w:jc w:val="center"/>
        </w:trPr>
        <w:tc>
          <w:tcPr>
            <w:tcW w:w="3035" w:type="dxa"/>
          </w:tcPr>
          <w:p w14:paraId="5E6106D7" w14:textId="3AAD3A81"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Reputational risks arise from negative perceptions around REDD+, forest carbon finance issues, new technology concerns/issues, or rising deforestation data.</w:t>
            </w:r>
          </w:p>
        </w:tc>
        <w:tc>
          <w:tcPr>
            <w:tcW w:w="3825" w:type="dxa"/>
          </w:tcPr>
          <w:p w14:paraId="47A67D13" w14:textId="1C313157"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Strong M&amp;E and learning; proactive positive communications; ability to adapt programme focus; close observation of international policy context. Support covers a range of different carbon finance approaches and standards to spread risks. AIM4Forests activities help carbon finance through enabling high-integrity monitoring approaches.</w:t>
            </w:r>
          </w:p>
        </w:tc>
        <w:tc>
          <w:tcPr>
            <w:tcW w:w="2156" w:type="dxa"/>
            <w:shd w:val="clear" w:color="auto" w:fill="FFC000" w:themeFill="accent4"/>
          </w:tcPr>
          <w:p w14:paraId="09EE5902" w14:textId="0169E495"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Moderate</w:t>
            </w:r>
          </w:p>
        </w:tc>
      </w:tr>
      <w:tr w:rsidR="009758D6" w14:paraId="645EB307" w14:textId="77777777" w:rsidTr="007B7922">
        <w:trPr>
          <w:trHeight w:val="300"/>
          <w:jc w:val="center"/>
        </w:trPr>
        <w:tc>
          <w:tcPr>
            <w:tcW w:w="3035" w:type="dxa"/>
          </w:tcPr>
          <w:p w14:paraId="647396C2" w14:textId="39EA16BB"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Indigenous Peoples and Local Communities have concerns about forest monitoring or carbon finance, delaying or constraining delivery, or other safeguarding concerns arise within the programme.</w:t>
            </w:r>
          </w:p>
          <w:p w14:paraId="4FE83BA7" w14:textId="43AABCFF" w:rsidR="24E2CB19" w:rsidRDefault="24E2CB19" w:rsidP="24E2CB19">
            <w:pPr>
              <w:rPr>
                <w:rFonts w:eastAsia="Arial" w:cs="Arial"/>
                <w:color w:val="000000" w:themeColor="text1"/>
                <w:sz w:val="22"/>
                <w:szCs w:val="22"/>
              </w:rPr>
            </w:pPr>
          </w:p>
        </w:tc>
        <w:tc>
          <w:tcPr>
            <w:tcW w:w="3825" w:type="dxa"/>
          </w:tcPr>
          <w:p w14:paraId="79A6625D" w14:textId="484B1D79"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Socially inclusive practices are embedded - IP&amp;LC‑led Community of Practice; capacity development; direct FAO delivery and engagement with global and regional IP&amp;LC organisations, Young Forest Champions, and gender-integrated indicators within the M&amp;E. Check in with FAO about potential safeguarding issues every month.</w:t>
            </w:r>
          </w:p>
        </w:tc>
        <w:tc>
          <w:tcPr>
            <w:tcW w:w="2156" w:type="dxa"/>
            <w:shd w:val="clear" w:color="auto" w:fill="FFC000" w:themeFill="accent4"/>
          </w:tcPr>
          <w:p w14:paraId="2586218E" w14:textId="29606CAF" w:rsidR="24E2CB19" w:rsidRDefault="24E2CB19" w:rsidP="24E2CB19">
            <w:pPr>
              <w:rPr>
                <w:rFonts w:eastAsia="Arial" w:cs="Arial"/>
                <w:color w:val="000000" w:themeColor="text1"/>
                <w:sz w:val="22"/>
                <w:szCs w:val="22"/>
              </w:rPr>
            </w:pPr>
            <w:r w:rsidRPr="24E2CB19">
              <w:rPr>
                <w:rFonts w:eastAsia="Arial" w:cs="Arial"/>
                <w:color w:val="000000" w:themeColor="text1"/>
                <w:sz w:val="22"/>
                <w:szCs w:val="22"/>
              </w:rPr>
              <w:t>Moderate</w:t>
            </w:r>
          </w:p>
        </w:tc>
      </w:tr>
      <w:tr w:rsidR="009758D6" w14:paraId="6D0CA6E5" w14:textId="77777777" w:rsidTr="00486554">
        <w:trPr>
          <w:trHeight w:val="300"/>
          <w:jc w:val="center"/>
        </w:trPr>
        <w:tc>
          <w:tcPr>
            <w:tcW w:w="3035" w:type="dxa"/>
          </w:tcPr>
          <w:p w14:paraId="16DCECFA" w14:textId="5EFAC556" w:rsid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Programme funding shortfall or failure to secure additional funding limits delivery beyond FY26.</w:t>
            </w:r>
          </w:p>
        </w:tc>
        <w:tc>
          <w:tcPr>
            <w:tcW w:w="3825" w:type="dxa"/>
          </w:tcPr>
          <w:p w14:paraId="5A542A13" w14:textId="39B47F51" w:rsid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 xml:space="preserve">Funding now secured through FY26; review and reprioritisation of country work to ensure continued </w:t>
            </w:r>
            <w:proofErr w:type="spellStart"/>
            <w:r w:rsidRPr="24E2CB19">
              <w:rPr>
                <w:rFonts w:eastAsia="Arial" w:cs="Arial"/>
                <w:color w:val="000000" w:themeColor="text1"/>
                <w:sz w:val="22"/>
                <w:szCs w:val="22"/>
              </w:rPr>
              <w:t>VfM</w:t>
            </w:r>
            <w:proofErr w:type="spellEnd"/>
            <w:r w:rsidRPr="24E2CB19">
              <w:rPr>
                <w:rFonts w:eastAsia="Arial" w:cs="Arial"/>
                <w:color w:val="000000" w:themeColor="text1"/>
                <w:sz w:val="22"/>
                <w:szCs w:val="22"/>
              </w:rPr>
              <w:t>.</w:t>
            </w:r>
          </w:p>
        </w:tc>
        <w:tc>
          <w:tcPr>
            <w:tcW w:w="2156" w:type="dxa"/>
            <w:shd w:val="clear" w:color="auto" w:fill="70AD47" w:themeFill="accent6"/>
          </w:tcPr>
          <w:p w14:paraId="35FB6A1C" w14:textId="084DC2F0" w:rsidR="24E2CB19" w:rsidRDefault="24E2CB19" w:rsidP="24E2CB19">
            <w:pPr>
              <w:contextualSpacing/>
              <w:rPr>
                <w:rFonts w:eastAsia="Arial" w:cs="Arial"/>
                <w:color w:val="000000" w:themeColor="text1"/>
                <w:sz w:val="22"/>
                <w:szCs w:val="22"/>
              </w:rPr>
            </w:pPr>
            <w:r w:rsidRPr="24E2CB19">
              <w:rPr>
                <w:rFonts w:eastAsia="Arial" w:cs="Arial"/>
                <w:color w:val="000000" w:themeColor="text1"/>
                <w:sz w:val="22"/>
                <w:szCs w:val="22"/>
              </w:rPr>
              <w:t>Minor</w:t>
            </w:r>
          </w:p>
        </w:tc>
      </w:tr>
    </w:tbl>
    <w:p w14:paraId="68B30AF7" w14:textId="77777777" w:rsidR="00D0302B" w:rsidRDefault="00D0302B" w:rsidP="004D5FD5">
      <w:pPr>
        <w:contextualSpacing/>
        <w:jc w:val="both"/>
        <w:rPr>
          <w:rStyle w:val="Heading2Char"/>
        </w:rPr>
      </w:pPr>
    </w:p>
    <w:p w14:paraId="35CB9A45" w14:textId="0F7ABA8B" w:rsidR="00B74143" w:rsidRPr="00D80C6C" w:rsidRDefault="00B74143" w:rsidP="5302A23D">
      <w:pPr>
        <w:contextualSpacing/>
        <w:jc w:val="both"/>
        <w:rPr>
          <w:rFonts w:cs="Arial"/>
          <w:sz w:val="22"/>
          <w:szCs w:val="22"/>
        </w:rPr>
      </w:pPr>
      <w:bookmarkStart w:id="24" w:name="_Toc228283643"/>
      <w:r w:rsidRPr="5302A23D">
        <w:rPr>
          <w:rStyle w:val="Heading2Char"/>
        </w:rPr>
        <w:t>Outstanding actions from risk assessment</w:t>
      </w:r>
      <w:bookmarkEnd w:id="24"/>
      <w:r w:rsidRPr="5302A23D">
        <w:rPr>
          <w:rFonts w:cs="Arial"/>
          <w:b/>
          <w:bCs/>
          <w:sz w:val="22"/>
          <w:szCs w:val="22"/>
        </w:rPr>
        <w:t xml:space="preserve"> </w:t>
      </w:r>
    </w:p>
    <w:p w14:paraId="4ED4E9FA" w14:textId="59210279" w:rsidR="00CB2873" w:rsidRDefault="00CB2873" w:rsidP="004D5FD5">
      <w:pPr>
        <w:jc w:val="both"/>
        <w:rPr>
          <w:rFonts w:cs="Arial"/>
          <w:bCs/>
          <w:sz w:val="22"/>
          <w:szCs w:val="22"/>
        </w:rPr>
      </w:pPr>
    </w:p>
    <w:p w14:paraId="57489716" w14:textId="7841099E" w:rsidR="73B79B68" w:rsidRPr="003F1D1E" w:rsidRDefault="007E42F4" w:rsidP="24E2CB19">
      <w:pPr>
        <w:jc w:val="both"/>
        <w:rPr>
          <w:rFonts w:cs="Arial"/>
          <w:sz w:val="22"/>
          <w:szCs w:val="22"/>
        </w:rPr>
      </w:pPr>
      <w:r w:rsidRPr="003F1D1E">
        <w:rPr>
          <w:rFonts w:cs="Arial"/>
          <w:sz w:val="22"/>
          <w:szCs w:val="22"/>
        </w:rPr>
        <w:t xml:space="preserve">No outstanding actions. </w:t>
      </w:r>
      <w:r w:rsidR="003F1D1E" w:rsidRPr="003F1D1E">
        <w:rPr>
          <w:rFonts w:cs="Arial"/>
          <w:sz w:val="22"/>
          <w:szCs w:val="22"/>
        </w:rPr>
        <w:t>Continuous</w:t>
      </w:r>
      <w:r w:rsidRPr="003F1D1E">
        <w:rPr>
          <w:rFonts w:cs="Arial"/>
          <w:sz w:val="22"/>
          <w:szCs w:val="22"/>
        </w:rPr>
        <w:t xml:space="preserve"> risk </w:t>
      </w:r>
      <w:r w:rsidR="003F1D1E" w:rsidRPr="003F1D1E">
        <w:rPr>
          <w:rFonts w:cs="Arial"/>
          <w:sz w:val="22"/>
          <w:szCs w:val="22"/>
        </w:rPr>
        <w:t>assessment will occur throughout the year.</w:t>
      </w:r>
    </w:p>
    <w:p w14:paraId="60D4628B" w14:textId="77777777" w:rsidR="00F83035" w:rsidRDefault="00F83035">
      <w:r>
        <w:br w:type="page"/>
      </w:r>
    </w:p>
    <w:tbl>
      <w:tblPr>
        <w:tblStyle w:val="TableGrid"/>
        <w:tblW w:w="0" w:type="auto"/>
        <w:tblLook w:val="04A0" w:firstRow="1" w:lastRow="0" w:firstColumn="1" w:lastColumn="0" w:noHBand="0" w:noVBand="1"/>
      </w:tblPr>
      <w:tblGrid>
        <w:gridCol w:w="9016"/>
      </w:tblGrid>
      <w:tr w:rsidR="001A3674" w14:paraId="3775346F" w14:textId="77777777" w:rsidTr="5302A23D">
        <w:tc>
          <w:tcPr>
            <w:tcW w:w="9016" w:type="dxa"/>
            <w:shd w:val="clear" w:color="auto" w:fill="DEEAF6" w:themeFill="accent5" w:themeFillTint="33"/>
          </w:tcPr>
          <w:p w14:paraId="64B9656F" w14:textId="229A8500" w:rsidR="00CB2873" w:rsidRDefault="1E0788B3" w:rsidP="004D5FD5">
            <w:pPr>
              <w:jc w:val="both"/>
            </w:pPr>
            <w:bookmarkStart w:id="25" w:name="_Toc225240746"/>
            <w:bookmarkStart w:id="26" w:name="_Toc228283644"/>
            <w:r w:rsidRPr="5302A23D">
              <w:rPr>
                <w:rStyle w:val="Heading1Char"/>
                <w:rFonts w:ascii="Arial" w:hAnsi="Arial" w:cs="Arial"/>
                <w:b/>
                <w:bCs/>
                <w:color w:val="auto"/>
              </w:rPr>
              <w:lastRenderedPageBreak/>
              <w:t xml:space="preserve">Section F: Programme management: delivery, </w:t>
            </w:r>
            <w:proofErr w:type="spellStart"/>
            <w:r w:rsidRPr="5302A23D">
              <w:rPr>
                <w:rStyle w:val="Heading1Char"/>
                <w:rFonts w:ascii="Arial" w:hAnsi="Arial" w:cs="Arial"/>
                <w:b/>
                <w:bCs/>
                <w:color w:val="auto"/>
              </w:rPr>
              <w:t>VfM</w:t>
            </w:r>
            <w:proofErr w:type="spellEnd"/>
            <w:r w:rsidRPr="5302A23D">
              <w:rPr>
                <w:rStyle w:val="Heading1Char"/>
                <w:rFonts w:ascii="Arial" w:hAnsi="Arial" w:cs="Arial"/>
                <w:b/>
                <w:bCs/>
                <w:color w:val="auto"/>
              </w:rPr>
              <w:t>, commercial and financial performance</w:t>
            </w:r>
            <w:bookmarkEnd w:id="25"/>
            <w:bookmarkEnd w:id="26"/>
            <w:r>
              <w:t xml:space="preserve"> </w:t>
            </w:r>
          </w:p>
        </w:tc>
      </w:tr>
    </w:tbl>
    <w:p w14:paraId="6268AFF3" w14:textId="7623B8C4" w:rsidR="00CB2873" w:rsidRDefault="00CB2873" w:rsidP="004D5FD5">
      <w:pPr>
        <w:jc w:val="both"/>
        <w:rPr>
          <w:rFonts w:cs="Arial"/>
          <w:bCs/>
          <w:sz w:val="22"/>
          <w:szCs w:val="22"/>
        </w:rPr>
      </w:pPr>
    </w:p>
    <w:p w14:paraId="7B664872" w14:textId="77777777" w:rsidR="00D617DE" w:rsidRPr="00D617DE" w:rsidRDefault="00D617DE" w:rsidP="00D617DE">
      <w:pPr>
        <w:jc w:val="both"/>
        <w:textAlignment w:val="baseline"/>
        <w:rPr>
          <w:rFonts w:ascii="Segoe UI" w:hAnsi="Segoe UI" w:cs="Segoe UI"/>
          <w:sz w:val="18"/>
          <w:szCs w:val="18"/>
          <w:lang w:eastAsia="en-GB"/>
        </w:rPr>
      </w:pPr>
      <w:r w:rsidRPr="00D617DE">
        <w:rPr>
          <w:rFonts w:cs="Arial"/>
          <w:b/>
          <w:bCs/>
          <w:color w:val="000000"/>
          <w:sz w:val="22"/>
          <w:szCs w:val="22"/>
          <w:lang w:eastAsia="en-GB"/>
        </w:rPr>
        <w:t>Economy </w:t>
      </w:r>
      <w:r w:rsidRPr="00D617DE">
        <w:rPr>
          <w:rFonts w:cs="Arial"/>
          <w:color w:val="000000"/>
          <w:sz w:val="22"/>
          <w:szCs w:val="22"/>
          <w:lang w:eastAsia="en-GB"/>
        </w:rPr>
        <w:t> </w:t>
      </w:r>
    </w:p>
    <w:p w14:paraId="1F034801" w14:textId="7E0C1D2E" w:rsidR="00D617DE" w:rsidRPr="00D617DE" w:rsidRDefault="5E66DABE" w:rsidP="2276F641">
      <w:pPr>
        <w:jc w:val="both"/>
        <w:textAlignment w:val="baseline"/>
        <w:rPr>
          <w:rFonts w:ascii="Segoe UI" w:hAnsi="Segoe UI" w:cs="Segoe UI"/>
          <w:sz w:val="18"/>
          <w:szCs w:val="18"/>
          <w:lang w:eastAsia="en-GB"/>
        </w:rPr>
      </w:pPr>
      <w:r w:rsidRPr="1036FC43">
        <w:rPr>
          <w:rFonts w:cs="Arial"/>
          <w:color w:val="000000" w:themeColor="text1"/>
          <w:sz w:val="22"/>
          <w:szCs w:val="22"/>
          <w:lang w:eastAsia="en-GB"/>
        </w:rPr>
        <w:t>AIM4Forests continues to demonstrate strong economy, delivering activities in a cost‑effective manner by leveraging existing delivery mechanisms and minimising overheads. The programme benefits from FAO’s internal technical expertise and established digital platforms, significantly reducing procurement costs and contractor fees.</w:t>
      </w:r>
    </w:p>
    <w:p w14:paraId="71DECF6B" w14:textId="130B8975" w:rsidR="00D617DE" w:rsidRPr="00D617DE" w:rsidRDefault="5E66DABE" w:rsidP="2276F641">
      <w:pPr>
        <w:jc w:val="both"/>
        <w:textAlignment w:val="baseline"/>
      </w:pPr>
      <w:r w:rsidRPr="2276F641">
        <w:rPr>
          <w:rFonts w:cs="Arial"/>
          <w:color w:val="000000" w:themeColor="text1"/>
          <w:sz w:val="22"/>
          <w:szCs w:val="22"/>
          <w:lang w:eastAsia="en-GB"/>
        </w:rPr>
        <w:t xml:space="preserve"> </w:t>
      </w:r>
    </w:p>
    <w:p w14:paraId="1A485D12" w14:textId="284441D0" w:rsidR="00D617DE" w:rsidRPr="00D617DE" w:rsidRDefault="5E66DABE" w:rsidP="5302A23D">
      <w:pPr>
        <w:jc w:val="both"/>
        <w:textAlignment w:val="baseline"/>
        <w:rPr>
          <w:rFonts w:cs="Arial"/>
          <w:color w:val="000000" w:themeColor="text1"/>
          <w:sz w:val="22"/>
          <w:szCs w:val="22"/>
          <w:lang w:eastAsia="en-GB"/>
        </w:rPr>
      </w:pPr>
      <w:r w:rsidRPr="5302A23D">
        <w:rPr>
          <w:rFonts w:cs="Arial"/>
          <w:color w:val="000000" w:themeColor="text1"/>
          <w:sz w:val="22"/>
          <w:szCs w:val="22"/>
          <w:lang w:eastAsia="en-GB"/>
        </w:rPr>
        <w:t xml:space="preserve">The largest cost drivers within the programme remain the country‑level Technical Assistance (TA) packages, which typically range from USD </w:t>
      </w:r>
      <w:r w:rsidR="009758D6" w:rsidRPr="5302A23D">
        <w:rPr>
          <w:rFonts w:cs="Arial"/>
          <w:color w:val="000000" w:themeColor="text1"/>
          <w:sz w:val="22"/>
          <w:szCs w:val="22"/>
          <w:lang w:eastAsia="en-GB"/>
        </w:rPr>
        <w:t>38</w:t>
      </w:r>
      <w:r w:rsidRPr="5302A23D">
        <w:rPr>
          <w:rFonts w:cs="Arial"/>
          <w:color w:val="000000" w:themeColor="text1"/>
          <w:sz w:val="22"/>
          <w:szCs w:val="22"/>
          <w:lang w:eastAsia="en-GB"/>
        </w:rPr>
        <w:t>,000 to 2</w:t>
      </w:r>
      <w:r w:rsidR="003748E5" w:rsidRPr="5302A23D">
        <w:rPr>
          <w:rFonts w:cs="Arial"/>
          <w:color w:val="000000" w:themeColor="text1"/>
          <w:sz w:val="22"/>
          <w:szCs w:val="22"/>
          <w:lang w:eastAsia="en-GB"/>
        </w:rPr>
        <w:t>86</w:t>
      </w:r>
      <w:r w:rsidRPr="5302A23D">
        <w:rPr>
          <w:rFonts w:cs="Arial"/>
          <w:color w:val="000000" w:themeColor="text1"/>
          <w:sz w:val="22"/>
          <w:szCs w:val="22"/>
          <w:lang w:eastAsia="en-GB"/>
        </w:rPr>
        <w:t xml:space="preserve">,000 </w:t>
      </w:r>
      <w:r w:rsidR="003748E5" w:rsidRPr="5302A23D">
        <w:rPr>
          <w:rFonts w:cs="Arial"/>
          <w:color w:val="000000" w:themeColor="text1"/>
          <w:sz w:val="22"/>
          <w:szCs w:val="22"/>
          <w:lang w:eastAsia="en-GB"/>
        </w:rPr>
        <w:t xml:space="preserve">in 2025 with an average of USD 136,000 per work area per country, </w:t>
      </w:r>
      <w:r w:rsidRPr="5302A23D">
        <w:rPr>
          <w:rFonts w:cs="Arial"/>
          <w:color w:val="000000" w:themeColor="text1"/>
          <w:sz w:val="22"/>
          <w:szCs w:val="22"/>
          <w:lang w:eastAsia="en-GB"/>
        </w:rPr>
        <w:t xml:space="preserve">depending on scope and national context. The delivery of specialised expertise across the programme’s thematic areas requires substantial personnel inputs, and staff costs therefore account for between </w:t>
      </w:r>
      <w:r w:rsidR="003748E5" w:rsidRPr="5302A23D">
        <w:rPr>
          <w:rFonts w:cs="Arial"/>
          <w:color w:val="000000" w:themeColor="text1"/>
          <w:sz w:val="22"/>
          <w:szCs w:val="22"/>
          <w:lang w:eastAsia="en-GB"/>
        </w:rPr>
        <w:t>50</w:t>
      </w:r>
      <w:r w:rsidRPr="5302A23D">
        <w:rPr>
          <w:rFonts w:cs="Arial"/>
          <w:color w:val="000000" w:themeColor="text1"/>
          <w:sz w:val="22"/>
          <w:szCs w:val="22"/>
          <w:lang w:eastAsia="en-GB"/>
        </w:rPr>
        <w:t>% and 8</w:t>
      </w:r>
      <w:r w:rsidR="003748E5" w:rsidRPr="5302A23D">
        <w:rPr>
          <w:rFonts w:cs="Arial"/>
          <w:color w:val="000000" w:themeColor="text1"/>
          <w:sz w:val="22"/>
          <w:szCs w:val="22"/>
          <w:lang w:eastAsia="en-GB"/>
        </w:rPr>
        <w:t>2</w:t>
      </w:r>
      <w:r w:rsidRPr="5302A23D">
        <w:rPr>
          <w:rFonts w:cs="Arial"/>
          <w:color w:val="000000" w:themeColor="text1"/>
          <w:sz w:val="22"/>
          <w:szCs w:val="22"/>
          <w:lang w:eastAsia="en-GB"/>
        </w:rPr>
        <w:t>% of output‑level budgets</w:t>
      </w:r>
      <w:r w:rsidR="00992221" w:rsidRPr="5302A23D">
        <w:rPr>
          <w:rFonts w:cs="Arial"/>
          <w:color w:val="000000" w:themeColor="text1"/>
          <w:sz w:val="22"/>
          <w:szCs w:val="22"/>
          <w:lang w:eastAsia="en-GB"/>
        </w:rPr>
        <w:t>, with an average of 62% in 2025</w:t>
      </w:r>
      <w:r w:rsidRPr="5302A23D">
        <w:rPr>
          <w:rFonts w:cs="Arial"/>
          <w:color w:val="000000" w:themeColor="text1"/>
          <w:sz w:val="22"/>
          <w:szCs w:val="22"/>
          <w:lang w:eastAsia="en-GB"/>
        </w:rPr>
        <w:t>. Core administrative fees consist of a 1% Administrative Agent fee charged by the UN Multi‑Partner Trust Fund Office</w:t>
      </w:r>
      <w:r w:rsidR="00992221" w:rsidRPr="5302A23D">
        <w:rPr>
          <w:rFonts w:cs="Arial"/>
          <w:color w:val="000000" w:themeColor="text1"/>
          <w:sz w:val="22"/>
          <w:szCs w:val="22"/>
          <w:lang w:eastAsia="en-GB"/>
        </w:rPr>
        <w:t xml:space="preserve"> on encashment</w:t>
      </w:r>
      <w:r w:rsidRPr="5302A23D">
        <w:rPr>
          <w:rFonts w:cs="Arial"/>
          <w:color w:val="000000" w:themeColor="text1"/>
          <w:sz w:val="22"/>
          <w:szCs w:val="22"/>
          <w:lang w:eastAsia="en-GB"/>
        </w:rPr>
        <w:t xml:space="preserve"> and a 7% FAO indirect support cost, applied only to actual expenditures. This contributes to predictability, financial transparency and cost control. </w:t>
      </w:r>
    </w:p>
    <w:p w14:paraId="5FBCF576" w14:textId="55DE5278" w:rsidR="00D617DE" w:rsidRPr="00D617DE" w:rsidRDefault="5E66DABE" w:rsidP="2276F641">
      <w:pPr>
        <w:jc w:val="both"/>
        <w:textAlignment w:val="baseline"/>
      </w:pPr>
      <w:r w:rsidRPr="2276F641">
        <w:rPr>
          <w:rFonts w:cs="Arial"/>
          <w:color w:val="000000" w:themeColor="text1"/>
          <w:sz w:val="22"/>
          <w:szCs w:val="22"/>
          <w:lang w:eastAsia="en-GB"/>
        </w:rPr>
        <w:t xml:space="preserve"> </w:t>
      </w:r>
    </w:p>
    <w:p w14:paraId="36D4CDDB" w14:textId="01BD1C21" w:rsidR="00D617DE" w:rsidRPr="00D617DE" w:rsidRDefault="5E66DABE" w:rsidP="2276F641">
      <w:pPr>
        <w:jc w:val="both"/>
        <w:textAlignment w:val="baseline"/>
        <w:rPr>
          <w:rFonts w:cs="Arial"/>
          <w:color w:val="000000" w:themeColor="text1"/>
          <w:sz w:val="22"/>
          <w:szCs w:val="22"/>
          <w:lang w:eastAsia="en-GB"/>
        </w:rPr>
      </w:pPr>
      <w:r w:rsidRPr="2276F641">
        <w:rPr>
          <w:rFonts w:cs="Arial"/>
          <w:color w:val="000000" w:themeColor="text1"/>
          <w:sz w:val="22"/>
          <w:szCs w:val="22"/>
          <w:lang w:eastAsia="en-GB"/>
        </w:rPr>
        <w:t>Economy has further improved this year as the programme increasingly leverages complementary donor and partner finance. Notably, AIM4Forests’ technical assistance catalysed a USD 4.8 million investment from Norway to support Indonesia’s NFI 2.0, AIM4Commodities activities were delivered through a joint FAO–UK–Germany partnership, and the programme’s technical work directly informed and supported emerging financing opportunities under the Tropical Forest Forever Facility (TFFF). This progress responds to last year’s recommendation to strengthen leveraged finance under the economy dimension. In addition, the UK’s approval of the £16.9 million programme extension in November 2025 prevented a funding shortfall and avoided the inefficiencies and transaction costs associated with scaling down and rebuilding delivery capacity.</w:t>
      </w:r>
    </w:p>
    <w:p w14:paraId="46E4F2C3" w14:textId="0696DF2B" w:rsidR="00D617DE" w:rsidRPr="00D617DE" w:rsidRDefault="00D617DE" w:rsidP="00D617DE">
      <w:pPr>
        <w:jc w:val="both"/>
        <w:textAlignment w:val="baseline"/>
        <w:rPr>
          <w:rFonts w:cs="Arial"/>
          <w:color w:val="000000" w:themeColor="text1"/>
          <w:sz w:val="22"/>
          <w:szCs w:val="22"/>
          <w:lang w:eastAsia="en-GB"/>
        </w:rPr>
      </w:pPr>
    </w:p>
    <w:p w14:paraId="5841F0EA" w14:textId="77777777" w:rsidR="00D617DE" w:rsidRPr="00D617DE" w:rsidRDefault="00D617DE" w:rsidP="00D617DE">
      <w:pPr>
        <w:jc w:val="both"/>
        <w:textAlignment w:val="baseline"/>
        <w:rPr>
          <w:rFonts w:ascii="Segoe UI" w:hAnsi="Segoe UI" w:cs="Segoe UI"/>
          <w:sz w:val="18"/>
          <w:szCs w:val="18"/>
          <w:lang w:eastAsia="en-GB"/>
        </w:rPr>
      </w:pPr>
      <w:r w:rsidRPr="593648C1">
        <w:rPr>
          <w:rFonts w:cs="Arial"/>
          <w:b/>
          <w:color w:val="000000" w:themeColor="text1"/>
          <w:sz w:val="22"/>
          <w:szCs w:val="22"/>
          <w:lang w:eastAsia="en-GB"/>
        </w:rPr>
        <w:t>Efficiency </w:t>
      </w:r>
      <w:r w:rsidRPr="593648C1">
        <w:rPr>
          <w:rFonts w:cs="Arial"/>
          <w:color w:val="000000" w:themeColor="text1"/>
          <w:sz w:val="22"/>
          <w:szCs w:val="22"/>
          <w:lang w:eastAsia="en-GB"/>
        </w:rPr>
        <w:t> </w:t>
      </w:r>
    </w:p>
    <w:p w14:paraId="0D47D4F0" w14:textId="67593188" w:rsidR="00D617DE" w:rsidRPr="00D617DE" w:rsidRDefault="3E56A12E" w:rsidP="73E31E6B">
      <w:pPr>
        <w:jc w:val="both"/>
        <w:textAlignment w:val="baseline"/>
        <w:rPr>
          <w:rFonts w:eastAsia="Arial" w:cs="Arial"/>
          <w:color w:val="000000" w:themeColor="text1"/>
          <w:sz w:val="22"/>
          <w:szCs w:val="22"/>
          <w:lang w:eastAsia="en-GB"/>
        </w:rPr>
      </w:pPr>
      <w:r w:rsidRPr="73E31E6B">
        <w:rPr>
          <w:rFonts w:eastAsia="Arial" w:cs="Arial"/>
          <w:color w:val="000000" w:themeColor="text1"/>
          <w:sz w:val="22"/>
          <w:szCs w:val="22"/>
          <w:lang w:eastAsia="en-GB"/>
        </w:rPr>
        <w:t>The programme’s partnership model enables highly efficient delivery, with DESNZ, FAO and GFOI collaborating through established coordination channels, regular engagement and transparent documentation. Delivery benefits from FAO and GFOI’s established technical expertise, longstanding country relationships, and the programme’s integration within existing UN‑REDD frameworks, which together help reduce transaction costs and avoid duplication. The programme also achieves high operational efficiency through low‑cost digital dissemination, with nearly 90,000 online users accessing AIM4Forests content at minimal marginal cost.</w:t>
      </w:r>
    </w:p>
    <w:p w14:paraId="7D09B04F" w14:textId="378545EF" w:rsidR="00D617DE" w:rsidRPr="00D617DE" w:rsidRDefault="3E56A12E" w:rsidP="73E31E6B">
      <w:pPr>
        <w:jc w:val="both"/>
        <w:textAlignment w:val="baseline"/>
        <w:rPr>
          <w:rFonts w:eastAsia="Arial" w:cs="Arial"/>
          <w:color w:val="000000" w:themeColor="text1"/>
          <w:sz w:val="22"/>
          <w:szCs w:val="22"/>
          <w:lang w:eastAsia="en-GB"/>
        </w:rPr>
      </w:pPr>
      <w:r w:rsidRPr="73E31E6B">
        <w:rPr>
          <w:rFonts w:eastAsia="Arial" w:cs="Arial"/>
          <w:color w:val="000000" w:themeColor="text1"/>
          <w:sz w:val="22"/>
          <w:szCs w:val="22"/>
          <w:lang w:eastAsia="en-GB"/>
        </w:rPr>
        <w:t xml:space="preserve"> </w:t>
      </w:r>
    </w:p>
    <w:p w14:paraId="6E8287AC" w14:textId="55BE63B3" w:rsidR="00D617DE" w:rsidRPr="00D617DE" w:rsidRDefault="3E56A12E" w:rsidP="73E31E6B">
      <w:pPr>
        <w:jc w:val="both"/>
        <w:textAlignment w:val="baseline"/>
        <w:rPr>
          <w:rFonts w:eastAsia="Arial" w:cs="Arial"/>
          <w:color w:val="000000" w:themeColor="text1"/>
          <w:sz w:val="22"/>
          <w:szCs w:val="22"/>
          <w:lang w:eastAsia="en-GB"/>
        </w:rPr>
      </w:pPr>
      <w:r w:rsidRPr="73E31E6B">
        <w:rPr>
          <w:rFonts w:eastAsia="Arial" w:cs="Arial"/>
          <w:color w:val="000000" w:themeColor="text1"/>
          <w:sz w:val="22"/>
          <w:szCs w:val="22"/>
          <w:lang w:eastAsia="en-GB"/>
        </w:rPr>
        <w:t>The programme’s modular delivery model enables highly targeted support across all three outputs. Under Output 3, country workplans are tailored to national priorities, with technical assistance now deployed in 16 countries and 19 countries supported overall. Country‑Led Planning has also scaled efficiently, with 10 countries engaged and 5 demonstrating strong ownership.</w:t>
      </w:r>
    </w:p>
    <w:p w14:paraId="0D331606" w14:textId="5C884332" w:rsidR="00D617DE" w:rsidRPr="00D617DE" w:rsidRDefault="3E56A12E" w:rsidP="73E31E6B">
      <w:pPr>
        <w:jc w:val="both"/>
        <w:textAlignment w:val="baseline"/>
        <w:rPr>
          <w:rFonts w:eastAsia="Arial" w:cs="Arial"/>
          <w:color w:val="000000" w:themeColor="text1"/>
          <w:sz w:val="22"/>
          <w:szCs w:val="22"/>
          <w:lang w:eastAsia="en-GB"/>
        </w:rPr>
      </w:pPr>
      <w:r w:rsidRPr="73E31E6B">
        <w:rPr>
          <w:rFonts w:eastAsia="Arial" w:cs="Arial"/>
          <w:color w:val="000000" w:themeColor="text1"/>
          <w:sz w:val="22"/>
          <w:szCs w:val="22"/>
          <w:lang w:eastAsia="en-GB"/>
        </w:rPr>
        <w:t xml:space="preserve"> </w:t>
      </w:r>
    </w:p>
    <w:p w14:paraId="77EB8004" w14:textId="6CF57DBC" w:rsidR="00D617DE" w:rsidRPr="00D617DE" w:rsidRDefault="3E56A12E" w:rsidP="73E31E6B">
      <w:pPr>
        <w:jc w:val="both"/>
        <w:textAlignment w:val="baseline"/>
        <w:rPr>
          <w:rFonts w:eastAsia="Arial" w:cs="Arial"/>
          <w:color w:val="000000" w:themeColor="text1"/>
          <w:sz w:val="22"/>
          <w:szCs w:val="22"/>
          <w:lang w:eastAsia="en-GB"/>
        </w:rPr>
      </w:pPr>
      <w:r w:rsidRPr="73E31E6B">
        <w:rPr>
          <w:rFonts w:eastAsia="Arial" w:cs="Arial"/>
          <w:color w:val="000000" w:themeColor="text1"/>
          <w:sz w:val="22"/>
          <w:szCs w:val="22"/>
          <w:lang w:eastAsia="en-GB"/>
        </w:rPr>
        <w:t>Efficiency is further reflected in the performance of Output 2, where Indigenous‑led Communities of Practice are now fully operational. These engaged 165 participants from 21 countries, with 100% reporting that they acquired and will apply new knowledge, substantially exceeding expected levels of participation and reach.</w:t>
      </w:r>
    </w:p>
    <w:p w14:paraId="3ABBD963" w14:textId="753AB22D" w:rsidR="00D617DE" w:rsidRPr="00D617DE" w:rsidRDefault="3E56A12E" w:rsidP="73E31E6B">
      <w:pPr>
        <w:jc w:val="both"/>
        <w:textAlignment w:val="baseline"/>
        <w:rPr>
          <w:rFonts w:eastAsia="Arial" w:cs="Arial"/>
          <w:color w:val="000000" w:themeColor="text1"/>
          <w:sz w:val="22"/>
          <w:szCs w:val="22"/>
          <w:lang w:eastAsia="en-GB"/>
        </w:rPr>
      </w:pPr>
      <w:r w:rsidRPr="73E31E6B">
        <w:rPr>
          <w:rFonts w:eastAsia="Arial" w:cs="Arial"/>
          <w:color w:val="000000" w:themeColor="text1"/>
          <w:sz w:val="22"/>
          <w:szCs w:val="22"/>
          <w:lang w:eastAsia="en-GB"/>
        </w:rPr>
        <w:t xml:space="preserve"> </w:t>
      </w:r>
    </w:p>
    <w:p w14:paraId="736F2AF9" w14:textId="1477CF55" w:rsidR="00D617DE" w:rsidRPr="00D617DE" w:rsidRDefault="3E56A12E" w:rsidP="73E31E6B">
      <w:pPr>
        <w:jc w:val="both"/>
        <w:textAlignment w:val="baseline"/>
        <w:rPr>
          <w:rFonts w:eastAsia="Arial" w:cs="Arial"/>
          <w:color w:val="000000" w:themeColor="text1"/>
          <w:sz w:val="22"/>
          <w:szCs w:val="22"/>
          <w:lang w:eastAsia="en-GB"/>
        </w:rPr>
      </w:pPr>
      <w:r w:rsidRPr="73E31E6B">
        <w:rPr>
          <w:rFonts w:eastAsia="Arial" w:cs="Arial"/>
          <w:color w:val="000000" w:themeColor="text1"/>
          <w:sz w:val="22"/>
          <w:szCs w:val="22"/>
          <w:lang w:eastAsia="en-GB"/>
        </w:rPr>
        <w:t xml:space="preserve">Under Output 1, output delivery consistently exceeded targets in 2025. E‑learning users reached 18,807 (vs. 10,000 target), tool users 6,373 (vs. 400), technical meetings 11 (vs. 4), and publications 8 (vs. 4). New workstreams such as AIM4NatuRE were mobilised rapidly, </w:t>
      </w:r>
      <w:r w:rsidRPr="73E31E6B">
        <w:rPr>
          <w:rFonts w:eastAsia="Arial" w:cs="Arial"/>
          <w:color w:val="000000" w:themeColor="text1"/>
          <w:sz w:val="22"/>
          <w:szCs w:val="22"/>
          <w:lang w:eastAsia="en-GB"/>
        </w:rPr>
        <w:lastRenderedPageBreak/>
        <w:t>moving from approval to regional workshops and global dataset co‑development within the same year.</w:t>
      </w:r>
    </w:p>
    <w:p w14:paraId="6AB67FF7" w14:textId="1E01D6F9" w:rsidR="00D617DE" w:rsidRPr="00D617DE" w:rsidRDefault="00D617DE" w:rsidP="00D617DE">
      <w:pPr>
        <w:jc w:val="both"/>
        <w:textAlignment w:val="baseline"/>
        <w:rPr>
          <w:rFonts w:cs="Arial"/>
          <w:color w:val="000000" w:themeColor="text1"/>
          <w:sz w:val="22"/>
          <w:szCs w:val="22"/>
          <w:highlight w:val="yellow"/>
          <w:lang w:eastAsia="en-GB"/>
        </w:rPr>
      </w:pPr>
    </w:p>
    <w:p w14:paraId="765804EA" w14:textId="05BDFFDF" w:rsidR="00D617DE" w:rsidRPr="00D617DE" w:rsidRDefault="00D617DE" w:rsidP="00D617DE">
      <w:pPr>
        <w:jc w:val="both"/>
        <w:textAlignment w:val="baseline"/>
        <w:rPr>
          <w:rFonts w:eastAsia="Arial" w:cs="Arial"/>
          <w:sz w:val="18"/>
          <w:szCs w:val="18"/>
          <w:lang w:eastAsia="en-GB"/>
        </w:rPr>
      </w:pPr>
      <w:r w:rsidRPr="5C3AD843">
        <w:rPr>
          <w:rFonts w:eastAsia="Arial" w:cs="Arial"/>
          <w:b/>
          <w:color w:val="000000" w:themeColor="text1"/>
          <w:sz w:val="22"/>
          <w:szCs w:val="22"/>
          <w:lang w:eastAsia="en-GB"/>
        </w:rPr>
        <w:t>Effectiveness </w:t>
      </w:r>
      <w:r w:rsidRPr="5C3AD843">
        <w:rPr>
          <w:rFonts w:eastAsia="Arial" w:cs="Arial"/>
          <w:color w:val="000000" w:themeColor="text1"/>
          <w:sz w:val="22"/>
          <w:szCs w:val="22"/>
          <w:lang w:eastAsia="en-GB"/>
        </w:rPr>
        <w:t> </w:t>
      </w:r>
    </w:p>
    <w:p w14:paraId="2869B4D1" w14:textId="0978BC9B" w:rsidR="00D617DE" w:rsidRPr="00D617DE" w:rsidRDefault="5E89D3BA" w:rsidP="5C3AD843">
      <w:pPr>
        <w:jc w:val="both"/>
        <w:textAlignment w:val="baseline"/>
        <w:rPr>
          <w:rFonts w:eastAsia="Arial" w:cs="Arial"/>
          <w:sz w:val="22"/>
          <w:szCs w:val="22"/>
          <w:lang w:eastAsia="en-GB"/>
        </w:rPr>
      </w:pPr>
      <w:r w:rsidRPr="5C3AD843">
        <w:rPr>
          <w:rFonts w:eastAsia="Arial" w:cs="Arial"/>
          <w:sz w:val="22"/>
          <w:szCs w:val="22"/>
          <w:lang w:eastAsia="en-GB"/>
        </w:rPr>
        <w:t xml:space="preserve">AIM4Forests continues to demonstrate strong effectiveness, substantially exceeding many of its key outcome targets in 2025. The programme supported the verification of 64 million carbon credits against a target of 50 million and enabled the reporting of 142 million tonnes of emission reductions, far surpassing the 80 million‑tonne </w:t>
      </w:r>
      <w:proofErr w:type="gramStart"/>
      <w:r w:rsidRPr="5C3AD843">
        <w:rPr>
          <w:rFonts w:eastAsia="Arial" w:cs="Arial"/>
          <w:sz w:val="22"/>
          <w:szCs w:val="22"/>
          <w:lang w:eastAsia="en-GB"/>
        </w:rPr>
        <w:t>target</w:t>
      </w:r>
      <w:proofErr w:type="gramEnd"/>
      <w:r w:rsidRPr="5C3AD843">
        <w:rPr>
          <w:rFonts w:eastAsia="Arial" w:cs="Arial"/>
          <w:sz w:val="22"/>
          <w:szCs w:val="22"/>
          <w:lang w:eastAsia="en-GB"/>
        </w:rPr>
        <w:t>. It also reached 11,983 individuals and 53 organisations, outperforming targets of 3,000 and 42 respectively.</w:t>
      </w:r>
    </w:p>
    <w:p w14:paraId="6B1EF88C" w14:textId="2C792ED1" w:rsidR="00D617DE" w:rsidRPr="00D617DE" w:rsidRDefault="5E89D3BA" w:rsidP="5C3AD843">
      <w:pPr>
        <w:jc w:val="both"/>
        <w:textAlignment w:val="baseline"/>
        <w:rPr>
          <w:rFonts w:eastAsia="Arial" w:cs="Arial"/>
          <w:sz w:val="22"/>
          <w:szCs w:val="22"/>
          <w:lang w:eastAsia="en-GB"/>
        </w:rPr>
      </w:pPr>
      <w:r w:rsidRPr="5C3AD843">
        <w:rPr>
          <w:rFonts w:eastAsia="Arial" w:cs="Arial"/>
          <w:sz w:val="22"/>
          <w:szCs w:val="22"/>
          <w:lang w:eastAsia="en-GB"/>
        </w:rPr>
        <w:t xml:space="preserve"> </w:t>
      </w:r>
    </w:p>
    <w:p w14:paraId="1430C179" w14:textId="29E82928" w:rsidR="00D617DE" w:rsidRPr="00D617DE" w:rsidRDefault="5E89D3BA" w:rsidP="5C3AD843">
      <w:pPr>
        <w:jc w:val="both"/>
        <w:textAlignment w:val="baseline"/>
        <w:rPr>
          <w:rFonts w:eastAsia="Arial" w:cs="Arial"/>
          <w:sz w:val="22"/>
          <w:szCs w:val="22"/>
          <w:lang w:eastAsia="en-GB"/>
        </w:rPr>
      </w:pPr>
      <w:r w:rsidRPr="5C3AD843">
        <w:rPr>
          <w:rFonts w:eastAsia="Arial" w:cs="Arial"/>
          <w:sz w:val="22"/>
          <w:szCs w:val="22"/>
          <w:lang w:eastAsia="en-GB"/>
        </w:rPr>
        <w:t xml:space="preserve">These results directly contribute to global climate goals by underpinning high‑integrity forest carbon markets and enabling countries to submit robust REDD+ reporting to the UNFCCC and carbon crediting standards. This includes significant support to Papua New Guinea, which submitted 64.1 </w:t>
      </w:r>
      <w:proofErr w:type="spellStart"/>
      <w:r w:rsidRPr="5C3AD843">
        <w:rPr>
          <w:rFonts w:eastAsia="Arial" w:cs="Arial"/>
          <w:sz w:val="22"/>
          <w:szCs w:val="22"/>
          <w:lang w:eastAsia="en-GB"/>
        </w:rPr>
        <w:t>MtCO₂e</w:t>
      </w:r>
      <w:proofErr w:type="spellEnd"/>
      <w:r w:rsidRPr="5C3AD843">
        <w:rPr>
          <w:rFonts w:eastAsia="Arial" w:cs="Arial"/>
          <w:sz w:val="22"/>
          <w:szCs w:val="22"/>
          <w:lang w:eastAsia="en-GB"/>
        </w:rPr>
        <w:t xml:space="preserve"> in reported reductions in 2025.</w:t>
      </w:r>
    </w:p>
    <w:p w14:paraId="25C4BE83" w14:textId="5C6722F5" w:rsidR="00D617DE" w:rsidRPr="00D617DE" w:rsidRDefault="5E89D3BA" w:rsidP="5C3AD843">
      <w:pPr>
        <w:jc w:val="both"/>
        <w:textAlignment w:val="baseline"/>
        <w:rPr>
          <w:rFonts w:eastAsia="Arial" w:cs="Arial"/>
          <w:sz w:val="22"/>
          <w:szCs w:val="22"/>
          <w:lang w:eastAsia="en-GB"/>
        </w:rPr>
      </w:pPr>
      <w:r w:rsidRPr="5C3AD843">
        <w:rPr>
          <w:rFonts w:eastAsia="Arial" w:cs="Arial"/>
          <w:sz w:val="22"/>
          <w:szCs w:val="22"/>
          <w:lang w:eastAsia="en-GB"/>
        </w:rPr>
        <w:t xml:space="preserve"> </w:t>
      </w:r>
    </w:p>
    <w:p w14:paraId="3F021EB6" w14:textId="69962917" w:rsidR="00D617DE" w:rsidRPr="00D617DE" w:rsidRDefault="5E89D3BA" w:rsidP="5C3AD843">
      <w:pPr>
        <w:jc w:val="both"/>
        <w:textAlignment w:val="baseline"/>
        <w:rPr>
          <w:rFonts w:eastAsia="Arial" w:cs="Arial"/>
          <w:sz w:val="22"/>
          <w:szCs w:val="22"/>
          <w:lang w:eastAsia="en-GB"/>
        </w:rPr>
      </w:pPr>
      <w:r w:rsidRPr="5C3AD843">
        <w:rPr>
          <w:rFonts w:eastAsia="Arial" w:cs="Arial"/>
          <w:sz w:val="22"/>
          <w:szCs w:val="22"/>
          <w:lang w:eastAsia="en-GB"/>
        </w:rPr>
        <w:t xml:space="preserve">The programme also strengthens the enabling environment for forest and climate finance, contributing directly to the design of the Tropical Forest Forever Facility and supporting country readiness to access emerging financing mechanisms. This catalytic role enhances AIM4Forests’ wider impact across </w:t>
      </w:r>
      <w:proofErr w:type="gramStart"/>
      <w:r w:rsidRPr="5C3AD843">
        <w:rPr>
          <w:rFonts w:eastAsia="Arial" w:cs="Arial"/>
          <w:sz w:val="22"/>
          <w:szCs w:val="22"/>
          <w:lang w:eastAsia="en-GB"/>
        </w:rPr>
        <w:t>HMG’s forest</w:t>
      </w:r>
      <w:proofErr w:type="gramEnd"/>
      <w:r w:rsidRPr="5C3AD843">
        <w:rPr>
          <w:rFonts w:eastAsia="Arial" w:cs="Arial"/>
          <w:sz w:val="22"/>
          <w:szCs w:val="22"/>
          <w:lang w:eastAsia="en-GB"/>
        </w:rPr>
        <w:t xml:space="preserve"> and climate finance portfolio.</w:t>
      </w:r>
    </w:p>
    <w:p w14:paraId="32AA8A91" w14:textId="4F249B40" w:rsidR="00D617DE" w:rsidRPr="00D617DE" w:rsidRDefault="5E89D3BA" w:rsidP="5C3AD843">
      <w:pPr>
        <w:jc w:val="both"/>
        <w:textAlignment w:val="baseline"/>
        <w:rPr>
          <w:rFonts w:eastAsia="Arial" w:cs="Arial"/>
          <w:sz w:val="22"/>
          <w:szCs w:val="22"/>
          <w:lang w:eastAsia="en-GB"/>
        </w:rPr>
      </w:pPr>
      <w:r w:rsidRPr="5C3AD843">
        <w:rPr>
          <w:rFonts w:eastAsia="Arial" w:cs="Arial"/>
          <w:sz w:val="22"/>
          <w:szCs w:val="22"/>
          <w:lang w:eastAsia="en-GB"/>
        </w:rPr>
        <w:t xml:space="preserve"> </w:t>
      </w:r>
    </w:p>
    <w:p w14:paraId="1189B664" w14:textId="46F4395C" w:rsidR="00D617DE" w:rsidRPr="00D617DE" w:rsidRDefault="5E89D3BA" w:rsidP="5C3AD843">
      <w:pPr>
        <w:jc w:val="both"/>
        <w:textAlignment w:val="baseline"/>
        <w:rPr>
          <w:rFonts w:eastAsia="Arial" w:cs="Arial"/>
          <w:sz w:val="22"/>
          <w:szCs w:val="22"/>
          <w:lang w:eastAsia="en-GB"/>
        </w:rPr>
      </w:pPr>
      <w:r w:rsidRPr="3F130A6A">
        <w:rPr>
          <w:rFonts w:eastAsia="Arial" w:cs="Arial"/>
          <w:sz w:val="22"/>
          <w:szCs w:val="22"/>
          <w:lang w:eastAsia="en-GB"/>
        </w:rPr>
        <w:t xml:space="preserve">In 2025, AIM4Forests achieved a transformational change score of 4 for the first time, reflecting clear evidence of systemic progress driven by strong political commitment, the institutional embedding of national forest monitoring systems, and continued innovation across the programme. </w:t>
      </w:r>
    </w:p>
    <w:p w14:paraId="4F1FA4DB" w14:textId="09B5E4EF" w:rsidR="00D617DE" w:rsidRPr="00D617DE" w:rsidRDefault="00D617DE" w:rsidP="00D617DE">
      <w:pPr>
        <w:jc w:val="both"/>
        <w:textAlignment w:val="baseline"/>
        <w:rPr>
          <w:rFonts w:ascii="Segoe UI" w:hAnsi="Segoe UI" w:cs="Segoe UI"/>
          <w:sz w:val="18"/>
          <w:szCs w:val="18"/>
          <w:lang w:eastAsia="en-GB"/>
        </w:rPr>
      </w:pPr>
      <w:r w:rsidRPr="3F130A6A">
        <w:rPr>
          <w:rFonts w:cs="Arial"/>
          <w:sz w:val="22"/>
          <w:szCs w:val="22"/>
          <w:lang w:eastAsia="en-GB"/>
        </w:rPr>
        <w:t> </w:t>
      </w:r>
    </w:p>
    <w:p w14:paraId="0C043596" w14:textId="77777777" w:rsidR="00D617DE" w:rsidRPr="00D617DE" w:rsidRDefault="00D617DE" w:rsidP="00D617DE">
      <w:pPr>
        <w:jc w:val="both"/>
        <w:textAlignment w:val="baseline"/>
        <w:rPr>
          <w:rFonts w:ascii="Segoe UI" w:hAnsi="Segoe UI" w:cs="Segoe UI"/>
          <w:sz w:val="18"/>
          <w:szCs w:val="18"/>
          <w:lang w:eastAsia="en-GB"/>
        </w:rPr>
      </w:pPr>
      <w:r w:rsidRPr="089FE7D7">
        <w:rPr>
          <w:rFonts w:cs="Arial"/>
          <w:b/>
          <w:sz w:val="22"/>
          <w:szCs w:val="22"/>
          <w:lang w:eastAsia="en-GB"/>
        </w:rPr>
        <w:t>Cost-Effectiveness</w:t>
      </w:r>
      <w:r w:rsidRPr="089FE7D7">
        <w:rPr>
          <w:rFonts w:cs="Arial"/>
          <w:sz w:val="22"/>
          <w:szCs w:val="22"/>
          <w:lang w:eastAsia="en-GB"/>
        </w:rPr>
        <w:t> </w:t>
      </w:r>
    </w:p>
    <w:p w14:paraId="00984BA4" w14:textId="5F9E1D7E" w:rsidR="00D617DE" w:rsidRPr="00D617DE" w:rsidRDefault="6B8F4E1E" w:rsidP="089FE7D7">
      <w:pPr>
        <w:jc w:val="both"/>
        <w:textAlignment w:val="baseline"/>
        <w:rPr>
          <w:rFonts w:eastAsia="Arial" w:cs="Arial"/>
          <w:sz w:val="22"/>
          <w:szCs w:val="22"/>
          <w:lang w:eastAsia="en-GB"/>
        </w:rPr>
      </w:pPr>
      <w:r w:rsidRPr="089FE7D7">
        <w:rPr>
          <w:rFonts w:eastAsia="Arial" w:cs="Arial"/>
          <w:sz w:val="22"/>
          <w:szCs w:val="22"/>
          <w:lang w:eastAsia="en-GB"/>
        </w:rPr>
        <w:t xml:space="preserve">AIM4Forests continues to represent a highly cost‑effective investment, delivering substantial climate results relative to its £48.4 million budget. In 2025, the programme enabled the reporting of 142 million </w:t>
      </w:r>
      <w:proofErr w:type="spellStart"/>
      <w:r w:rsidRPr="089FE7D7">
        <w:rPr>
          <w:rFonts w:eastAsia="Arial" w:cs="Arial"/>
          <w:sz w:val="22"/>
          <w:szCs w:val="22"/>
          <w:lang w:eastAsia="en-GB"/>
        </w:rPr>
        <w:t>tCO₂e</w:t>
      </w:r>
      <w:proofErr w:type="spellEnd"/>
      <w:r w:rsidRPr="089FE7D7">
        <w:rPr>
          <w:rFonts w:eastAsia="Arial" w:cs="Arial"/>
          <w:sz w:val="22"/>
          <w:szCs w:val="22"/>
          <w:lang w:eastAsia="en-GB"/>
        </w:rPr>
        <w:t xml:space="preserve"> of emission reductions and supported the verification of 64 million carbon credits. This level of performance suggests a cost-effective use of public funds in delivering measurable climate outcomes. </w:t>
      </w:r>
    </w:p>
    <w:p w14:paraId="74C32D67" w14:textId="1523113B" w:rsidR="00D617DE" w:rsidRPr="00D617DE" w:rsidRDefault="6B8F4E1E" w:rsidP="089FE7D7">
      <w:pPr>
        <w:jc w:val="both"/>
        <w:textAlignment w:val="baseline"/>
        <w:rPr>
          <w:rFonts w:eastAsia="Arial" w:cs="Arial"/>
          <w:sz w:val="22"/>
          <w:szCs w:val="22"/>
          <w:lang w:eastAsia="en-GB"/>
        </w:rPr>
      </w:pPr>
      <w:r w:rsidRPr="089FE7D7">
        <w:rPr>
          <w:rFonts w:eastAsia="Arial" w:cs="Arial"/>
          <w:sz w:val="22"/>
          <w:szCs w:val="22"/>
          <w:lang w:eastAsia="en-GB"/>
        </w:rPr>
        <w:t xml:space="preserve"> </w:t>
      </w:r>
    </w:p>
    <w:p w14:paraId="2F852247" w14:textId="7EFE8960" w:rsidR="00D617DE" w:rsidRPr="00D617DE" w:rsidRDefault="6B8F4E1E" w:rsidP="089FE7D7">
      <w:pPr>
        <w:jc w:val="both"/>
        <w:textAlignment w:val="baseline"/>
        <w:rPr>
          <w:rFonts w:eastAsia="Arial" w:cs="Arial"/>
          <w:sz w:val="22"/>
          <w:szCs w:val="22"/>
          <w:lang w:eastAsia="en-GB"/>
        </w:rPr>
      </w:pPr>
      <w:r w:rsidRPr="3F130A6A">
        <w:rPr>
          <w:rFonts w:eastAsia="Arial" w:cs="Arial"/>
          <w:sz w:val="22"/>
          <w:szCs w:val="22"/>
          <w:lang w:eastAsia="en-GB"/>
        </w:rPr>
        <w:t>Cost‑effectiveness is reinforced by the programme’s extensive use of open‑access digital tools</w:t>
      </w:r>
      <w:r w:rsidR="64CB5532" w:rsidRPr="3F130A6A">
        <w:rPr>
          <w:rFonts w:eastAsia="Arial" w:cs="Arial"/>
          <w:sz w:val="22"/>
          <w:szCs w:val="22"/>
          <w:lang w:eastAsia="en-GB"/>
        </w:rPr>
        <w:t xml:space="preserve">, </w:t>
      </w:r>
      <w:r w:rsidRPr="3F130A6A">
        <w:rPr>
          <w:rFonts w:eastAsia="Arial" w:cs="Arial"/>
          <w:sz w:val="22"/>
          <w:szCs w:val="22"/>
          <w:lang w:eastAsia="en-GB"/>
        </w:rPr>
        <w:t>including Open Foris, e‑learning modules and MRV dashboards, which offer wide reach at negligible marginal cost. These tools allow countries to access high‑quality monitoring solutions without the need for costly bespoke systems, supporting scalable, repeatable and transparent forest monitoring.</w:t>
      </w:r>
    </w:p>
    <w:p w14:paraId="2441CDF4" w14:textId="01CA5F4D" w:rsidR="00D617DE" w:rsidRPr="00D617DE" w:rsidRDefault="6B8F4E1E" w:rsidP="089FE7D7">
      <w:pPr>
        <w:jc w:val="both"/>
        <w:textAlignment w:val="baseline"/>
        <w:rPr>
          <w:rFonts w:eastAsia="Arial" w:cs="Arial"/>
          <w:sz w:val="22"/>
          <w:szCs w:val="22"/>
          <w:lang w:eastAsia="en-GB"/>
        </w:rPr>
      </w:pPr>
      <w:r w:rsidRPr="089FE7D7">
        <w:rPr>
          <w:rFonts w:eastAsia="Arial" w:cs="Arial"/>
          <w:sz w:val="22"/>
          <w:szCs w:val="22"/>
          <w:lang w:eastAsia="en-GB"/>
        </w:rPr>
        <w:t xml:space="preserve"> </w:t>
      </w:r>
    </w:p>
    <w:p w14:paraId="50820BF7" w14:textId="656D67E4" w:rsidR="00D617DE" w:rsidRPr="00D617DE" w:rsidRDefault="6B8F4E1E" w:rsidP="089FE7D7">
      <w:pPr>
        <w:jc w:val="both"/>
        <w:textAlignment w:val="baseline"/>
        <w:rPr>
          <w:rFonts w:eastAsia="Arial" w:cs="Arial"/>
          <w:sz w:val="22"/>
          <w:szCs w:val="22"/>
          <w:lang w:eastAsia="en-GB"/>
        </w:rPr>
      </w:pPr>
      <w:r w:rsidRPr="089FE7D7">
        <w:rPr>
          <w:rFonts w:eastAsia="Arial" w:cs="Arial"/>
          <w:sz w:val="22"/>
          <w:szCs w:val="22"/>
          <w:lang w:eastAsia="en-GB"/>
        </w:rPr>
        <w:t>The Country‑Led Planning (CLP) approach further enhances cost‑efficiency by ensuring that technical assistance is tightly targeted, prioritised and aligned with national needs. This structured planning process helps avoid generic or low‑impact support and directs resources toward interventions with the highest potential returns.</w:t>
      </w:r>
    </w:p>
    <w:p w14:paraId="7F7E78D7" w14:textId="6D0FD446" w:rsidR="00D617DE" w:rsidRPr="00D617DE" w:rsidRDefault="6B8F4E1E" w:rsidP="089FE7D7">
      <w:pPr>
        <w:jc w:val="both"/>
        <w:textAlignment w:val="baseline"/>
        <w:rPr>
          <w:rFonts w:eastAsia="Arial" w:cs="Arial"/>
          <w:sz w:val="22"/>
          <w:szCs w:val="22"/>
          <w:lang w:eastAsia="en-GB"/>
        </w:rPr>
      </w:pPr>
      <w:r w:rsidRPr="089FE7D7">
        <w:rPr>
          <w:rFonts w:eastAsia="Arial" w:cs="Arial"/>
          <w:sz w:val="22"/>
          <w:szCs w:val="22"/>
          <w:lang w:eastAsia="en-GB"/>
        </w:rPr>
        <w:t xml:space="preserve"> </w:t>
      </w:r>
    </w:p>
    <w:p w14:paraId="3C3F5C98" w14:textId="516A2663" w:rsidR="00D617DE" w:rsidRPr="00D617DE" w:rsidRDefault="6B8F4E1E" w:rsidP="089FE7D7">
      <w:pPr>
        <w:jc w:val="both"/>
        <w:textAlignment w:val="baseline"/>
        <w:rPr>
          <w:rFonts w:eastAsia="Arial" w:cs="Arial"/>
          <w:sz w:val="22"/>
          <w:szCs w:val="22"/>
          <w:lang w:eastAsia="en-GB"/>
        </w:rPr>
      </w:pPr>
      <w:r w:rsidRPr="089FE7D7">
        <w:rPr>
          <w:rFonts w:eastAsia="Arial" w:cs="Arial"/>
          <w:sz w:val="22"/>
          <w:szCs w:val="22"/>
          <w:lang w:eastAsia="en-GB"/>
        </w:rPr>
        <w:t>Cost‑effectiveness is also strengthened through AIM4Commodities, which helps countries meet emerging deforestation‑free supply chain requirements. By improving national monitoring and traceability systems, AIM4Commodities reduces long‑term regulatory and compliance costs for governments and producers.</w:t>
      </w:r>
    </w:p>
    <w:p w14:paraId="34CA6DF2" w14:textId="096458F4" w:rsidR="00D617DE" w:rsidRPr="00D617DE" w:rsidRDefault="6B8F4E1E" w:rsidP="089FE7D7">
      <w:pPr>
        <w:jc w:val="both"/>
        <w:textAlignment w:val="baseline"/>
        <w:rPr>
          <w:rFonts w:eastAsia="Arial" w:cs="Arial"/>
          <w:sz w:val="22"/>
          <w:szCs w:val="22"/>
          <w:lang w:eastAsia="en-GB"/>
        </w:rPr>
      </w:pPr>
      <w:r w:rsidRPr="089FE7D7">
        <w:rPr>
          <w:rFonts w:eastAsia="Arial" w:cs="Arial"/>
          <w:sz w:val="22"/>
          <w:szCs w:val="22"/>
          <w:lang w:eastAsia="en-GB"/>
        </w:rPr>
        <w:t xml:space="preserve"> </w:t>
      </w:r>
    </w:p>
    <w:p w14:paraId="08BD873F" w14:textId="3BC611EB" w:rsidR="00D617DE" w:rsidRPr="00D617DE" w:rsidRDefault="6B8F4E1E" w:rsidP="089FE7D7">
      <w:pPr>
        <w:jc w:val="both"/>
        <w:textAlignment w:val="baseline"/>
        <w:rPr>
          <w:rFonts w:eastAsia="Arial" w:cs="Arial"/>
          <w:sz w:val="22"/>
          <w:szCs w:val="22"/>
          <w:lang w:eastAsia="en-GB"/>
        </w:rPr>
      </w:pPr>
      <w:r w:rsidRPr="089FE7D7">
        <w:rPr>
          <w:rFonts w:eastAsia="Arial" w:cs="Arial"/>
          <w:sz w:val="22"/>
          <w:szCs w:val="22"/>
          <w:lang w:eastAsia="en-GB"/>
        </w:rPr>
        <w:t>As the programme progresses, there is a clear opportunity to deepen the analysis of cost-effectiveness by introducing unit-cost metrics, such as the cost per tonne of verified emissions reductions, benchmarked against prevailing market standards. This would further substantiate the value AIM4Forests provides and support strategic decision-making on scaling and investment.</w:t>
      </w:r>
    </w:p>
    <w:p w14:paraId="44C71570" w14:textId="2BBDF6FE" w:rsidR="00D617DE" w:rsidRPr="00D617DE" w:rsidRDefault="00D617DE" w:rsidP="00D617DE">
      <w:pPr>
        <w:jc w:val="both"/>
        <w:textAlignment w:val="baseline"/>
        <w:rPr>
          <w:rFonts w:cs="Arial"/>
          <w:sz w:val="22"/>
          <w:szCs w:val="22"/>
          <w:highlight w:val="yellow"/>
          <w:lang w:eastAsia="en-GB"/>
        </w:rPr>
      </w:pPr>
    </w:p>
    <w:p w14:paraId="5F6D63F0" w14:textId="23FFDEC2" w:rsidR="089FE7D7" w:rsidRDefault="089FE7D7" w:rsidP="089FE7D7">
      <w:pPr>
        <w:jc w:val="both"/>
        <w:rPr>
          <w:rFonts w:cs="Arial"/>
          <w:sz w:val="22"/>
          <w:szCs w:val="22"/>
          <w:highlight w:val="yellow"/>
          <w:lang w:eastAsia="en-GB"/>
        </w:rPr>
      </w:pPr>
    </w:p>
    <w:p w14:paraId="248E4015" w14:textId="0645A4E5" w:rsidR="00D617DE" w:rsidRPr="00D617DE" w:rsidRDefault="00D617DE" w:rsidP="00D617DE">
      <w:pPr>
        <w:jc w:val="both"/>
        <w:textAlignment w:val="baseline"/>
        <w:rPr>
          <w:rFonts w:ascii="Segoe UI" w:hAnsi="Segoe UI" w:cs="Segoe UI"/>
          <w:sz w:val="18"/>
          <w:szCs w:val="18"/>
          <w:lang w:eastAsia="en-GB"/>
        </w:rPr>
      </w:pPr>
      <w:r w:rsidRPr="6AF67807">
        <w:rPr>
          <w:rFonts w:cs="Arial"/>
          <w:b/>
          <w:color w:val="000000" w:themeColor="text1"/>
          <w:sz w:val="22"/>
          <w:szCs w:val="22"/>
          <w:lang w:eastAsia="en-GB"/>
        </w:rPr>
        <w:t>Equity </w:t>
      </w:r>
      <w:r w:rsidRPr="6AF67807">
        <w:rPr>
          <w:rFonts w:cs="Arial"/>
          <w:color w:val="000000" w:themeColor="text1"/>
          <w:sz w:val="22"/>
          <w:szCs w:val="22"/>
          <w:lang w:eastAsia="en-GB"/>
        </w:rPr>
        <w:t> </w:t>
      </w:r>
    </w:p>
    <w:p w14:paraId="2B6E0440" w14:textId="0FAEE225" w:rsidR="00D617DE" w:rsidRPr="00D617DE" w:rsidRDefault="213911E6" w:rsidP="6AF67807">
      <w:pPr>
        <w:jc w:val="both"/>
        <w:textAlignment w:val="baseline"/>
        <w:rPr>
          <w:rFonts w:cs="Arial"/>
          <w:color w:val="000000" w:themeColor="text1"/>
          <w:sz w:val="22"/>
          <w:szCs w:val="22"/>
          <w:lang w:eastAsia="en-GB"/>
        </w:rPr>
      </w:pPr>
      <w:r w:rsidRPr="6AF67807">
        <w:rPr>
          <w:rFonts w:cs="Arial"/>
          <w:color w:val="000000" w:themeColor="text1"/>
          <w:sz w:val="22"/>
          <w:szCs w:val="22"/>
          <w:lang w:eastAsia="en-GB"/>
        </w:rPr>
        <w:lastRenderedPageBreak/>
        <w:t>Equity is embedded throughout AIM4Forests’ design, particularly through its focus on Indigenous Peoples and Local Communities (IPLCs). Output 2 is dedicated to enabling IPLC participation in forest monitoring and MRV, guided by FAO’s policy frameworks on gender equality and Indigenous Peoples. GFOI’s tracking of gender participation and its emphasis on diverse representation at technical events help ensure that marginalised groups not only take part in programme activities but also actively shape monitoring tools, methods and indicators.</w:t>
      </w:r>
    </w:p>
    <w:p w14:paraId="670174FA" w14:textId="3BFB2F42" w:rsidR="00D617DE" w:rsidRPr="00D617DE" w:rsidRDefault="213911E6" w:rsidP="6AF67807">
      <w:pPr>
        <w:jc w:val="both"/>
        <w:textAlignment w:val="baseline"/>
        <w:rPr>
          <w:rFonts w:cs="Arial"/>
          <w:color w:val="000000" w:themeColor="text1"/>
          <w:sz w:val="22"/>
          <w:szCs w:val="22"/>
          <w:lang w:eastAsia="en-GB"/>
        </w:rPr>
      </w:pPr>
      <w:r w:rsidRPr="6AF67807">
        <w:rPr>
          <w:rFonts w:cs="Arial"/>
          <w:color w:val="000000" w:themeColor="text1"/>
          <w:sz w:val="22"/>
          <w:szCs w:val="22"/>
          <w:lang w:eastAsia="en-GB"/>
        </w:rPr>
        <w:t xml:space="preserve"> </w:t>
      </w:r>
    </w:p>
    <w:p w14:paraId="32C205CB" w14:textId="13DEF465" w:rsidR="00D617DE" w:rsidRPr="00D617DE" w:rsidRDefault="213911E6" w:rsidP="6AF67807">
      <w:pPr>
        <w:jc w:val="both"/>
        <w:textAlignment w:val="baseline"/>
        <w:rPr>
          <w:rFonts w:cs="Arial"/>
          <w:color w:val="000000" w:themeColor="text1"/>
          <w:sz w:val="22"/>
          <w:szCs w:val="22"/>
          <w:lang w:eastAsia="en-GB"/>
        </w:rPr>
      </w:pPr>
      <w:r w:rsidRPr="6AF67807">
        <w:rPr>
          <w:rFonts w:cs="Arial"/>
          <w:color w:val="000000" w:themeColor="text1"/>
          <w:sz w:val="22"/>
          <w:szCs w:val="22"/>
          <w:lang w:eastAsia="en-GB"/>
        </w:rPr>
        <w:t>In 2025, Indigenous‑led Communities of Practice expanded significantly, engaging 165 participants from 21 countries, with 100% reporting that they had acquired and will apply new knowledge. A major global milestone was also achieved through the adoption of the first IP/LC land indicator under the CBD Kunming–Montreal Global Biodiversity Framework (Target 22.1).</w:t>
      </w:r>
    </w:p>
    <w:p w14:paraId="25E1F326" w14:textId="2F67E2CB" w:rsidR="00D617DE" w:rsidRPr="00D617DE" w:rsidRDefault="213911E6" w:rsidP="6AF67807">
      <w:pPr>
        <w:jc w:val="both"/>
        <w:textAlignment w:val="baseline"/>
        <w:rPr>
          <w:rFonts w:cs="Arial"/>
          <w:color w:val="000000" w:themeColor="text1"/>
          <w:sz w:val="22"/>
          <w:szCs w:val="22"/>
          <w:lang w:eastAsia="en-GB"/>
        </w:rPr>
      </w:pPr>
      <w:r w:rsidRPr="6AF67807">
        <w:rPr>
          <w:rFonts w:cs="Arial"/>
          <w:color w:val="000000" w:themeColor="text1"/>
          <w:sz w:val="22"/>
          <w:szCs w:val="22"/>
          <w:lang w:eastAsia="en-GB"/>
        </w:rPr>
        <w:t xml:space="preserve"> </w:t>
      </w:r>
    </w:p>
    <w:p w14:paraId="29D6A0B1" w14:textId="405E87A1" w:rsidR="00D617DE" w:rsidRPr="00D617DE" w:rsidRDefault="213911E6" w:rsidP="6AF67807">
      <w:pPr>
        <w:jc w:val="both"/>
        <w:textAlignment w:val="baseline"/>
        <w:rPr>
          <w:rFonts w:cs="Arial"/>
          <w:color w:val="000000" w:themeColor="text1"/>
          <w:sz w:val="22"/>
          <w:szCs w:val="22"/>
          <w:lang w:eastAsia="en-GB"/>
        </w:rPr>
      </w:pPr>
      <w:r w:rsidRPr="6AF67807">
        <w:rPr>
          <w:rFonts w:cs="Arial"/>
          <w:color w:val="000000" w:themeColor="text1"/>
          <w:sz w:val="22"/>
          <w:szCs w:val="22"/>
          <w:lang w:eastAsia="en-GB"/>
        </w:rPr>
        <w:t xml:space="preserve">Youth inclusion also strengthened, with the Young Forest Champions initiative expanding to five countries and involving participants from diverse backgrounds, including Indigenous youth and youth with disabilities. However, gender disparities </w:t>
      </w:r>
      <w:proofErr w:type="gramStart"/>
      <w:r w:rsidRPr="6AF67807">
        <w:rPr>
          <w:rFonts w:cs="Arial"/>
          <w:color w:val="000000" w:themeColor="text1"/>
          <w:sz w:val="22"/>
          <w:szCs w:val="22"/>
          <w:lang w:eastAsia="en-GB"/>
        </w:rPr>
        <w:t>remain:</w:t>
      </w:r>
      <w:proofErr w:type="gramEnd"/>
      <w:r w:rsidRPr="6AF67807">
        <w:rPr>
          <w:rFonts w:cs="Arial"/>
          <w:color w:val="000000" w:themeColor="text1"/>
          <w:sz w:val="22"/>
          <w:szCs w:val="22"/>
          <w:lang w:eastAsia="en-GB"/>
        </w:rPr>
        <w:t xml:space="preserve"> only 31% of CoP participants were women, compared with a 50% target, underscoring the need for more gender‑responsive approaches in future programming.</w:t>
      </w:r>
    </w:p>
    <w:p w14:paraId="5BA5D919" w14:textId="138DD3A6" w:rsidR="00D617DE" w:rsidRPr="00D617DE" w:rsidRDefault="213911E6" w:rsidP="6AF67807">
      <w:pPr>
        <w:jc w:val="both"/>
        <w:textAlignment w:val="baseline"/>
        <w:rPr>
          <w:rFonts w:cs="Arial"/>
          <w:color w:val="000000" w:themeColor="text1"/>
          <w:sz w:val="22"/>
          <w:szCs w:val="22"/>
          <w:lang w:eastAsia="en-GB"/>
        </w:rPr>
      </w:pPr>
      <w:r w:rsidRPr="6AF67807">
        <w:rPr>
          <w:rFonts w:cs="Arial"/>
          <w:color w:val="000000" w:themeColor="text1"/>
          <w:sz w:val="22"/>
          <w:szCs w:val="22"/>
          <w:lang w:eastAsia="en-GB"/>
        </w:rPr>
        <w:t xml:space="preserve"> </w:t>
      </w:r>
    </w:p>
    <w:p w14:paraId="0703FA24" w14:textId="49F96B85" w:rsidR="00D617DE" w:rsidRPr="00D617DE" w:rsidRDefault="213911E6" w:rsidP="6AF67807">
      <w:pPr>
        <w:jc w:val="both"/>
        <w:textAlignment w:val="baseline"/>
        <w:rPr>
          <w:rFonts w:cs="Arial"/>
          <w:color w:val="000000" w:themeColor="text1"/>
          <w:sz w:val="22"/>
          <w:szCs w:val="22"/>
          <w:lang w:eastAsia="en-GB"/>
        </w:rPr>
      </w:pPr>
      <w:r w:rsidRPr="6AF67807">
        <w:rPr>
          <w:rFonts w:cs="Arial"/>
          <w:color w:val="000000" w:themeColor="text1"/>
          <w:sz w:val="22"/>
          <w:szCs w:val="22"/>
          <w:lang w:eastAsia="en-GB"/>
        </w:rPr>
        <w:t xml:space="preserve">Equity considerations extend into ecosystem restoration as well, with AIM4NatuRE incorporating Indigenous‑led monitoring approaches for biocentric restoration. By co‑developing tools, training and global indicators with IPLC partners, AIM4Forests helps ensure that the benefits of strengthened MRV systems are shared with the communities most affected by deforestation and most essential to forest stewardship. </w:t>
      </w:r>
    </w:p>
    <w:p w14:paraId="1F5D74F3" w14:textId="36FAF780" w:rsidR="00D617DE" w:rsidRPr="00D617DE" w:rsidRDefault="00D617DE" w:rsidP="00D617DE">
      <w:pPr>
        <w:jc w:val="both"/>
        <w:textAlignment w:val="baseline"/>
        <w:rPr>
          <w:rFonts w:ascii="Segoe UI" w:hAnsi="Segoe UI" w:cs="Segoe UI"/>
          <w:sz w:val="18"/>
          <w:szCs w:val="18"/>
          <w:lang w:eastAsia="en-GB"/>
        </w:rPr>
      </w:pPr>
      <w:r w:rsidRPr="6AF67807">
        <w:rPr>
          <w:rFonts w:cs="Arial"/>
          <w:color w:val="000000" w:themeColor="text1"/>
          <w:sz w:val="22"/>
          <w:szCs w:val="22"/>
          <w:lang w:eastAsia="en-GB"/>
        </w:rPr>
        <w:t> </w:t>
      </w:r>
    </w:p>
    <w:p w14:paraId="5F5C6079" w14:textId="6A6A4E93" w:rsidR="00D617DE" w:rsidRPr="00D617DE" w:rsidRDefault="00D617DE" w:rsidP="00D617DE">
      <w:pPr>
        <w:jc w:val="both"/>
        <w:textAlignment w:val="baseline"/>
        <w:rPr>
          <w:rFonts w:eastAsia="Arial" w:cs="Arial"/>
          <w:sz w:val="18"/>
          <w:szCs w:val="18"/>
          <w:lang w:eastAsia="en-GB"/>
        </w:rPr>
      </w:pPr>
      <w:r w:rsidRPr="1036FC43">
        <w:rPr>
          <w:rFonts w:eastAsia="Arial" w:cs="Arial"/>
          <w:b/>
          <w:color w:val="000000" w:themeColor="text1"/>
          <w:sz w:val="22"/>
          <w:szCs w:val="22"/>
          <w:lang w:eastAsia="en-GB"/>
        </w:rPr>
        <w:t>Overall </w:t>
      </w:r>
      <w:proofErr w:type="spellStart"/>
      <w:r w:rsidRPr="1036FC43">
        <w:rPr>
          <w:rFonts w:eastAsia="Arial" w:cs="Arial"/>
          <w:b/>
          <w:color w:val="000000" w:themeColor="text1"/>
          <w:sz w:val="22"/>
          <w:szCs w:val="22"/>
          <w:lang w:eastAsia="en-GB"/>
        </w:rPr>
        <w:t>VfM</w:t>
      </w:r>
      <w:proofErr w:type="spellEnd"/>
      <w:r w:rsidRPr="1036FC43">
        <w:rPr>
          <w:rFonts w:eastAsia="Arial" w:cs="Arial"/>
          <w:b/>
          <w:color w:val="000000" w:themeColor="text1"/>
          <w:sz w:val="22"/>
          <w:szCs w:val="22"/>
          <w:lang w:eastAsia="en-GB"/>
        </w:rPr>
        <w:t> Assessment</w:t>
      </w:r>
      <w:r w:rsidRPr="1036FC43">
        <w:rPr>
          <w:rFonts w:eastAsia="Arial" w:cs="Arial"/>
          <w:color w:val="000000" w:themeColor="text1"/>
          <w:sz w:val="22"/>
          <w:szCs w:val="22"/>
          <w:lang w:eastAsia="en-GB"/>
        </w:rPr>
        <w:t> </w:t>
      </w:r>
    </w:p>
    <w:p w14:paraId="4FDAED53" w14:textId="6A8386B9" w:rsidR="00D617DE" w:rsidRPr="00D617DE" w:rsidRDefault="6DA37482" w:rsidP="1036FC43">
      <w:pPr>
        <w:jc w:val="both"/>
        <w:textAlignment w:val="baseline"/>
        <w:rPr>
          <w:rFonts w:eastAsia="Arial" w:cs="Arial"/>
          <w:color w:val="000000" w:themeColor="text1"/>
          <w:sz w:val="22"/>
          <w:szCs w:val="22"/>
          <w:lang w:eastAsia="en-GB"/>
        </w:rPr>
      </w:pPr>
      <w:r w:rsidRPr="1036FC43">
        <w:rPr>
          <w:rFonts w:eastAsia="Arial" w:cs="Arial"/>
          <w:color w:val="000000" w:themeColor="text1"/>
          <w:sz w:val="22"/>
          <w:szCs w:val="22"/>
          <w:lang w:eastAsia="en-GB"/>
        </w:rPr>
        <w:t>AIM4Forests continues to offer strong value for money, with clear evidence in 2025 of significant catalytic impact on national forest monitoring, emissions reporting, and countries’ ability to access forest and climate finance. The programme’s combination of targeted technical assistance, open‑access digital tools, and country‑led planning processes has enabled rapid scale‑up at low marginal cost while consistently exceeding outcome targets</w:t>
      </w:r>
      <w:r w:rsidRPr="14579B4A">
        <w:rPr>
          <w:rFonts w:eastAsia="Arial" w:cs="Arial"/>
          <w:color w:val="000000" w:themeColor="text1"/>
          <w:sz w:val="22"/>
          <w:szCs w:val="22"/>
          <w:lang w:eastAsia="en-GB"/>
        </w:rPr>
        <w:t>.</w:t>
      </w:r>
      <w:r w:rsidRPr="1036FC43">
        <w:rPr>
          <w:rFonts w:eastAsia="Arial" w:cs="Arial"/>
          <w:color w:val="000000" w:themeColor="text1"/>
          <w:sz w:val="22"/>
          <w:szCs w:val="22"/>
          <w:lang w:eastAsia="en-GB"/>
        </w:rPr>
        <w:t xml:space="preserve"> There remains scope to further enhance </w:t>
      </w:r>
      <w:proofErr w:type="spellStart"/>
      <w:r w:rsidRPr="1036FC43">
        <w:rPr>
          <w:rFonts w:eastAsia="Arial" w:cs="Arial"/>
          <w:color w:val="000000" w:themeColor="text1"/>
          <w:sz w:val="22"/>
          <w:szCs w:val="22"/>
          <w:lang w:eastAsia="en-GB"/>
        </w:rPr>
        <w:t>VfM</w:t>
      </w:r>
      <w:proofErr w:type="spellEnd"/>
      <w:r w:rsidRPr="1036FC43">
        <w:rPr>
          <w:rFonts w:eastAsia="Arial" w:cs="Arial"/>
          <w:color w:val="000000" w:themeColor="text1"/>
          <w:sz w:val="22"/>
          <w:szCs w:val="22"/>
          <w:lang w:eastAsia="en-GB"/>
        </w:rPr>
        <w:t xml:space="preserve"> through strengthened gender inclusion across technical and IPLC activities and by continuing to expand co‑financing and leveraged funding opportunities, building on those achieved during 2025.</w:t>
      </w:r>
    </w:p>
    <w:p w14:paraId="5C89EA86" w14:textId="595DC29F" w:rsidR="00D617DE" w:rsidRPr="00D617DE" w:rsidRDefault="6DA37482" w:rsidP="1036FC43">
      <w:pPr>
        <w:jc w:val="both"/>
        <w:textAlignment w:val="baseline"/>
        <w:rPr>
          <w:rFonts w:eastAsia="Arial" w:cs="Arial"/>
          <w:color w:val="000000" w:themeColor="text1"/>
          <w:sz w:val="22"/>
          <w:szCs w:val="22"/>
          <w:lang w:eastAsia="en-GB"/>
        </w:rPr>
      </w:pPr>
      <w:r w:rsidRPr="1036FC43">
        <w:rPr>
          <w:rFonts w:eastAsia="Arial" w:cs="Arial"/>
          <w:color w:val="000000" w:themeColor="text1"/>
          <w:sz w:val="22"/>
          <w:szCs w:val="22"/>
          <w:lang w:eastAsia="en-GB"/>
        </w:rPr>
        <w:t xml:space="preserve"> </w:t>
      </w:r>
    </w:p>
    <w:p w14:paraId="24FC212D" w14:textId="4D26BC29" w:rsidR="00D617DE" w:rsidRPr="00D617DE" w:rsidRDefault="6DA37482" w:rsidP="1036FC43">
      <w:pPr>
        <w:jc w:val="both"/>
        <w:textAlignment w:val="baseline"/>
        <w:rPr>
          <w:rFonts w:eastAsia="Arial" w:cs="Arial"/>
          <w:color w:val="000000" w:themeColor="text1"/>
          <w:sz w:val="22"/>
          <w:szCs w:val="22"/>
          <w:lang w:eastAsia="en-GB"/>
        </w:rPr>
      </w:pPr>
      <w:r w:rsidRPr="1036FC43">
        <w:rPr>
          <w:rFonts w:eastAsia="Arial" w:cs="Arial"/>
          <w:color w:val="000000" w:themeColor="text1"/>
          <w:sz w:val="22"/>
          <w:szCs w:val="22"/>
          <w:lang w:eastAsia="en-GB"/>
        </w:rPr>
        <w:t>The programme’s enabling influence has also deepened, contributing directly to global mechanisms such as the Tropical Forest Forever Facility and the CBD’s first Indigenous land indicator. Strengthened Indigenous‑led Communities of Practice and expanded youth engagement reflect growing equity impacts. Overall, AIM4Forests’ delivery model, partnerships</w:t>
      </w:r>
      <w:r w:rsidR="30E45CE2" w:rsidRPr="216BC43A">
        <w:rPr>
          <w:rFonts w:eastAsia="Arial" w:cs="Arial"/>
          <w:color w:val="000000" w:themeColor="text1"/>
          <w:sz w:val="22"/>
          <w:szCs w:val="22"/>
          <w:lang w:eastAsia="en-GB"/>
        </w:rPr>
        <w:t>,</w:t>
      </w:r>
      <w:r w:rsidRPr="1036FC43">
        <w:rPr>
          <w:rFonts w:eastAsia="Arial" w:cs="Arial"/>
          <w:color w:val="000000" w:themeColor="text1"/>
          <w:sz w:val="22"/>
          <w:szCs w:val="22"/>
          <w:lang w:eastAsia="en-GB"/>
        </w:rPr>
        <w:t xml:space="preserve"> and strong 2025 performance reinforce confidence that the programme is translating UK investment into durable, high‑integrity climate, nature and development gains. </w:t>
      </w:r>
    </w:p>
    <w:p w14:paraId="4CA4BF94" w14:textId="2FC9B061" w:rsidR="00D617DE" w:rsidRPr="00D617DE" w:rsidRDefault="00D617DE" w:rsidP="00D617DE">
      <w:pPr>
        <w:jc w:val="both"/>
        <w:textAlignment w:val="baseline"/>
        <w:rPr>
          <w:rFonts w:ascii="Segoe UI" w:hAnsi="Segoe UI" w:cs="Segoe UI"/>
          <w:sz w:val="18"/>
          <w:szCs w:val="18"/>
          <w:lang w:eastAsia="en-GB"/>
        </w:rPr>
      </w:pPr>
      <w:r w:rsidRPr="1036FC43">
        <w:rPr>
          <w:rFonts w:cs="Arial"/>
          <w:color w:val="000000" w:themeColor="text1"/>
          <w:sz w:val="22"/>
          <w:szCs w:val="22"/>
          <w:lang w:eastAsia="en-GB"/>
        </w:rPr>
        <w:t> </w:t>
      </w:r>
    </w:p>
    <w:p w14:paraId="502F1CC9" w14:textId="2DAB8BE5" w:rsidR="00D617DE" w:rsidRPr="00522548" w:rsidRDefault="00D617DE" w:rsidP="5118B35D">
      <w:pPr>
        <w:jc w:val="both"/>
        <w:rPr>
          <w:rFonts w:ascii="Segoe UI" w:hAnsi="Segoe UI" w:cs="Segoe UI"/>
          <w:sz w:val="18"/>
          <w:szCs w:val="18"/>
          <w:lang w:eastAsia="en-GB"/>
        </w:rPr>
      </w:pPr>
      <w:r w:rsidRPr="5118B35D">
        <w:rPr>
          <w:rFonts w:cs="Arial"/>
          <w:b/>
          <w:color w:val="000000" w:themeColor="text1"/>
          <w:sz w:val="22"/>
          <w:szCs w:val="22"/>
          <w:lang w:eastAsia="en-GB"/>
        </w:rPr>
        <w:t>Paris Alignment </w:t>
      </w:r>
      <w:r w:rsidRPr="5118B35D">
        <w:rPr>
          <w:rFonts w:cs="Arial"/>
          <w:color w:val="000000" w:themeColor="text1"/>
          <w:sz w:val="22"/>
          <w:szCs w:val="22"/>
          <w:lang w:eastAsia="en-GB"/>
        </w:rPr>
        <w:t> </w:t>
      </w:r>
    </w:p>
    <w:p w14:paraId="090F53A1" w14:textId="77777777" w:rsidR="00D617DE" w:rsidRPr="00522548" w:rsidRDefault="00D617DE" w:rsidP="00D617DE">
      <w:pPr>
        <w:jc w:val="both"/>
        <w:textAlignment w:val="baseline"/>
        <w:rPr>
          <w:rFonts w:ascii="Segoe UI" w:hAnsi="Segoe UI" w:cs="Segoe UI"/>
          <w:sz w:val="18"/>
          <w:szCs w:val="18"/>
          <w:lang w:eastAsia="en-GB"/>
        </w:rPr>
      </w:pPr>
      <w:r w:rsidRPr="00522548">
        <w:rPr>
          <w:rFonts w:cs="Arial"/>
          <w:color w:val="000000"/>
          <w:sz w:val="22"/>
          <w:szCs w:val="22"/>
          <w:lang w:eastAsia="en-GB"/>
        </w:rPr>
        <w:t>It is not necessary to undertake Shadow Carbon Pricing for the AIM4Forests programme as the programme is directly supporting the generation of verified emissions reductions. A value for these reduced carbon emissions is established through the sale of those carbon credits which have been generated and verified with support from the AIM4Forests programme.  </w:t>
      </w:r>
    </w:p>
    <w:p w14:paraId="2C07EB15" w14:textId="77777777" w:rsidR="00D617DE" w:rsidRPr="00522548" w:rsidRDefault="00D617DE" w:rsidP="00D617DE">
      <w:pPr>
        <w:jc w:val="both"/>
        <w:textAlignment w:val="baseline"/>
        <w:rPr>
          <w:rFonts w:ascii="Segoe UI" w:hAnsi="Segoe UI" w:cs="Segoe UI"/>
          <w:sz w:val="18"/>
          <w:szCs w:val="18"/>
          <w:lang w:eastAsia="en-GB"/>
        </w:rPr>
      </w:pPr>
      <w:r w:rsidRPr="00522548">
        <w:rPr>
          <w:rFonts w:cs="Arial"/>
          <w:color w:val="000000"/>
          <w:sz w:val="22"/>
          <w:szCs w:val="22"/>
          <w:lang w:eastAsia="en-GB"/>
        </w:rPr>
        <w:t> </w:t>
      </w:r>
    </w:p>
    <w:p w14:paraId="46D242D2" w14:textId="77777777" w:rsidR="00D617DE" w:rsidRPr="00D617DE" w:rsidRDefault="00D617DE" w:rsidP="00D617DE">
      <w:pPr>
        <w:jc w:val="both"/>
        <w:textAlignment w:val="baseline"/>
        <w:rPr>
          <w:rFonts w:ascii="Segoe UI" w:hAnsi="Segoe UI" w:cs="Segoe UI"/>
          <w:sz w:val="18"/>
          <w:szCs w:val="18"/>
          <w:lang w:eastAsia="en-GB"/>
        </w:rPr>
      </w:pPr>
      <w:r w:rsidRPr="00522548">
        <w:rPr>
          <w:rFonts w:cs="Arial"/>
          <w:color w:val="000000"/>
          <w:sz w:val="22"/>
          <w:szCs w:val="22"/>
          <w:lang w:eastAsia="en-GB"/>
        </w:rPr>
        <w:t>The programme does not go against HMG’s fossil fuel policy, nor does it go against partner countries own climate plans. It actively looks to support countries to meet their NDCs and other climate and nature targets through supporting more effective and transparent monitoring, as well as delivering technical support in the production of Emissions Reductions, which can be transacted under carbon markets. A climate and risk assessment has been completed for AIM4Forests, which ensures that the programme is in line and being sufficiently monitored against environmental and climate damage risks: </w:t>
      </w:r>
      <w:hyperlink r:id="rId36" w:tgtFrame="_blank" w:history="1">
        <w:r w:rsidRPr="00522548">
          <w:rPr>
            <w:rFonts w:cs="Arial"/>
            <w:color w:val="0563C1"/>
            <w:sz w:val="22"/>
            <w:szCs w:val="22"/>
            <w:u w:val="single"/>
            <w:lang w:eastAsia="en-GB"/>
          </w:rPr>
          <w:t>Climate Risk Assurance for AIM4Forests 180324.docx</w:t>
        </w:r>
      </w:hyperlink>
      <w:r w:rsidRPr="00D617DE">
        <w:rPr>
          <w:rFonts w:cs="Arial"/>
          <w:color w:val="000000"/>
          <w:sz w:val="22"/>
          <w:szCs w:val="22"/>
          <w:lang w:eastAsia="en-GB"/>
        </w:rPr>
        <w:t> </w:t>
      </w:r>
    </w:p>
    <w:p w14:paraId="0B5A42FE" w14:textId="77777777" w:rsidR="00D617DE" w:rsidRPr="00D617DE" w:rsidRDefault="00D617DE" w:rsidP="00D617DE">
      <w:pPr>
        <w:jc w:val="both"/>
        <w:textAlignment w:val="baseline"/>
        <w:rPr>
          <w:rFonts w:ascii="Segoe UI" w:hAnsi="Segoe UI" w:cs="Segoe UI"/>
          <w:sz w:val="18"/>
          <w:szCs w:val="18"/>
          <w:lang w:eastAsia="en-GB"/>
        </w:rPr>
      </w:pPr>
      <w:r w:rsidRPr="00D617DE">
        <w:rPr>
          <w:rFonts w:cs="Arial"/>
          <w:color w:val="000000"/>
          <w:sz w:val="22"/>
          <w:szCs w:val="22"/>
          <w:lang w:eastAsia="en-GB"/>
        </w:rPr>
        <w:lastRenderedPageBreak/>
        <w:t> </w:t>
      </w:r>
    </w:p>
    <w:p w14:paraId="20C8AF71" w14:textId="77777777" w:rsidR="00D617DE" w:rsidRPr="00D617DE" w:rsidRDefault="00D617DE" w:rsidP="00D617DE">
      <w:pPr>
        <w:jc w:val="both"/>
        <w:textAlignment w:val="baseline"/>
        <w:rPr>
          <w:rFonts w:ascii="Segoe UI" w:hAnsi="Segoe UI" w:cs="Segoe UI"/>
          <w:b/>
          <w:bCs/>
          <w:i/>
          <w:iCs/>
          <w:sz w:val="18"/>
          <w:szCs w:val="18"/>
          <w:lang w:eastAsia="en-GB"/>
        </w:rPr>
      </w:pPr>
      <w:r w:rsidRPr="00D617DE">
        <w:rPr>
          <w:rFonts w:cs="Arial"/>
          <w:b/>
          <w:bCs/>
          <w:i/>
          <w:iCs/>
          <w:color w:val="000000"/>
          <w:sz w:val="22"/>
          <w:szCs w:val="22"/>
          <w:lang w:eastAsia="en-GB"/>
        </w:rPr>
        <w:t>Compliance table for AIM4Forests  </w:t>
      </w:r>
    </w:p>
    <w:p w14:paraId="4DFF391F" w14:textId="77777777" w:rsidR="00D617DE" w:rsidRPr="00D617DE" w:rsidRDefault="00D617DE" w:rsidP="00D617DE">
      <w:pPr>
        <w:jc w:val="both"/>
        <w:textAlignment w:val="baseline"/>
        <w:rPr>
          <w:rFonts w:ascii="Segoe UI" w:hAnsi="Segoe UI" w:cs="Segoe UI"/>
          <w:sz w:val="18"/>
          <w:szCs w:val="18"/>
          <w:lang w:eastAsia="en-GB"/>
        </w:rPr>
      </w:pPr>
      <w:r w:rsidRPr="00D617DE">
        <w:rPr>
          <w:rFonts w:cs="Arial"/>
          <w:color w:val="000000"/>
          <w:sz w:val="22"/>
          <w:szCs w:val="22"/>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5464"/>
      </w:tblGrid>
      <w:tr w:rsidR="008B1763" w:rsidRPr="00D617DE" w14:paraId="4E8EC8F8" w14:textId="77777777" w:rsidTr="00D617DE">
        <w:trPr>
          <w:trHeight w:val="300"/>
        </w:trPr>
        <w:tc>
          <w:tcPr>
            <w:tcW w:w="3536" w:type="dxa"/>
            <w:tcBorders>
              <w:top w:val="single" w:sz="6" w:space="0" w:color="A3A3A3"/>
              <w:left w:val="single" w:sz="6" w:space="0" w:color="A3A3A3"/>
              <w:bottom w:val="single" w:sz="6" w:space="0" w:color="A3A3A3"/>
              <w:right w:val="single" w:sz="6" w:space="0" w:color="A3A3A3"/>
            </w:tcBorders>
            <w:hideMark/>
          </w:tcPr>
          <w:p w14:paraId="533F4782" w14:textId="77777777" w:rsidR="00D617DE" w:rsidRPr="00D617DE" w:rsidRDefault="00D617DE" w:rsidP="00D617DE">
            <w:pPr>
              <w:textAlignment w:val="baseline"/>
              <w:rPr>
                <w:rFonts w:ascii="Times New Roman" w:hAnsi="Times New Roman"/>
                <w:lang w:eastAsia="en-GB"/>
              </w:rPr>
            </w:pPr>
            <w:r w:rsidRPr="00D617DE">
              <w:rPr>
                <w:rFonts w:cs="Arial"/>
                <w:b/>
                <w:bCs/>
                <w:color w:val="212121"/>
                <w:sz w:val="22"/>
                <w:szCs w:val="22"/>
                <w:lang w:eastAsia="en-GB"/>
              </w:rPr>
              <w:t>Paris alignment pillar</w:t>
            </w:r>
            <w:r w:rsidRPr="00D617DE">
              <w:rPr>
                <w:rFonts w:cs="Arial"/>
                <w:color w:val="212121"/>
                <w:sz w:val="22"/>
                <w:szCs w:val="22"/>
                <w:lang w:eastAsia="en-GB"/>
              </w:rPr>
              <w:t> </w:t>
            </w:r>
          </w:p>
        </w:tc>
        <w:tc>
          <w:tcPr>
            <w:tcW w:w="5464" w:type="dxa"/>
            <w:tcBorders>
              <w:top w:val="single" w:sz="6" w:space="0" w:color="A3A3A3"/>
              <w:left w:val="single" w:sz="6" w:space="0" w:color="A3A3A3"/>
              <w:bottom w:val="single" w:sz="6" w:space="0" w:color="A3A3A3"/>
              <w:right w:val="single" w:sz="6" w:space="0" w:color="A3A3A3"/>
            </w:tcBorders>
            <w:hideMark/>
          </w:tcPr>
          <w:p w14:paraId="3DA7199F" w14:textId="77777777" w:rsidR="00D617DE" w:rsidRPr="00D617DE" w:rsidRDefault="00D617DE" w:rsidP="00D617DE">
            <w:pPr>
              <w:textAlignment w:val="baseline"/>
              <w:rPr>
                <w:rFonts w:ascii="Times New Roman" w:hAnsi="Times New Roman"/>
                <w:lang w:eastAsia="en-GB"/>
              </w:rPr>
            </w:pPr>
            <w:r w:rsidRPr="00D617DE">
              <w:rPr>
                <w:rFonts w:cs="Arial"/>
                <w:b/>
                <w:bCs/>
                <w:color w:val="212121"/>
                <w:sz w:val="22"/>
                <w:szCs w:val="22"/>
                <w:lang w:eastAsia="en-GB"/>
              </w:rPr>
              <w:t>Description of activity</w:t>
            </w:r>
            <w:r w:rsidRPr="00D617DE">
              <w:rPr>
                <w:rFonts w:cs="Arial"/>
                <w:color w:val="212121"/>
                <w:sz w:val="22"/>
                <w:szCs w:val="22"/>
                <w:lang w:eastAsia="en-GB"/>
              </w:rPr>
              <w:t> </w:t>
            </w:r>
          </w:p>
        </w:tc>
      </w:tr>
      <w:tr w:rsidR="008B1763" w:rsidRPr="00D617DE" w14:paraId="05C6F67E" w14:textId="77777777" w:rsidTr="00D617DE">
        <w:trPr>
          <w:trHeight w:val="300"/>
        </w:trPr>
        <w:tc>
          <w:tcPr>
            <w:tcW w:w="3536" w:type="dxa"/>
            <w:tcBorders>
              <w:top w:val="single" w:sz="6" w:space="0" w:color="A3A3A3"/>
              <w:left w:val="single" w:sz="6" w:space="0" w:color="A3A3A3"/>
              <w:bottom w:val="single" w:sz="6" w:space="0" w:color="A3A3A3"/>
              <w:right w:val="single" w:sz="6" w:space="0" w:color="A3A3A3"/>
            </w:tcBorders>
            <w:hideMark/>
          </w:tcPr>
          <w:p w14:paraId="56C0B4A0"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How have you taken a proportional approach to climate and environment risk assurance? </w:t>
            </w:r>
          </w:p>
        </w:tc>
        <w:tc>
          <w:tcPr>
            <w:tcW w:w="5464" w:type="dxa"/>
            <w:tcBorders>
              <w:top w:val="single" w:sz="6" w:space="0" w:color="A3A3A3"/>
              <w:left w:val="single" w:sz="6" w:space="0" w:color="A3A3A3"/>
              <w:bottom w:val="single" w:sz="6" w:space="0" w:color="A3A3A3"/>
              <w:right w:val="single" w:sz="6" w:space="0" w:color="A3A3A3"/>
            </w:tcBorders>
            <w:hideMark/>
          </w:tcPr>
          <w:p w14:paraId="39DE327F"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Yes. A Climate and Environmental Risk Screening has been undertaken.  </w:t>
            </w:r>
          </w:p>
          <w:p w14:paraId="1C43F9D8"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The Climate Risk Screen was Moderate.</w:t>
            </w:r>
            <w:r w:rsidRPr="00D617DE">
              <w:rPr>
                <w:rFonts w:cs="Arial"/>
                <w:color w:val="212121"/>
                <w:sz w:val="17"/>
                <w:szCs w:val="17"/>
                <w:vertAlign w:val="superscript"/>
                <w:lang w:eastAsia="en-GB"/>
              </w:rPr>
              <w:t>5</w:t>
            </w:r>
            <w:r w:rsidRPr="00D617DE">
              <w:rPr>
                <w:rFonts w:cs="Arial"/>
                <w:color w:val="212121"/>
                <w:sz w:val="22"/>
                <w:szCs w:val="22"/>
                <w:lang w:eastAsia="en-GB"/>
              </w:rPr>
              <w:t> </w:t>
            </w:r>
          </w:p>
          <w:p w14:paraId="76D4A6C9"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The Environmental Risk Screening was Low.</w:t>
            </w:r>
            <w:r w:rsidRPr="00D617DE">
              <w:rPr>
                <w:rFonts w:cs="Arial"/>
                <w:color w:val="212121"/>
                <w:sz w:val="17"/>
                <w:szCs w:val="17"/>
                <w:vertAlign w:val="superscript"/>
                <w:lang w:eastAsia="en-GB"/>
              </w:rPr>
              <w:t>6</w:t>
            </w:r>
            <w:r w:rsidRPr="00D617DE">
              <w:rPr>
                <w:rFonts w:cs="Arial"/>
                <w:color w:val="212121"/>
                <w:sz w:val="22"/>
                <w:szCs w:val="22"/>
                <w:lang w:eastAsia="en-GB"/>
              </w:rPr>
              <w:t> </w:t>
            </w:r>
          </w:p>
          <w:p w14:paraId="570F6C9F"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Risks will be monitored through the normal ICF risk management processes. </w:t>
            </w:r>
          </w:p>
        </w:tc>
      </w:tr>
      <w:tr w:rsidR="008B1763" w:rsidRPr="00D617DE" w14:paraId="52C3FE7C" w14:textId="77777777" w:rsidTr="00D617DE">
        <w:trPr>
          <w:trHeight w:val="300"/>
        </w:trPr>
        <w:tc>
          <w:tcPr>
            <w:tcW w:w="3536" w:type="dxa"/>
            <w:tcBorders>
              <w:top w:val="single" w:sz="6" w:space="0" w:color="A3A3A3"/>
              <w:left w:val="single" w:sz="6" w:space="0" w:color="A3A3A3"/>
              <w:bottom w:val="single" w:sz="6" w:space="0" w:color="A3A3A3"/>
              <w:right w:val="single" w:sz="6" w:space="0" w:color="A3A3A3"/>
            </w:tcBorders>
            <w:hideMark/>
          </w:tcPr>
          <w:p w14:paraId="3CEAF460"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How have you taken a proportional approach to using shadow carbon pricing? </w:t>
            </w:r>
          </w:p>
        </w:tc>
        <w:tc>
          <w:tcPr>
            <w:tcW w:w="5464" w:type="dxa"/>
            <w:tcBorders>
              <w:top w:val="single" w:sz="6" w:space="0" w:color="A3A3A3"/>
              <w:left w:val="single" w:sz="6" w:space="0" w:color="A3A3A3"/>
              <w:bottom w:val="single" w:sz="6" w:space="0" w:color="A3A3A3"/>
              <w:right w:val="single" w:sz="6" w:space="0" w:color="A3A3A3"/>
            </w:tcBorders>
            <w:hideMark/>
          </w:tcPr>
          <w:p w14:paraId="1CADCDFC"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 It is not necessary to undertake Shadow Carbon Pricing for the AIM4Forests programme as the programme is directly supporting the generation of verified emissions reductions. A value for these reduced carbon emissions is established through the sale of those carbon credits which have been generated and verified with support from the AIM4Forests programme. Activities in AIM4Forests are aligned to support countries achieve high quality, high integrity data and methodologies in support of achieving appropriate prices for forest carbon. </w:t>
            </w:r>
          </w:p>
        </w:tc>
      </w:tr>
      <w:tr w:rsidR="008B1763" w:rsidRPr="00D617DE" w14:paraId="210012DA" w14:textId="77777777" w:rsidTr="00D617DE">
        <w:trPr>
          <w:trHeight w:val="300"/>
        </w:trPr>
        <w:tc>
          <w:tcPr>
            <w:tcW w:w="3536" w:type="dxa"/>
            <w:tcBorders>
              <w:top w:val="single" w:sz="6" w:space="0" w:color="A3A3A3"/>
              <w:left w:val="single" w:sz="6" w:space="0" w:color="A3A3A3"/>
              <w:bottom w:val="single" w:sz="6" w:space="0" w:color="A3A3A3"/>
              <w:right w:val="single" w:sz="6" w:space="0" w:color="A3A3A3"/>
            </w:tcBorders>
            <w:hideMark/>
          </w:tcPr>
          <w:p w14:paraId="4406AEE4"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Does the programme adhere to HMG’s fossil fuel policy? </w:t>
            </w:r>
          </w:p>
        </w:tc>
        <w:tc>
          <w:tcPr>
            <w:tcW w:w="5464" w:type="dxa"/>
            <w:tcBorders>
              <w:top w:val="single" w:sz="6" w:space="0" w:color="A3A3A3"/>
              <w:left w:val="single" w:sz="6" w:space="0" w:color="A3A3A3"/>
              <w:bottom w:val="single" w:sz="6" w:space="0" w:color="A3A3A3"/>
              <w:right w:val="single" w:sz="6" w:space="0" w:color="A3A3A3"/>
            </w:tcBorders>
            <w:hideMark/>
          </w:tcPr>
          <w:p w14:paraId="4F70447B"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 Yes. This support is unrelated to fossil fuel policy and adheres to HMG ‘no new overseas fossil fuel finance or promotional support other than limited </w:t>
            </w:r>
            <w:proofErr w:type="gramStart"/>
            <w:r w:rsidR="00062632" w:rsidRPr="00D617DE">
              <w:rPr>
                <w:rFonts w:cs="Arial"/>
                <w:color w:val="212121"/>
                <w:sz w:val="22"/>
                <w:szCs w:val="22"/>
                <w:lang w:eastAsia="en-GB"/>
              </w:rPr>
              <w:t>circumstances</w:t>
            </w:r>
            <w:r w:rsidR="00567D62">
              <w:rPr>
                <w:rFonts w:cs="Arial"/>
                <w:color w:val="212121"/>
                <w:sz w:val="22"/>
                <w:szCs w:val="22"/>
                <w:lang w:eastAsia="en-GB"/>
              </w:rPr>
              <w:t>’</w:t>
            </w:r>
            <w:proofErr w:type="gramEnd"/>
            <w:r w:rsidRPr="00D617DE">
              <w:rPr>
                <w:rFonts w:cs="Arial"/>
                <w:color w:val="212121"/>
                <w:sz w:val="22"/>
                <w:szCs w:val="22"/>
                <w:lang w:eastAsia="en-GB"/>
              </w:rPr>
              <w:t>. </w:t>
            </w:r>
          </w:p>
        </w:tc>
      </w:tr>
      <w:tr w:rsidR="008B1763" w:rsidRPr="00D617DE" w14:paraId="39BD36A4" w14:textId="77777777" w:rsidTr="00D617DE">
        <w:trPr>
          <w:trHeight w:val="990"/>
        </w:trPr>
        <w:tc>
          <w:tcPr>
            <w:tcW w:w="3536" w:type="dxa"/>
            <w:tcBorders>
              <w:top w:val="single" w:sz="6" w:space="0" w:color="A3A3A3"/>
              <w:left w:val="single" w:sz="6" w:space="0" w:color="A3A3A3"/>
              <w:bottom w:val="single" w:sz="6" w:space="0" w:color="A3A3A3"/>
              <w:right w:val="single" w:sz="6" w:space="0" w:color="A3A3A3"/>
            </w:tcBorders>
            <w:hideMark/>
          </w:tcPr>
          <w:p w14:paraId="1AE00BD1" w14:textId="777777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Are you ensuring the programme does not undermine impacted countries climate plans? </w:t>
            </w:r>
          </w:p>
        </w:tc>
        <w:tc>
          <w:tcPr>
            <w:tcW w:w="5464" w:type="dxa"/>
            <w:tcBorders>
              <w:top w:val="single" w:sz="6" w:space="0" w:color="A3A3A3"/>
              <w:left w:val="single" w:sz="6" w:space="0" w:color="A3A3A3"/>
              <w:bottom w:val="single" w:sz="6" w:space="0" w:color="A3A3A3"/>
              <w:right w:val="single" w:sz="6" w:space="0" w:color="A3A3A3"/>
            </w:tcBorders>
            <w:hideMark/>
          </w:tcPr>
          <w:p w14:paraId="20320381" w14:textId="03446877" w:rsidR="00D617DE" w:rsidRPr="00D617DE" w:rsidRDefault="00D617DE" w:rsidP="00D617DE">
            <w:pPr>
              <w:textAlignment w:val="baseline"/>
              <w:rPr>
                <w:rFonts w:ascii="Times New Roman" w:hAnsi="Times New Roman"/>
                <w:lang w:eastAsia="en-GB"/>
              </w:rPr>
            </w:pPr>
            <w:r w:rsidRPr="00D617DE">
              <w:rPr>
                <w:rFonts w:cs="Arial"/>
                <w:color w:val="212121"/>
                <w:sz w:val="22"/>
                <w:szCs w:val="22"/>
                <w:lang w:eastAsia="en-GB"/>
              </w:rPr>
              <w:t>Yes. AIM4Forests entirely supports a country-led approach to providing </w:t>
            </w:r>
            <w:r w:rsidR="00062632" w:rsidRPr="00D617DE">
              <w:rPr>
                <w:rFonts w:cs="Arial"/>
                <w:color w:val="212121"/>
                <w:sz w:val="22"/>
                <w:szCs w:val="22"/>
                <w:lang w:eastAsia="en-GB"/>
              </w:rPr>
              <w:t>support and</w:t>
            </w:r>
            <w:r w:rsidRPr="00D617DE">
              <w:rPr>
                <w:rFonts w:cs="Arial"/>
                <w:color w:val="212121"/>
                <w:sz w:val="22"/>
                <w:szCs w:val="22"/>
                <w:lang w:eastAsia="en-GB"/>
              </w:rPr>
              <w:t> directly supports countries in reporting on Emissions Reductions aligned with climate commitments. </w:t>
            </w:r>
          </w:p>
        </w:tc>
      </w:tr>
    </w:tbl>
    <w:p w14:paraId="2AE6160F" w14:textId="77777777" w:rsidR="00D617DE" w:rsidRPr="00D617DE" w:rsidRDefault="00D617DE" w:rsidP="00D617DE">
      <w:pPr>
        <w:jc w:val="both"/>
        <w:textAlignment w:val="baseline"/>
        <w:rPr>
          <w:rFonts w:ascii="Segoe UI" w:hAnsi="Segoe UI" w:cs="Segoe UI"/>
          <w:sz w:val="18"/>
          <w:szCs w:val="18"/>
          <w:lang w:eastAsia="en-GB"/>
        </w:rPr>
      </w:pPr>
      <w:r w:rsidRPr="00D617DE">
        <w:rPr>
          <w:rFonts w:cs="Arial"/>
          <w:sz w:val="22"/>
          <w:szCs w:val="22"/>
          <w:lang w:eastAsia="en-GB"/>
        </w:rPr>
        <w:t> </w:t>
      </w:r>
    </w:p>
    <w:p w14:paraId="57E9072D" w14:textId="77777777" w:rsidR="00D617DE" w:rsidRPr="00D617DE" w:rsidRDefault="00D617DE" w:rsidP="00D617DE">
      <w:pPr>
        <w:jc w:val="both"/>
        <w:textAlignment w:val="baseline"/>
        <w:rPr>
          <w:rFonts w:ascii="Segoe UI" w:hAnsi="Segoe UI" w:cs="Segoe UI"/>
          <w:sz w:val="18"/>
          <w:szCs w:val="18"/>
          <w:lang w:eastAsia="en-GB"/>
        </w:rPr>
      </w:pPr>
      <w:r w:rsidRPr="00D617DE">
        <w:rPr>
          <w:rFonts w:cs="Arial"/>
          <w:sz w:val="22"/>
          <w:szCs w:val="22"/>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2265"/>
      </w:tblGrid>
      <w:tr w:rsidR="008B1763" w:rsidRPr="00D617DE" w14:paraId="0CD32474" w14:textId="77777777">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DEEAF6"/>
            <w:hideMark/>
          </w:tcPr>
          <w:p w14:paraId="21C53F5D" w14:textId="77777777" w:rsidR="00D617DE" w:rsidRPr="00D617DE" w:rsidRDefault="00D617DE" w:rsidP="00D617DE">
            <w:pPr>
              <w:jc w:val="both"/>
              <w:textAlignment w:val="baseline"/>
              <w:rPr>
                <w:rFonts w:ascii="Times New Roman" w:hAnsi="Times New Roman"/>
                <w:lang w:eastAsia="en-GB"/>
              </w:rPr>
            </w:pPr>
            <w:r w:rsidRPr="00D617DE">
              <w:rPr>
                <w:rFonts w:cs="Arial"/>
                <w:sz w:val="22"/>
                <w:szCs w:val="22"/>
                <w:lang w:eastAsia="en-GB"/>
              </w:rPr>
              <w:t>Date of last narrative financial report </w:t>
            </w:r>
          </w:p>
        </w:tc>
        <w:tc>
          <w:tcPr>
            <w:tcW w:w="2265" w:type="dxa"/>
            <w:tcBorders>
              <w:top w:val="single" w:sz="4" w:space="0" w:color="auto"/>
              <w:left w:val="single" w:sz="4" w:space="0" w:color="auto"/>
              <w:bottom w:val="single" w:sz="4" w:space="0" w:color="auto"/>
              <w:right w:val="single" w:sz="4" w:space="0" w:color="auto"/>
            </w:tcBorders>
            <w:hideMark/>
          </w:tcPr>
          <w:p w14:paraId="271C897C" w14:textId="515D6F0C" w:rsidR="00D617DE" w:rsidRPr="00D617DE" w:rsidRDefault="00D617DE" w:rsidP="00D617DE">
            <w:pPr>
              <w:jc w:val="both"/>
              <w:textAlignment w:val="baseline"/>
              <w:rPr>
                <w:rFonts w:ascii="Times New Roman" w:hAnsi="Times New Roman"/>
                <w:lang w:eastAsia="en-GB"/>
              </w:rPr>
            </w:pPr>
            <w:r>
              <w:rPr>
                <w:lang w:eastAsia="en-GB"/>
              </w:rPr>
              <w:t>March 2026</w:t>
            </w:r>
          </w:p>
        </w:tc>
      </w:tr>
      <w:tr w:rsidR="008B1763" w:rsidRPr="00D617DE" w14:paraId="57870D43" w14:textId="77777777">
        <w:trPr>
          <w:trHeight w:val="300"/>
        </w:trPr>
        <w:tc>
          <w:tcPr>
            <w:tcW w:w="4500" w:type="dxa"/>
            <w:tcBorders>
              <w:top w:val="single" w:sz="4" w:space="0" w:color="auto"/>
              <w:left w:val="single" w:sz="4" w:space="0" w:color="auto"/>
              <w:bottom w:val="single" w:sz="4" w:space="0" w:color="auto"/>
              <w:right w:val="single" w:sz="4" w:space="0" w:color="auto"/>
            </w:tcBorders>
            <w:shd w:val="clear" w:color="auto" w:fill="DEEAF6"/>
            <w:hideMark/>
          </w:tcPr>
          <w:p w14:paraId="1B2A37C8" w14:textId="77777777" w:rsidR="00D617DE" w:rsidRPr="00D617DE" w:rsidRDefault="00D617DE" w:rsidP="00D617DE">
            <w:pPr>
              <w:jc w:val="both"/>
              <w:textAlignment w:val="baseline"/>
              <w:rPr>
                <w:rFonts w:ascii="Times New Roman" w:hAnsi="Times New Roman"/>
                <w:lang w:eastAsia="en-GB"/>
              </w:rPr>
            </w:pPr>
            <w:r w:rsidRPr="00D617DE">
              <w:rPr>
                <w:rFonts w:cs="Arial"/>
                <w:sz w:val="22"/>
                <w:szCs w:val="22"/>
                <w:lang w:eastAsia="en-GB"/>
              </w:rPr>
              <w:t>Date of last audited annual statement </w:t>
            </w:r>
          </w:p>
        </w:tc>
        <w:tc>
          <w:tcPr>
            <w:tcW w:w="2265" w:type="dxa"/>
            <w:tcBorders>
              <w:top w:val="single" w:sz="4" w:space="0" w:color="auto"/>
              <w:left w:val="single" w:sz="4" w:space="0" w:color="auto"/>
              <w:bottom w:val="single" w:sz="4" w:space="0" w:color="auto"/>
              <w:right w:val="single" w:sz="4" w:space="0" w:color="auto"/>
            </w:tcBorders>
            <w:hideMark/>
          </w:tcPr>
          <w:p w14:paraId="3DAAABA1" w14:textId="6B77F63A" w:rsidR="00D617DE" w:rsidRPr="00D617DE" w:rsidRDefault="00D617DE" w:rsidP="00D617DE">
            <w:pPr>
              <w:jc w:val="both"/>
              <w:textAlignment w:val="baseline"/>
              <w:rPr>
                <w:rFonts w:ascii="Times New Roman" w:hAnsi="Times New Roman"/>
                <w:lang w:eastAsia="en-GB"/>
              </w:rPr>
            </w:pPr>
            <w:r>
              <w:rPr>
                <w:lang w:eastAsia="en-GB"/>
              </w:rPr>
              <w:t>March 2026</w:t>
            </w:r>
          </w:p>
        </w:tc>
      </w:tr>
    </w:tbl>
    <w:p w14:paraId="39940792" w14:textId="77777777" w:rsidR="003D222C" w:rsidRPr="00D80C6C" w:rsidRDefault="003D222C" w:rsidP="004D5FD5">
      <w:pPr>
        <w:spacing w:after="160" w:line="259" w:lineRule="auto"/>
        <w:jc w:val="both"/>
        <w:rPr>
          <w:rFonts w:cs="Arial"/>
          <w:sz w:val="22"/>
          <w:szCs w:val="22"/>
        </w:rPr>
      </w:pPr>
    </w:p>
    <w:p w14:paraId="7EF349EC" w14:textId="77777777" w:rsidR="003D222C" w:rsidRPr="00D80C6C" w:rsidRDefault="003D222C" w:rsidP="004D5FD5">
      <w:pPr>
        <w:spacing w:after="160" w:line="259" w:lineRule="auto"/>
        <w:jc w:val="both"/>
        <w:rPr>
          <w:rFonts w:cs="Arial"/>
          <w:sz w:val="22"/>
          <w:szCs w:val="22"/>
        </w:rPr>
      </w:pPr>
    </w:p>
    <w:p w14:paraId="4AB97E44" w14:textId="77777777" w:rsidR="003D222C" w:rsidRPr="00D80C6C" w:rsidRDefault="003D222C" w:rsidP="004D5FD5">
      <w:pPr>
        <w:jc w:val="both"/>
        <w:rPr>
          <w:rFonts w:cs="Arial"/>
          <w:sz w:val="22"/>
          <w:szCs w:val="22"/>
        </w:rPr>
      </w:pPr>
    </w:p>
    <w:sectPr w:rsidR="003D222C" w:rsidRPr="00D80C6C" w:rsidSect="001C6CE4">
      <w:headerReference w:type="default" r:id="rId37"/>
      <w:footerReference w:type="default" r:id="rId38"/>
      <w:headerReference w:type="first" r:id="rId39"/>
      <w:footerReference w:type="first" r:id="rId40"/>
      <w:pgSz w:w="11906" w:h="16838"/>
      <w:pgMar w:top="709"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C4BA" w14:textId="77777777" w:rsidR="00960701" w:rsidRDefault="00960701" w:rsidP="003D222C">
      <w:r>
        <w:separator/>
      </w:r>
    </w:p>
  </w:endnote>
  <w:endnote w:type="continuationSeparator" w:id="0">
    <w:p w14:paraId="4FDD2F7F" w14:textId="77777777" w:rsidR="00960701" w:rsidRDefault="00960701" w:rsidP="003D222C">
      <w:r>
        <w:continuationSeparator/>
      </w:r>
    </w:p>
  </w:endnote>
  <w:endnote w:type="continuationNotice" w:id="1">
    <w:p w14:paraId="449AD4B2" w14:textId="77777777" w:rsidR="00960701" w:rsidRDefault="0096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79427"/>
      <w:docPartObj>
        <w:docPartGallery w:val="Page Numbers (Bottom of Page)"/>
        <w:docPartUnique/>
      </w:docPartObj>
    </w:sdtPr>
    <w:sdtEndPr>
      <w:rPr>
        <w:noProof/>
      </w:rPr>
    </w:sdtEndPr>
    <w:sdtContent>
      <w:p w14:paraId="6505D46B" w14:textId="26A3B61B" w:rsidR="00920D19" w:rsidRDefault="00920D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72792" w14:textId="77777777" w:rsidR="00920D19" w:rsidRDefault="00920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CA5" w14:textId="4043B5B5" w:rsidR="00090217" w:rsidRDefault="691A4CA2" w:rsidP="00090217">
    <w:pPr>
      <w:pStyle w:val="BEISDate"/>
    </w:pPr>
    <w:r>
      <w:t>April</w:t>
    </w:r>
    <w:r w:rsidR="00095E87">
      <w:t xml:space="preserve"> 2026</w:t>
    </w:r>
  </w:p>
  <w:p w14:paraId="4E83EFA8" w14:textId="77777777" w:rsidR="00090217" w:rsidRDefault="0009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015B" w14:textId="77777777" w:rsidR="00960701" w:rsidRDefault="00960701" w:rsidP="003D222C">
      <w:r>
        <w:separator/>
      </w:r>
    </w:p>
  </w:footnote>
  <w:footnote w:type="continuationSeparator" w:id="0">
    <w:p w14:paraId="45D9DD0E" w14:textId="77777777" w:rsidR="00960701" w:rsidRDefault="00960701" w:rsidP="003D222C">
      <w:r>
        <w:continuationSeparator/>
      </w:r>
    </w:p>
  </w:footnote>
  <w:footnote w:type="continuationNotice" w:id="1">
    <w:p w14:paraId="3BF27710" w14:textId="77777777" w:rsidR="00960701" w:rsidRDefault="00960701"/>
  </w:footnote>
  <w:footnote w:id="2">
    <w:p w14:paraId="7F146235" w14:textId="73D22B91" w:rsidR="00D04C8C" w:rsidRDefault="00D04C8C">
      <w:pPr>
        <w:pStyle w:val="FootnoteText"/>
      </w:pPr>
      <w:r>
        <w:rPr>
          <w:rStyle w:val="FootnoteReference"/>
        </w:rPr>
        <w:footnoteRef/>
      </w:r>
      <w:r>
        <w:t xml:space="preserve"> ‘Countries are ena</w:t>
      </w:r>
      <w:r w:rsidR="007B3A22">
        <w:t xml:space="preserve">bled </w:t>
      </w:r>
      <w:r w:rsidR="00ED6832">
        <w:t>to measure high-quality and accurate activity data, emissions factors, emissions and emissions reductions with policy-relevant monitoring systems’</w:t>
      </w:r>
    </w:p>
  </w:footnote>
  <w:footnote w:id="3">
    <w:p w14:paraId="34D69EE1" w14:textId="452B59A3" w:rsidR="00B350EF" w:rsidRDefault="00B350EF">
      <w:pPr>
        <w:pStyle w:val="FootnoteText"/>
      </w:pPr>
      <w:r>
        <w:rPr>
          <w:rStyle w:val="FootnoteReference"/>
        </w:rPr>
        <w:footnoteRef/>
      </w:r>
      <w:r>
        <w:t xml:space="preserve"> Mid-Term Review available here: </w:t>
      </w:r>
      <w:hyperlink r:id="rId1" w:history="1">
        <w:r w:rsidR="004C3327" w:rsidRPr="004C3327">
          <w:rPr>
            <w:rStyle w:val="Hyperlink"/>
          </w:rPr>
          <w:t>Accelerating Innovative Monitoring for Forests (AIM4Forests)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CE93" w14:textId="43E29D6F" w:rsidR="00164467" w:rsidRPr="00B00598" w:rsidRDefault="00095E87" w:rsidP="00164467">
    <w:pPr>
      <w:pStyle w:val="Header"/>
      <w:pBdr>
        <w:bottom w:val="single" w:sz="2" w:space="3" w:color="2B7EE2"/>
      </w:pBdr>
      <w:rPr>
        <w:color w:val="041E42"/>
        <w:sz w:val="22"/>
      </w:rPr>
    </w:pPr>
    <w:r w:rsidRPr="00095E87">
      <w:rPr>
        <w:color w:val="041E42"/>
        <w:sz w:val="22"/>
      </w:rPr>
      <w:t>Accelerating Innovative Monitoring for Forests (AIM4Forests) Annual Review 202</w:t>
    </w:r>
    <w:r>
      <w:rPr>
        <w:color w:val="041E42"/>
        <w:sz w:val="22"/>
      </w:rPr>
      <w:t>5</w:t>
    </w:r>
  </w:p>
  <w:p w14:paraId="0FC91CB9" w14:textId="77777777" w:rsidR="00164467" w:rsidRDefault="00164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A78C" w14:textId="2ECCA5CD" w:rsidR="00C67FEB" w:rsidRDefault="00E64702">
    <w:pPr>
      <w:pStyle w:val="Header"/>
    </w:pPr>
    <w:r>
      <w:rPr>
        <w:noProof/>
      </w:rPr>
      <w:drawing>
        <wp:inline distT="0" distB="0" distL="0" distR="0" wp14:anchorId="653BEA8C" wp14:editId="2F7827DB">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CDC1"/>
    <w:multiLevelType w:val="hybridMultilevel"/>
    <w:tmpl w:val="FFFFFFFF"/>
    <w:lvl w:ilvl="0" w:tplc="1660B43A">
      <w:start w:val="1"/>
      <w:numFmt w:val="bullet"/>
      <w:lvlText w:val=""/>
      <w:lvlJc w:val="left"/>
      <w:pPr>
        <w:ind w:left="720" w:hanging="360"/>
      </w:pPr>
      <w:rPr>
        <w:rFonts w:ascii="Symbol" w:hAnsi="Symbol" w:hint="default"/>
      </w:rPr>
    </w:lvl>
    <w:lvl w:ilvl="1" w:tplc="91005948">
      <w:start w:val="1"/>
      <w:numFmt w:val="bullet"/>
      <w:lvlText w:val="o"/>
      <w:lvlJc w:val="left"/>
      <w:pPr>
        <w:ind w:left="1009" w:hanging="363"/>
      </w:pPr>
      <w:rPr>
        <w:rFonts w:ascii="Courier New" w:hAnsi="Courier New" w:hint="default"/>
      </w:rPr>
    </w:lvl>
    <w:lvl w:ilvl="2" w:tplc="8F6A8264">
      <w:start w:val="1"/>
      <w:numFmt w:val="bullet"/>
      <w:lvlText w:val=""/>
      <w:lvlJc w:val="left"/>
      <w:pPr>
        <w:ind w:left="2160" w:hanging="360"/>
      </w:pPr>
      <w:rPr>
        <w:rFonts w:ascii="Wingdings" w:hAnsi="Wingdings" w:hint="default"/>
      </w:rPr>
    </w:lvl>
    <w:lvl w:ilvl="3" w:tplc="C33C9152">
      <w:start w:val="1"/>
      <w:numFmt w:val="bullet"/>
      <w:lvlText w:val=""/>
      <w:lvlJc w:val="left"/>
      <w:pPr>
        <w:ind w:left="2880" w:hanging="360"/>
      </w:pPr>
      <w:rPr>
        <w:rFonts w:ascii="Symbol" w:hAnsi="Symbol" w:hint="default"/>
      </w:rPr>
    </w:lvl>
    <w:lvl w:ilvl="4" w:tplc="91001D70">
      <w:start w:val="1"/>
      <w:numFmt w:val="bullet"/>
      <w:lvlText w:val="o"/>
      <w:lvlJc w:val="left"/>
      <w:pPr>
        <w:ind w:left="3600" w:hanging="360"/>
      </w:pPr>
      <w:rPr>
        <w:rFonts w:ascii="Courier New" w:hAnsi="Courier New" w:hint="default"/>
      </w:rPr>
    </w:lvl>
    <w:lvl w:ilvl="5" w:tplc="A634C5A2">
      <w:start w:val="1"/>
      <w:numFmt w:val="bullet"/>
      <w:lvlText w:val=""/>
      <w:lvlJc w:val="left"/>
      <w:pPr>
        <w:ind w:left="4320" w:hanging="360"/>
      </w:pPr>
      <w:rPr>
        <w:rFonts w:ascii="Wingdings" w:hAnsi="Wingdings" w:hint="default"/>
      </w:rPr>
    </w:lvl>
    <w:lvl w:ilvl="6" w:tplc="78E8C1B6">
      <w:start w:val="1"/>
      <w:numFmt w:val="bullet"/>
      <w:lvlText w:val=""/>
      <w:lvlJc w:val="left"/>
      <w:pPr>
        <w:ind w:left="5040" w:hanging="360"/>
      </w:pPr>
      <w:rPr>
        <w:rFonts w:ascii="Symbol" w:hAnsi="Symbol" w:hint="default"/>
      </w:rPr>
    </w:lvl>
    <w:lvl w:ilvl="7" w:tplc="F3245FA2">
      <w:start w:val="1"/>
      <w:numFmt w:val="bullet"/>
      <w:lvlText w:val="o"/>
      <w:lvlJc w:val="left"/>
      <w:pPr>
        <w:ind w:left="5760" w:hanging="360"/>
      </w:pPr>
      <w:rPr>
        <w:rFonts w:ascii="Courier New" w:hAnsi="Courier New" w:hint="default"/>
      </w:rPr>
    </w:lvl>
    <w:lvl w:ilvl="8" w:tplc="3FFADDC4">
      <w:start w:val="1"/>
      <w:numFmt w:val="bullet"/>
      <w:lvlText w:val=""/>
      <w:lvlJc w:val="left"/>
      <w:pPr>
        <w:ind w:left="6480" w:hanging="360"/>
      </w:pPr>
      <w:rPr>
        <w:rFonts w:ascii="Wingdings" w:hAnsi="Wingdings" w:hint="default"/>
      </w:rPr>
    </w:lvl>
  </w:abstractNum>
  <w:abstractNum w:abstractNumId="1" w15:restartNumberingAfterBreak="0">
    <w:nsid w:val="104A1CED"/>
    <w:multiLevelType w:val="multilevel"/>
    <w:tmpl w:val="C82CC1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E0662"/>
    <w:multiLevelType w:val="hybridMultilevel"/>
    <w:tmpl w:val="0B229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D226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A24AC1"/>
    <w:multiLevelType w:val="multilevel"/>
    <w:tmpl w:val="327C1E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B5731"/>
    <w:multiLevelType w:val="hybridMultilevel"/>
    <w:tmpl w:val="2714A1E6"/>
    <w:lvl w:ilvl="0" w:tplc="92822508">
      <w:start w:val="1"/>
      <w:numFmt w:val="bullet"/>
      <w:lvlText w:val=""/>
      <w:lvlJc w:val="left"/>
      <w:pPr>
        <w:ind w:left="720" w:hanging="360"/>
      </w:pPr>
      <w:rPr>
        <w:rFonts w:ascii="Symbol" w:hAnsi="Symbol" w:hint="default"/>
      </w:rPr>
    </w:lvl>
    <w:lvl w:ilvl="1" w:tplc="23363E36">
      <w:start w:val="1"/>
      <w:numFmt w:val="bullet"/>
      <w:lvlText w:val="o"/>
      <w:lvlJc w:val="left"/>
      <w:pPr>
        <w:ind w:left="1440" w:hanging="360"/>
      </w:pPr>
      <w:rPr>
        <w:rFonts w:ascii="Courier New" w:hAnsi="Courier New" w:hint="default"/>
      </w:rPr>
    </w:lvl>
    <w:lvl w:ilvl="2" w:tplc="16565202">
      <w:start w:val="1"/>
      <w:numFmt w:val="bullet"/>
      <w:lvlText w:val=""/>
      <w:lvlJc w:val="left"/>
      <w:pPr>
        <w:ind w:left="2160" w:hanging="360"/>
      </w:pPr>
      <w:rPr>
        <w:rFonts w:ascii="Wingdings" w:hAnsi="Wingdings" w:hint="default"/>
      </w:rPr>
    </w:lvl>
    <w:lvl w:ilvl="3" w:tplc="7B5280D4">
      <w:start w:val="1"/>
      <w:numFmt w:val="bullet"/>
      <w:lvlText w:val=""/>
      <w:lvlJc w:val="left"/>
      <w:pPr>
        <w:ind w:left="2880" w:hanging="360"/>
      </w:pPr>
      <w:rPr>
        <w:rFonts w:ascii="Symbol" w:hAnsi="Symbol" w:hint="default"/>
      </w:rPr>
    </w:lvl>
    <w:lvl w:ilvl="4" w:tplc="C78E346E">
      <w:start w:val="1"/>
      <w:numFmt w:val="bullet"/>
      <w:lvlText w:val="o"/>
      <w:lvlJc w:val="left"/>
      <w:pPr>
        <w:ind w:left="3600" w:hanging="360"/>
      </w:pPr>
      <w:rPr>
        <w:rFonts w:ascii="Courier New" w:hAnsi="Courier New" w:hint="default"/>
      </w:rPr>
    </w:lvl>
    <w:lvl w:ilvl="5" w:tplc="B6BCDAA4">
      <w:start w:val="1"/>
      <w:numFmt w:val="bullet"/>
      <w:lvlText w:val=""/>
      <w:lvlJc w:val="left"/>
      <w:pPr>
        <w:ind w:left="4320" w:hanging="360"/>
      </w:pPr>
      <w:rPr>
        <w:rFonts w:ascii="Wingdings" w:hAnsi="Wingdings" w:hint="default"/>
      </w:rPr>
    </w:lvl>
    <w:lvl w:ilvl="6" w:tplc="7610D132">
      <w:start w:val="1"/>
      <w:numFmt w:val="bullet"/>
      <w:lvlText w:val=""/>
      <w:lvlJc w:val="left"/>
      <w:pPr>
        <w:ind w:left="5040" w:hanging="360"/>
      </w:pPr>
      <w:rPr>
        <w:rFonts w:ascii="Symbol" w:hAnsi="Symbol" w:hint="default"/>
      </w:rPr>
    </w:lvl>
    <w:lvl w:ilvl="7" w:tplc="2BF24CAE">
      <w:start w:val="1"/>
      <w:numFmt w:val="bullet"/>
      <w:lvlText w:val="o"/>
      <w:lvlJc w:val="left"/>
      <w:pPr>
        <w:ind w:left="5760" w:hanging="360"/>
      </w:pPr>
      <w:rPr>
        <w:rFonts w:ascii="Courier New" w:hAnsi="Courier New" w:hint="default"/>
      </w:rPr>
    </w:lvl>
    <w:lvl w:ilvl="8" w:tplc="2CDEAFFC">
      <w:start w:val="1"/>
      <w:numFmt w:val="bullet"/>
      <w:lvlText w:val=""/>
      <w:lvlJc w:val="left"/>
      <w:pPr>
        <w:ind w:left="6480" w:hanging="360"/>
      </w:pPr>
      <w:rPr>
        <w:rFonts w:ascii="Wingdings" w:hAnsi="Wingdings" w:hint="default"/>
      </w:rPr>
    </w:lvl>
  </w:abstractNum>
  <w:abstractNum w:abstractNumId="6" w15:restartNumberingAfterBreak="0">
    <w:nsid w:val="1AC35234"/>
    <w:multiLevelType w:val="hybridMultilevel"/>
    <w:tmpl w:val="C9B8428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862167"/>
    <w:multiLevelType w:val="multilevel"/>
    <w:tmpl w:val="FFFFFFFF"/>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8" w15:restartNumberingAfterBreak="0">
    <w:nsid w:val="21B13E5F"/>
    <w:multiLevelType w:val="hybridMultilevel"/>
    <w:tmpl w:val="1EDE7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56490D"/>
    <w:multiLevelType w:val="hybridMultilevel"/>
    <w:tmpl w:val="90A452C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9D2106"/>
    <w:multiLevelType w:val="multilevel"/>
    <w:tmpl w:val="35B4BC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C6580"/>
    <w:multiLevelType w:val="multilevel"/>
    <w:tmpl w:val="5F06F5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6F458"/>
    <w:multiLevelType w:val="hybridMultilevel"/>
    <w:tmpl w:val="41AE3B7A"/>
    <w:lvl w:ilvl="0" w:tplc="2D3A51A0">
      <w:start w:val="1"/>
      <w:numFmt w:val="bullet"/>
      <w:lvlText w:val=""/>
      <w:lvlJc w:val="left"/>
      <w:pPr>
        <w:ind w:left="720" w:hanging="360"/>
      </w:pPr>
      <w:rPr>
        <w:rFonts w:ascii="Symbol" w:hAnsi="Symbol" w:hint="default"/>
      </w:rPr>
    </w:lvl>
    <w:lvl w:ilvl="1" w:tplc="FE604C98">
      <w:start w:val="1"/>
      <w:numFmt w:val="bullet"/>
      <w:lvlText w:val="o"/>
      <w:lvlJc w:val="left"/>
      <w:pPr>
        <w:ind w:left="1440" w:hanging="360"/>
      </w:pPr>
      <w:rPr>
        <w:rFonts w:ascii="Courier New" w:hAnsi="Courier New" w:hint="default"/>
      </w:rPr>
    </w:lvl>
    <w:lvl w:ilvl="2" w:tplc="B7A24D96">
      <w:start w:val="1"/>
      <w:numFmt w:val="bullet"/>
      <w:lvlText w:val=""/>
      <w:lvlJc w:val="left"/>
      <w:pPr>
        <w:ind w:left="2160" w:hanging="360"/>
      </w:pPr>
      <w:rPr>
        <w:rFonts w:ascii="Wingdings" w:hAnsi="Wingdings" w:hint="default"/>
      </w:rPr>
    </w:lvl>
    <w:lvl w:ilvl="3" w:tplc="C27E0840">
      <w:start w:val="1"/>
      <w:numFmt w:val="bullet"/>
      <w:lvlText w:val=""/>
      <w:lvlJc w:val="left"/>
      <w:pPr>
        <w:ind w:left="2880" w:hanging="360"/>
      </w:pPr>
      <w:rPr>
        <w:rFonts w:ascii="Symbol" w:hAnsi="Symbol" w:hint="default"/>
      </w:rPr>
    </w:lvl>
    <w:lvl w:ilvl="4" w:tplc="D8166770">
      <w:start w:val="1"/>
      <w:numFmt w:val="bullet"/>
      <w:lvlText w:val="o"/>
      <w:lvlJc w:val="left"/>
      <w:pPr>
        <w:ind w:left="3600" w:hanging="360"/>
      </w:pPr>
      <w:rPr>
        <w:rFonts w:ascii="Courier New" w:hAnsi="Courier New" w:hint="default"/>
      </w:rPr>
    </w:lvl>
    <w:lvl w:ilvl="5" w:tplc="D37EFE8C">
      <w:start w:val="1"/>
      <w:numFmt w:val="bullet"/>
      <w:lvlText w:val=""/>
      <w:lvlJc w:val="left"/>
      <w:pPr>
        <w:ind w:left="4320" w:hanging="360"/>
      </w:pPr>
      <w:rPr>
        <w:rFonts w:ascii="Wingdings" w:hAnsi="Wingdings" w:hint="default"/>
      </w:rPr>
    </w:lvl>
    <w:lvl w:ilvl="6" w:tplc="0D9EC1DA">
      <w:start w:val="1"/>
      <w:numFmt w:val="bullet"/>
      <w:lvlText w:val=""/>
      <w:lvlJc w:val="left"/>
      <w:pPr>
        <w:ind w:left="5040" w:hanging="360"/>
      </w:pPr>
      <w:rPr>
        <w:rFonts w:ascii="Symbol" w:hAnsi="Symbol" w:hint="default"/>
      </w:rPr>
    </w:lvl>
    <w:lvl w:ilvl="7" w:tplc="4594B05E">
      <w:start w:val="1"/>
      <w:numFmt w:val="bullet"/>
      <w:lvlText w:val="o"/>
      <w:lvlJc w:val="left"/>
      <w:pPr>
        <w:ind w:left="5760" w:hanging="360"/>
      </w:pPr>
      <w:rPr>
        <w:rFonts w:ascii="Courier New" w:hAnsi="Courier New" w:hint="default"/>
      </w:rPr>
    </w:lvl>
    <w:lvl w:ilvl="8" w:tplc="BC36EA90">
      <w:start w:val="1"/>
      <w:numFmt w:val="bullet"/>
      <w:lvlText w:val=""/>
      <w:lvlJc w:val="left"/>
      <w:pPr>
        <w:ind w:left="6480" w:hanging="360"/>
      </w:pPr>
      <w:rPr>
        <w:rFonts w:ascii="Wingdings" w:hAnsi="Wingdings" w:hint="default"/>
      </w:rPr>
    </w:lvl>
  </w:abstractNum>
  <w:abstractNum w:abstractNumId="13" w15:restartNumberingAfterBreak="0">
    <w:nsid w:val="287063C7"/>
    <w:multiLevelType w:val="multilevel"/>
    <w:tmpl w:val="FFFFFFFF"/>
    <w:lvl w:ilvl="0">
      <w:start w:val="3"/>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4" w15:restartNumberingAfterBreak="0">
    <w:nsid w:val="298B7DDB"/>
    <w:multiLevelType w:val="hybridMultilevel"/>
    <w:tmpl w:val="34C8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F0C5B"/>
    <w:multiLevelType w:val="multilevel"/>
    <w:tmpl w:val="5ABC47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12A8B1"/>
    <w:multiLevelType w:val="hybridMultilevel"/>
    <w:tmpl w:val="FFFFFFFF"/>
    <w:lvl w:ilvl="0" w:tplc="ADA042A8">
      <w:start w:val="1"/>
      <w:numFmt w:val="bullet"/>
      <w:lvlText w:val=""/>
      <w:lvlJc w:val="left"/>
      <w:pPr>
        <w:ind w:left="855" w:hanging="360"/>
      </w:pPr>
      <w:rPr>
        <w:rFonts w:ascii="Symbol" w:hAnsi="Symbol" w:hint="default"/>
      </w:rPr>
    </w:lvl>
    <w:lvl w:ilvl="1" w:tplc="B3D8DE5C">
      <w:start w:val="1"/>
      <w:numFmt w:val="bullet"/>
      <w:lvlText w:val="o"/>
      <w:lvlJc w:val="left"/>
      <w:pPr>
        <w:ind w:left="1440" w:hanging="360"/>
      </w:pPr>
      <w:rPr>
        <w:rFonts w:ascii="Courier New" w:hAnsi="Courier New" w:hint="default"/>
      </w:rPr>
    </w:lvl>
    <w:lvl w:ilvl="2" w:tplc="EB966FB2">
      <w:start w:val="1"/>
      <w:numFmt w:val="bullet"/>
      <w:lvlText w:val=""/>
      <w:lvlJc w:val="left"/>
      <w:pPr>
        <w:ind w:left="2160" w:hanging="360"/>
      </w:pPr>
      <w:rPr>
        <w:rFonts w:ascii="Wingdings" w:hAnsi="Wingdings" w:hint="default"/>
      </w:rPr>
    </w:lvl>
    <w:lvl w:ilvl="3" w:tplc="8A26432C">
      <w:start w:val="1"/>
      <w:numFmt w:val="bullet"/>
      <w:lvlText w:val=""/>
      <w:lvlJc w:val="left"/>
      <w:pPr>
        <w:ind w:left="2880" w:hanging="360"/>
      </w:pPr>
      <w:rPr>
        <w:rFonts w:ascii="Symbol" w:hAnsi="Symbol" w:hint="default"/>
      </w:rPr>
    </w:lvl>
    <w:lvl w:ilvl="4" w:tplc="663A5348">
      <w:start w:val="1"/>
      <w:numFmt w:val="bullet"/>
      <w:lvlText w:val="o"/>
      <w:lvlJc w:val="left"/>
      <w:pPr>
        <w:ind w:left="3600" w:hanging="360"/>
      </w:pPr>
      <w:rPr>
        <w:rFonts w:ascii="Courier New" w:hAnsi="Courier New" w:hint="default"/>
      </w:rPr>
    </w:lvl>
    <w:lvl w:ilvl="5" w:tplc="6C0EDF9E">
      <w:start w:val="1"/>
      <w:numFmt w:val="bullet"/>
      <w:lvlText w:val=""/>
      <w:lvlJc w:val="left"/>
      <w:pPr>
        <w:ind w:left="4320" w:hanging="360"/>
      </w:pPr>
      <w:rPr>
        <w:rFonts w:ascii="Wingdings" w:hAnsi="Wingdings" w:hint="default"/>
      </w:rPr>
    </w:lvl>
    <w:lvl w:ilvl="6" w:tplc="3ACADAFC">
      <w:start w:val="1"/>
      <w:numFmt w:val="bullet"/>
      <w:lvlText w:val=""/>
      <w:lvlJc w:val="left"/>
      <w:pPr>
        <w:ind w:left="5040" w:hanging="360"/>
      </w:pPr>
      <w:rPr>
        <w:rFonts w:ascii="Symbol" w:hAnsi="Symbol" w:hint="default"/>
      </w:rPr>
    </w:lvl>
    <w:lvl w:ilvl="7" w:tplc="93B0552C">
      <w:start w:val="1"/>
      <w:numFmt w:val="bullet"/>
      <w:lvlText w:val="o"/>
      <w:lvlJc w:val="left"/>
      <w:pPr>
        <w:ind w:left="5760" w:hanging="360"/>
      </w:pPr>
      <w:rPr>
        <w:rFonts w:ascii="Courier New" w:hAnsi="Courier New" w:hint="default"/>
      </w:rPr>
    </w:lvl>
    <w:lvl w:ilvl="8" w:tplc="F61657F4">
      <w:start w:val="1"/>
      <w:numFmt w:val="bullet"/>
      <w:lvlText w:val=""/>
      <w:lvlJc w:val="left"/>
      <w:pPr>
        <w:ind w:left="6480" w:hanging="360"/>
      </w:pPr>
      <w:rPr>
        <w:rFonts w:ascii="Wingdings" w:hAnsi="Wingdings" w:hint="default"/>
      </w:rPr>
    </w:lvl>
  </w:abstractNum>
  <w:abstractNum w:abstractNumId="17" w15:restartNumberingAfterBreak="0">
    <w:nsid w:val="2E827815"/>
    <w:multiLevelType w:val="multilevel"/>
    <w:tmpl w:val="2ADA75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774C53"/>
    <w:multiLevelType w:val="multilevel"/>
    <w:tmpl w:val="FFFFFFFF"/>
    <w:lvl w:ilvl="0">
      <w:start w:val="4"/>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9" w15:restartNumberingAfterBreak="0">
    <w:nsid w:val="345426D5"/>
    <w:multiLevelType w:val="hybridMultilevel"/>
    <w:tmpl w:val="0ABA0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B4BB3"/>
    <w:multiLevelType w:val="multilevel"/>
    <w:tmpl w:val="8D2E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9639EA"/>
    <w:multiLevelType w:val="multilevel"/>
    <w:tmpl w:val="2B6C32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BD1627"/>
    <w:multiLevelType w:val="multilevel"/>
    <w:tmpl w:val="F516DE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EEB748E"/>
    <w:multiLevelType w:val="multilevel"/>
    <w:tmpl w:val="6D34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8C445E"/>
    <w:multiLevelType w:val="multilevel"/>
    <w:tmpl w:val="FFFFFFFF"/>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10B1514"/>
    <w:multiLevelType w:val="multilevel"/>
    <w:tmpl w:val="FFFFFFFF"/>
    <w:lvl w:ilvl="0">
      <w:start w:val="2"/>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6" w15:restartNumberingAfterBreak="0">
    <w:nsid w:val="414A7A0D"/>
    <w:multiLevelType w:val="multilevel"/>
    <w:tmpl w:val="4FC2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A9E51D"/>
    <w:multiLevelType w:val="multilevel"/>
    <w:tmpl w:val="FFFFFFFF"/>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4467EE2"/>
    <w:multiLevelType w:val="hybridMultilevel"/>
    <w:tmpl w:val="148C98AA"/>
    <w:lvl w:ilvl="0" w:tplc="D63693FC">
      <w:start w:val="1"/>
      <w:numFmt w:val="bullet"/>
      <w:lvlText w:val="-"/>
      <w:lvlJc w:val="left"/>
      <w:pPr>
        <w:ind w:left="1080" w:hanging="360"/>
      </w:pPr>
      <w:rPr>
        <w:rFonts w:ascii="Courier New" w:hAnsi="Courier New" w:hint="default"/>
      </w:rPr>
    </w:lvl>
    <w:lvl w:ilvl="1" w:tplc="D63693FC">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6F97A37"/>
    <w:multiLevelType w:val="hybridMultilevel"/>
    <w:tmpl w:val="B3068798"/>
    <w:lvl w:ilvl="0" w:tplc="D63693FC">
      <w:start w:val="1"/>
      <w:numFmt w:val="bullet"/>
      <w:lvlText w:val="-"/>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F01DA1"/>
    <w:multiLevelType w:val="multilevel"/>
    <w:tmpl w:val="D1A646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001B62"/>
    <w:multiLevelType w:val="hybridMultilevel"/>
    <w:tmpl w:val="735A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545490"/>
    <w:multiLevelType w:val="multilevel"/>
    <w:tmpl w:val="35B4BC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F8661A"/>
    <w:multiLevelType w:val="multilevel"/>
    <w:tmpl w:val="6256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3B5A93"/>
    <w:multiLevelType w:val="hybridMultilevel"/>
    <w:tmpl w:val="29BC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C8E66B"/>
    <w:multiLevelType w:val="multilevel"/>
    <w:tmpl w:val="FFFFFFFF"/>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A385AFA"/>
    <w:multiLevelType w:val="multilevel"/>
    <w:tmpl w:val="D358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7F1452"/>
    <w:multiLevelType w:val="multilevel"/>
    <w:tmpl w:val="97484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32128F"/>
    <w:multiLevelType w:val="multilevel"/>
    <w:tmpl w:val="3ADA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913EFB"/>
    <w:multiLevelType w:val="multilevel"/>
    <w:tmpl w:val="B8960C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9E309FD"/>
    <w:multiLevelType w:val="multilevel"/>
    <w:tmpl w:val="9E26A482"/>
    <w:lvl w:ilvl="0">
      <w:start w:val="1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13766E"/>
    <w:multiLevelType w:val="multilevel"/>
    <w:tmpl w:val="4EF2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1B40D1"/>
    <w:multiLevelType w:val="multilevel"/>
    <w:tmpl w:val="B412C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B659C7"/>
    <w:multiLevelType w:val="hybridMultilevel"/>
    <w:tmpl w:val="FFFFFFFF"/>
    <w:lvl w:ilvl="0" w:tplc="5852A780">
      <w:start w:val="1"/>
      <w:numFmt w:val="bullet"/>
      <w:lvlText w:val=""/>
      <w:lvlJc w:val="left"/>
      <w:pPr>
        <w:ind w:left="720" w:hanging="360"/>
      </w:pPr>
      <w:rPr>
        <w:rFonts w:ascii="Symbol" w:hAnsi="Symbol" w:hint="default"/>
      </w:rPr>
    </w:lvl>
    <w:lvl w:ilvl="1" w:tplc="83469120">
      <w:start w:val="1"/>
      <w:numFmt w:val="bullet"/>
      <w:lvlText w:val="o"/>
      <w:lvlJc w:val="left"/>
      <w:pPr>
        <w:ind w:left="1009" w:hanging="363"/>
      </w:pPr>
      <w:rPr>
        <w:rFonts w:ascii="Courier New" w:hAnsi="Courier New" w:hint="default"/>
      </w:rPr>
    </w:lvl>
    <w:lvl w:ilvl="2" w:tplc="09E026D8">
      <w:start w:val="1"/>
      <w:numFmt w:val="bullet"/>
      <w:lvlText w:val=""/>
      <w:lvlJc w:val="left"/>
      <w:pPr>
        <w:ind w:left="2160" w:hanging="360"/>
      </w:pPr>
      <w:rPr>
        <w:rFonts w:ascii="Wingdings" w:hAnsi="Wingdings" w:hint="default"/>
      </w:rPr>
    </w:lvl>
    <w:lvl w:ilvl="3" w:tplc="A26A6ADA">
      <w:start w:val="1"/>
      <w:numFmt w:val="bullet"/>
      <w:lvlText w:val=""/>
      <w:lvlJc w:val="left"/>
      <w:pPr>
        <w:ind w:left="2880" w:hanging="360"/>
      </w:pPr>
      <w:rPr>
        <w:rFonts w:ascii="Symbol" w:hAnsi="Symbol" w:hint="default"/>
      </w:rPr>
    </w:lvl>
    <w:lvl w:ilvl="4" w:tplc="A2865FF8">
      <w:start w:val="1"/>
      <w:numFmt w:val="bullet"/>
      <w:lvlText w:val="o"/>
      <w:lvlJc w:val="left"/>
      <w:pPr>
        <w:ind w:left="3600" w:hanging="360"/>
      </w:pPr>
      <w:rPr>
        <w:rFonts w:ascii="Courier New" w:hAnsi="Courier New" w:hint="default"/>
      </w:rPr>
    </w:lvl>
    <w:lvl w:ilvl="5" w:tplc="47060242">
      <w:start w:val="1"/>
      <w:numFmt w:val="bullet"/>
      <w:lvlText w:val=""/>
      <w:lvlJc w:val="left"/>
      <w:pPr>
        <w:ind w:left="4320" w:hanging="360"/>
      </w:pPr>
      <w:rPr>
        <w:rFonts w:ascii="Wingdings" w:hAnsi="Wingdings" w:hint="default"/>
      </w:rPr>
    </w:lvl>
    <w:lvl w:ilvl="6" w:tplc="F97E15C2">
      <w:start w:val="1"/>
      <w:numFmt w:val="bullet"/>
      <w:lvlText w:val=""/>
      <w:lvlJc w:val="left"/>
      <w:pPr>
        <w:ind w:left="5040" w:hanging="360"/>
      </w:pPr>
      <w:rPr>
        <w:rFonts w:ascii="Symbol" w:hAnsi="Symbol" w:hint="default"/>
      </w:rPr>
    </w:lvl>
    <w:lvl w:ilvl="7" w:tplc="2280FEEC">
      <w:start w:val="1"/>
      <w:numFmt w:val="bullet"/>
      <w:lvlText w:val="o"/>
      <w:lvlJc w:val="left"/>
      <w:pPr>
        <w:ind w:left="5760" w:hanging="360"/>
      </w:pPr>
      <w:rPr>
        <w:rFonts w:ascii="Courier New" w:hAnsi="Courier New" w:hint="default"/>
      </w:rPr>
    </w:lvl>
    <w:lvl w:ilvl="8" w:tplc="2B76BFF8">
      <w:start w:val="1"/>
      <w:numFmt w:val="bullet"/>
      <w:lvlText w:val=""/>
      <w:lvlJc w:val="left"/>
      <w:pPr>
        <w:ind w:left="6480" w:hanging="360"/>
      </w:pPr>
      <w:rPr>
        <w:rFonts w:ascii="Wingdings" w:hAnsi="Wingdings" w:hint="default"/>
      </w:rPr>
    </w:lvl>
  </w:abstractNum>
  <w:abstractNum w:abstractNumId="44" w15:restartNumberingAfterBreak="0">
    <w:nsid w:val="7346855F"/>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8149A7"/>
    <w:multiLevelType w:val="multilevel"/>
    <w:tmpl w:val="918C55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D1E27A5"/>
    <w:multiLevelType w:val="hybridMultilevel"/>
    <w:tmpl w:val="A74451BE"/>
    <w:lvl w:ilvl="0" w:tplc="4C6ACFE8">
      <w:start w:val="1"/>
      <w:numFmt w:val="bullet"/>
      <w:lvlText w:val=""/>
      <w:lvlJc w:val="left"/>
      <w:pPr>
        <w:ind w:left="720" w:hanging="360"/>
      </w:pPr>
      <w:rPr>
        <w:rFonts w:ascii="Symbol" w:hAnsi="Symbol" w:hint="default"/>
      </w:rPr>
    </w:lvl>
    <w:lvl w:ilvl="1" w:tplc="836EA32A">
      <w:start w:val="1"/>
      <w:numFmt w:val="bullet"/>
      <w:lvlText w:val="o"/>
      <w:lvlJc w:val="left"/>
      <w:pPr>
        <w:ind w:left="1440" w:hanging="360"/>
      </w:pPr>
      <w:rPr>
        <w:rFonts w:ascii="Courier New" w:hAnsi="Courier New" w:hint="default"/>
      </w:rPr>
    </w:lvl>
    <w:lvl w:ilvl="2" w:tplc="EFDC6776">
      <w:start w:val="1"/>
      <w:numFmt w:val="bullet"/>
      <w:lvlText w:val=""/>
      <w:lvlJc w:val="left"/>
      <w:pPr>
        <w:ind w:left="2160" w:hanging="360"/>
      </w:pPr>
      <w:rPr>
        <w:rFonts w:ascii="Wingdings" w:hAnsi="Wingdings" w:hint="default"/>
      </w:rPr>
    </w:lvl>
    <w:lvl w:ilvl="3" w:tplc="903AAD7C">
      <w:start w:val="1"/>
      <w:numFmt w:val="bullet"/>
      <w:lvlText w:val=""/>
      <w:lvlJc w:val="left"/>
      <w:pPr>
        <w:ind w:left="2880" w:hanging="360"/>
      </w:pPr>
      <w:rPr>
        <w:rFonts w:ascii="Symbol" w:hAnsi="Symbol" w:hint="default"/>
      </w:rPr>
    </w:lvl>
    <w:lvl w:ilvl="4" w:tplc="FB964328">
      <w:start w:val="1"/>
      <w:numFmt w:val="bullet"/>
      <w:lvlText w:val="o"/>
      <w:lvlJc w:val="left"/>
      <w:pPr>
        <w:ind w:left="3600" w:hanging="360"/>
      </w:pPr>
      <w:rPr>
        <w:rFonts w:ascii="Courier New" w:hAnsi="Courier New" w:hint="default"/>
      </w:rPr>
    </w:lvl>
    <w:lvl w:ilvl="5" w:tplc="A162A8D6">
      <w:start w:val="1"/>
      <w:numFmt w:val="bullet"/>
      <w:lvlText w:val=""/>
      <w:lvlJc w:val="left"/>
      <w:pPr>
        <w:ind w:left="4320" w:hanging="360"/>
      </w:pPr>
      <w:rPr>
        <w:rFonts w:ascii="Wingdings" w:hAnsi="Wingdings" w:hint="default"/>
      </w:rPr>
    </w:lvl>
    <w:lvl w:ilvl="6" w:tplc="9222CA7E">
      <w:start w:val="1"/>
      <w:numFmt w:val="bullet"/>
      <w:lvlText w:val=""/>
      <w:lvlJc w:val="left"/>
      <w:pPr>
        <w:ind w:left="5040" w:hanging="360"/>
      </w:pPr>
      <w:rPr>
        <w:rFonts w:ascii="Symbol" w:hAnsi="Symbol" w:hint="default"/>
      </w:rPr>
    </w:lvl>
    <w:lvl w:ilvl="7" w:tplc="FE5E111E">
      <w:start w:val="1"/>
      <w:numFmt w:val="bullet"/>
      <w:lvlText w:val="o"/>
      <w:lvlJc w:val="left"/>
      <w:pPr>
        <w:ind w:left="5760" w:hanging="360"/>
      </w:pPr>
      <w:rPr>
        <w:rFonts w:ascii="Courier New" w:hAnsi="Courier New" w:hint="default"/>
      </w:rPr>
    </w:lvl>
    <w:lvl w:ilvl="8" w:tplc="EA008E0E">
      <w:start w:val="1"/>
      <w:numFmt w:val="bullet"/>
      <w:lvlText w:val=""/>
      <w:lvlJc w:val="left"/>
      <w:pPr>
        <w:ind w:left="6480" w:hanging="360"/>
      </w:pPr>
      <w:rPr>
        <w:rFonts w:ascii="Wingdings" w:hAnsi="Wingdings" w:hint="default"/>
      </w:rPr>
    </w:lvl>
  </w:abstractNum>
  <w:abstractNum w:abstractNumId="47" w15:restartNumberingAfterBreak="0">
    <w:nsid w:val="7D8C315E"/>
    <w:multiLevelType w:val="multilevel"/>
    <w:tmpl w:val="37F2C8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397702">
    <w:abstractNumId w:val="0"/>
  </w:num>
  <w:num w:numId="2" w16cid:durableId="1315063852">
    <w:abstractNumId w:val="16"/>
  </w:num>
  <w:num w:numId="3" w16cid:durableId="910627168">
    <w:abstractNumId w:val="35"/>
  </w:num>
  <w:num w:numId="4" w16cid:durableId="1441491218">
    <w:abstractNumId w:val="24"/>
  </w:num>
  <w:num w:numId="5" w16cid:durableId="1547137026">
    <w:abstractNumId w:val="27"/>
  </w:num>
  <w:num w:numId="6" w16cid:durableId="1776631928">
    <w:abstractNumId w:val="3"/>
  </w:num>
  <w:num w:numId="7" w16cid:durableId="1851338002">
    <w:abstractNumId w:val="43"/>
  </w:num>
  <w:num w:numId="8" w16cid:durableId="1602643484">
    <w:abstractNumId w:val="18"/>
  </w:num>
  <w:num w:numId="9" w16cid:durableId="476263862">
    <w:abstractNumId w:val="13"/>
  </w:num>
  <w:num w:numId="10" w16cid:durableId="497574361">
    <w:abstractNumId w:val="25"/>
  </w:num>
  <w:num w:numId="11" w16cid:durableId="1510872749">
    <w:abstractNumId w:val="7"/>
  </w:num>
  <w:num w:numId="12" w16cid:durableId="1598714425">
    <w:abstractNumId w:val="44"/>
  </w:num>
  <w:num w:numId="13" w16cid:durableId="1048920116">
    <w:abstractNumId w:val="8"/>
  </w:num>
  <w:num w:numId="14" w16cid:durableId="714812672">
    <w:abstractNumId w:val="31"/>
  </w:num>
  <w:num w:numId="15" w16cid:durableId="748505300">
    <w:abstractNumId w:val="19"/>
  </w:num>
  <w:num w:numId="16" w16cid:durableId="1302731980">
    <w:abstractNumId w:val="29"/>
  </w:num>
  <w:num w:numId="17" w16cid:durableId="554388160">
    <w:abstractNumId w:val="9"/>
  </w:num>
  <w:num w:numId="18" w16cid:durableId="1329014394">
    <w:abstractNumId w:val="6"/>
  </w:num>
  <w:num w:numId="19" w16cid:durableId="611786646">
    <w:abstractNumId w:val="28"/>
  </w:num>
  <w:num w:numId="20" w16cid:durableId="1877960317">
    <w:abstractNumId w:val="38"/>
  </w:num>
  <w:num w:numId="21" w16cid:durableId="175926560">
    <w:abstractNumId w:val="10"/>
  </w:num>
  <w:num w:numId="22" w16cid:durableId="786242847">
    <w:abstractNumId w:val="26"/>
  </w:num>
  <w:num w:numId="23" w16cid:durableId="1527867645">
    <w:abstractNumId w:val="36"/>
  </w:num>
  <w:num w:numId="24" w16cid:durableId="629169121">
    <w:abstractNumId w:val="42"/>
  </w:num>
  <w:num w:numId="25" w16cid:durableId="1959488841">
    <w:abstractNumId w:val="1"/>
  </w:num>
  <w:num w:numId="26" w16cid:durableId="270749218">
    <w:abstractNumId w:val="37"/>
  </w:num>
  <w:num w:numId="27" w16cid:durableId="928005925">
    <w:abstractNumId w:val="15"/>
  </w:num>
  <w:num w:numId="28" w16cid:durableId="679311592">
    <w:abstractNumId w:val="11"/>
  </w:num>
  <w:num w:numId="29" w16cid:durableId="1263225099">
    <w:abstractNumId w:val="17"/>
  </w:num>
  <w:num w:numId="30" w16cid:durableId="1064722445">
    <w:abstractNumId w:val="47"/>
  </w:num>
  <w:num w:numId="31" w16cid:durableId="900946861">
    <w:abstractNumId w:val="4"/>
  </w:num>
  <w:num w:numId="32" w16cid:durableId="148713293">
    <w:abstractNumId w:val="21"/>
  </w:num>
  <w:num w:numId="33" w16cid:durableId="32048640">
    <w:abstractNumId w:val="40"/>
  </w:num>
  <w:num w:numId="34" w16cid:durableId="1934699417">
    <w:abstractNumId w:val="30"/>
  </w:num>
  <w:num w:numId="35" w16cid:durableId="1525904512">
    <w:abstractNumId w:val="14"/>
  </w:num>
  <w:num w:numId="36" w16cid:durableId="356856206">
    <w:abstractNumId w:val="22"/>
  </w:num>
  <w:num w:numId="37" w16cid:durableId="173695765">
    <w:abstractNumId w:val="39"/>
  </w:num>
  <w:num w:numId="38" w16cid:durableId="459232206">
    <w:abstractNumId w:val="45"/>
  </w:num>
  <w:num w:numId="39" w16cid:durableId="1369599065">
    <w:abstractNumId w:val="34"/>
  </w:num>
  <w:num w:numId="40" w16cid:durableId="1973094166">
    <w:abstractNumId w:val="2"/>
  </w:num>
  <w:num w:numId="41" w16cid:durableId="470101796">
    <w:abstractNumId w:val="23"/>
  </w:num>
  <w:num w:numId="42" w16cid:durableId="221213091">
    <w:abstractNumId w:val="20"/>
  </w:num>
  <w:num w:numId="43" w16cid:durableId="536772215">
    <w:abstractNumId w:val="33"/>
  </w:num>
  <w:num w:numId="44" w16cid:durableId="84035321">
    <w:abstractNumId w:val="41"/>
  </w:num>
  <w:num w:numId="45" w16cid:durableId="2104065791">
    <w:abstractNumId w:val="32"/>
  </w:num>
  <w:num w:numId="46" w16cid:durableId="330837622">
    <w:abstractNumId w:val="12"/>
  </w:num>
  <w:num w:numId="47" w16cid:durableId="268708894">
    <w:abstractNumId w:val="5"/>
  </w:num>
  <w:num w:numId="48" w16cid:durableId="110788898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238C"/>
    <w:rsid w:val="00004515"/>
    <w:rsid w:val="00004CCC"/>
    <w:rsid w:val="00004ED4"/>
    <w:rsid w:val="00005640"/>
    <w:rsid w:val="00005778"/>
    <w:rsid w:val="00005A4F"/>
    <w:rsid w:val="00012100"/>
    <w:rsid w:val="000128C2"/>
    <w:rsid w:val="00012ABD"/>
    <w:rsid w:val="000149D9"/>
    <w:rsid w:val="000170C3"/>
    <w:rsid w:val="000208A6"/>
    <w:rsid w:val="0002157B"/>
    <w:rsid w:val="00023069"/>
    <w:rsid w:val="000253CA"/>
    <w:rsid w:val="00025CA5"/>
    <w:rsid w:val="00026245"/>
    <w:rsid w:val="00027D1B"/>
    <w:rsid w:val="00033570"/>
    <w:rsid w:val="00033B75"/>
    <w:rsid w:val="00035FCB"/>
    <w:rsid w:val="000376A6"/>
    <w:rsid w:val="00037B23"/>
    <w:rsid w:val="000412C7"/>
    <w:rsid w:val="000425EB"/>
    <w:rsid w:val="00042CDC"/>
    <w:rsid w:val="0004366D"/>
    <w:rsid w:val="00052675"/>
    <w:rsid w:val="000532CF"/>
    <w:rsid w:val="00056932"/>
    <w:rsid w:val="00057093"/>
    <w:rsid w:val="00062632"/>
    <w:rsid w:val="000630C0"/>
    <w:rsid w:val="000653E7"/>
    <w:rsid w:val="00065525"/>
    <w:rsid w:val="00070E5A"/>
    <w:rsid w:val="00071275"/>
    <w:rsid w:val="00071640"/>
    <w:rsid w:val="000724A8"/>
    <w:rsid w:val="00080399"/>
    <w:rsid w:val="00080C85"/>
    <w:rsid w:val="0008189F"/>
    <w:rsid w:val="00083E43"/>
    <w:rsid w:val="00084267"/>
    <w:rsid w:val="00085F11"/>
    <w:rsid w:val="00087D12"/>
    <w:rsid w:val="00090217"/>
    <w:rsid w:val="00090B43"/>
    <w:rsid w:val="00091041"/>
    <w:rsid w:val="0009492D"/>
    <w:rsid w:val="00095E87"/>
    <w:rsid w:val="00096606"/>
    <w:rsid w:val="000975F5"/>
    <w:rsid w:val="000A4120"/>
    <w:rsid w:val="000A43EC"/>
    <w:rsid w:val="000A5971"/>
    <w:rsid w:val="000A5D80"/>
    <w:rsid w:val="000A65F7"/>
    <w:rsid w:val="000A6899"/>
    <w:rsid w:val="000A7788"/>
    <w:rsid w:val="000A787D"/>
    <w:rsid w:val="000B07E4"/>
    <w:rsid w:val="000B5A29"/>
    <w:rsid w:val="000B5C62"/>
    <w:rsid w:val="000C0269"/>
    <w:rsid w:val="000C1145"/>
    <w:rsid w:val="000C2765"/>
    <w:rsid w:val="000C7CE2"/>
    <w:rsid w:val="000D14B2"/>
    <w:rsid w:val="000D37E9"/>
    <w:rsid w:val="000D4154"/>
    <w:rsid w:val="000D47D2"/>
    <w:rsid w:val="000D4D7A"/>
    <w:rsid w:val="000D63F0"/>
    <w:rsid w:val="000D6CE6"/>
    <w:rsid w:val="000D6DF4"/>
    <w:rsid w:val="000D74D0"/>
    <w:rsid w:val="000E165E"/>
    <w:rsid w:val="000E7FBD"/>
    <w:rsid w:val="000F47D7"/>
    <w:rsid w:val="000F501C"/>
    <w:rsid w:val="00101836"/>
    <w:rsid w:val="0010243F"/>
    <w:rsid w:val="0010279B"/>
    <w:rsid w:val="0010280D"/>
    <w:rsid w:val="001039F3"/>
    <w:rsid w:val="00106347"/>
    <w:rsid w:val="00112E33"/>
    <w:rsid w:val="00116D0F"/>
    <w:rsid w:val="00123017"/>
    <w:rsid w:val="00123653"/>
    <w:rsid w:val="00125931"/>
    <w:rsid w:val="00125BE3"/>
    <w:rsid w:val="00125F86"/>
    <w:rsid w:val="00127CC5"/>
    <w:rsid w:val="001330CE"/>
    <w:rsid w:val="001330DA"/>
    <w:rsid w:val="001337AD"/>
    <w:rsid w:val="00134825"/>
    <w:rsid w:val="00134C86"/>
    <w:rsid w:val="001356EA"/>
    <w:rsid w:val="001362AD"/>
    <w:rsid w:val="00136AD4"/>
    <w:rsid w:val="00136B7D"/>
    <w:rsid w:val="00140161"/>
    <w:rsid w:val="0014270C"/>
    <w:rsid w:val="0014475C"/>
    <w:rsid w:val="00144D29"/>
    <w:rsid w:val="001518A2"/>
    <w:rsid w:val="001518EC"/>
    <w:rsid w:val="00152714"/>
    <w:rsid w:val="001535F8"/>
    <w:rsid w:val="0015519C"/>
    <w:rsid w:val="00156F55"/>
    <w:rsid w:val="0016149B"/>
    <w:rsid w:val="00163381"/>
    <w:rsid w:val="00164467"/>
    <w:rsid w:val="00165BDC"/>
    <w:rsid w:val="00166AD8"/>
    <w:rsid w:val="00171876"/>
    <w:rsid w:val="0017199E"/>
    <w:rsid w:val="00172753"/>
    <w:rsid w:val="00172A34"/>
    <w:rsid w:val="00172E0D"/>
    <w:rsid w:val="00173630"/>
    <w:rsid w:val="001745DC"/>
    <w:rsid w:val="00174740"/>
    <w:rsid w:val="001770CD"/>
    <w:rsid w:val="001814EF"/>
    <w:rsid w:val="00182AB4"/>
    <w:rsid w:val="001877FD"/>
    <w:rsid w:val="00190A18"/>
    <w:rsid w:val="00194C16"/>
    <w:rsid w:val="00195EFE"/>
    <w:rsid w:val="00196813"/>
    <w:rsid w:val="001972B2"/>
    <w:rsid w:val="001A0A33"/>
    <w:rsid w:val="001A12BC"/>
    <w:rsid w:val="001A3616"/>
    <w:rsid w:val="001A3674"/>
    <w:rsid w:val="001A4AA4"/>
    <w:rsid w:val="001A7C86"/>
    <w:rsid w:val="001B025E"/>
    <w:rsid w:val="001B12D9"/>
    <w:rsid w:val="001B14BA"/>
    <w:rsid w:val="001B2832"/>
    <w:rsid w:val="001B3EA3"/>
    <w:rsid w:val="001C138B"/>
    <w:rsid w:val="001C6CE4"/>
    <w:rsid w:val="001C6F60"/>
    <w:rsid w:val="001C7810"/>
    <w:rsid w:val="001C7B32"/>
    <w:rsid w:val="001D2617"/>
    <w:rsid w:val="001E2096"/>
    <w:rsid w:val="001E7918"/>
    <w:rsid w:val="001F2F19"/>
    <w:rsid w:val="001F6FBA"/>
    <w:rsid w:val="002109A3"/>
    <w:rsid w:val="00211966"/>
    <w:rsid w:val="0022081E"/>
    <w:rsid w:val="00225D4D"/>
    <w:rsid w:val="00226001"/>
    <w:rsid w:val="00226B54"/>
    <w:rsid w:val="00227642"/>
    <w:rsid w:val="00230B3B"/>
    <w:rsid w:val="002321CB"/>
    <w:rsid w:val="00233DC1"/>
    <w:rsid w:val="00234902"/>
    <w:rsid w:val="00235418"/>
    <w:rsid w:val="0023572B"/>
    <w:rsid w:val="002408B0"/>
    <w:rsid w:val="00241B89"/>
    <w:rsid w:val="0024206A"/>
    <w:rsid w:val="00242B1F"/>
    <w:rsid w:val="00244DDD"/>
    <w:rsid w:val="0024598E"/>
    <w:rsid w:val="00251B5B"/>
    <w:rsid w:val="00256E25"/>
    <w:rsid w:val="00257946"/>
    <w:rsid w:val="00260FC8"/>
    <w:rsid w:val="00262184"/>
    <w:rsid w:val="00263384"/>
    <w:rsid w:val="00265CB3"/>
    <w:rsid w:val="00270018"/>
    <w:rsid w:val="00272DF1"/>
    <w:rsid w:val="002763E6"/>
    <w:rsid w:val="00276517"/>
    <w:rsid w:val="002765E9"/>
    <w:rsid w:val="00277DDE"/>
    <w:rsid w:val="0028117A"/>
    <w:rsid w:val="002851E0"/>
    <w:rsid w:val="00285A8E"/>
    <w:rsid w:val="00286783"/>
    <w:rsid w:val="00287299"/>
    <w:rsid w:val="00292068"/>
    <w:rsid w:val="00292300"/>
    <w:rsid w:val="00292560"/>
    <w:rsid w:val="00292CB3"/>
    <w:rsid w:val="0029494A"/>
    <w:rsid w:val="002A1070"/>
    <w:rsid w:val="002A39A1"/>
    <w:rsid w:val="002A7D66"/>
    <w:rsid w:val="002C51D2"/>
    <w:rsid w:val="002C53FF"/>
    <w:rsid w:val="002C558B"/>
    <w:rsid w:val="002C7238"/>
    <w:rsid w:val="002C73F6"/>
    <w:rsid w:val="002C79C2"/>
    <w:rsid w:val="002D09A5"/>
    <w:rsid w:val="002D62A4"/>
    <w:rsid w:val="002D770E"/>
    <w:rsid w:val="002E0303"/>
    <w:rsid w:val="002E34F8"/>
    <w:rsid w:val="002E47F9"/>
    <w:rsid w:val="002E4A29"/>
    <w:rsid w:val="002E5458"/>
    <w:rsid w:val="002E7988"/>
    <w:rsid w:val="002E7A48"/>
    <w:rsid w:val="002F1C47"/>
    <w:rsid w:val="002F4193"/>
    <w:rsid w:val="002F4994"/>
    <w:rsid w:val="002F5C34"/>
    <w:rsid w:val="002F7768"/>
    <w:rsid w:val="0030176F"/>
    <w:rsid w:val="0030202E"/>
    <w:rsid w:val="00303107"/>
    <w:rsid w:val="003039FD"/>
    <w:rsid w:val="00304CF8"/>
    <w:rsid w:val="0031510A"/>
    <w:rsid w:val="00316D0D"/>
    <w:rsid w:val="00317176"/>
    <w:rsid w:val="0032019A"/>
    <w:rsid w:val="00321EB1"/>
    <w:rsid w:val="003220EB"/>
    <w:rsid w:val="00324AC2"/>
    <w:rsid w:val="00325E39"/>
    <w:rsid w:val="003271AF"/>
    <w:rsid w:val="00327966"/>
    <w:rsid w:val="003425AC"/>
    <w:rsid w:val="003448CC"/>
    <w:rsid w:val="00346ABA"/>
    <w:rsid w:val="003479F8"/>
    <w:rsid w:val="003513BE"/>
    <w:rsid w:val="00351576"/>
    <w:rsid w:val="00351C81"/>
    <w:rsid w:val="00353C39"/>
    <w:rsid w:val="003548CD"/>
    <w:rsid w:val="003676DA"/>
    <w:rsid w:val="00370315"/>
    <w:rsid w:val="003703C9"/>
    <w:rsid w:val="003737E4"/>
    <w:rsid w:val="003748E5"/>
    <w:rsid w:val="00376877"/>
    <w:rsid w:val="00380FD2"/>
    <w:rsid w:val="003822C2"/>
    <w:rsid w:val="003845A8"/>
    <w:rsid w:val="0038557F"/>
    <w:rsid w:val="00386DFC"/>
    <w:rsid w:val="003870CF"/>
    <w:rsid w:val="00387B57"/>
    <w:rsid w:val="0039001D"/>
    <w:rsid w:val="00390EFA"/>
    <w:rsid w:val="00391C1D"/>
    <w:rsid w:val="00395A25"/>
    <w:rsid w:val="00397703"/>
    <w:rsid w:val="003A04BE"/>
    <w:rsid w:val="003A0DCC"/>
    <w:rsid w:val="003A1454"/>
    <w:rsid w:val="003A257F"/>
    <w:rsid w:val="003A3B74"/>
    <w:rsid w:val="003A4191"/>
    <w:rsid w:val="003A565A"/>
    <w:rsid w:val="003A5A06"/>
    <w:rsid w:val="003A6CA2"/>
    <w:rsid w:val="003A77C9"/>
    <w:rsid w:val="003B0E1B"/>
    <w:rsid w:val="003B1D81"/>
    <w:rsid w:val="003B21B0"/>
    <w:rsid w:val="003B37DB"/>
    <w:rsid w:val="003C071B"/>
    <w:rsid w:val="003C1077"/>
    <w:rsid w:val="003C1275"/>
    <w:rsid w:val="003C1A00"/>
    <w:rsid w:val="003C2C2F"/>
    <w:rsid w:val="003C36D6"/>
    <w:rsid w:val="003C4B01"/>
    <w:rsid w:val="003C70F9"/>
    <w:rsid w:val="003D222C"/>
    <w:rsid w:val="003D3ACB"/>
    <w:rsid w:val="003D7983"/>
    <w:rsid w:val="003E23B8"/>
    <w:rsid w:val="003E2954"/>
    <w:rsid w:val="003E37BB"/>
    <w:rsid w:val="003E6F08"/>
    <w:rsid w:val="003E719C"/>
    <w:rsid w:val="003F0F9D"/>
    <w:rsid w:val="003F1D1E"/>
    <w:rsid w:val="003F3243"/>
    <w:rsid w:val="003F3586"/>
    <w:rsid w:val="003F6641"/>
    <w:rsid w:val="003F6A46"/>
    <w:rsid w:val="003F77E7"/>
    <w:rsid w:val="00400881"/>
    <w:rsid w:val="00400DF8"/>
    <w:rsid w:val="00401217"/>
    <w:rsid w:val="00402699"/>
    <w:rsid w:val="00406419"/>
    <w:rsid w:val="0041011D"/>
    <w:rsid w:val="004112A0"/>
    <w:rsid w:val="004166D7"/>
    <w:rsid w:val="004228D9"/>
    <w:rsid w:val="004241D8"/>
    <w:rsid w:val="00424E09"/>
    <w:rsid w:val="00426BE5"/>
    <w:rsid w:val="00430EC9"/>
    <w:rsid w:val="00431FA3"/>
    <w:rsid w:val="0043464E"/>
    <w:rsid w:val="00434B73"/>
    <w:rsid w:val="004358D9"/>
    <w:rsid w:val="004361E9"/>
    <w:rsid w:val="00442974"/>
    <w:rsid w:val="004467DE"/>
    <w:rsid w:val="00447D0A"/>
    <w:rsid w:val="00452C67"/>
    <w:rsid w:val="004571D5"/>
    <w:rsid w:val="00463B74"/>
    <w:rsid w:val="00464ACA"/>
    <w:rsid w:val="00465C74"/>
    <w:rsid w:val="004674E7"/>
    <w:rsid w:val="004724A1"/>
    <w:rsid w:val="00473B33"/>
    <w:rsid w:val="00475EC5"/>
    <w:rsid w:val="00476190"/>
    <w:rsid w:val="00486554"/>
    <w:rsid w:val="004925F9"/>
    <w:rsid w:val="00494988"/>
    <w:rsid w:val="00495286"/>
    <w:rsid w:val="004962DB"/>
    <w:rsid w:val="004A16AE"/>
    <w:rsid w:val="004A27AA"/>
    <w:rsid w:val="004A367B"/>
    <w:rsid w:val="004A42D5"/>
    <w:rsid w:val="004A502A"/>
    <w:rsid w:val="004A6217"/>
    <w:rsid w:val="004A7090"/>
    <w:rsid w:val="004B1ECC"/>
    <w:rsid w:val="004B6C06"/>
    <w:rsid w:val="004C03D4"/>
    <w:rsid w:val="004C0E48"/>
    <w:rsid w:val="004C3327"/>
    <w:rsid w:val="004C7115"/>
    <w:rsid w:val="004D2027"/>
    <w:rsid w:val="004D2202"/>
    <w:rsid w:val="004D2FC0"/>
    <w:rsid w:val="004D5FD5"/>
    <w:rsid w:val="004E0E6D"/>
    <w:rsid w:val="004E106C"/>
    <w:rsid w:val="004E58C7"/>
    <w:rsid w:val="004E5D8A"/>
    <w:rsid w:val="004E6A18"/>
    <w:rsid w:val="004F02AB"/>
    <w:rsid w:val="004F2160"/>
    <w:rsid w:val="00501608"/>
    <w:rsid w:val="00504998"/>
    <w:rsid w:val="00506BA7"/>
    <w:rsid w:val="00510A68"/>
    <w:rsid w:val="00511364"/>
    <w:rsid w:val="005150E9"/>
    <w:rsid w:val="00516067"/>
    <w:rsid w:val="00522548"/>
    <w:rsid w:val="00523527"/>
    <w:rsid w:val="0052491E"/>
    <w:rsid w:val="0052537E"/>
    <w:rsid w:val="0052BE08"/>
    <w:rsid w:val="00530E5B"/>
    <w:rsid w:val="00532C1D"/>
    <w:rsid w:val="00533185"/>
    <w:rsid w:val="0053353A"/>
    <w:rsid w:val="00544B76"/>
    <w:rsid w:val="00546684"/>
    <w:rsid w:val="0054816B"/>
    <w:rsid w:val="005506F0"/>
    <w:rsid w:val="00554A4F"/>
    <w:rsid w:val="00567D62"/>
    <w:rsid w:val="005724F7"/>
    <w:rsid w:val="0057278E"/>
    <w:rsid w:val="00574019"/>
    <w:rsid w:val="00574257"/>
    <w:rsid w:val="00574544"/>
    <w:rsid w:val="0057533F"/>
    <w:rsid w:val="00577A2E"/>
    <w:rsid w:val="0058168C"/>
    <w:rsid w:val="00587390"/>
    <w:rsid w:val="005875F4"/>
    <w:rsid w:val="005938E9"/>
    <w:rsid w:val="00593E99"/>
    <w:rsid w:val="00594A9D"/>
    <w:rsid w:val="005956F6"/>
    <w:rsid w:val="005A226C"/>
    <w:rsid w:val="005A3E2D"/>
    <w:rsid w:val="005A72B9"/>
    <w:rsid w:val="005A7E49"/>
    <w:rsid w:val="005B0586"/>
    <w:rsid w:val="005B09B9"/>
    <w:rsid w:val="005B191D"/>
    <w:rsid w:val="005B2EB4"/>
    <w:rsid w:val="005B4EC5"/>
    <w:rsid w:val="005C15FF"/>
    <w:rsid w:val="005C18FC"/>
    <w:rsid w:val="005C1CD8"/>
    <w:rsid w:val="005C2B5F"/>
    <w:rsid w:val="005C2CD1"/>
    <w:rsid w:val="005C33CD"/>
    <w:rsid w:val="005D2C1B"/>
    <w:rsid w:val="005D334E"/>
    <w:rsid w:val="005D34A2"/>
    <w:rsid w:val="005D5AA1"/>
    <w:rsid w:val="005D7BD9"/>
    <w:rsid w:val="005E3698"/>
    <w:rsid w:val="005E4CFD"/>
    <w:rsid w:val="005E5B46"/>
    <w:rsid w:val="005E646F"/>
    <w:rsid w:val="005E7765"/>
    <w:rsid w:val="005F02BC"/>
    <w:rsid w:val="005F1248"/>
    <w:rsid w:val="005F2FB9"/>
    <w:rsid w:val="005F4346"/>
    <w:rsid w:val="005F7656"/>
    <w:rsid w:val="00602756"/>
    <w:rsid w:val="00602837"/>
    <w:rsid w:val="00606F97"/>
    <w:rsid w:val="00607CD8"/>
    <w:rsid w:val="00607F09"/>
    <w:rsid w:val="00610B4C"/>
    <w:rsid w:val="00611197"/>
    <w:rsid w:val="00614870"/>
    <w:rsid w:val="00621165"/>
    <w:rsid w:val="00624409"/>
    <w:rsid w:val="006305F8"/>
    <w:rsid w:val="00633718"/>
    <w:rsid w:val="00635014"/>
    <w:rsid w:val="0063799D"/>
    <w:rsid w:val="0064196B"/>
    <w:rsid w:val="006421A1"/>
    <w:rsid w:val="0064238D"/>
    <w:rsid w:val="0064683D"/>
    <w:rsid w:val="00647712"/>
    <w:rsid w:val="00652E44"/>
    <w:rsid w:val="0065346E"/>
    <w:rsid w:val="00653F03"/>
    <w:rsid w:val="006577E8"/>
    <w:rsid w:val="00663E14"/>
    <w:rsid w:val="00664558"/>
    <w:rsid w:val="00665907"/>
    <w:rsid w:val="00670978"/>
    <w:rsid w:val="0067113A"/>
    <w:rsid w:val="00673458"/>
    <w:rsid w:val="00676AAF"/>
    <w:rsid w:val="00677C9F"/>
    <w:rsid w:val="00682382"/>
    <w:rsid w:val="00684787"/>
    <w:rsid w:val="00684D59"/>
    <w:rsid w:val="00685F70"/>
    <w:rsid w:val="00686C18"/>
    <w:rsid w:val="00687328"/>
    <w:rsid w:val="00687B57"/>
    <w:rsid w:val="00687D31"/>
    <w:rsid w:val="00690170"/>
    <w:rsid w:val="006902DF"/>
    <w:rsid w:val="00691842"/>
    <w:rsid w:val="00692A13"/>
    <w:rsid w:val="00693504"/>
    <w:rsid w:val="00693916"/>
    <w:rsid w:val="00694446"/>
    <w:rsid w:val="00695C5D"/>
    <w:rsid w:val="00696426"/>
    <w:rsid w:val="00696537"/>
    <w:rsid w:val="00696FDB"/>
    <w:rsid w:val="006A2B70"/>
    <w:rsid w:val="006A4235"/>
    <w:rsid w:val="006A5903"/>
    <w:rsid w:val="006A79E4"/>
    <w:rsid w:val="006B484F"/>
    <w:rsid w:val="006C07E1"/>
    <w:rsid w:val="006C4538"/>
    <w:rsid w:val="006C516E"/>
    <w:rsid w:val="006D1894"/>
    <w:rsid w:val="006D2949"/>
    <w:rsid w:val="006D3F8A"/>
    <w:rsid w:val="006D66E0"/>
    <w:rsid w:val="006E1F12"/>
    <w:rsid w:val="006E3A30"/>
    <w:rsid w:val="006E3F43"/>
    <w:rsid w:val="006E761E"/>
    <w:rsid w:val="006F3458"/>
    <w:rsid w:val="006F5770"/>
    <w:rsid w:val="006F67ED"/>
    <w:rsid w:val="0070056D"/>
    <w:rsid w:val="00704833"/>
    <w:rsid w:val="007067DC"/>
    <w:rsid w:val="00710B94"/>
    <w:rsid w:val="00711668"/>
    <w:rsid w:val="007127B3"/>
    <w:rsid w:val="00712FA3"/>
    <w:rsid w:val="007203AF"/>
    <w:rsid w:val="00720770"/>
    <w:rsid w:val="00720C8E"/>
    <w:rsid w:val="007235DD"/>
    <w:rsid w:val="007238FE"/>
    <w:rsid w:val="007247AA"/>
    <w:rsid w:val="007312E4"/>
    <w:rsid w:val="00734B0D"/>
    <w:rsid w:val="00734B79"/>
    <w:rsid w:val="00734D93"/>
    <w:rsid w:val="007352E2"/>
    <w:rsid w:val="00737631"/>
    <w:rsid w:val="00740805"/>
    <w:rsid w:val="00741847"/>
    <w:rsid w:val="00747DFE"/>
    <w:rsid w:val="00750502"/>
    <w:rsid w:val="00754D14"/>
    <w:rsid w:val="0075518F"/>
    <w:rsid w:val="00755664"/>
    <w:rsid w:val="00761449"/>
    <w:rsid w:val="00763186"/>
    <w:rsid w:val="007632E2"/>
    <w:rsid w:val="00764B4C"/>
    <w:rsid w:val="00765353"/>
    <w:rsid w:val="0076632F"/>
    <w:rsid w:val="00770E28"/>
    <w:rsid w:val="00774FE6"/>
    <w:rsid w:val="00777224"/>
    <w:rsid w:val="0077756C"/>
    <w:rsid w:val="007804B5"/>
    <w:rsid w:val="00781994"/>
    <w:rsid w:val="0079241A"/>
    <w:rsid w:val="00792B52"/>
    <w:rsid w:val="007936B0"/>
    <w:rsid w:val="007941ED"/>
    <w:rsid w:val="00796228"/>
    <w:rsid w:val="007A3066"/>
    <w:rsid w:val="007A3325"/>
    <w:rsid w:val="007A49AB"/>
    <w:rsid w:val="007B0218"/>
    <w:rsid w:val="007B1612"/>
    <w:rsid w:val="007B3A22"/>
    <w:rsid w:val="007B7922"/>
    <w:rsid w:val="007B7F07"/>
    <w:rsid w:val="007C02E6"/>
    <w:rsid w:val="007C16AC"/>
    <w:rsid w:val="007C175F"/>
    <w:rsid w:val="007C1877"/>
    <w:rsid w:val="007C6CE4"/>
    <w:rsid w:val="007D1D64"/>
    <w:rsid w:val="007D48CF"/>
    <w:rsid w:val="007D6095"/>
    <w:rsid w:val="007D6C3D"/>
    <w:rsid w:val="007E0C79"/>
    <w:rsid w:val="007E3F3C"/>
    <w:rsid w:val="007E42F4"/>
    <w:rsid w:val="007E677F"/>
    <w:rsid w:val="007E7869"/>
    <w:rsid w:val="007F0160"/>
    <w:rsid w:val="007F0284"/>
    <w:rsid w:val="007F1990"/>
    <w:rsid w:val="007F54D1"/>
    <w:rsid w:val="0080077B"/>
    <w:rsid w:val="00801657"/>
    <w:rsid w:val="0080223E"/>
    <w:rsid w:val="0080515E"/>
    <w:rsid w:val="00806FF0"/>
    <w:rsid w:val="00807A14"/>
    <w:rsid w:val="008107F6"/>
    <w:rsid w:val="008118AF"/>
    <w:rsid w:val="00812107"/>
    <w:rsid w:val="0081373B"/>
    <w:rsid w:val="00814103"/>
    <w:rsid w:val="00815B5F"/>
    <w:rsid w:val="00816681"/>
    <w:rsid w:val="008175A3"/>
    <w:rsid w:val="008178BB"/>
    <w:rsid w:val="00817D64"/>
    <w:rsid w:val="00821B56"/>
    <w:rsid w:val="008257D4"/>
    <w:rsid w:val="00826C33"/>
    <w:rsid w:val="00827011"/>
    <w:rsid w:val="00830D08"/>
    <w:rsid w:val="008316ED"/>
    <w:rsid w:val="00832014"/>
    <w:rsid w:val="00833041"/>
    <w:rsid w:val="008330CA"/>
    <w:rsid w:val="00833718"/>
    <w:rsid w:val="008360DC"/>
    <w:rsid w:val="00836FA8"/>
    <w:rsid w:val="00836FAD"/>
    <w:rsid w:val="008407C9"/>
    <w:rsid w:val="00842C58"/>
    <w:rsid w:val="00844E1E"/>
    <w:rsid w:val="0084713E"/>
    <w:rsid w:val="008475F4"/>
    <w:rsid w:val="008477B1"/>
    <w:rsid w:val="008519AD"/>
    <w:rsid w:val="008545EA"/>
    <w:rsid w:val="00854AC5"/>
    <w:rsid w:val="008550D4"/>
    <w:rsid w:val="00856EEF"/>
    <w:rsid w:val="0086548F"/>
    <w:rsid w:val="00865B2F"/>
    <w:rsid w:val="0086698C"/>
    <w:rsid w:val="00866FAA"/>
    <w:rsid w:val="00872F0F"/>
    <w:rsid w:val="00876BEE"/>
    <w:rsid w:val="00885BB9"/>
    <w:rsid w:val="00886024"/>
    <w:rsid w:val="00887C36"/>
    <w:rsid w:val="00890E9F"/>
    <w:rsid w:val="00891284"/>
    <w:rsid w:val="00891660"/>
    <w:rsid w:val="00891B11"/>
    <w:rsid w:val="008921E6"/>
    <w:rsid w:val="00894DAE"/>
    <w:rsid w:val="0089618B"/>
    <w:rsid w:val="008A03D2"/>
    <w:rsid w:val="008A0680"/>
    <w:rsid w:val="008A2C3D"/>
    <w:rsid w:val="008B0993"/>
    <w:rsid w:val="008B1763"/>
    <w:rsid w:val="008B1D52"/>
    <w:rsid w:val="008B1E5B"/>
    <w:rsid w:val="008C0008"/>
    <w:rsid w:val="008C1833"/>
    <w:rsid w:val="008C22EE"/>
    <w:rsid w:val="008C585A"/>
    <w:rsid w:val="008C78F4"/>
    <w:rsid w:val="008D3049"/>
    <w:rsid w:val="008D4B00"/>
    <w:rsid w:val="008D7559"/>
    <w:rsid w:val="008E27C9"/>
    <w:rsid w:val="008E3034"/>
    <w:rsid w:val="008E3A9E"/>
    <w:rsid w:val="008E3FD4"/>
    <w:rsid w:val="008F24AA"/>
    <w:rsid w:val="008F45F5"/>
    <w:rsid w:val="008F49C2"/>
    <w:rsid w:val="008F56A7"/>
    <w:rsid w:val="008F57B0"/>
    <w:rsid w:val="008F77BA"/>
    <w:rsid w:val="008F7EEA"/>
    <w:rsid w:val="00904114"/>
    <w:rsid w:val="00904E5D"/>
    <w:rsid w:val="00914717"/>
    <w:rsid w:val="00914FED"/>
    <w:rsid w:val="0091620D"/>
    <w:rsid w:val="00916E5A"/>
    <w:rsid w:val="0091787A"/>
    <w:rsid w:val="00920D19"/>
    <w:rsid w:val="009218DF"/>
    <w:rsid w:val="00921DAB"/>
    <w:rsid w:val="0092529E"/>
    <w:rsid w:val="00926220"/>
    <w:rsid w:val="009264BD"/>
    <w:rsid w:val="009317CA"/>
    <w:rsid w:val="009351E1"/>
    <w:rsid w:val="009355A7"/>
    <w:rsid w:val="009360F5"/>
    <w:rsid w:val="00945233"/>
    <w:rsid w:val="009468B6"/>
    <w:rsid w:val="00947075"/>
    <w:rsid w:val="00947134"/>
    <w:rsid w:val="00953846"/>
    <w:rsid w:val="00955C8B"/>
    <w:rsid w:val="009563E8"/>
    <w:rsid w:val="0096024B"/>
    <w:rsid w:val="00960701"/>
    <w:rsid w:val="009610A2"/>
    <w:rsid w:val="00962516"/>
    <w:rsid w:val="00962967"/>
    <w:rsid w:val="00964968"/>
    <w:rsid w:val="00965470"/>
    <w:rsid w:val="0097161A"/>
    <w:rsid w:val="0097248B"/>
    <w:rsid w:val="00973121"/>
    <w:rsid w:val="0097367E"/>
    <w:rsid w:val="009758D6"/>
    <w:rsid w:val="00975DCB"/>
    <w:rsid w:val="00977062"/>
    <w:rsid w:val="00980883"/>
    <w:rsid w:val="0098153F"/>
    <w:rsid w:val="00984441"/>
    <w:rsid w:val="00991044"/>
    <w:rsid w:val="00991CC0"/>
    <w:rsid w:val="00992221"/>
    <w:rsid w:val="0099431C"/>
    <w:rsid w:val="00995F8D"/>
    <w:rsid w:val="00996389"/>
    <w:rsid w:val="009964A8"/>
    <w:rsid w:val="00997728"/>
    <w:rsid w:val="009A2822"/>
    <w:rsid w:val="009A2EF9"/>
    <w:rsid w:val="009A5B7B"/>
    <w:rsid w:val="009A5DC8"/>
    <w:rsid w:val="009A7D7F"/>
    <w:rsid w:val="009B1315"/>
    <w:rsid w:val="009B2E61"/>
    <w:rsid w:val="009B325E"/>
    <w:rsid w:val="009C33C0"/>
    <w:rsid w:val="009C3C79"/>
    <w:rsid w:val="009D28E4"/>
    <w:rsid w:val="009D4EDC"/>
    <w:rsid w:val="009D5BC2"/>
    <w:rsid w:val="009D6F64"/>
    <w:rsid w:val="009E0664"/>
    <w:rsid w:val="009E1EAF"/>
    <w:rsid w:val="009E3463"/>
    <w:rsid w:val="009E3F6E"/>
    <w:rsid w:val="009E520E"/>
    <w:rsid w:val="009E72C2"/>
    <w:rsid w:val="009E78BD"/>
    <w:rsid w:val="009F07C5"/>
    <w:rsid w:val="009F0E6A"/>
    <w:rsid w:val="009F105E"/>
    <w:rsid w:val="009F174B"/>
    <w:rsid w:val="009F3C86"/>
    <w:rsid w:val="009F6635"/>
    <w:rsid w:val="009F6BF3"/>
    <w:rsid w:val="00A00F6B"/>
    <w:rsid w:val="00A04016"/>
    <w:rsid w:val="00A064FF"/>
    <w:rsid w:val="00A065BD"/>
    <w:rsid w:val="00A10277"/>
    <w:rsid w:val="00A1037F"/>
    <w:rsid w:val="00A10BDB"/>
    <w:rsid w:val="00A12ACC"/>
    <w:rsid w:val="00A20EAD"/>
    <w:rsid w:val="00A22B81"/>
    <w:rsid w:val="00A22CCD"/>
    <w:rsid w:val="00A301A2"/>
    <w:rsid w:val="00A30A2A"/>
    <w:rsid w:val="00A35046"/>
    <w:rsid w:val="00A5180E"/>
    <w:rsid w:val="00A61558"/>
    <w:rsid w:val="00A62D44"/>
    <w:rsid w:val="00A657CE"/>
    <w:rsid w:val="00A6635D"/>
    <w:rsid w:val="00A70F52"/>
    <w:rsid w:val="00A7122A"/>
    <w:rsid w:val="00A712B0"/>
    <w:rsid w:val="00A76021"/>
    <w:rsid w:val="00A77681"/>
    <w:rsid w:val="00A86616"/>
    <w:rsid w:val="00A86D18"/>
    <w:rsid w:val="00A90165"/>
    <w:rsid w:val="00A92B97"/>
    <w:rsid w:val="00A948A7"/>
    <w:rsid w:val="00A95D0D"/>
    <w:rsid w:val="00A9687B"/>
    <w:rsid w:val="00AA1BA9"/>
    <w:rsid w:val="00AA21F2"/>
    <w:rsid w:val="00AA22C7"/>
    <w:rsid w:val="00AA3774"/>
    <w:rsid w:val="00AA5524"/>
    <w:rsid w:val="00AA6660"/>
    <w:rsid w:val="00AA6F41"/>
    <w:rsid w:val="00AA718D"/>
    <w:rsid w:val="00AA7A3B"/>
    <w:rsid w:val="00AB016F"/>
    <w:rsid w:val="00AB333B"/>
    <w:rsid w:val="00AB44BE"/>
    <w:rsid w:val="00AB512C"/>
    <w:rsid w:val="00AB6ED2"/>
    <w:rsid w:val="00AB7F18"/>
    <w:rsid w:val="00AC11A5"/>
    <w:rsid w:val="00AC189D"/>
    <w:rsid w:val="00AC32C1"/>
    <w:rsid w:val="00AC5551"/>
    <w:rsid w:val="00AC5699"/>
    <w:rsid w:val="00AD209E"/>
    <w:rsid w:val="00AD4AFE"/>
    <w:rsid w:val="00AD50F1"/>
    <w:rsid w:val="00AD6102"/>
    <w:rsid w:val="00ADFDDF"/>
    <w:rsid w:val="00AE1CAE"/>
    <w:rsid w:val="00AE3587"/>
    <w:rsid w:val="00AE4FF6"/>
    <w:rsid w:val="00AE76CE"/>
    <w:rsid w:val="00AE7E8E"/>
    <w:rsid w:val="00AF1902"/>
    <w:rsid w:val="00AF1FFA"/>
    <w:rsid w:val="00AF4DDE"/>
    <w:rsid w:val="00AF5ABB"/>
    <w:rsid w:val="00AF770B"/>
    <w:rsid w:val="00B010D7"/>
    <w:rsid w:val="00B017A0"/>
    <w:rsid w:val="00B047BC"/>
    <w:rsid w:val="00B05513"/>
    <w:rsid w:val="00B063C1"/>
    <w:rsid w:val="00B06671"/>
    <w:rsid w:val="00B10CE2"/>
    <w:rsid w:val="00B12411"/>
    <w:rsid w:val="00B13B4B"/>
    <w:rsid w:val="00B14937"/>
    <w:rsid w:val="00B15B66"/>
    <w:rsid w:val="00B2104E"/>
    <w:rsid w:val="00B23823"/>
    <w:rsid w:val="00B23E08"/>
    <w:rsid w:val="00B31A64"/>
    <w:rsid w:val="00B31A88"/>
    <w:rsid w:val="00B34EB5"/>
    <w:rsid w:val="00B350EF"/>
    <w:rsid w:val="00B36D62"/>
    <w:rsid w:val="00B448EA"/>
    <w:rsid w:val="00B46D39"/>
    <w:rsid w:val="00B4734C"/>
    <w:rsid w:val="00B50006"/>
    <w:rsid w:val="00B503D7"/>
    <w:rsid w:val="00B51F27"/>
    <w:rsid w:val="00B539F3"/>
    <w:rsid w:val="00B5460A"/>
    <w:rsid w:val="00B559E4"/>
    <w:rsid w:val="00B60B4A"/>
    <w:rsid w:val="00B60C14"/>
    <w:rsid w:val="00B623F5"/>
    <w:rsid w:val="00B6398D"/>
    <w:rsid w:val="00B63E5C"/>
    <w:rsid w:val="00B6742D"/>
    <w:rsid w:val="00B74143"/>
    <w:rsid w:val="00B7534C"/>
    <w:rsid w:val="00B75FD7"/>
    <w:rsid w:val="00B76029"/>
    <w:rsid w:val="00B769A8"/>
    <w:rsid w:val="00B77F02"/>
    <w:rsid w:val="00B80616"/>
    <w:rsid w:val="00B8097B"/>
    <w:rsid w:val="00B822F7"/>
    <w:rsid w:val="00B8513F"/>
    <w:rsid w:val="00B939CE"/>
    <w:rsid w:val="00B95B6B"/>
    <w:rsid w:val="00B9645D"/>
    <w:rsid w:val="00BA73EF"/>
    <w:rsid w:val="00BB008B"/>
    <w:rsid w:val="00BB1765"/>
    <w:rsid w:val="00BB2AA2"/>
    <w:rsid w:val="00BB2DF3"/>
    <w:rsid w:val="00BB4FF2"/>
    <w:rsid w:val="00BB6C03"/>
    <w:rsid w:val="00BB6F70"/>
    <w:rsid w:val="00BB709F"/>
    <w:rsid w:val="00BC1C05"/>
    <w:rsid w:val="00BC4954"/>
    <w:rsid w:val="00BC5958"/>
    <w:rsid w:val="00BD0AFC"/>
    <w:rsid w:val="00BD0CAA"/>
    <w:rsid w:val="00BD3921"/>
    <w:rsid w:val="00BD5DE7"/>
    <w:rsid w:val="00BE289E"/>
    <w:rsid w:val="00BE5BB2"/>
    <w:rsid w:val="00BE5D9D"/>
    <w:rsid w:val="00BE6493"/>
    <w:rsid w:val="00BE72A7"/>
    <w:rsid w:val="00BE77A2"/>
    <w:rsid w:val="00BE7F3C"/>
    <w:rsid w:val="00BF3AD4"/>
    <w:rsid w:val="00BF3CC0"/>
    <w:rsid w:val="00BF596F"/>
    <w:rsid w:val="00BF5A99"/>
    <w:rsid w:val="00BF5CE8"/>
    <w:rsid w:val="00BF633B"/>
    <w:rsid w:val="00BF67FF"/>
    <w:rsid w:val="00C02966"/>
    <w:rsid w:val="00C1010D"/>
    <w:rsid w:val="00C11AAE"/>
    <w:rsid w:val="00C13C9D"/>
    <w:rsid w:val="00C159D9"/>
    <w:rsid w:val="00C17C36"/>
    <w:rsid w:val="00C22C27"/>
    <w:rsid w:val="00C25647"/>
    <w:rsid w:val="00C25E78"/>
    <w:rsid w:val="00C279F9"/>
    <w:rsid w:val="00C32839"/>
    <w:rsid w:val="00C34228"/>
    <w:rsid w:val="00C34692"/>
    <w:rsid w:val="00C34A88"/>
    <w:rsid w:val="00C34E5E"/>
    <w:rsid w:val="00C368C4"/>
    <w:rsid w:val="00C42751"/>
    <w:rsid w:val="00C42DD4"/>
    <w:rsid w:val="00C430A5"/>
    <w:rsid w:val="00C4359E"/>
    <w:rsid w:val="00C503E2"/>
    <w:rsid w:val="00C54643"/>
    <w:rsid w:val="00C57487"/>
    <w:rsid w:val="00C61C22"/>
    <w:rsid w:val="00C64A62"/>
    <w:rsid w:val="00C65962"/>
    <w:rsid w:val="00C66751"/>
    <w:rsid w:val="00C66CD3"/>
    <w:rsid w:val="00C676D1"/>
    <w:rsid w:val="00C67FEB"/>
    <w:rsid w:val="00C71452"/>
    <w:rsid w:val="00C73A97"/>
    <w:rsid w:val="00C759D9"/>
    <w:rsid w:val="00C82173"/>
    <w:rsid w:val="00C90262"/>
    <w:rsid w:val="00C92DD8"/>
    <w:rsid w:val="00C93FF9"/>
    <w:rsid w:val="00CA0844"/>
    <w:rsid w:val="00CA4676"/>
    <w:rsid w:val="00CA4CB2"/>
    <w:rsid w:val="00CB0D4F"/>
    <w:rsid w:val="00CB2873"/>
    <w:rsid w:val="00CB2D92"/>
    <w:rsid w:val="00CB34DD"/>
    <w:rsid w:val="00CB4ACE"/>
    <w:rsid w:val="00CB5363"/>
    <w:rsid w:val="00CC35B1"/>
    <w:rsid w:val="00CC39B8"/>
    <w:rsid w:val="00CC55A7"/>
    <w:rsid w:val="00CC5605"/>
    <w:rsid w:val="00CC5EE7"/>
    <w:rsid w:val="00CC65C5"/>
    <w:rsid w:val="00CD1138"/>
    <w:rsid w:val="00CD154B"/>
    <w:rsid w:val="00CD1CE9"/>
    <w:rsid w:val="00CD2DA8"/>
    <w:rsid w:val="00CD688D"/>
    <w:rsid w:val="00CD6DC6"/>
    <w:rsid w:val="00CE16B1"/>
    <w:rsid w:val="00CE1C67"/>
    <w:rsid w:val="00CE1D24"/>
    <w:rsid w:val="00CE6B27"/>
    <w:rsid w:val="00CE7CC3"/>
    <w:rsid w:val="00CF0A13"/>
    <w:rsid w:val="00CF2784"/>
    <w:rsid w:val="00CF6DC4"/>
    <w:rsid w:val="00CF723F"/>
    <w:rsid w:val="00D0183B"/>
    <w:rsid w:val="00D024B7"/>
    <w:rsid w:val="00D0302B"/>
    <w:rsid w:val="00D04C8C"/>
    <w:rsid w:val="00D05CBB"/>
    <w:rsid w:val="00D16352"/>
    <w:rsid w:val="00D16B49"/>
    <w:rsid w:val="00D17AF5"/>
    <w:rsid w:val="00D2414B"/>
    <w:rsid w:val="00D25428"/>
    <w:rsid w:val="00D273C8"/>
    <w:rsid w:val="00D33FC5"/>
    <w:rsid w:val="00D34056"/>
    <w:rsid w:val="00D37598"/>
    <w:rsid w:val="00D404AC"/>
    <w:rsid w:val="00D46665"/>
    <w:rsid w:val="00D46F8C"/>
    <w:rsid w:val="00D558C9"/>
    <w:rsid w:val="00D56041"/>
    <w:rsid w:val="00D56ED4"/>
    <w:rsid w:val="00D57132"/>
    <w:rsid w:val="00D617DE"/>
    <w:rsid w:val="00D62D17"/>
    <w:rsid w:val="00D631FD"/>
    <w:rsid w:val="00D6399D"/>
    <w:rsid w:val="00D64709"/>
    <w:rsid w:val="00D649ED"/>
    <w:rsid w:val="00D6697F"/>
    <w:rsid w:val="00D70DAF"/>
    <w:rsid w:val="00D73C21"/>
    <w:rsid w:val="00D73C2E"/>
    <w:rsid w:val="00D73C4B"/>
    <w:rsid w:val="00D7442D"/>
    <w:rsid w:val="00D758C0"/>
    <w:rsid w:val="00D76151"/>
    <w:rsid w:val="00D76A92"/>
    <w:rsid w:val="00D76C6A"/>
    <w:rsid w:val="00D8054B"/>
    <w:rsid w:val="00D80C6C"/>
    <w:rsid w:val="00D8608C"/>
    <w:rsid w:val="00D913B9"/>
    <w:rsid w:val="00D91A1B"/>
    <w:rsid w:val="00D93F26"/>
    <w:rsid w:val="00D975E5"/>
    <w:rsid w:val="00DA0813"/>
    <w:rsid w:val="00DA088B"/>
    <w:rsid w:val="00DA1562"/>
    <w:rsid w:val="00DA1CDD"/>
    <w:rsid w:val="00DA1F7F"/>
    <w:rsid w:val="00DA221A"/>
    <w:rsid w:val="00DA2285"/>
    <w:rsid w:val="00DA61B2"/>
    <w:rsid w:val="00DA6B40"/>
    <w:rsid w:val="00DB296F"/>
    <w:rsid w:val="00DB3B57"/>
    <w:rsid w:val="00DB3D7C"/>
    <w:rsid w:val="00DB3E05"/>
    <w:rsid w:val="00DB4325"/>
    <w:rsid w:val="00DB4AAF"/>
    <w:rsid w:val="00DB5C23"/>
    <w:rsid w:val="00DC2370"/>
    <w:rsid w:val="00DC2E4D"/>
    <w:rsid w:val="00DC66C8"/>
    <w:rsid w:val="00DC7E0C"/>
    <w:rsid w:val="00DD31ED"/>
    <w:rsid w:val="00DD5A0E"/>
    <w:rsid w:val="00DD653E"/>
    <w:rsid w:val="00DE352C"/>
    <w:rsid w:val="00DE68AD"/>
    <w:rsid w:val="00DE6B41"/>
    <w:rsid w:val="00DF022A"/>
    <w:rsid w:val="00DF0247"/>
    <w:rsid w:val="00DF096F"/>
    <w:rsid w:val="00DF28BE"/>
    <w:rsid w:val="00DF2D09"/>
    <w:rsid w:val="00DF385E"/>
    <w:rsid w:val="00DF3F6B"/>
    <w:rsid w:val="00DF7330"/>
    <w:rsid w:val="00E02281"/>
    <w:rsid w:val="00E02BE6"/>
    <w:rsid w:val="00E03B17"/>
    <w:rsid w:val="00E04BD7"/>
    <w:rsid w:val="00E04D54"/>
    <w:rsid w:val="00E120B8"/>
    <w:rsid w:val="00E17AC8"/>
    <w:rsid w:val="00E204AC"/>
    <w:rsid w:val="00E20545"/>
    <w:rsid w:val="00E21682"/>
    <w:rsid w:val="00E2476F"/>
    <w:rsid w:val="00E306CB"/>
    <w:rsid w:val="00E372A5"/>
    <w:rsid w:val="00E41FA8"/>
    <w:rsid w:val="00E42CDB"/>
    <w:rsid w:val="00E4710B"/>
    <w:rsid w:val="00E52F06"/>
    <w:rsid w:val="00E5327A"/>
    <w:rsid w:val="00E57E35"/>
    <w:rsid w:val="00E60114"/>
    <w:rsid w:val="00E6044C"/>
    <w:rsid w:val="00E611F0"/>
    <w:rsid w:val="00E61492"/>
    <w:rsid w:val="00E625EF"/>
    <w:rsid w:val="00E6441A"/>
    <w:rsid w:val="00E64702"/>
    <w:rsid w:val="00E6504F"/>
    <w:rsid w:val="00E66B72"/>
    <w:rsid w:val="00E673D5"/>
    <w:rsid w:val="00E725EA"/>
    <w:rsid w:val="00E81654"/>
    <w:rsid w:val="00E8289E"/>
    <w:rsid w:val="00E84BC4"/>
    <w:rsid w:val="00E90940"/>
    <w:rsid w:val="00E92CE7"/>
    <w:rsid w:val="00E93C56"/>
    <w:rsid w:val="00E953E8"/>
    <w:rsid w:val="00EA1E03"/>
    <w:rsid w:val="00EA26ED"/>
    <w:rsid w:val="00EA3625"/>
    <w:rsid w:val="00EA71A5"/>
    <w:rsid w:val="00EA7488"/>
    <w:rsid w:val="00EB201D"/>
    <w:rsid w:val="00EB3226"/>
    <w:rsid w:val="00EC1E4B"/>
    <w:rsid w:val="00EC7B8E"/>
    <w:rsid w:val="00ED2F58"/>
    <w:rsid w:val="00ED313F"/>
    <w:rsid w:val="00ED4FE3"/>
    <w:rsid w:val="00ED51F8"/>
    <w:rsid w:val="00ED5FD4"/>
    <w:rsid w:val="00ED61FA"/>
    <w:rsid w:val="00ED6730"/>
    <w:rsid w:val="00ED6832"/>
    <w:rsid w:val="00ED7ED5"/>
    <w:rsid w:val="00EE0F0A"/>
    <w:rsid w:val="00EE1ED9"/>
    <w:rsid w:val="00EE6525"/>
    <w:rsid w:val="00EF0771"/>
    <w:rsid w:val="00EF469E"/>
    <w:rsid w:val="00EF6089"/>
    <w:rsid w:val="00EF61D8"/>
    <w:rsid w:val="00EF7586"/>
    <w:rsid w:val="00F00606"/>
    <w:rsid w:val="00F013F9"/>
    <w:rsid w:val="00F03BA6"/>
    <w:rsid w:val="00F0651D"/>
    <w:rsid w:val="00F165EB"/>
    <w:rsid w:val="00F2127D"/>
    <w:rsid w:val="00F22E24"/>
    <w:rsid w:val="00F23240"/>
    <w:rsid w:val="00F23C08"/>
    <w:rsid w:val="00F23D38"/>
    <w:rsid w:val="00F25500"/>
    <w:rsid w:val="00F305D2"/>
    <w:rsid w:val="00F30B26"/>
    <w:rsid w:val="00F32142"/>
    <w:rsid w:val="00F32C08"/>
    <w:rsid w:val="00F32CCF"/>
    <w:rsid w:val="00F348E3"/>
    <w:rsid w:val="00F35041"/>
    <w:rsid w:val="00F366CC"/>
    <w:rsid w:val="00F41A27"/>
    <w:rsid w:val="00F42024"/>
    <w:rsid w:val="00F43B08"/>
    <w:rsid w:val="00F44B3C"/>
    <w:rsid w:val="00F44BE0"/>
    <w:rsid w:val="00F450B6"/>
    <w:rsid w:val="00F51CEA"/>
    <w:rsid w:val="00F526A2"/>
    <w:rsid w:val="00F5568E"/>
    <w:rsid w:val="00F56214"/>
    <w:rsid w:val="00F56B66"/>
    <w:rsid w:val="00F56DAD"/>
    <w:rsid w:val="00F56E34"/>
    <w:rsid w:val="00F57CE0"/>
    <w:rsid w:val="00F60615"/>
    <w:rsid w:val="00F62A5E"/>
    <w:rsid w:val="00F64C5A"/>
    <w:rsid w:val="00F66DD0"/>
    <w:rsid w:val="00F674D1"/>
    <w:rsid w:val="00F70B84"/>
    <w:rsid w:val="00F7128B"/>
    <w:rsid w:val="00F738AA"/>
    <w:rsid w:val="00F81978"/>
    <w:rsid w:val="00F82001"/>
    <w:rsid w:val="00F820F5"/>
    <w:rsid w:val="00F83035"/>
    <w:rsid w:val="00F850FF"/>
    <w:rsid w:val="00F861B9"/>
    <w:rsid w:val="00F87EE9"/>
    <w:rsid w:val="00F87FCB"/>
    <w:rsid w:val="00F910DC"/>
    <w:rsid w:val="00F913D0"/>
    <w:rsid w:val="00F957A3"/>
    <w:rsid w:val="00F96412"/>
    <w:rsid w:val="00FA0C9C"/>
    <w:rsid w:val="00FA2BCE"/>
    <w:rsid w:val="00FA2E41"/>
    <w:rsid w:val="00FA59C2"/>
    <w:rsid w:val="00FB1DDA"/>
    <w:rsid w:val="00FB2415"/>
    <w:rsid w:val="00FB3332"/>
    <w:rsid w:val="00FB4942"/>
    <w:rsid w:val="00FB7BFA"/>
    <w:rsid w:val="00FC16A6"/>
    <w:rsid w:val="00FC1D32"/>
    <w:rsid w:val="00FC3A24"/>
    <w:rsid w:val="00FC4207"/>
    <w:rsid w:val="00FC5F05"/>
    <w:rsid w:val="00FC6BA0"/>
    <w:rsid w:val="00FC7488"/>
    <w:rsid w:val="00FC7AD2"/>
    <w:rsid w:val="00FD1693"/>
    <w:rsid w:val="00FD3322"/>
    <w:rsid w:val="00FD3677"/>
    <w:rsid w:val="00FD4CDB"/>
    <w:rsid w:val="00FE0B59"/>
    <w:rsid w:val="00FE1B2E"/>
    <w:rsid w:val="00FE2105"/>
    <w:rsid w:val="00FE26D6"/>
    <w:rsid w:val="00FE408A"/>
    <w:rsid w:val="00FE6982"/>
    <w:rsid w:val="00FF0220"/>
    <w:rsid w:val="00FF0242"/>
    <w:rsid w:val="00FF1746"/>
    <w:rsid w:val="00FF192C"/>
    <w:rsid w:val="00FF25ED"/>
    <w:rsid w:val="00FF4A3B"/>
    <w:rsid w:val="00FF57A5"/>
    <w:rsid w:val="00FF7B96"/>
    <w:rsid w:val="01069D8A"/>
    <w:rsid w:val="016E7A31"/>
    <w:rsid w:val="01940BF1"/>
    <w:rsid w:val="0325216D"/>
    <w:rsid w:val="032FD786"/>
    <w:rsid w:val="037876E0"/>
    <w:rsid w:val="03CF89A6"/>
    <w:rsid w:val="048761CA"/>
    <w:rsid w:val="04F4562B"/>
    <w:rsid w:val="06799567"/>
    <w:rsid w:val="068E9F29"/>
    <w:rsid w:val="06A75233"/>
    <w:rsid w:val="07837BB0"/>
    <w:rsid w:val="07C96A32"/>
    <w:rsid w:val="07DDE443"/>
    <w:rsid w:val="0816634B"/>
    <w:rsid w:val="089FE7D7"/>
    <w:rsid w:val="08C53D8C"/>
    <w:rsid w:val="08F7B9C3"/>
    <w:rsid w:val="0913832D"/>
    <w:rsid w:val="091EBCA9"/>
    <w:rsid w:val="09555870"/>
    <w:rsid w:val="09CF02A1"/>
    <w:rsid w:val="09D0BBA3"/>
    <w:rsid w:val="09E3DA98"/>
    <w:rsid w:val="09F058FE"/>
    <w:rsid w:val="09FEA2C3"/>
    <w:rsid w:val="0A611E88"/>
    <w:rsid w:val="0A76B750"/>
    <w:rsid w:val="0A874938"/>
    <w:rsid w:val="0A8847CD"/>
    <w:rsid w:val="0B302A61"/>
    <w:rsid w:val="0B529EB2"/>
    <w:rsid w:val="0B5A93EA"/>
    <w:rsid w:val="0C027FC5"/>
    <w:rsid w:val="0C16CA16"/>
    <w:rsid w:val="0C68E3D2"/>
    <w:rsid w:val="0C6EB7F4"/>
    <w:rsid w:val="0C8B157A"/>
    <w:rsid w:val="0CDE7C3F"/>
    <w:rsid w:val="0CFADE39"/>
    <w:rsid w:val="0D1F699C"/>
    <w:rsid w:val="0E307323"/>
    <w:rsid w:val="0E6919B3"/>
    <w:rsid w:val="0EC45210"/>
    <w:rsid w:val="0F379422"/>
    <w:rsid w:val="1036FC43"/>
    <w:rsid w:val="10856100"/>
    <w:rsid w:val="11373767"/>
    <w:rsid w:val="1156B840"/>
    <w:rsid w:val="115B41CC"/>
    <w:rsid w:val="11C4AC32"/>
    <w:rsid w:val="11D2514C"/>
    <w:rsid w:val="11E3395A"/>
    <w:rsid w:val="127D0FC9"/>
    <w:rsid w:val="12CAE514"/>
    <w:rsid w:val="13624592"/>
    <w:rsid w:val="14579B4A"/>
    <w:rsid w:val="1463F95F"/>
    <w:rsid w:val="1497BDF0"/>
    <w:rsid w:val="15672EF3"/>
    <w:rsid w:val="159F08A2"/>
    <w:rsid w:val="16A4B5F7"/>
    <w:rsid w:val="1735C123"/>
    <w:rsid w:val="175E28AF"/>
    <w:rsid w:val="17620490"/>
    <w:rsid w:val="177FD085"/>
    <w:rsid w:val="1929BB69"/>
    <w:rsid w:val="194E5278"/>
    <w:rsid w:val="19B92A1F"/>
    <w:rsid w:val="1AAE7830"/>
    <w:rsid w:val="1AB8082B"/>
    <w:rsid w:val="1BC7AFA5"/>
    <w:rsid w:val="1BD36674"/>
    <w:rsid w:val="1CFDD698"/>
    <w:rsid w:val="1D4964DE"/>
    <w:rsid w:val="1D5A238D"/>
    <w:rsid w:val="1D5E912B"/>
    <w:rsid w:val="1D7F7156"/>
    <w:rsid w:val="1DC5B929"/>
    <w:rsid w:val="1DDEECEA"/>
    <w:rsid w:val="1E0788B3"/>
    <w:rsid w:val="1E36C0A8"/>
    <w:rsid w:val="1E72BD2E"/>
    <w:rsid w:val="1F59FBD3"/>
    <w:rsid w:val="1FAD0896"/>
    <w:rsid w:val="20262009"/>
    <w:rsid w:val="20339AF0"/>
    <w:rsid w:val="203DE22F"/>
    <w:rsid w:val="20CE3A89"/>
    <w:rsid w:val="2117A9DE"/>
    <w:rsid w:val="213911E6"/>
    <w:rsid w:val="216BC43A"/>
    <w:rsid w:val="221B89E5"/>
    <w:rsid w:val="2241EA7B"/>
    <w:rsid w:val="2276F641"/>
    <w:rsid w:val="22BFEBB5"/>
    <w:rsid w:val="23233A58"/>
    <w:rsid w:val="238BB560"/>
    <w:rsid w:val="2411DAE5"/>
    <w:rsid w:val="24958D28"/>
    <w:rsid w:val="24A3758D"/>
    <w:rsid w:val="24C7601D"/>
    <w:rsid w:val="24E2CB19"/>
    <w:rsid w:val="257FA7D9"/>
    <w:rsid w:val="25A36DA5"/>
    <w:rsid w:val="261118A0"/>
    <w:rsid w:val="2640796A"/>
    <w:rsid w:val="26A80248"/>
    <w:rsid w:val="27299B52"/>
    <w:rsid w:val="2739E3CF"/>
    <w:rsid w:val="27960483"/>
    <w:rsid w:val="281A4C25"/>
    <w:rsid w:val="28430F59"/>
    <w:rsid w:val="28625C0D"/>
    <w:rsid w:val="28CB3441"/>
    <w:rsid w:val="29955768"/>
    <w:rsid w:val="29D17A8B"/>
    <w:rsid w:val="29D37326"/>
    <w:rsid w:val="2A7BF0F7"/>
    <w:rsid w:val="2ACD23B6"/>
    <w:rsid w:val="2AD1C112"/>
    <w:rsid w:val="2AD6CA6F"/>
    <w:rsid w:val="2BB7B83D"/>
    <w:rsid w:val="2C2EDC82"/>
    <w:rsid w:val="2C7057B1"/>
    <w:rsid w:val="2C9B3039"/>
    <w:rsid w:val="2CD664D5"/>
    <w:rsid w:val="2D9A211C"/>
    <w:rsid w:val="2F941329"/>
    <w:rsid w:val="2FA575FE"/>
    <w:rsid w:val="30193D0A"/>
    <w:rsid w:val="308C0147"/>
    <w:rsid w:val="30E45CE2"/>
    <w:rsid w:val="31BCA3C4"/>
    <w:rsid w:val="324C2C9D"/>
    <w:rsid w:val="32B5BD6A"/>
    <w:rsid w:val="337203DD"/>
    <w:rsid w:val="337A65A6"/>
    <w:rsid w:val="3480C265"/>
    <w:rsid w:val="34846122"/>
    <w:rsid w:val="349C9757"/>
    <w:rsid w:val="34A955B0"/>
    <w:rsid w:val="34CABFD2"/>
    <w:rsid w:val="3549BB4D"/>
    <w:rsid w:val="359F8D6B"/>
    <w:rsid w:val="35C7830E"/>
    <w:rsid w:val="360C18A2"/>
    <w:rsid w:val="37701F87"/>
    <w:rsid w:val="3815F719"/>
    <w:rsid w:val="38201916"/>
    <w:rsid w:val="3830B57E"/>
    <w:rsid w:val="38401FCC"/>
    <w:rsid w:val="384FA242"/>
    <w:rsid w:val="38663DB4"/>
    <w:rsid w:val="38C16B10"/>
    <w:rsid w:val="38DF05D2"/>
    <w:rsid w:val="3924C822"/>
    <w:rsid w:val="39673576"/>
    <w:rsid w:val="39FA71BF"/>
    <w:rsid w:val="3A221014"/>
    <w:rsid w:val="3A48ACEE"/>
    <w:rsid w:val="3AB42498"/>
    <w:rsid w:val="3ABFB45F"/>
    <w:rsid w:val="3B252660"/>
    <w:rsid w:val="3BB58F0B"/>
    <w:rsid w:val="3C54443F"/>
    <w:rsid w:val="3C5C5C02"/>
    <w:rsid w:val="3C7FBCB1"/>
    <w:rsid w:val="3D29A54A"/>
    <w:rsid w:val="3D7243F6"/>
    <w:rsid w:val="3DDF7122"/>
    <w:rsid w:val="3DE2AADC"/>
    <w:rsid w:val="3E42FD0E"/>
    <w:rsid w:val="3E56A12E"/>
    <w:rsid w:val="3F130A6A"/>
    <w:rsid w:val="3F21B3D5"/>
    <w:rsid w:val="3F76CE01"/>
    <w:rsid w:val="3F87CAA4"/>
    <w:rsid w:val="3F984B4F"/>
    <w:rsid w:val="3FE78B39"/>
    <w:rsid w:val="4258595D"/>
    <w:rsid w:val="42AAA18C"/>
    <w:rsid w:val="43BB78AD"/>
    <w:rsid w:val="440E9E3C"/>
    <w:rsid w:val="44A23181"/>
    <w:rsid w:val="44DD2F64"/>
    <w:rsid w:val="451880B9"/>
    <w:rsid w:val="45B875BB"/>
    <w:rsid w:val="45F3D031"/>
    <w:rsid w:val="4674013C"/>
    <w:rsid w:val="46916135"/>
    <w:rsid w:val="46CB969D"/>
    <w:rsid w:val="46DB30E0"/>
    <w:rsid w:val="46FF24BA"/>
    <w:rsid w:val="473D69AB"/>
    <w:rsid w:val="47597D79"/>
    <w:rsid w:val="47FD564B"/>
    <w:rsid w:val="48D0E1AE"/>
    <w:rsid w:val="492BB82A"/>
    <w:rsid w:val="4A0B1B43"/>
    <w:rsid w:val="4A5343D8"/>
    <w:rsid w:val="4ACF1600"/>
    <w:rsid w:val="4B23D2F1"/>
    <w:rsid w:val="4BAA9160"/>
    <w:rsid w:val="4BBA2D44"/>
    <w:rsid w:val="4C0D8F0E"/>
    <w:rsid w:val="4C48BB0F"/>
    <w:rsid w:val="4C7585EB"/>
    <w:rsid w:val="4CF14AFD"/>
    <w:rsid w:val="4DB61D17"/>
    <w:rsid w:val="4DDB44A0"/>
    <w:rsid w:val="4EED68E1"/>
    <w:rsid w:val="4F1B1973"/>
    <w:rsid w:val="4F43F6E0"/>
    <w:rsid w:val="4F86402E"/>
    <w:rsid w:val="4FB023D7"/>
    <w:rsid w:val="50013030"/>
    <w:rsid w:val="50E61A38"/>
    <w:rsid w:val="5118B35D"/>
    <w:rsid w:val="5167DA10"/>
    <w:rsid w:val="516B0F52"/>
    <w:rsid w:val="51BE6BF9"/>
    <w:rsid w:val="526ED3A2"/>
    <w:rsid w:val="527A8EFF"/>
    <w:rsid w:val="52BC66C2"/>
    <w:rsid w:val="5302A23D"/>
    <w:rsid w:val="5316F431"/>
    <w:rsid w:val="533BC085"/>
    <w:rsid w:val="5347902C"/>
    <w:rsid w:val="53702940"/>
    <w:rsid w:val="5400C642"/>
    <w:rsid w:val="54096980"/>
    <w:rsid w:val="54B5D9A6"/>
    <w:rsid w:val="54D012D6"/>
    <w:rsid w:val="55756A93"/>
    <w:rsid w:val="55858C3B"/>
    <w:rsid w:val="55E59F3F"/>
    <w:rsid w:val="560AE587"/>
    <w:rsid w:val="5641EADA"/>
    <w:rsid w:val="5658E99F"/>
    <w:rsid w:val="568C1784"/>
    <w:rsid w:val="56BB91FF"/>
    <w:rsid w:val="56D591A9"/>
    <w:rsid w:val="57024467"/>
    <w:rsid w:val="57150FCB"/>
    <w:rsid w:val="575A31F6"/>
    <w:rsid w:val="578637ED"/>
    <w:rsid w:val="57C01962"/>
    <w:rsid w:val="582680C0"/>
    <w:rsid w:val="587D6134"/>
    <w:rsid w:val="593648C1"/>
    <w:rsid w:val="5936A058"/>
    <w:rsid w:val="59736221"/>
    <w:rsid w:val="5AA7F347"/>
    <w:rsid w:val="5C3AD843"/>
    <w:rsid w:val="5C4D1F3C"/>
    <w:rsid w:val="5C85CC15"/>
    <w:rsid w:val="5CBAA2C2"/>
    <w:rsid w:val="5CDBA64A"/>
    <w:rsid w:val="5DBDE8FB"/>
    <w:rsid w:val="5E45D3B6"/>
    <w:rsid w:val="5E66DABE"/>
    <w:rsid w:val="5E89D3BA"/>
    <w:rsid w:val="5F407B60"/>
    <w:rsid w:val="5FC957AC"/>
    <w:rsid w:val="5FDCFCB5"/>
    <w:rsid w:val="5FE741B7"/>
    <w:rsid w:val="60ADE816"/>
    <w:rsid w:val="60BDCF1D"/>
    <w:rsid w:val="613A0D2F"/>
    <w:rsid w:val="61899905"/>
    <w:rsid w:val="6232E511"/>
    <w:rsid w:val="6384D554"/>
    <w:rsid w:val="6411259F"/>
    <w:rsid w:val="64CB5532"/>
    <w:rsid w:val="65CF80BE"/>
    <w:rsid w:val="662399CC"/>
    <w:rsid w:val="663F0FF9"/>
    <w:rsid w:val="6762E45A"/>
    <w:rsid w:val="67D1E42F"/>
    <w:rsid w:val="684CD3E2"/>
    <w:rsid w:val="68D6447C"/>
    <w:rsid w:val="691A4CA2"/>
    <w:rsid w:val="69258094"/>
    <w:rsid w:val="695A09DD"/>
    <w:rsid w:val="6A4BCD58"/>
    <w:rsid w:val="6A7DF54A"/>
    <w:rsid w:val="6AAD834C"/>
    <w:rsid w:val="6AF67807"/>
    <w:rsid w:val="6B35B4D8"/>
    <w:rsid w:val="6B8F4E1E"/>
    <w:rsid w:val="6CA9D6E8"/>
    <w:rsid w:val="6DA37482"/>
    <w:rsid w:val="6E12C6B6"/>
    <w:rsid w:val="6EE14EDF"/>
    <w:rsid w:val="6F2EAF01"/>
    <w:rsid w:val="6F35D31D"/>
    <w:rsid w:val="6F3FE58C"/>
    <w:rsid w:val="6FCD6A36"/>
    <w:rsid w:val="70141779"/>
    <w:rsid w:val="702BF8B3"/>
    <w:rsid w:val="71BEFCA1"/>
    <w:rsid w:val="71CB0919"/>
    <w:rsid w:val="7261D387"/>
    <w:rsid w:val="732F2DC4"/>
    <w:rsid w:val="738EB571"/>
    <w:rsid w:val="73B79B68"/>
    <w:rsid w:val="73E31E6B"/>
    <w:rsid w:val="73EE4CFD"/>
    <w:rsid w:val="73F4EA06"/>
    <w:rsid w:val="74869009"/>
    <w:rsid w:val="74B8B2F2"/>
    <w:rsid w:val="74D6AD0E"/>
    <w:rsid w:val="74EE9502"/>
    <w:rsid w:val="74F8461F"/>
    <w:rsid w:val="75CFED4C"/>
    <w:rsid w:val="767678C7"/>
    <w:rsid w:val="76B68DC1"/>
    <w:rsid w:val="776440CC"/>
    <w:rsid w:val="7768F97A"/>
    <w:rsid w:val="789BD016"/>
    <w:rsid w:val="79401705"/>
    <w:rsid w:val="7A0F07C5"/>
    <w:rsid w:val="7B436C29"/>
    <w:rsid w:val="7B766EC7"/>
    <w:rsid w:val="7C01ABDD"/>
    <w:rsid w:val="7C054946"/>
    <w:rsid w:val="7C78FF2F"/>
    <w:rsid w:val="7D736A9A"/>
    <w:rsid w:val="7E265BC7"/>
    <w:rsid w:val="7E52328F"/>
    <w:rsid w:val="7E6E6AF9"/>
    <w:rsid w:val="7E791B85"/>
    <w:rsid w:val="7F7E0E91"/>
    <w:rsid w:val="7FE87C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758BF6FD-3E5C-47D1-9E55-A67EAE64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22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eastAsia="Times New Roman" w:hAnsi="Arial" w:cs="Times New Roman"/>
      <w:sz w:val="24"/>
      <w:szCs w:val="20"/>
      <w:lang w:eastAsia="en-GB"/>
    </w:rPr>
  </w:style>
  <w:style w:type="table" w:styleId="TableGrid">
    <w:name w:val="Table Grid"/>
    <w:basedOn w:val="TableNormal"/>
    <w:rsid w:val="003D22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eastAsia="Times New Roman" w:hAnsi="Arial" w:cs="Times New Roman"/>
      <w:sz w:val="24"/>
      <w:szCs w:val="24"/>
    </w:rPr>
  </w:style>
  <w:style w:type="paragraph" w:customStyle="1" w:styleId="BEISTitle">
    <w:name w:val="BEIS Title"/>
    <w:basedOn w:val="Normal"/>
    <w:next w:val="Normal"/>
    <w:rsid w:val="00885BB9"/>
    <w:pPr>
      <w:spacing w:after="240" w:line="320" w:lineRule="atLeast"/>
    </w:pPr>
    <w:rPr>
      <w:rFonts w:eastAsiaTheme="minorHAnsi" w:cstheme="minorBidi"/>
      <w:color w:val="041E42"/>
      <w:sz w:val="76"/>
      <w:szCs w:val="22"/>
    </w:rPr>
  </w:style>
  <w:style w:type="paragraph" w:customStyle="1" w:styleId="BEISDate">
    <w:name w:val="BEIS Date"/>
    <w:basedOn w:val="Normal"/>
    <w:rsid w:val="00090217"/>
    <w:pPr>
      <w:spacing w:line="320" w:lineRule="atLeast"/>
    </w:pPr>
    <w:rPr>
      <w:rFonts w:eastAsiaTheme="minorHAnsi" w:cstheme="minorBidi"/>
      <w:color w:val="868686"/>
      <w:sz w:val="28"/>
      <w:szCs w:val="22"/>
    </w:rPr>
  </w:style>
  <w:style w:type="character" w:customStyle="1" w:styleId="Heading1Char">
    <w:name w:val="Heading 1 Char"/>
    <w:basedOn w:val="DefaultParagraphFont"/>
    <w:link w:val="Heading1"/>
    <w:uiPriority w:val="9"/>
    <w:rsid w:val="001B14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customStyle="1" w:styleId="Heading3Char">
    <w:name w:val="Heading 3 Char"/>
    <w:basedOn w:val="DefaultParagraphFont"/>
    <w:link w:val="Heading3"/>
    <w:uiPriority w:val="9"/>
    <w:rsid w:val="0095384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CommentReference">
    <w:name w:val="annotation reference"/>
    <w:basedOn w:val="DefaultParagraphFont"/>
    <w:uiPriority w:val="99"/>
    <w:semiHidden/>
    <w:unhideWhenUsed/>
    <w:rsid w:val="00AA3774"/>
    <w:rPr>
      <w:sz w:val="16"/>
      <w:szCs w:val="16"/>
    </w:rPr>
  </w:style>
  <w:style w:type="paragraph" w:styleId="CommentText">
    <w:name w:val="annotation text"/>
    <w:basedOn w:val="Normal"/>
    <w:link w:val="CommentTextChar"/>
    <w:uiPriority w:val="99"/>
    <w:unhideWhenUsed/>
    <w:rsid w:val="00AA3774"/>
    <w:rPr>
      <w:sz w:val="20"/>
      <w:szCs w:val="20"/>
    </w:rPr>
  </w:style>
  <w:style w:type="character" w:customStyle="1" w:styleId="CommentTextChar">
    <w:name w:val="Comment Text Char"/>
    <w:basedOn w:val="DefaultParagraphFont"/>
    <w:link w:val="CommentText"/>
    <w:uiPriority w:val="99"/>
    <w:rsid w:val="00AA37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A3774"/>
    <w:rPr>
      <w:b/>
      <w:bCs/>
    </w:rPr>
  </w:style>
  <w:style w:type="character" w:customStyle="1" w:styleId="CommentSubjectChar">
    <w:name w:val="Comment Subject Char"/>
    <w:basedOn w:val="CommentTextChar"/>
    <w:link w:val="CommentSubject"/>
    <w:uiPriority w:val="99"/>
    <w:semiHidden/>
    <w:rsid w:val="00AA3774"/>
    <w:rPr>
      <w:rFonts w:ascii="Arial" w:eastAsia="Times New Roman" w:hAnsi="Arial" w:cs="Times New Roman"/>
      <w:b/>
      <w:bCs/>
      <w:sz w:val="20"/>
      <w:szCs w:val="20"/>
    </w:rPr>
  </w:style>
  <w:style w:type="paragraph" w:customStyle="1" w:styleId="paragraph">
    <w:name w:val="paragraph"/>
    <w:basedOn w:val="Normal"/>
    <w:rsid w:val="00AE7E8E"/>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AE7E8E"/>
  </w:style>
  <w:style w:type="character" w:customStyle="1" w:styleId="eop">
    <w:name w:val="eop"/>
    <w:basedOn w:val="DefaultParagraphFont"/>
    <w:rsid w:val="00AE7E8E"/>
  </w:style>
  <w:style w:type="paragraph" w:styleId="FootnoteText">
    <w:name w:val="footnote text"/>
    <w:basedOn w:val="Normal"/>
    <w:link w:val="FootnoteTextChar"/>
    <w:uiPriority w:val="99"/>
    <w:semiHidden/>
    <w:unhideWhenUsed/>
    <w:rsid w:val="00B350EF"/>
    <w:rPr>
      <w:sz w:val="20"/>
      <w:szCs w:val="20"/>
    </w:rPr>
  </w:style>
  <w:style w:type="character" w:customStyle="1" w:styleId="FootnoteTextChar">
    <w:name w:val="Footnote Text Char"/>
    <w:basedOn w:val="DefaultParagraphFont"/>
    <w:link w:val="FootnoteText"/>
    <w:uiPriority w:val="99"/>
    <w:semiHidden/>
    <w:rsid w:val="00B350E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350EF"/>
    <w:rPr>
      <w:vertAlign w:val="superscript"/>
    </w:rPr>
  </w:style>
  <w:style w:type="character" w:styleId="Mention">
    <w:name w:val="Mention"/>
    <w:basedOn w:val="DefaultParagraphFont"/>
    <w:uiPriority w:val="99"/>
    <w:unhideWhenUsed/>
    <w:rsid w:val="00D805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tionalarchives.gov.uk/doc/open-government-licence/version/3/" TargetMode="External"/><Relationship Id="rId18" Type="http://schemas.openxmlformats.org/officeDocument/2006/relationships/hyperlink" Target="https://mptf.undp.org/fund/ccf00" TargetMode="External"/><Relationship Id="rId26" Type="http://schemas.openxmlformats.org/officeDocument/2006/relationships/hyperlink" Target="https://www.fao.org/in-action/openforis/news-and-events/news/news-detail/advancing-field-data-processing-with-the-new-open-foris-arena-2.0/en" TargetMode="External"/><Relationship Id="rId39" Type="http://schemas.openxmlformats.org/officeDocument/2006/relationships/header" Target="header2.xml"/><Relationship Id="rId21" Type="http://schemas.openxmlformats.org/officeDocument/2006/relationships/hyperlink" Target="https://openknowledge.fao.org/items/6f7a67d5-a999-4a9e-a3f5-41d02ad88fea" TargetMode="External"/><Relationship Id="rId34" Type="http://schemas.openxmlformats.org/officeDocument/2006/relationships/hyperlink" Target="https://www.fao.org/forest-monitoring/resources/self-assessment-tools/en"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cience-and-innovation-network.s3.eu-west-2.amazonaws.com/BEIS+ICF/AIM/AIM+for+Forests+Business+Case.docx" TargetMode="External"/><Relationship Id="rId20" Type="http://schemas.openxmlformats.org/officeDocument/2006/relationships/hyperlink" Target="https://www.artredd.org/trees/" TargetMode="External"/><Relationship Id="rId29" Type="http://schemas.openxmlformats.org/officeDocument/2006/relationships/hyperlink" Target="https://openknowledge.fao.org/items/7b46a0a1-9a8e-419e-9fe3-fe60c00ca57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o.org/in-action/boosting-transparency-forest-data/online-facilitated-courses/institutionalization-of-forest-data/en" TargetMode="External"/><Relationship Id="rId32" Type="http://schemas.openxmlformats.org/officeDocument/2006/relationships/hyperlink" Target="https://www.fao.org/ecosystem-restoration-monitoring/stories-detail/strengthening-regional-capacity-for-restoration-monitoring-under-gbf-target-2/en"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ODA-Transparency@beis.gov.uk" TargetMode="External"/><Relationship Id="rId23" Type="http://schemas.openxmlformats.org/officeDocument/2006/relationships/image" Target="media/image2.png"/><Relationship Id="rId28" Type="http://schemas.openxmlformats.org/officeDocument/2006/relationships/hyperlink" Target="https://openknowledge.fao.org/items/8e52e624-4bf9-4e31-8445-394d865c6ea2" TargetMode="External"/><Relationship Id="rId36" Type="http://schemas.openxmlformats.org/officeDocument/2006/relationships/hyperlink" Target="https://beisgov.sharepoint.com/:w:/s/InternationalForests-EXT-OS/EdI4my7dpUBNh1q5ddia0a0BWrJC0j8tOFS1sTw_TRdekQ?e=K7qNEp" TargetMode="External"/><Relationship Id="rId10" Type="http://schemas.openxmlformats.org/officeDocument/2006/relationships/footnotes" Target="footnotes.xml"/><Relationship Id="rId19" Type="http://schemas.openxmlformats.org/officeDocument/2006/relationships/hyperlink" Target="https://openknowledge.fao.org/items/6f7a67d5-a999-4a9e-a3f5-41d02ad88fea" TargetMode="External"/><Relationship Id="rId31" Type="http://schemas.openxmlformats.org/officeDocument/2006/relationships/hyperlink" Target="https://www.fao.org/ecosystem-restoration-monitoring/stories-detail/strengthening-regional-capacity-for-restoration-monitoring-under-gbf-target-2/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si@nationalarchives.gsi.gov.uk" TargetMode="External"/><Relationship Id="rId22" Type="http://schemas.openxmlformats.org/officeDocument/2006/relationships/hyperlink" Target="https://openknowledge.fao.org/items/ce6a1029-c7f3-4ebe-96d6-2640b86e62ab" TargetMode="External"/><Relationship Id="rId27" Type="http://schemas.openxmlformats.org/officeDocument/2006/relationships/hyperlink" Target="https://www.fao.org/gfoi/plenaries/plenary-2025/en" TargetMode="External"/><Relationship Id="rId30" Type="http://schemas.openxmlformats.org/officeDocument/2006/relationships/hyperlink" Target="https://openknowledge.fao.org/items/a0f4a730-d4c0-4999-bd09-560273207b31" TargetMode="External"/><Relationship Id="rId35" Type="http://schemas.openxmlformats.org/officeDocument/2006/relationships/hyperlink" Target="https://www.fao.org/in-action/aim4forests/newsletters/e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science-and-innovation-network.s3.eu-west-2.amazonaws.com/BEIS+ICF/AIM/AIM4Forests+AR+2024+Final+with+para+redacted.docx" TargetMode="External"/><Relationship Id="rId25" Type="http://schemas.openxmlformats.org/officeDocument/2006/relationships/hyperlink" Target="https://elearning.fao.org/course/view.php?id=1308" TargetMode="External"/><Relationship Id="rId33" Type="http://schemas.openxmlformats.org/officeDocument/2006/relationships/hyperlink" Target="https://www.fao.org/gfoi/country-led-planning/en"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nknowledge.fao.org/items/6f7a67d5-a999-4a9e-a3f5-41d02ad88fe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"Name": "BEIS Annual Review Template April 2020.docx",
  "Title": "Annual Review Template_April 2020",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"2020-04-17T10:35:13.0000000Z",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"2020-04-17T10:35:16.0000000Z",
  "Document Modified By": "i:0#.f|membership|william.smithers@beis.gov.uk",
  "Document Created By": "i:0#.f|membership|william.smithers@beis.gov.uk",
  "Document ID Value": "2QFN7KK647Q6-169810503-3609",
  "Modified": "2020-06-12T15:11:14.0000000Z",
  "Original Location": "/sites/beis/201/Portfolio/Project Monitoring and Delivery/Annual Reviews/BEIS Annual Review Template April 2020.docx"
}</LegacyData>
    <_dlc_DocId xmlns="839018be-1fd5-46c8-bb5f-8e5f297ce001">N3MC4NMT5URJ-1164569100-20959</_dlc_DocId>
    <TaxCatchAll xmlns="839018be-1fd5-46c8-bb5f-8e5f297ce001">
      <Value>27</Value>
      <Value>3</Value>
      <Value>28</Value>
    </TaxCatchAll>
    <_dlc_DocIdUrl xmlns="839018be-1fd5-46c8-bb5f-8e5f297ce001">
      <Url>https://beisgov.sharepoint.com/sites/InternationalForests-EXT-OS/_layouts/15/DocIdRedir.aspx?ID=N3MC4NMT5URJ-1164569100-20959</Url>
      <Description>N3MC4NMT5URJ-1164569100-20959</Description>
    </_dlc_DocIdUrl>
    <SharedWithUsers xmlns="839018be-1fd5-46c8-bb5f-8e5f297ce001">
      <UserInfo>
        <DisplayName>zz_Bray, Callum (BEIS)</DisplayName>
        <AccountId>1135</AccountId>
        <AccountType/>
      </UserInfo>
      <UserInfo>
        <DisplayName>zz_Lugt, Ellie (International - Climate and Energy)</DisplayName>
        <AccountId>1134</AccountId>
        <AccountType/>
      </UserInfo>
      <UserInfo>
        <DisplayName>White, James (DSIT)</DisplayName>
        <AccountId>1136</AccountId>
        <AccountType/>
      </UserInfo>
      <UserInfo>
        <DisplayName>zz_Walter, Poppy (NZBI - Domestic)</DisplayName>
        <AccountId>1489</AccountId>
        <AccountType/>
      </UserInfo>
      <UserInfo>
        <DisplayName>zz_Robinson, Giulia (International - Climate and Energy)</DisplayName>
        <AccountId>1436</AccountId>
        <AccountType/>
      </UserInfo>
      <UserInfo>
        <DisplayName>Hughes, Catriona (Business Sectors - Infrastructure &amp; Materials)</DisplayName>
        <AccountId>1191</AccountId>
        <AccountType/>
      </UserInfo>
      <UserInfo>
        <DisplayName>zz_White, Alastair (NZSI - International Net Zero)</DisplayName>
        <AccountId>1268</AccountId>
        <AccountType/>
      </UserInfo>
      <UserInfo>
        <DisplayName>zz_Andrews, Sophie (International - Climate and Energy)</DisplayName>
        <AccountId>1433</AccountId>
        <AccountType/>
      </UserInfo>
      <UserInfo>
        <DisplayName>Patrick, Niall (Energy Security)</DisplayName>
        <AccountId>534</AccountId>
        <AccountType/>
      </UserInfo>
      <UserInfo>
        <DisplayName>zz_Stathakopoulou, Christina (NZSI - International Net Zero)</DisplayName>
        <AccountId>1518</AccountId>
        <AccountType/>
      </UserInfo>
      <UserInfo>
        <DisplayName>zz_Sardeson, Lottie (Intl Climate Finance - Investments)</DisplayName>
        <AccountId>282</AccountId>
        <AccountType/>
      </UserInfo>
      <UserInfo>
        <DisplayName>zz_Donegan, Brendan (Energy Security)</DisplayName>
        <AccountId>539</AccountId>
        <AccountType/>
      </UserInfo>
      <UserInfo>
        <DisplayName>zz_Gibbs, Douglas (Intl Climate Finance - Investments)</DisplayName>
        <AccountId>13</AccountId>
        <AccountType/>
      </UserInfo>
      <UserInfo>
        <DisplayName>zz_Mills, Sarah (Intl Climate Finance - Investments)</DisplayName>
        <AccountId>66</AccountId>
        <AccountType/>
      </UserInfo>
      <UserInfo>
        <DisplayName>Farmer, Will (Energy Security)</DisplayName>
        <AccountId>142</AccountId>
        <AccountType/>
      </UserInfo>
      <UserInfo>
        <DisplayName>Ahmed, Tajbee (Energy Security)</DisplayName>
        <AccountId>219</AccountId>
        <AccountType/>
      </UserInfo>
      <UserInfo>
        <DisplayName>zz_Evans, Sian (Intl Climate Finance - Partnerships)</DisplayName>
        <AccountId>104</AccountId>
        <AccountType/>
      </UserInfo>
      <UserInfo>
        <DisplayName>Davis, Owen (Energy Security)</DisplayName>
        <AccountId>245</AccountId>
        <AccountType/>
      </UserInfo>
      <UserInfo>
        <DisplayName>Paton, Ellen (Energy Security)</DisplayName>
        <AccountId>37</AccountId>
        <AccountType/>
      </UserInfo>
      <UserInfo>
        <DisplayName>zz_Kasliwal, Pritika (Intl Climate Finance - Partnerships)</DisplayName>
        <AccountId>81</AccountId>
        <AccountType/>
      </UserInfo>
      <UserInfo>
        <DisplayName>Hirschhausen, Lara (Energy Security)</DisplayName>
        <AccountId>218</AccountId>
        <AccountType/>
      </UserInfo>
      <UserInfo>
        <DisplayName>zz_Le Quesne, Felicity (NZSI - International Forests Hub)</DisplayName>
        <AccountId>72</AccountId>
        <AccountType/>
      </UserInfo>
      <UserInfo>
        <DisplayName>zz_Ashworth, Francesca (Science, Research &amp; Innovation)</DisplayName>
        <AccountId>2123</AccountId>
        <AccountType/>
      </UserInfo>
      <UserInfo>
        <DisplayName>zz_Tomlinson, Luke (Intl Climate Finance - Investments)</DisplayName>
        <AccountId>123</AccountId>
        <AccountType/>
      </UserInfo>
      <UserInfo>
        <DisplayName>zz_Schuler, Nina (International - Climate and Energy)</DisplayName>
        <AccountId>2097</AccountId>
        <AccountType/>
      </UserInfo>
      <UserInfo>
        <DisplayName>Olubodun, Lekan (NZSI - International Net Zero)</DisplayName>
        <AccountId>162</AccountId>
        <AccountType/>
      </UserInfo>
      <UserInfo>
        <DisplayName>Augustin, Sidney (DSIT)</DisplayName>
        <AccountId>267</AccountId>
        <AccountType/>
      </UserInfo>
      <UserInfo>
        <DisplayName>zz_Liehr, Estefania (Intl Climate Finance - Investments)</DisplayName>
        <AccountId>87</AccountId>
        <AccountType/>
      </UserInfo>
      <UserInfo>
        <DisplayName>veronica.robledo</DisplayName>
        <AccountId>1977</AccountId>
        <AccountType/>
      </UserInfo>
      <UserInfo>
        <DisplayName>lina.penuela@fcdo.gov.uk</DisplayName>
        <AccountId>1971</AccountId>
        <AccountType/>
      </UserInfo>
      <UserInfo>
        <DisplayName>natalia.rodriguez</DisplayName>
        <AccountId>1978</AccountId>
        <AccountType/>
      </UserInfo>
      <UserInfo>
        <DisplayName>Veronica Robledo (Sensitive)</DisplayName>
        <AccountId>607</AccountId>
        <AccountType/>
      </UserInfo>
      <UserInfo>
        <DisplayName>Lina Penuela (Sensitive)</DisplayName>
        <AccountId>608</AccountId>
        <AccountType/>
      </UserInfo>
      <UserInfo>
        <DisplayName>Natalia Rodriguez (Sensitive)</DisplayName>
        <AccountId>606</AccountId>
        <AccountType/>
      </UserInfo>
      <UserInfo>
        <DisplayName>Caravani, Alice (Energy Security)</DisplayName>
        <AccountId>187</AccountId>
        <AccountType/>
      </UserInfo>
      <UserInfo>
        <DisplayName>zz_Unadkat, Kavi (International - Climate and Energy)</DisplayName>
        <AccountId>2318</AccountId>
        <AccountType/>
      </UserInfo>
      <UserInfo>
        <DisplayName>zz_Rose, Ginny (International - Climate and Energy)</DisplayName>
        <AccountId>5308</AccountId>
        <AccountType/>
      </UserInfo>
      <UserInfo>
        <DisplayName>Baillie, Jack (NZSI - International Net Zero)</DisplayName>
        <AccountId>5028</AccountId>
        <AccountType/>
      </UserInfo>
      <UserInfo>
        <DisplayName>Al-Sibassi, Eman (Energy Security)</DisplayName>
        <AccountId>723</AccountId>
        <AccountType/>
      </UserInfo>
      <UserInfo>
        <DisplayName>zz_Enevoldsen, Chloe (NZSI - International Net Zero)</DisplayName>
        <AccountId>5447</AccountId>
        <AccountType/>
      </UserInfo>
      <UserInfo>
        <DisplayName>zz_Carro, Inigo (BEIS)</DisplayName>
        <AccountId>5241</AccountId>
        <AccountType/>
      </UserInfo>
      <UserInfo>
        <DisplayName>zz_Kennedy, Ruth (Intl Climate Finance - Investments)</DisplayName>
        <AccountId>54</AccountId>
        <AccountType/>
      </UserInfo>
      <UserInfo>
        <DisplayName>zz_Pettem, Sarah (Intl Climate Finance - Portfolio)</DisplayName>
        <AccountId>190</AccountId>
        <AccountType/>
      </UserInfo>
      <UserInfo>
        <DisplayName>zz_Hodgetts, George (NZSI - International Net Zero)</DisplayName>
        <AccountId>101</AccountId>
        <AccountType/>
      </UserInfo>
      <UserInfo>
        <DisplayName>zz_Keene, Alexander (Topps - National Security &amp; International)</DisplayName>
        <AccountId>5053</AccountId>
        <AccountType/>
      </UserInfo>
      <UserInfo>
        <DisplayName>Hillson, Isabelle (Energy Security)</DisplayName>
        <AccountId>2927</AccountId>
        <AccountType/>
      </UserInfo>
      <UserInfo>
        <DisplayName>Smithers, William (Energy Security)</DisplayName>
        <AccountId>15</AccountId>
        <AccountType/>
      </UserInfo>
      <UserInfo>
        <DisplayName>Bunte, Svenja (Energy Security)</DisplayName>
        <AccountId>5357</AccountId>
        <AccountType/>
      </UserInfo>
      <UserInfo>
        <DisplayName>Jones3, Philip (Energy Security)</DisplayName>
        <AccountId>8101</AccountId>
        <AccountType/>
      </UserInfo>
      <UserInfo>
        <DisplayName>Sarah Pettem</DisplayName>
        <AccountId>7821</AccountId>
        <AccountType/>
      </UserInfo>
      <UserInfo>
        <DisplayName>Boustead, Rebecca (Energy Security)</DisplayName>
        <AccountId>3176</AccountId>
        <AccountType/>
      </UserInfo>
      <UserInfo>
        <DisplayName>Evans, Rachael (Energy Security)</DisplayName>
        <AccountId>8412</AccountId>
        <AccountType/>
      </UserInfo>
      <UserInfo>
        <DisplayName>LeNagard, Clementine (Energy Security)</DisplayName>
        <AccountId>8741</AccountId>
        <AccountType/>
      </UserInfo>
      <UserInfo>
        <DisplayName>zz_Birkett, Joe (Energy Security)</DisplayName>
        <AccountId>8537</AccountId>
        <AccountType/>
      </UserInfo>
      <UserInfo>
        <DisplayName>Poletti, Monica (Energy Security)</DisplayName>
        <AccountId>8373</AccountId>
        <AccountType/>
      </UserInfo>
      <UserInfo>
        <DisplayName>Flanagan, Thomas (Energy Supply - Energy Affordability)</DisplayName>
        <AccountId>8834</AccountId>
        <AccountType/>
      </UserInfo>
      <UserInfo>
        <DisplayName>Evans, Jacob (Energy Security)</DisplayName>
        <AccountId>8531</AccountId>
        <AccountType/>
      </UserInfo>
      <UserInfo>
        <DisplayName>Wong2, Matthew (Energy Security)</DisplayName>
        <AccountId>8545</AccountId>
        <AccountType/>
      </UserInfo>
      <UserInfo>
        <DisplayName>zz_Haddad, Marie (Energy Security)</DisplayName>
        <AccountId>8530</AccountId>
        <AccountType/>
      </UserInfo>
      <UserInfo>
        <DisplayName>zz_Carroll, Sabrina (Energy Security)</DisplayName>
        <AccountId>8195</AccountId>
        <AccountType/>
      </UserInfo>
      <UserInfo>
        <DisplayName>Norman-Rhodes, Alex (Energy Security)</DisplayName>
        <AccountId>8102</AccountId>
        <AccountType/>
      </UserInfo>
      <UserInfo>
        <DisplayName>Connolly, Michael (Energy Security)</DisplayName>
        <AccountId>8895</AccountId>
        <AccountType/>
      </UserInfo>
      <UserInfo>
        <DisplayName>zz_Salt, Fred (NZSI - International Net Zero )</DisplayName>
        <AccountId>8544</AccountId>
        <AccountType/>
      </UserInfo>
      <UserInfo>
        <DisplayName>Parris, Francesca (Energy Security)</DisplayName>
        <AccountId>3785</AccountId>
        <AccountType/>
      </UserInfo>
      <UserInfo>
        <DisplayName>Sanyal, Sean (Energy Security)</DisplayName>
        <AccountId>8539</AccountId>
        <AccountType/>
      </UserInfo>
      <UserInfo>
        <DisplayName>Bertrand, Jeromine (Energy Security)</DisplayName>
        <AccountId>80</AccountId>
        <AccountType/>
      </UserInfo>
      <UserInfo>
        <DisplayName>Apine, Alina (Energy Security)</DisplayName>
        <AccountId>4968</AccountId>
        <AccountType/>
      </UserInfo>
      <UserInfo>
        <DisplayName>Hampton-Ball, Simon (Energy Security)</DisplayName>
        <AccountId>53</AccountId>
        <AccountType/>
      </UserInfo>
      <UserInfo>
        <DisplayName>zz_Wastie, Tayah (Energy Security)</DisplayName>
        <AccountId>8372</AccountId>
        <AccountType/>
      </UserInfo>
      <UserInfo>
        <DisplayName>zz_Rodriguez, Poppy (Energy Security)</DisplayName>
        <AccountId>9126</AccountId>
        <AccountType/>
      </UserInfo>
      <UserInfo>
        <DisplayName>Livesey, Renee (Energy Security)</DisplayName>
        <AccountId>306</AccountId>
        <AccountType/>
      </UserInfo>
      <UserInfo>
        <DisplayName>Shipley, Chris (Energy Security)</DisplayName>
        <AccountId>68</AccountId>
        <AccountType/>
      </UserInfo>
      <UserInfo>
        <DisplayName>Bennett, Victoria (Energy Security)</DisplayName>
        <AccountId>9902</AccountId>
        <AccountType/>
      </UserInfo>
      <UserInfo>
        <DisplayName>Stringer, Fiona (Energy Security)</DisplayName>
        <AccountId>99</AccountId>
        <AccountType/>
      </UserInfo>
      <UserInfo>
        <DisplayName>Situ, Victoria (Energy Security)</DisplayName>
        <AccountId>183</AccountId>
        <AccountType/>
      </UserInfo>
      <UserInfo>
        <DisplayName>Mohammadpour, Parmida (Energy Security)</DisplayName>
        <AccountId>9464</AccountId>
        <AccountType/>
      </UserInfo>
      <UserInfo>
        <DisplayName>Walker, Joe (Energy Security)</DisplayName>
        <AccountId>10364</AccountId>
        <AccountType/>
      </UserInfo>
      <UserInfo>
        <DisplayName>Raichoora, Ravi (Energy Security)</DisplayName>
        <AccountId>10201</AccountId>
        <AccountType/>
      </UserInfo>
      <UserInfo>
        <DisplayName>Firth, Rosalind (Energy Security)</DisplayName>
        <AccountId>11555</AccountId>
        <AccountType/>
      </UserInfo>
      <UserInfo>
        <DisplayName>Catton, Ryan (Energy Security)</DisplayName>
        <AccountId>10905</AccountId>
        <AccountType/>
      </UserInfo>
      <UserInfo>
        <DisplayName>Biddle, Harry (Topps - Analysis Directorate)</DisplayName>
        <AccountId>10842</AccountId>
        <AccountType/>
      </UserInfo>
    </SharedWithUsers>
    <lcf76f155ced4ddcb4097134ff3c332f xmlns="b3d83fe4-f584-44c1-ada4-cced241b61b0">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Comments_x002f_keyelements xmlns="b3d83fe4-f584-44c1-ada4-cced241b61b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EDB4F82A4FD31439328CBC569C1149B" ma:contentTypeVersion="21" ma:contentTypeDescription="Create a new document." ma:contentTypeScope="" ma:versionID="a8db199c007e854cc6042756a819d245">
  <xsd:schema xmlns:xsd="http://www.w3.org/2001/XMLSchema" xmlns:xs="http://www.w3.org/2001/XMLSchema" xmlns:p="http://schemas.microsoft.com/office/2006/metadata/properties" xmlns:ns2="0f9fa326-da26-4ea8-b6a9-645e8136fe1d" xmlns:ns3="839018be-1fd5-46c8-bb5f-8e5f297ce001" xmlns:ns4="aaacb922-5235-4a66-b188-303b9b46fbd7" xmlns:ns5="b3d83fe4-f584-44c1-ada4-cced241b61b0" targetNamespace="http://schemas.microsoft.com/office/2006/metadata/properties" ma:root="true" ma:fieldsID="281e53aa03d71f3d6d4a8e6eb6a928a7" ns2:_="" ns3:_="" ns4:_="" ns5:_="">
    <xsd:import namespace="0f9fa326-da26-4ea8-b6a9-645e8136fe1d"/>
    <xsd:import namespace="839018be-1fd5-46c8-bb5f-8e5f297ce001"/>
    <xsd:import namespace="aaacb922-5235-4a66-b188-303b9b46fbd7"/>
    <xsd:import namespace="b3d83fe4-f584-44c1-ada4-cced241b61b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element ref="ns5:MediaServiceSearchProperties" minOccurs="0"/>
                <xsd:element ref="ns5:MediaServiceLocation" minOccurs="0"/>
                <xsd:element ref="ns5:Comments_x002f_keyel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 and Energy,|8ce3479e-0228-4d4b-8382-a951e8f3cec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9018be-1fd5-46c8-bb5f-8e5f297ce00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7848f78-89dd-4aa4-a5d3-4bc706e8013d}" ma:internalName="TaxCatchAll" ma:showField="CatchAllData"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848f78-89dd-4aa4-a5d3-4bc706e8013d}" ma:internalName="TaxCatchAllLabel" ma:readOnly="true" ma:showField="CatchAllDataLabel" ma:web="839018be-1fd5-46c8-bb5f-8e5f297ce00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3fe4-f584-44c1-ada4-cced241b61b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element name="Comments_x002f_keyelements" ma:index="36" nillable="true" ma:displayName="Comments/key elements" ma:description="Include info on any key points covered in key emails" ma:format="Dropdown" ma:internalName="Comments_x002f_keyele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2.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3.xml><?xml version="1.0" encoding="utf-8"?>
<ds:datastoreItem xmlns:ds="http://schemas.openxmlformats.org/officeDocument/2006/customXml" ds:itemID="{49948BD2-19FB-4A1A-9F04-1E661C4B97AC}">
  <ds:schemaRefs>
    <ds:schemaRef ds:uri="http://schemas.microsoft.com/sharepoint/events"/>
  </ds:schemaRefs>
</ds:datastoreItem>
</file>

<file path=customXml/itemProps4.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aaacb922-5235-4a66-b188-303b9b46fbd7"/>
    <ds:schemaRef ds:uri="839018be-1fd5-46c8-bb5f-8e5f297ce001"/>
    <ds:schemaRef ds:uri="b3d83fe4-f584-44c1-ada4-cced241b61b0"/>
    <ds:schemaRef ds:uri="0f9fa326-da26-4ea8-b6a9-645e8136fe1d"/>
  </ds:schemaRefs>
</ds:datastoreItem>
</file>

<file path=customXml/itemProps5.xml><?xml version="1.0" encoding="utf-8"?>
<ds:datastoreItem xmlns:ds="http://schemas.openxmlformats.org/officeDocument/2006/customXml" ds:itemID="{B3FD4644-2D34-4A04-90D5-4C3A8F27F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39018be-1fd5-46c8-bb5f-8e5f297ce001"/>
    <ds:schemaRef ds:uri="aaacb922-5235-4a66-b188-303b9b46fbd7"/>
    <ds:schemaRef ds:uri="b3d83fe4-f584-44c1-ada4-cced241b6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62f585-b40f-4ab9-bafe-39150f03d124}" enabled="1" method="Standard" siteId="{cbac7005-02c1-43eb-b497-e6492d1b2dd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12479</Words>
  <Characters>71131</Characters>
  <Application>Microsoft Office Word</Application>
  <DocSecurity>0</DocSecurity>
  <Lines>592</Lines>
  <Paragraphs>166</Paragraphs>
  <ScaleCrop>false</ScaleCrop>
  <Company/>
  <LinksUpToDate>false</LinksUpToDate>
  <CharactersWithSpaces>83444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Stringer, Fiona (Energy Security)</cp:lastModifiedBy>
  <cp:revision>503</cp:revision>
  <dcterms:created xsi:type="dcterms:W3CDTF">2024-06-05T08:07:00Z</dcterms:created>
  <dcterms:modified xsi:type="dcterms:W3CDTF">2026-04-28T14:46:00Z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0x0101004691A8DE0991884F8E90AD6474FC737301002EDB4F82A4FD31439328CBC569C1149B</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_dlc_DocIdItemGuid">
    <vt:lpwstr>c4ede4b4-c127-4a3a-bce9-28736dff3c9f</vt:lpwstr>
  </property>
  <property fmtid="{D5CDD505-2E9C-101B-9397-08002B2CF9AE}" pid="18" name="MSIP_Label_e4c996da-17fa-4fc5-8989-2758fb4cf86b_SetDate">
    <vt:lpwstr>2020-03-30T16:49:07Z</vt:lpwstr>
  </property>
  <property fmtid="{D5CDD505-2E9C-101B-9397-08002B2CF9AE}" pid="19" name="MSIP_Label_e4c996da-17fa-4fc5-8989-2758fb4cf86b_Method">
    <vt:lpwstr>Standard</vt:lpwstr>
  </property>
  <property fmtid="{D5CDD505-2E9C-101B-9397-08002B2CF9AE}" pid="20" name="MediaServiceImageTags">
    <vt:lpwstr/>
  </property>
  <property fmtid="{D5CDD505-2E9C-101B-9397-08002B2CF9AE}" pid="21" name="KIM_Activity">
    <vt:lpwstr>28;#International climate|5a595758-250c-1237-4802-ae3329732708</vt:lpwstr>
  </property>
  <property fmtid="{D5CDD505-2E9C-101B-9397-08002B2CF9AE}" pid="22" name="KIM_GovernmentBody">
    <vt:lpwstr>3;#BEIS|b386cac2-c28c-4db4-8fca-43733d0e74ef</vt:lpwstr>
  </property>
  <property fmtid="{D5CDD505-2E9C-101B-9397-08002B2CF9AE}" pid="23" name="KIM_Function">
    <vt:lpwstr>27;#Climate and energy|98b2efea-a649-07e6-a104-07f256801c42</vt:lpwstr>
  </property>
  <property fmtid="{D5CDD505-2E9C-101B-9397-08002B2CF9AE}" pid="24" name="Business_x0020_Unit">
    <vt:lpwstr>1;#International Climate Finance|25a07eec-082c-4868-be05-2bef48a6767e</vt:lpwstr>
  </property>
  <property fmtid="{D5CDD505-2E9C-101B-9397-08002B2CF9AE}" pid="25" name="docLang">
    <vt:lpwstr>en</vt:lpwstr>
  </property>
</Properties>
</file>