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67FEB" w:rsidP="003D222C" w:rsidRDefault="00C67FEB" w14:paraId="2B8EC0E8" w14:textId="77777777">
      <w:pPr>
        <w:rPr>
          <w:sz w:val="22"/>
          <w:szCs w:val="22"/>
          <w:u w:val="single"/>
        </w:rPr>
      </w:pPr>
    </w:p>
    <w:p w:rsidR="00885BB9" w:rsidP="00885BB9" w:rsidRDefault="00885BB9" w14:paraId="38EC76C4" w14:textId="77777777">
      <w:pPr>
        <w:pStyle w:val="BEISTitle"/>
      </w:pPr>
    </w:p>
    <w:p w:rsidR="00885BB9" w:rsidP="00885BB9" w:rsidRDefault="00885BB9" w14:paraId="0A34EE9B" w14:textId="77777777">
      <w:pPr>
        <w:pStyle w:val="BEISTitle"/>
      </w:pPr>
    </w:p>
    <w:p w:rsidR="00885BB9" w:rsidP="00885BB9" w:rsidRDefault="00885BB9" w14:paraId="76C49B04" w14:textId="77777777">
      <w:pPr>
        <w:pStyle w:val="BEISTitle"/>
      </w:pPr>
    </w:p>
    <w:p w:rsidR="00885BB9" w:rsidP="00885BB9" w:rsidRDefault="00885BB9" w14:paraId="7C7FEA78" w14:textId="77777777">
      <w:pPr>
        <w:pStyle w:val="BEISTitle"/>
      </w:pPr>
    </w:p>
    <w:p w:rsidR="00D80C6C" w:rsidP="00885BB9" w:rsidRDefault="00D80C6C" w14:paraId="64C9A776" w14:textId="77777777">
      <w:pPr>
        <w:pStyle w:val="BEISTitle"/>
      </w:pPr>
    </w:p>
    <w:p w:rsidR="00964968" w:rsidP="00964968" w:rsidRDefault="5438C33C" w14:paraId="6C63CC07" w14:textId="0F81621F">
      <w:pPr>
        <w:pStyle w:val="BEISTitle"/>
      </w:pPr>
      <w:proofErr w:type="spellStart"/>
      <w:r>
        <w:t>BioCarbon</w:t>
      </w:r>
      <w:proofErr w:type="spellEnd"/>
      <w:r>
        <w:t xml:space="preserve"> Fund Initiative for Sustainable Forest Landscapes (ISFL) </w:t>
      </w:r>
      <w:r w:rsidR="00964968">
        <w:t xml:space="preserve">Annual Review </w:t>
      </w:r>
      <w:r w:rsidR="03C1A900">
        <w:t>2024 - 2025</w:t>
      </w:r>
    </w:p>
    <w:p w:rsidR="00C67FEB" w:rsidRDefault="00C67FEB" w14:paraId="624DAC73" w14:textId="3BC335B7">
      <w:pPr>
        <w:spacing w:after="160" w:line="259" w:lineRule="auto"/>
        <w:rPr>
          <w:sz w:val="22"/>
          <w:szCs w:val="22"/>
          <w:u w:val="single"/>
        </w:rPr>
      </w:pPr>
    </w:p>
    <w:p w:rsidR="007D1D64" w:rsidRDefault="007D1D64" w14:paraId="4AF08E4A" w14:textId="20AFDEDA">
      <w:pPr>
        <w:spacing w:after="160" w:line="259" w:lineRule="auto"/>
        <w:rPr>
          <w:sz w:val="22"/>
          <w:szCs w:val="22"/>
        </w:rPr>
      </w:pPr>
    </w:p>
    <w:p w:rsidRPr="007D1D64" w:rsidR="007D1D64" w:rsidRDefault="007D1D64" w14:paraId="160505CC" w14:textId="77777777">
      <w:pPr>
        <w:spacing w:after="160" w:line="259" w:lineRule="auto"/>
        <w:rPr>
          <w:sz w:val="22"/>
          <w:szCs w:val="22"/>
        </w:rPr>
      </w:pPr>
    </w:p>
    <w:p w:rsidR="00090217" w:rsidP="003D222C" w:rsidRDefault="00090217" w14:paraId="6ED798D0" w14:textId="77777777">
      <w:pPr>
        <w:rPr>
          <w:sz w:val="22"/>
          <w:szCs w:val="22"/>
          <w:u w:val="single"/>
        </w:rPr>
      </w:pPr>
    </w:p>
    <w:p w:rsidR="007D1D64" w:rsidP="007D1D64" w:rsidRDefault="007D1D64" w14:paraId="1F841114" w14:textId="027A752E">
      <w:pPr>
        <w:spacing w:after="160" w:line="259" w:lineRule="auto"/>
        <w:rPr>
          <w:sz w:val="22"/>
          <w:szCs w:val="22"/>
        </w:rPr>
      </w:pPr>
    </w:p>
    <w:p w:rsidR="007D1D64" w:rsidRDefault="007D1D64" w14:paraId="744BC35C" w14:textId="77777777">
      <w:pPr>
        <w:spacing w:after="160" w:line="259" w:lineRule="auto"/>
        <w:rPr>
          <w:sz w:val="22"/>
          <w:szCs w:val="22"/>
        </w:rPr>
      </w:pPr>
    </w:p>
    <w:p w:rsidR="007D1D64" w:rsidRDefault="007D1D64" w14:paraId="2EEE1272" w14:textId="0FA2D180">
      <w:pPr>
        <w:spacing w:after="160" w:line="259" w:lineRule="auto"/>
        <w:rPr>
          <w:sz w:val="22"/>
          <w:szCs w:val="22"/>
        </w:rPr>
      </w:pPr>
      <w:r>
        <w:rPr>
          <w:sz w:val="22"/>
          <w:szCs w:val="22"/>
        </w:rPr>
        <w:br w:type="page"/>
      </w:r>
    </w:p>
    <w:p w:rsidR="007D1D64" w:rsidP="007D1D64" w:rsidRDefault="007D1D64" w14:paraId="1FB1C90B" w14:textId="21AF7FBD">
      <w:pPr>
        <w:spacing w:after="160" w:line="259" w:lineRule="auto"/>
        <w:rPr>
          <w:sz w:val="22"/>
          <w:szCs w:val="22"/>
        </w:rPr>
      </w:pPr>
    </w:p>
    <w:p w:rsidRPr="007D1D64" w:rsidR="007D1D64" w:rsidP="007D1D64" w:rsidRDefault="007D1D64" w14:paraId="6FC09FA9" w14:textId="77777777">
      <w:pPr>
        <w:spacing w:after="160" w:line="259" w:lineRule="auto"/>
        <w:rPr>
          <w:sz w:val="22"/>
          <w:szCs w:val="22"/>
        </w:rPr>
      </w:pPr>
    </w:p>
    <w:p w:rsidR="00112E33" w:rsidP="007D1D64" w:rsidRDefault="00112E33" w14:paraId="40B4FF2C" w14:textId="77777777">
      <w:pPr>
        <w:spacing w:after="160" w:line="259" w:lineRule="auto"/>
        <w:rPr>
          <w:sz w:val="22"/>
          <w:szCs w:val="22"/>
        </w:rPr>
      </w:pPr>
    </w:p>
    <w:p w:rsidR="00112E33" w:rsidP="007D1D64" w:rsidRDefault="00112E33" w14:paraId="01A42860" w14:textId="77777777">
      <w:pPr>
        <w:spacing w:after="160" w:line="259" w:lineRule="auto"/>
        <w:rPr>
          <w:sz w:val="22"/>
          <w:szCs w:val="22"/>
        </w:rPr>
      </w:pPr>
    </w:p>
    <w:p w:rsidR="00112E33" w:rsidP="007D1D64" w:rsidRDefault="00112E33" w14:paraId="4A8FCC2A" w14:textId="77777777">
      <w:pPr>
        <w:spacing w:after="160" w:line="259" w:lineRule="auto"/>
        <w:rPr>
          <w:sz w:val="22"/>
          <w:szCs w:val="22"/>
        </w:rPr>
      </w:pPr>
    </w:p>
    <w:p w:rsidR="00112E33" w:rsidP="007D1D64" w:rsidRDefault="00112E33" w14:paraId="31553A3C" w14:textId="77777777">
      <w:pPr>
        <w:spacing w:after="160" w:line="259" w:lineRule="auto"/>
        <w:rPr>
          <w:sz w:val="22"/>
          <w:szCs w:val="22"/>
        </w:rPr>
      </w:pPr>
    </w:p>
    <w:p w:rsidR="00112E33" w:rsidP="007D1D64" w:rsidRDefault="00112E33" w14:paraId="1E72DB9D" w14:textId="77777777">
      <w:pPr>
        <w:spacing w:after="160" w:line="259" w:lineRule="auto"/>
        <w:rPr>
          <w:sz w:val="22"/>
          <w:szCs w:val="22"/>
        </w:rPr>
      </w:pPr>
    </w:p>
    <w:p w:rsidR="00112E33" w:rsidP="007D1D64" w:rsidRDefault="00112E33" w14:paraId="716930C2" w14:textId="77777777">
      <w:pPr>
        <w:spacing w:after="160" w:line="259" w:lineRule="auto"/>
        <w:rPr>
          <w:sz w:val="22"/>
          <w:szCs w:val="22"/>
        </w:rPr>
      </w:pPr>
    </w:p>
    <w:p w:rsidR="00112E33" w:rsidP="007D1D64" w:rsidRDefault="00112E33" w14:paraId="3ABDAEFF" w14:textId="77777777">
      <w:pPr>
        <w:spacing w:after="160" w:line="259" w:lineRule="auto"/>
        <w:rPr>
          <w:sz w:val="22"/>
          <w:szCs w:val="22"/>
        </w:rPr>
      </w:pPr>
    </w:p>
    <w:p w:rsidR="00112E33" w:rsidP="007D1D64" w:rsidRDefault="00112E33" w14:paraId="0884299F" w14:textId="77777777">
      <w:pPr>
        <w:spacing w:after="160" w:line="259" w:lineRule="auto"/>
        <w:rPr>
          <w:sz w:val="22"/>
          <w:szCs w:val="22"/>
        </w:rPr>
      </w:pPr>
    </w:p>
    <w:p w:rsidR="00112E33" w:rsidP="007D1D64" w:rsidRDefault="00112E33" w14:paraId="3BF57744" w14:textId="77777777">
      <w:pPr>
        <w:spacing w:after="160" w:line="259" w:lineRule="auto"/>
        <w:rPr>
          <w:sz w:val="22"/>
          <w:szCs w:val="22"/>
        </w:rPr>
      </w:pPr>
    </w:p>
    <w:p w:rsidR="00112E33" w:rsidP="007D1D64" w:rsidRDefault="00112E33" w14:paraId="70B1D846" w14:textId="77777777">
      <w:pPr>
        <w:spacing w:after="160" w:line="259" w:lineRule="auto"/>
        <w:rPr>
          <w:sz w:val="22"/>
          <w:szCs w:val="22"/>
        </w:rPr>
      </w:pPr>
    </w:p>
    <w:p w:rsidR="00112E33" w:rsidP="007D1D64" w:rsidRDefault="00112E33" w14:paraId="5C64FB7B" w14:textId="77777777">
      <w:pPr>
        <w:spacing w:after="160" w:line="259" w:lineRule="auto"/>
        <w:rPr>
          <w:sz w:val="22"/>
          <w:szCs w:val="22"/>
        </w:rPr>
      </w:pPr>
    </w:p>
    <w:p w:rsidR="00112E33" w:rsidP="007D1D64" w:rsidRDefault="00112E33" w14:paraId="7997CC66" w14:textId="77777777">
      <w:pPr>
        <w:spacing w:after="160" w:line="259" w:lineRule="auto"/>
        <w:rPr>
          <w:sz w:val="22"/>
          <w:szCs w:val="22"/>
        </w:rPr>
      </w:pPr>
    </w:p>
    <w:p w:rsidR="00112E33" w:rsidP="007D1D64" w:rsidRDefault="00112E33" w14:paraId="629D0223" w14:textId="77777777">
      <w:pPr>
        <w:spacing w:after="160" w:line="259" w:lineRule="auto"/>
        <w:rPr>
          <w:sz w:val="22"/>
          <w:szCs w:val="22"/>
        </w:rPr>
      </w:pPr>
    </w:p>
    <w:p w:rsidR="00112E33" w:rsidP="007D1D64" w:rsidRDefault="00112E33" w14:paraId="7B71C4CA" w14:textId="77777777">
      <w:pPr>
        <w:spacing w:after="160" w:line="259" w:lineRule="auto"/>
        <w:rPr>
          <w:sz w:val="22"/>
          <w:szCs w:val="22"/>
        </w:rPr>
      </w:pPr>
    </w:p>
    <w:p w:rsidR="00112E33" w:rsidP="007D1D64" w:rsidRDefault="00112E33" w14:paraId="0CB89A50" w14:textId="77777777">
      <w:pPr>
        <w:spacing w:after="160" w:line="259" w:lineRule="auto"/>
        <w:rPr>
          <w:sz w:val="22"/>
          <w:szCs w:val="22"/>
        </w:rPr>
      </w:pPr>
    </w:p>
    <w:p w:rsidR="00112E33" w:rsidP="007D1D64" w:rsidRDefault="00112E33" w14:paraId="4B8E6647" w14:textId="77777777">
      <w:pPr>
        <w:spacing w:after="160" w:line="259" w:lineRule="auto"/>
        <w:rPr>
          <w:sz w:val="22"/>
          <w:szCs w:val="22"/>
        </w:rPr>
      </w:pPr>
    </w:p>
    <w:p w:rsidR="00112E33" w:rsidP="007D1D64" w:rsidRDefault="00112E33" w14:paraId="7C0186E9" w14:textId="77777777">
      <w:pPr>
        <w:spacing w:after="160" w:line="259" w:lineRule="auto"/>
        <w:rPr>
          <w:sz w:val="22"/>
          <w:szCs w:val="22"/>
        </w:rPr>
      </w:pPr>
    </w:p>
    <w:p w:rsidR="00112E33" w:rsidP="007D1D64" w:rsidRDefault="00112E33" w14:paraId="0E213DCA" w14:textId="77777777">
      <w:pPr>
        <w:spacing w:after="160" w:line="259" w:lineRule="auto"/>
        <w:rPr>
          <w:sz w:val="22"/>
          <w:szCs w:val="22"/>
        </w:rPr>
      </w:pPr>
    </w:p>
    <w:p w:rsidR="00112E33" w:rsidP="007D1D64" w:rsidRDefault="00112E33" w14:paraId="7F45EBE4" w14:textId="77777777">
      <w:pPr>
        <w:spacing w:after="160" w:line="259" w:lineRule="auto"/>
        <w:rPr>
          <w:sz w:val="22"/>
          <w:szCs w:val="22"/>
        </w:rPr>
      </w:pPr>
    </w:p>
    <w:p w:rsidR="00112E33" w:rsidP="007D1D64" w:rsidRDefault="00112E33" w14:paraId="5F38EC95" w14:textId="77777777">
      <w:pPr>
        <w:spacing w:after="160" w:line="259" w:lineRule="auto"/>
        <w:rPr>
          <w:sz w:val="22"/>
          <w:szCs w:val="22"/>
        </w:rPr>
      </w:pPr>
    </w:p>
    <w:p w:rsidR="00112E33" w:rsidP="007D1D64" w:rsidRDefault="00112E33" w14:paraId="1E5D0624" w14:textId="77777777">
      <w:pPr>
        <w:spacing w:after="160" w:line="259" w:lineRule="auto"/>
        <w:rPr>
          <w:sz w:val="22"/>
          <w:szCs w:val="22"/>
        </w:rPr>
      </w:pPr>
    </w:p>
    <w:p w:rsidR="00112E33" w:rsidP="007D1D64" w:rsidRDefault="00112E33" w14:paraId="59AFB796" w14:textId="6367C0D1">
      <w:pPr>
        <w:spacing w:after="160" w:line="259" w:lineRule="auto"/>
        <w:rPr>
          <w:sz w:val="22"/>
          <w:szCs w:val="22"/>
        </w:rPr>
      </w:pPr>
      <w:r>
        <w:rPr>
          <w:noProof/>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rsidRPr="007D1D64" w:rsidR="007D1D64" w:rsidP="007D1D64" w:rsidRDefault="007D1D64" w14:paraId="4BBA0357" w14:textId="02E5AF90">
      <w:pPr>
        <w:spacing w:after="160" w:line="259" w:lineRule="auto"/>
        <w:rPr>
          <w:sz w:val="22"/>
          <w:szCs w:val="22"/>
        </w:rPr>
      </w:pPr>
      <w:r w:rsidRPr="48623D62" w:rsidR="007D1D64">
        <w:rPr>
          <w:sz w:val="22"/>
          <w:szCs w:val="22"/>
        </w:rPr>
        <w:t>© Crown copyright 20</w:t>
      </w:r>
      <w:r w:rsidRPr="48623D62" w:rsidR="1E6578C0">
        <w:rPr>
          <w:sz w:val="22"/>
          <w:szCs w:val="22"/>
        </w:rPr>
        <w:t>25</w:t>
      </w:r>
    </w:p>
    <w:p w:rsidRPr="007D1D64" w:rsidR="007D1D64" w:rsidP="007D1D64" w:rsidRDefault="007D1D64" w14:paraId="3A1EFEA4" w14:textId="779BDFEB">
      <w:pPr>
        <w:spacing w:after="160" w:line="259" w:lineRule="auto"/>
        <w:rPr>
          <w:sz w:val="22"/>
          <w:szCs w:val="22"/>
        </w:rPr>
      </w:pPr>
      <w:r w:rsidRPr="007D1D64">
        <w:rPr>
          <w:sz w:val="22"/>
          <w:szCs w:val="22"/>
        </w:rPr>
        <w:t xml:space="preserve">This publication is licensed under the terms of the Open Government Licence v3.0 except where otherwise stated. To view this licence, visit </w:t>
      </w:r>
      <w:hyperlink w:history="1" r:id="rId13">
        <w:r w:rsidRPr="00D56ED4">
          <w:rPr>
            <w:rStyle w:val="Hyperlink"/>
            <w:sz w:val="22"/>
            <w:szCs w:val="22"/>
          </w:rPr>
          <w:t>nationalarchives.gov.uk/doc/open-government-licence/version/3</w:t>
        </w:r>
      </w:hyperlink>
      <w:r w:rsidRPr="007D1D64">
        <w:rPr>
          <w:sz w:val="22"/>
          <w:szCs w:val="22"/>
        </w:rPr>
        <w:t xml:space="preserve"> or write to the Information Policy Team, The National Archives, Kew, London TW9 4DU, or email: </w:t>
      </w:r>
      <w:hyperlink w:history="1" r:id="rId14">
        <w:r w:rsidRPr="00236685" w:rsidR="009E1EAF">
          <w:rPr>
            <w:rStyle w:val="Hyperlink"/>
            <w:sz w:val="22"/>
            <w:szCs w:val="22"/>
          </w:rPr>
          <w:t>psi@nationalarchives.gsi.gov.uk</w:t>
        </w:r>
      </w:hyperlink>
      <w:r w:rsidRPr="007D1D64">
        <w:rPr>
          <w:sz w:val="22"/>
          <w:szCs w:val="22"/>
        </w:rPr>
        <w:t>.</w:t>
      </w:r>
      <w:r w:rsidR="009E1EAF">
        <w:rPr>
          <w:sz w:val="22"/>
          <w:szCs w:val="22"/>
        </w:rPr>
        <w:t xml:space="preserve"> </w:t>
      </w:r>
    </w:p>
    <w:p w:rsidRPr="007D1D64" w:rsidR="007D1D64" w:rsidP="007D1D64" w:rsidRDefault="007D1D64" w14:paraId="521BB1D8" w14:textId="77777777">
      <w:pPr>
        <w:spacing w:after="160" w:line="259" w:lineRule="auto"/>
        <w:rPr>
          <w:sz w:val="22"/>
          <w:szCs w:val="22"/>
        </w:rPr>
      </w:pPr>
      <w:r w:rsidRPr="007D1D64">
        <w:rPr>
          <w:sz w:val="22"/>
          <w:szCs w:val="22"/>
        </w:rPr>
        <w:t>Where we have identified any third-party copyright information you will need to obtain permission from the copyright holders concerned.</w:t>
      </w:r>
    </w:p>
    <w:p w:rsidRPr="007D1D64" w:rsidR="007D1D64" w:rsidP="007D1D64" w:rsidRDefault="007D1D64" w14:paraId="0B828443" w14:textId="77777777">
      <w:pPr>
        <w:spacing w:after="160" w:line="259" w:lineRule="auto"/>
        <w:rPr>
          <w:sz w:val="22"/>
          <w:szCs w:val="22"/>
        </w:rPr>
      </w:pPr>
      <w:r w:rsidRPr="007D1D64">
        <w:rPr>
          <w:sz w:val="22"/>
          <w:szCs w:val="22"/>
        </w:rPr>
        <w:t xml:space="preserve">Any enquiries regarding this publication should be sent to us at: </w:t>
      </w:r>
    </w:p>
    <w:p w:rsidR="007D1D64" w:rsidRDefault="00A62D44" w14:paraId="5F0B07D2" w14:textId="0E9D6D15">
      <w:pPr>
        <w:spacing w:after="160" w:line="259" w:lineRule="auto"/>
        <w:rPr>
          <w:sz w:val="22"/>
          <w:szCs w:val="22"/>
        </w:rPr>
      </w:pPr>
      <w:hyperlink w:history="1" r:id="rId15">
        <w:r w:rsidRPr="00236685">
          <w:rPr>
            <w:rStyle w:val="Hyperlink"/>
            <w:sz w:val="22"/>
            <w:szCs w:val="22"/>
          </w:rPr>
          <w:t>ODA-Transparency@beis.gov.uk</w:t>
        </w:r>
      </w:hyperlink>
      <w:r>
        <w:rPr>
          <w:sz w:val="22"/>
          <w:szCs w:val="22"/>
        </w:rPr>
        <w:t xml:space="preserve"> </w:t>
      </w:r>
      <w:r w:rsidR="007D1D64">
        <w:rPr>
          <w:sz w:val="22"/>
          <w:szCs w:val="22"/>
        </w:rPr>
        <w:br w:type="page"/>
      </w:r>
    </w:p>
    <w:sdt>
      <w:sdtPr>
        <w:id w:val="931323642"/>
        <w:docPartObj>
          <w:docPartGallery w:val="Table of Contents"/>
          <w:docPartUnique/>
        </w:docPartObj>
      </w:sdtPr>
      <w:sdtContent>
        <w:p w:rsidR="001B14BA" w:rsidRDefault="001B14BA" w14:paraId="52C8021F" w14:textId="7479CA6B">
          <w:pPr>
            <w:pStyle w:val="TOCHeading"/>
            <w:rPr>
              <w:rFonts w:ascii="Arial" w:hAnsi="Arial" w:cs="Arial"/>
              <w:color w:val="002060"/>
              <w:sz w:val="76"/>
              <w:szCs w:val="76"/>
            </w:rPr>
          </w:pPr>
          <w:r w:rsidRPr="376EB76A" w:rsidR="6B1B9DE4">
            <w:rPr>
              <w:rFonts w:ascii="Arial" w:hAnsi="Arial" w:cs="Arial"/>
              <w:color w:val="002060"/>
              <w:sz w:val="76"/>
              <w:szCs w:val="76"/>
            </w:rPr>
            <w:t>Contents</w:t>
          </w:r>
        </w:p>
        <w:p w:rsidRPr="0030176F" w:rsidR="0030176F" w:rsidP="0030176F" w:rsidRDefault="0030176F" w14:paraId="7F576620" w14:textId="77777777">
          <w:pPr>
            <w:rPr>
              <w:lang w:val="en-US"/>
            </w:rPr>
          </w:pPr>
        </w:p>
        <w:p w:rsidR="159F08A2" w:rsidP="159F08A2" w:rsidRDefault="159F08A2" w14:paraId="4A531AFB" w14:textId="7964F4C0">
          <w:pPr>
            <w:pStyle w:val="TOC1"/>
            <w:tabs>
              <w:tab w:val="right" w:leader="dot" w:pos="9016"/>
            </w:tabs>
            <w:rPr>
              <w:rFonts w:cs="Arial"/>
              <w:b w:val="1"/>
              <w:bCs w:val="1"/>
              <w:noProof/>
              <w:lang w:eastAsia="en-GB"/>
            </w:rPr>
          </w:pPr>
        </w:p>
        <w:p w:rsidR="00DB4AAF" w:rsidP="376EB76A" w:rsidRDefault="527A8EFF" w14:paraId="067B5835" w14:textId="38A54EE4">
          <w:pPr>
            <w:pStyle w:val="TOC1"/>
            <w:tabs>
              <w:tab w:val="right" w:leader="dot" w:pos="9015"/>
            </w:tabs>
            <w:rPr>
              <w:rStyle w:val="Hyperlink"/>
              <w:noProof/>
              <w:kern w:val="2"/>
              <w:lang w:eastAsia="en-GB"/>
              <w14:ligatures w14:val="standardContextual"/>
            </w:rPr>
          </w:pPr>
          <w:r>
            <w:fldChar w:fldCharType="begin"/>
          </w:r>
          <w:r>
            <w:instrText xml:space="preserve">TOC \o "1-3" \z \u \h</w:instrText>
          </w:r>
          <w:r>
            <w:fldChar w:fldCharType="separate"/>
          </w:r>
          <w:hyperlink w:anchor="_Toc1502293434">
            <w:r w:rsidRPr="376EB76A" w:rsidR="376EB76A">
              <w:rPr>
                <w:rStyle w:val="Hyperlink"/>
              </w:rPr>
              <w:t>Section A: Summary and overview</w:t>
            </w:r>
            <w:r>
              <w:tab/>
            </w:r>
            <w:r>
              <w:fldChar w:fldCharType="begin"/>
            </w:r>
            <w:r>
              <w:instrText xml:space="preserve">PAGEREF _Toc1502293434 \h</w:instrText>
            </w:r>
            <w:r>
              <w:fldChar w:fldCharType="separate"/>
            </w:r>
            <w:r w:rsidRPr="376EB76A" w:rsidR="376EB76A">
              <w:rPr>
                <w:rStyle w:val="Hyperlink"/>
              </w:rPr>
              <w:t>4</w:t>
            </w:r>
            <w:r>
              <w:fldChar w:fldCharType="end"/>
            </w:r>
          </w:hyperlink>
        </w:p>
        <w:p w:rsidR="00DB4AAF" w:rsidP="376EB76A" w:rsidRDefault="11614349" w14:paraId="44F392C4" w14:textId="5FD63364">
          <w:pPr>
            <w:pStyle w:val="TOC2"/>
            <w:tabs>
              <w:tab w:val="right" w:leader="dot" w:pos="9015"/>
            </w:tabs>
            <w:rPr>
              <w:rStyle w:val="Hyperlink"/>
              <w:noProof/>
              <w:kern w:val="2"/>
              <w:lang w:eastAsia="en-GB"/>
              <w14:ligatures w14:val="standardContextual"/>
            </w:rPr>
          </w:pPr>
          <w:hyperlink w:anchor="_Toc858425328">
            <w:r w:rsidRPr="376EB76A" w:rsidR="376EB76A">
              <w:rPr>
                <w:rStyle w:val="Hyperlink"/>
              </w:rPr>
              <w:t>Description of programme</w:t>
            </w:r>
            <w:r>
              <w:tab/>
            </w:r>
            <w:r>
              <w:fldChar w:fldCharType="begin"/>
            </w:r>
            <w:r>
              <w:instrText xml:space="preserve">PAGEREF _Toc858425328 \h</w:instrText>
            </w:r>
            <w:r>
              <w:fldChar w:fldCharType="separate"/>
            </w:r>
            <w:r w:rsidRPr="376EB76A" w:rsidR="376EB76A">
              <w:rPr>
                <w:rStyle w:val="Hyperlink"/>
              </w:rPr>
              <w:t>5</w:t>
            </w:r>
            <w:r>
              <w:fldChar w:fldCharType="end"/>
            </w:r>
          </w:hyperlink>
        </w:p>
        <w:p w:rsidR="00DB4AAF" w:rsidP="376EB76A" w:rsidRDefault="11614349" w14:paraId="4F5234CE" w14:textId="07AA6C82">
          <w:pPr>
            <w:pStyle w:val="TOC2"/>
            <w:tabs>
              <w:tab w:val="right" w:leader="dot" w:pos="9015"/>
            </w:tabs>
            <w:rPr>
              <w:rStyle w:val="Hyperlink"/>
              <w:noProof/>
              <w:kern w:val="2"/>
              <w:lang w:eastAsia="en-GB"/>
              <w14:ligatures w14:val="standardContextual"/>
            </w:rPr>
          </w:pPr>
          <w:hyperlink w:anchor="_Toc2121406532">
            <w:r w:rsidRPr="376EB76A" w:rsidR="376EB76A">
              <w:rPr>
                <w:rStyle w:val="Hyperlink"/>
              </w:rPr>
              <w:t>Summary of progress and supporting narrative for the overall score</w:t>
            </w:r>
            <w:r>
              <w:tab/>
            </w:r>
            <w:r>
              <w:fldChar w:fldCharType="begin"/>
            </w:r>
            <w:r>
              <w:instrText xml:space="preserve">PAGEREF _Toc2121406532 \h</w:instrText>
            </w:r>
            <w:r>
              <w:fldChar w:fldCharType="separate"/>
            </w:r>
            <w:r w:rsidRPr="376EB76A" w:rsidR="376EB76A">
              <w:rPr>
                <w:rStyle w:val="Hyperlink"/>
              </w:rPr>
              <w:t>6</w:t>
            </w:r>
            <w:r>
              <w:fldChar w:fldCharType="end"/>
            </w:r>
          </w:hyperlink>
        </w:p>
        <w:p w:rsidR="00DB4AAF" w:rsidP="376EB76A" w:rsidRDefault="11614349" w14:paraId="1FC0A73E" w14:textId="087C3D22">
          <w:pPr>
            <w:pStyle w:val="TOC2"/>
            <w:tabs>
              <w:tab w:val="right" w:leader="dot" w:pos="9015"/>
            </w:tabs>
            <w:rPr>
              <w:rStyle w:val="Hyperlink"/>
              <w:noProof/>
              <w:kern w:val="2"/>
              <w:lang w:eastAsia="en-GB"/>
              <w14:ligatures w14:val="standardContextual"/>
            </w:rPr>
          </w:pPr>
          <w:hyperlink w:anchor="_Toc496809562">
            <w:r w:rsidRPr="376EB76A" w:rsidR="376EB76A">
              <w:rPr>
                <w:rStyle w:val="Hyperlink"/>
              </w:rPr>
              <w:t>Progress against recommendations from the last review</w:t>
            </w:r>
            <w:r>
              <w:tab/>
            </w:r>
            <w:r>
              <w:fldChar w:fldCharType="begin"/>
            </w:r>
            <w:r>
              <w:instrText xml:space="preserve">PAGEREF _Toc496809562 \h</w:instrText>
            </w:r>
            <w:r>
              <w:fldChar w:fldCharType="separate"/>
            </w:r>
            <w:r w:rsidRPr="376EB76A" w:rsidR="376EB76A">
              <w:rPr>
                <w:rStyle w:val="Hyperlink"/>
              </w:rPr>
              <w:t>8</w:t>
            </w:r>
            <w:r>
              <w:fldChar w:fldCharType="end"/>
            </w:r>
          </w:hyperlink>
        </w:p>
        <w:p w:rsidR="00DB4AAF" w:rsidP="376EB76A" w:rsidRDefault="11614349" w14:paraId="3CDCB849" w14:textId="729B509E">
          <w:pPr>
            <w:pStyle w:val="TOC2"/>
            <w:tabs>
              <w:tab w:val="right" w:leader="dot" w:pos="9015"/>
            </w:tabs>
            <w:rPr>
              <w:rStyle w:val="Hyperlink"/>
              <w:noProof/>
              <w:kern w:val="2"/>
              <w:lang w:eastAsia="en-GB"/>
              <w14:ligatures w14:val="standardContextual"/>
            </w:rPr>
          </w:pPr>
          <w:hyperlink w:anchor="_Toc1170643940">
            <w:r w:rsidRPr="376EB76A" w:rsidR="376EB76A">
              <w:rPr>
                <w:rStyle w:val="Hyperlink"/>
              </w:rPr>
              <w:t>Major lessons and recommendations for the year ahead</w:t>
            </w:r>
            <w:r>
              <w:tab/>
            </w:r>
            <w:r>
              <w:fldChar w:fldCharType="begin"/>
            </w:r>
            <w:r>
              <w:instrText xml:space="preserve">PAGEREF _Toc1170643940 \h</w:instrText>
            </w:r>
            <w:r>
              <w:fldChar w:fldCharType="separate"/>
            </w:r>
            <w:r w:rsidRPr="376EB76A" w:rsidR="376EB76A">
              <w:rPr>
                <w:rStyle w:val="Hyperlink"/>
              </w:rPr>
              <w:t>13</w:t>
            </w:r>
            <w:r>
              <w:fldChar w:fldCharType="end"/>
            </w:r>
          </w:hyperlink>
        </w:p>
        <w:p w:rsidR="00DB4AAF" w:rsidP="376EB76A" w:rsidRDefault="11614349" w14:paraId="7A969C49" w14:textId="01AA773D">
          <w:pPr>
            <w:pStyle w:val="TOC1"/>
            <w:tabs>
              <w:tab w:val="right" w:leader="dot" w:pos="9015"/>
            </w:tabs>
            <w:rPr>
              <w:rStyle w:val="Hyperlink"/>
              <w:noProof/>
              <w:kern w:val="2"/>
              <w:lang w:eastAsia="en-GB"/>
              <w14:ligatures w14:val="standardContextual"/>
            </w:rPr>
          </w:pPr>
          <w:hyperlink w:anchor="_Toc1637329442">
            <w:r w:rsidRPr="376EB76A" w:rsidR="376EB76A">
              <w:rPr>
                <w:rStyle w:val="Hyperlink"/>
              </w:rPr>
              <w:t>Section B: Theory of change and progress towards outcomes</w:t>
            </w:r>
            <w:r>
              <w:tab/>
            </w:r>
            <w:r>
              <w:fldChar w:fldCharType="begin"/>
            </w:r>
            <w:r>
              <w:instrText xml:space="preserve">PAGEREF _Toc1637329442 \h</w:instrText>
            </w:r>
            <w:r>
              <w:fldChar w:fldCharType="separate"/>
            </w:r>
            <w:r w:rsidRPr="376EB76A" w:rsidR="376EB76A">
              <w:rPr>
                <w:rStyle w:val="Hyperlink"/>
              </w:rPr>
              <w:t>15</w:t>
            </w:r>
            <w:r>
              <w:fldChar w:fldCharType="end"/>
            </w:r>
          </w:hyperlink>
        </w:p>
        <w:p w:rsidR="00DB4AAF" w:rsidP="376EB76A" w:rsidRDefault="11614349" w14:paraId="7EF69F91" w14:textId="0EEDC821">
          <w:pPr>
            <w:pStyle w:val="TOC2"/>
            <w:tabs>
              <w:tab w:val="right" w:leader="dot" w:pos="9015"/>
            </w:tabs>
            <w:rPr>
              <w:rStyle w:val="Hyperlink"/>
              <w:noProof/>
              <w:kern w:val="2"/>
              <w:lang w:eastAsia="en-GB"/>
              <w14:ligatures w14:val="standardContextual"/>
            </w:rPr>
          </w:pPr>
          <w:hyperlink w:anchor="_Toc277244955">
            <w:r w:rsidRPr="376EB76A" w:rsidR="376EB76A">
              <w:rPr>
                <w:rStyle w:val="Hyperlink"/>
              </w:rPr>
              <w:t>Summary of the programme’s theory of change, including any changes to outcome and impact indicators from the original business case</w:t>
            </w:r>
            <w:r>
              <w:tab/>
            </w:r>
            <w:r>
              <w:fldChar w:fldCharType="begin"/>
            </w:r>
            <w:r>
              <w:instrText xml:space="preserve">PAGEREF _Toc277244955 \h</w:instrText>
            </w:r>
            <w:r>
              <w:fldChar w:fldCharType="separate"/>
            </w:r>
            <w:r w:rsidRPr="376EB76A" w:rsidR="376EB76A">
              <w:rPr>
                <w:rStyle w:val="Hyperlink"/>
              </w:rPr>
              <w:t>15</w:t>
            </w:r>
            <w:r>
              <w:fldChar w:fldCharType="end"/>
            </w:r>
          </w:hyperlink>
        </w:p>
        <w:p w:rsidR="00DB4AAF" w:rsidP="376EB76A" w:rsidRDefault="11614349" w14:paraId="5654720A" w14:textId="30378CAD">
          <w:pPr>
            <w:pStyle w:val="TOC2"/>
            <w:tabs>
              <w:tab w:val="right" w:leader="dot" w:pos="9015"/>
            </w:tabs>
            <w:rPr>
              <w:rStyle w:val="Hyperlink"/>
              <w:noProof/>
              <w:kern w:val="2"/>
              <w:lang w:eastAsia="en-GB"/>
              <w14:ligatures w14:val="standardContextual"/>
            </w:rPr>
          </w:pPr>
          <w:hyperlink w:anchor="_Toc986934688">
            <w:r w:rsidRPr="376EB76A" w:rsidR="376EB76A">
              <w:rPr>
                <w:rStyle w:val="Hyperlink"/>
              </w:rPr>
              <w:t>Progress against the expected outcomes and impact, and actions planned for the year ahead</w:t>
            </w:r>
            <w:r>
              <w:tab/>
            </w:r>
            <w:r>
              <w:fldChar w:fldCharType="begin"/>
            </w:r>
            <w:r>
              <w:instrText xml:space="preserve">PAGEREF _Toc986934688 \h</w:instrText>
            </w:r>
            <w:r>
              <w:fldChar w:fldCharType="separate"/>
            </w:r>
            <w:r w:rsidRPr="376EB76A" w:rsidR="376EB76A">
              <w:rPr>
                <w:rStyle w:val="Hyperlink"/>
              </w:rPr>
              <w:t>16</w:t>
            </w:r>
            <w:r>
              <w:fldChar w:fldCharType="end"/>
            </w:r>
          </w:hyperlink>
        </w:p>
        <w:p w:rsidR="00DB4AAF" w:rsidP="376EB76A" w:rsidRDefault="11614349" w14:paraId="00A7C6EC" w14:textId="53FC79F2">
          <w:pPr>
            <w:pStyle w:val="TOC2"/>
            <w:tabs>
              <w:tab w:val="right" w:leader="dot" w:pos="9015"/>
            </w:tabs>
            <w:rPr>
              <w:rStyle w:val="Hyperlink"/>
              <w:noProof/>
              <w:kern w:val="2"/>
              <w:lang w:eastAsia="en-GB"/>
              <w14:ligatures w14:val="standardContextual"/>
            </w:rPr>
          </w:pPr>
          <w:hyperlink w:anchor="_Toc147801324">
            <w:r w:rsidRPr="376EB76A" w:rsidR="376EB76A">
              <w:rPr>
                <w:rStyle w:val="Hyperlink"/>
              </w:rPr>
              <w:t>Logframe updates since the last review</w:t>
            </w:r>
            <w:r>
              <w:tab/>
            </w:r>
            <w:r>
              <w:fldChar w:fldCharType="begin"/>
            </w:r>
            <w:r>
              <w:instrText xml:space="preserve">PAGEREF _Toc147801324 \h</w:instrText>
            </w:r>
            <w:r>
              <w:fldChar w:fldCharType="separate"/>
            </w:r>
            <w:r w:rsidRPr="376EB76A" w:rsidR="376EB76A">
              <w:rPr>
                <w:rStyle w:val="Hyperlink"/>
              </w:rPr>
              <w:t>18</w:t>
            </w:r>
            <w:r>
              <w:fldChar w:fldCharType="end"/>
            </w:r>
          </w:hyperlink>
        </w:p>
        <w:p w:rsidR="00DB4AAF" w:rsidP="376EB76A" w:rsidRDefault="11614349" w14:paraId="3F8704AE" w14:textId="6B73508F">
          <w:pPr>
            <w:pStyle w:val="TOC1"/>
            <w:tabs>
              <w:tab w:val="right" w:leader="dot" w:pos="9015"/>
            </w:tabs>
            <w:rPr>
              <w:rStyle w:val="Hyperlink"/>
              <w:noProof/>
              <w:kern w:val="2"/>
              <w:lang w:eastAsia="en-GB"/>
              <w14:ligatures w14:val="standardContextual"/>
            </w:rPr>
          </w:pPr>
          <w:hyperlink w:anchor="_Toc62532432">
            <w:r w:rsidRPr="376EB76A" w:rsidR="376EB76A">
              <w:rPr>
                <w:rStyle w:val="Hyperlink"/>
              </w:rPr>
              <w:t>Section C: Output scoring</w:t>
            </w:r>
            <w:r>
              <w:tab/>
            </w:r>
            <w:r>
              <w:fldChar w:fldCharType="begin"/>
            </w:r>
            <w:r>
              <w:instrText xml:space="preserve">PAGEREF _Toc62532432 \h</w:instrText>
            </w:r>
            <w:r>
              <w:fldChar w:fldCharType="separate"/>
            </w:r>
            <w:r w:rsidRPr="376EB76A" w:rsidR="376EB76A">
              <w:rPr>
                <w:rStyle w:val="Hyperlink"/>
              </w:rPr>
              <w:t>20</w:t>
            </w:r>
            <w:r>
              <w:fldChar w:fldCharType="end"/>
            </w:r>
          </w:hyperlink>
        </w:p>
        <w:p w:rsidR="00DB4AAF" w:rsidP="376EB76A" w:rsidRDefault="11614349" w14:paraId="39CB62DA" w14:textId="78E57938">
          <w:pPr>
            <w:pStyle w:val="TOC2"/>
            <w:tabs>
              <w:tab w:val="right" w:leader="dot" w:pos="9015"/>
            </w:tabs>
            <w:rPr>
              <w:rStyle w:val="Hyperlink"/>
              <w:noProof/>
              <w:kern w:val="2"/>
              <w:lang w:eastAsia="en-GB"/>
              <w14:ligatures w14:val="standardContextual"/>
            </w:rPr>
          </w:pPr>
          <w:hyperlink w:anchor="_Toc1002024633">
            <w:r w:rsidRPr="376EB76A" w:rsidR="376EB76A">
              <w:rPr>
                <w:rStyle w:val="Hyperlink"/>
              </w:rPr>
              <w:t>Output 1: Jurisdictional-scale Emissions Reduction Programmes for reducing emissions and improving land management are planned and implemented</w:t>
            </w:r>
            <w:r>
              <w:tab/>
            </w:r>
            <w:r>
              <w:fldChar w:fldCharType="begin"/>
            </w:r>
            <w:r>
              <w:instrText xml:space="preserve">PAGEREF _Toc1002024633 \h</w:instrText>
            </w:r>
            <w:r>
              <w:fldChar w:fldCharType="separate"/>
            </w:r>
            <w:r w:rsidRPr="376EB76A" w:rsidR="376EB76A">
              <w:rPr>
                <w:rStyle w:val="Hyperlink"/>
              </w:rPr>
              <w:t>20</w:t>
            </w:r>
            <w:r>
              <w:fldChar w:fldCharType="end"/>
            </w:r>
          </w:hyperlink>
        </w:p>
        <w:p w:rsidR="00DB4AAF" w:rsidP="376EB76A" w:rsidRDefault="11614349" w14:paraId="4A9C09C1" w14:textId="522F8BE6">
          <w:pPr>
            <w:pStyle w:val="TOC2"/>
            <w:tabs>
              <w:tab w:val="right" w:leader="dot" w:pos="9015"/>
            </w:tabs>
            <w:rPr>
              <w:rStyle w:val="Hyperlink"/>
              <w:noProof/>
              <w:kern w:val="2"/>
              <w:lang w:eastAsia="en-GB"/>
              <w14:ligatures w14:val="standardContextual"/>
            </w:rPr>
          </w:pPr>
          <w:hyperlink w:anchor="_Toc186559999">
            <w:r w:rsidRPr="376EB76A" w:rsidR="376EB76A">
              <w:rPr>
                <w:rStyle w:val="Hyperlink"/>
              </w:rPr>
              <w:t>Output 2: Jurisdictions have improved capacity and capability to manage land sustainably, deliver benefits equitably to land-users and contribute positively to local socio-economic development and protecting biodiversity.</w:t>
            </w:r>
            <w:r>
              <w:tab/>
            </w:r>
            <w:r>
              <w:fldChar w:fldCharType="begin"/>
            </w:r>
            <w:r>
              <w:instrText xml:space="preserve">PAGEREF _Toc186559999 \h</w:instrText>
            </w:r>
            <w:r>
              <w:fldChar w:fldCharType="separate"/>
            </w:r>
            <w:r w:rsidRPr="376EB76A" w:rsidR="376EB76A">
              <w:rPr>
                <w:rStyle w:val="Hyperlink"/>
              </w:rPr>
              <w:t>25</w:t>
            </w:r>
            <w:r>
              <w:fldChar w:fldCharType="end"/>
            </w:r>
          </w:hyperlink>
        </w:p>
        <w:p w:rsidR="00DB4AAF" w:rsidP="376EB76A" w:rsidRDefault="11614349" w14:paraId="5F2F12AB" w14:textId="7FCDEFB5">
          <w:pPr>
            <w:pStyle w:val="TOC2"/>
            <w:tabs>
              <w:tab w:val="right" w:leader="dot" w:pos="9015"/>
            </w:tabs>
            <w:rPr>
              <w:rStyle w:val="Hyperlink"/>
              <w:noProof/>
              <w:kern w:val="2"/>
              <w:lang w:eastAsia="en-GB"/>
              <w14:ligatures w14:val="standardContextual"/>
            </w:rPr>
          </w:pPr>
          <w:hyperlink w:anchor="_Toc813439086">
            <w:r w:rsidRPr="376EB76A" w:rsidR="376EB76A">
              <w:rPr>
                <w:rStyle w:val="Hyperlink"/>
              </w:rPr>
              <w:t>Output 3: Replicable and scalable models of public-private or private investment in place that enable sustainable revenue streams for local communities, protection of biodiversity and improved land-use management through sustainable practices.</w:t>
            </w:r>
            <w:r>
              <w:tab/>
            </w:r>
            <w:r>
              <w:fldChar w:fldCharType="begin"/>
            </w:r>
            <w:r>
              <w:instrText xml:space="preserve">PAGEREF _Toc813439086 \h</w:instrText>
            </w:r>
            <w:r>
              <w:fldChar w:fldCharType="separate"/>
            </w:r>
            <w:r w:rsidRPr="376EB76A" w:rsidR="376EB76A">
              <w:rPr>
                <w:rStyle w:val="Hyperlink"/>
              </w:rPr>
              <w:t>28</w:t>
            </w:r>
            <w:r>
              <w:fldChar w:fldCharType="end"/>
            </w:r>
          </w:hyperlink>
        </w:p>
        <w:p w:rsidR="00DB4AAF" w:rsidP="376EB76A" w:rsidRDefault="11614349" w14:paraId="2BEC16FE" w14:textId="18BA3D5D">
          <w:pPr>
            <w:pStyle w:val="TOC1"/>
            <w:tabs>
              <w:tab w:val="right" w:leader="dot" w:pos="9015"/>
            </w:tabs>
            <w:rPr>
              <w:rStyle w:val="Hyperlink"/>
              <w:noProof/>
              <w:kern w:val="2"/>
              <w:lang w:eastAsia="en-GB"/>
              <w14:ligatures w14:val="standardContextual"/>
            </w:rPr>
          </w:pPr>
          <w:hyperlink w:anchor="_Toc269262350">
            <w:r w:rsidRPr="376EB76A" w:rsidR="376EB76A">
              <w:rPr>
                <w:rStyle w:val="Hyperlink"/>
              </w:rPr>
              <w:t>Section D: Programme performance not captured by outputs</w:t>
            </w:r>
            <w:r>
              <w:tab/>
            </w:r>
            <w:r>
              <w:fldChar w:fldCharType="begin"/>
            </w:r>
            <w:r>
              <w:instrText xml:space="preserve">PAGEREF _Toc269262350 \h</w:instrText>
            </w:r>
            <w:r>
              <w:fldChar w:fldCharType="separate"/>
            </w:r>
            <w:r w:rsidRPr="376EB76A" w:rsidR="376EB76A">
              <w:rPr>
                <w:rStyle w:val="Hyperlink"/>
              </w:rPr>
              <w:t>33</w:t>
            </w:r>
            <w:r>
              <w:fldChar w:fldCharType="end"/>
            </w:r>
          </w:hyperlink>
        </w:p>
        <w:p w:rsidR="00DB4AAF" w:rsidP="376EB76A" w:rsidRDefault="11614349" w14:paraId="1B3AE531" w14:textId="5495093A">
          <w:pPr>
            <w:pStyle w:val="TOC1"/>
            <w:tabs>
              <w:tab w:val="right" w:leader="dot" w:pos="9015"/>
            </w:tabs>
            <w:rPr>
              <w:rStyle w:val="Hyperlink"/>
              <w:noProof/>
              <w:kern w:val="2"/>
              <w:lang w:eastAsia="en-GB"/>
              <w14:ligatures w14:val="standardContextual"/>
            </w:rPr>
          </w:pPr>
          <w:hyperlink w:anchor="_Toc2056865465">
            <w:r w:rsidRPr="376EB76A" w:rsidR="376EB76A">
              <w:rPr>
                <w:rStyle w:val="Hyperlink"/>
              </w:rPr>
              <w:t>Section E: Risk</w:t>
            </w:r>
            <w:r>
              <w:tab/>
            </w:r>
            <w:r>
              <w:fldChar w:fldCharType="begin"/>
            </w:r>
            <w:r>
              <w:instrText xml:space="preserve">PAGEREF _Toc2056865465 \h</w:instrText>
            </w:r>
            <w:r>
              <w:fldChar w:fldCharType="separate"/>
            </w:r>
            <w:r w:rsidRPr="376EB76A" w:rsidR="376EB76A">
              <w:rPr>
                <w:rStyle w:val="Hyperlink"/>
              </w:rPr>
              <w:t>35</w:t>
            </w:r>
            <w:r>
              <w:fldChar w:fldCharType="end"/>
            </w:r>
          </w:hyperlink>
        </w:p>
        <w:p w:rsidR="00DB4AAF" w:rsidP="376EB76A" w:rsidRDefault="11614349" w14:paraId="3D775740" w14:textId="1E3CC386">
          <w:pPr>
            <w:pStyle w:val="TOC2"/>
            <w:tabs>
              <w:tab w:val="right" w:leader="dot" w:pos="9015"/>
            </w:tabs>
            <w:rPr>
              <w:rStyle w:val="Hyperlink"/>
              <w:noProof/>
              <w:kern w:val="2"/>
              <w:lang w:eastAsia="en-GB"/>
              <w14:ligatures w14:val="standardContextual"/>
            </w:rPr>
          </w:pPr>
          <w:hyperlink w:anchor="_Toc2112504939">
            <w:r w:rsidRPr="376EB76A" w:rsidR="376EB76A">
              <w:rPr>
                <w:rStyle w:val="Hyperlink"/>
              </w:rPr>
              <w:t>Overall risk rating</w:t>
            </w:r>
            <w:r>
              <w:tab/>
            </w:r>
            <w:r>
              <w:fldChar w:fldCharType="begin"/>
            </w:r>
            <w:r>
              <w:instrText xml:space="preserve">PAGEREF _Toc2112504939 \h</w:instrText>
            </w:r>
            <w:r>
              <w:fldChar w:fldCharType="separate"/>
            </w:r>
            <w:r w:rsidRPr="376EB76A" w:rsidR="376EB76A">
              <w:rPr>
                <w:rStyle w:val="Hyperlink"/>
              </w:rPr>
              <w:t>36</w:t>
            </w:r>
            <w:r>
              <w:fldChar w:fldCharType="end"/>
            </w:r>
          </w:hyperlink>
        </w:p>
        <w:p w:rsidR="00DB4AAF" w:rsidP="376EB76A" w:rsidRDefault="11614349" w14:paraId="265B12E9" w14:textId="3E9EF53A">
          <w:pPr>
            <w:pStyle w:val="TOC1"/>
            <w:tabs>
              <w:tab w:val="right" w:leader="dot" w:pos="9015"/>
            </w:tabs>
            <w:rPr>
              <w:rStyle w:val="Hyperlink"/>
              <w:noProof/>
              <w:kern w:val="2"/>
              <w:lang w:eastAsia="en-GB"/>
              <w14:ligatures w14:val="standardContextual"/>
            </w:rPr>
          </w:pPr>
          <w:hyperlink w:anchor="_Toc1881863059">
            <w:r w:rsidRPr="376EB76A" w:rsidR="376EB76A">
              <w:rPr>
                <w:rStyle w:val="Hyperlink"/>
              </w:rPr>
              <w:t>Section F: Programme management: delivery, VfM,</w:t>
            </w:r>
            <w:r>
              <w:tab/>
            </w:r>
            <w:r>
              <w:fldChar w:fldCharType="begin"/>
            </w:r>
            <w:r>
              <w:instrText xml:space="preserve">PAGEREF _Toc1881863059 \h</w:instrText>
            </w:r>
            <w:r>
              <w:fldChar w:fldCharType="separate"/>
            </w:r>
            <w:r w:rsidRPr="376EB76A" w:rsidR="376EB76A">
              <w:rPr>
                <w:rStyle w:val="Hyperlink"/>
              </w:rPr>
              <w:t>40</w:t>
            </w:r>
            <w:r>
              <w:fldChar w:fldCharType="end"/>
            </w:r>
          </w:hyperlink>
        </w:p>
        <w:p w:rsidR="00DB4AAF" w:rsidP="376EB76A" w:rsidRDefault="11614349" w14:paraId="0EF13443" w14:textId="13B83354">
          <w:pPr>
            <w:pStyle w:val="TOC1"/>
            <w:tabs>
              <w:tab w:val="right" w:leader="dot" w:pos="9015"/>
            </w:tabs>
            <w:rPr>
              <w:rStyle w:val="Hyperlink"/>
              <w:noProof/>
              <w:kern w:val="2"/>
              <w:lang w:eastAsia="en-GB"/>
              <w14:ligatures w14:val="standardContextual"/>
            </w:rPr>
          </w:pPr>
          <w:hyperlink w:anchor="_Toc729083680">
            <w:r w:rsidRPr="376EB76A" w:rsidR="376EB76A">
              <w:rPr>
                <w:rStyle w:val="Hyperlink"/>
              </w:rPr>
              <w:t>commercial and financial performance</w:t>
            </w:r>
            <w:r>
              <w:tab/>
            </w:r>
            <w:r>
              <w:fldChar w:fldCharType="begin"/>
            </w:r>
            <w:r>
              <w:instrText xml:space="preserve">PAGEREF _Toc729083680 \h</w:instrText>
            </w:r>
            <w:r>
              <w:fldChar w:fldCharType="separate"/>
            </w:r>
            <w:r w:rsidRPr="376EB76A" w:rsidR="376EB76A">
              <w:rPr>
                <w:rStyle w:val="Hyperlink"/>
              </w:rPr>
              <w:t>41</w:t>
            </w:r>
            <w:r>
              <w:fldChar w:fldCharType="end"/>
            </w:r>
          </w:hyperlink>
        </w:p>
        <w:p w:rsidR="3B0240E3" w:rsidP="3B0240E3" w:rsidRDefault="3B0240E3" w14:paraId="3930C03D" w14:textId="7003ADA9">
          <w:pPr>
            <w:pStyle w:val="TOC2"/>
            <w:tabs>
              <w:tab w:val="right" w:leader="dot" w:pos="9015"/>
            </w:tabs>
            <w:rPr>
              <w:rStyle w:val="Hyperlink"/>
            </w:rPr>
          </w:pPr>
          <w:hyperlink w:anchor="_Toc1615726563">
            <w:r w:rsidRPr="376EB76A" w:rsidR="376EB76A">
              <w:rPr>
                <w:rStyle w:val="Hyperlink"/>
              </w:rPr>
              <w:t>Summary of the performance of partners and DESNZ, notably on commercial and financial issues, and including consideration of VfM.</w:t>
            </w:r>
            <w:r>
              <w:tab/>
            </w:r>
            <w:r>
              <w:fldChar w:fldCharType="begin"/>
            </w:r>
            <w:r>
              <w:instrText xml:space="preserve">PAGEREF _Toc1615726563 \h</w:instrText>
            </w:r>
            <w:r>
              <w:fldChar w:fldCharType="separate"/>
            </w:r>
            <w:r w:rsidRPr="376EB76A" w:rsidR="376EB76A">
              <w:rPr>
                <w:rStyle w:val="Hyperlink"/>
              </w:rPr>
              <w:t>41</w:t>
            </w:r>
            <w:r>
              <w:fldChar w:fldCharType="end"/>
            </w:r>
          </w:hyperlink>
          <w:r>
            <w:fldChar w:fldCharType="end"/>
          </w:r>
        </w:p>
      </w:sdtContent>
    </w:sdt>
    <w:p w:rsidR="001B14BA" w:rsidP="00276517" w:rsidRDefault="001B14BA" w14:paraId="5E063C9F" w14:textId="0782D2F0">
      <w:pPr>
        <w:spacing w:line="276" w:lineRule="auto"/>
      </w:pPr>
    </w:p>
    <w:p w:rsidR="008D3049" w:rsidRDefault="008D3049" w14:paraId="5329C57B" w14:textId="77E53EDE">
      <w:pPr>
        <w:spacing w:after="160" w:line="259" w:lineRule="auto"/>
        <w:rPr>
          <w:sz w:val="22"/>
          <w:szCs w:val="22"/>
        </w:rPr>
      </w:pPr>
    </w:p>
    <w:p w:rsidR="008D3049" w:rsidRDefault="00B06671" w14:paraId="07D3ACBE" w14:textId="6AF9E390">
      <w:pPr>
        <w:spacing w:after="160" w:line="259" w:lineRule="auto"/>
        <w:rPr>
          <w:sz w:val="22"/>
          <w:szCs w:val="22"/>
        </w:rPr>
      </w:pPr>
      <w:r w:rsidRPr="3B0240E3">
        <w:rPr>
          <w:sz w:val="22"/>
          <w:szCs w:val="22"/>
        </w:rPr>
        <w:br w:type="page"/>
      </w:r>
    </w:p>
    <w:tbl>
      <w:tblPr>
        <w:tblStyle w:val="TableGrid"/>
        <w:tblW w:w="0" w:type="auto"/>
        <w:tblLook w:val="04A0" w:firstRow="1" w:lastRow="0" w:firstColumn="1" w:lastColumn="0" w:noHBand="0" w:noVBand="1"/>
      </w:tblPr>
      <w:tblGrid>
        <w:gridCol w:w="9016"/>
      </w:tblGrid>
      <w:tr w:rsidR="00495286" w:rsidTr="376EB76A" w14:paraId="65DE13A0" w14:textId="77777777">
        <w:tc>
          <w:tcPr>
            <w:tcW w:w="9016" w:type="dxa"/>
            <w:shd w:val="clear" w:color="auto" w:fill="DEEAF6" w:themeFill="accent5" w:themeFillTint="33"/>
            <w:tcMar/>
          </w:tcPr>
          <w:p w:rsidR="00495286" w:rsidP="006C516E" w:rsidRDefault="789BD016" w14:paraId="7DC76797" w14:textId="7DB7A270">
            <w:bookmarkStart w:name="_Toc1860487846" w:id="309562020"/>
            <w:bookmarkStart w:name="_Toc1502293434" w:id="494528109"/>
            <w:r w:rsidRPr="376EB76A" w:rsidR="3E14FE0D">
              <w:rPr>
                <w:rStyle w:val="Heading1Char"/>
                <w:rFonts w:ascii="Arial" w:hAnsi="Arial" w:cs="Arial"/>
                <w:b w:val="1"/>
                <w:bCs w:val="1"/>
                <w:color w:val="auto"/>
              </w:rPr>
              <w:t>Section A: Summary and overview</w:t>
            </w:r>
            <w:bookmarkEnd w:id="309562020"/>
            <w:bookmarkEnd w:id="494528109"/>
            <w:r w:rsidR="3E14FE0D">
              <w:rPr/>
              <w:t xml:space="preserve"> </w:t>
            </w:r>
          </w:p>
        </w:tc>
      </w:tr>
    </w:tbl>
    <w:p w:rsidR="00495286" w:rsidP="006C516E" w:rsidRDefault="00495286" w14:paraId="006A5D19" w14:textId="77777777"/>
    <w:tbl>
      <w:tblPr>
        <w:tblStyle w:val="TableGrid"/>
        <w:tblW w:w="0" w:type="auto"/>
        <w:tblLook w:val="04A0" w:firstRow="1" w:lastRow="0" w:firstColumn="1" w:lastColumn="0" w:noHBand="0" w:noVBand="1"/>
      </w:tblPr>
      <w:tblGrid>
        <w:gridCol w:w="3397"/>
        <w:gridCol w:w="2410"/>
        <w:gridCol w:w="3209"/>
      </w:tblGrid>
      <w:tr w:rsidRPr="003F6641" w:rsidR="004D2FC0" w:rsidTr="04EDBA2B" w14:paraId="2869ADA5" w14:textId="77777777">
        <w:trPr>
          <w:trHeight w:val="407"/>
        </w:trPr>
        <w:tc>
          <w:tcPr>
            <w:tcW w:w="9016" w:type="dxa"/>
            <w:gridSpan w:val="3"/>
            <w:tcBorders>
              <w:top w:val="single" w:color="auto" w:sz="4" w:space="0"/>
              <w:left w:val="single" w:color="auto" w:sz="4" w:space="0"/>
              <w:bottom w:val="dotted" w:color="000000" w:themeColor="text1" w:sz="2" w:space="0"/>
              <w:right w:val="single" w:color="auto" w:sz="4" w:space="0"/>
            </w:tcBorders>
          </w:tcPr>
          <w:p w:rsidRPr="003F6641" w:rsidR="004D2FC0" w:rsidP="05C475C6" w:rsidRDefault="004D2FC0" w14:paraId="346F2EF8" w14:textId="209F632C">
            <w:pPr>
              <w:rPr>
                <w:rFonts w:cs="Arial"/>
                <w:b/>
                <w:bCs/>
                <w:sz w:val="22"/>
                <w:szCs w:val="22"/>
              </w:rPr>
            </w:pPr>
            <w:r w:rsidRPr="05C475C6">
              <w:rPr>
                <w:rFonts w:cs="Arial"/>
                <w:b/>
                <w:bCs/>
                <w:sz w:val="22"/>
                <w:szCs w:val="22"/>
              </w:rPr>
              <w:t xml:space="preserve">Title:  </w:t>
            </w:r>
            <w:proofErr w:type="spellStart"/>
            <w:r w:rsidRPr="05C475C6" w:rsidR="6D65376B">
              <w:rPr>
                <w:rFonts w:cs="Arial"/>
                <w:b/>
                <w:bCs/>
                <w:sz w:val="22"/>
                <w:szCs w:val="22"/>
              </w:rPr>
              <w:t>BioCarbon</w:t>
            </w:r>
            <w:proofErr w:type="spellEnd"/>
            <w:r w:rsidRPr="05C475C6" w:rsidR="6D65376B">
              <w:rPr>
                <w:rFonts w:cs="Arial"/>
                <w:b/>
                <w:bCs/>
                <w:sz w:val="22"/>
                <w:szCs w:val="22"/>
              </w:rPr>
              <w:t xml:space="preserve"> Fund Initiative for Sustainable Forest Landscapes (ISFL)</w:t>
            </w:r>
          </w:p>
        </w:tc>
      </w:tr>
      <w:tr w:rsidRPr="003F6641" w:rsidR="004D2FC0" w:rsidTr="04EDBA2B" w14:paraId="109A3418" w14:textId="77777777">
        <w:trPr>
          <w:trHeight w:val="413"/>
        </w:trPr>
        <w:tc>
          <w:tcPr>
            <w:tcW w:w="5807" w:type="dxa"/>
            <w:gridSpan w:val="2"/>
            <w:tcBorders>
              <w:top w:val="dotted" w:color="000000" w:themeColor="text1" w:sz="2" w:space="0"/>
              <w:left w:val="single" w:color="000000" w:themeColor="text1" w:sz="4" w:space="0"/>
              <w:bottom w:val="dotted" w:color="000000" w:themeColor="text1" w:sz="2" w:space="0"/>
              <w:right w:val="dotted" w:color="000000" w:themeColor="text1" w:sz="2" w:space="0"/>
            </w:tcBorders>
            <w:hideMark/>
          </w:tcPr>
          <w:p w:rsidRPr="003F6641" w:rsidR="004D2FC0" w:rsidP="05C475C6" w:rsidRDefault="004D2FC0" w14:paraId="79376CB4" w14:textId="1287D804">
            <w:pPr>
              <w:rPr>
                <w:rFonts w:cs="Arial"/>
                <w:b/>
                <w:bCs/>
                <w:sz w:val="22"/>
                <w:szCs w:val="22"/>
              </w:rPr>
            </w:pPr>
            <w:r w:rsidRPr="6AF6AFF1">
              <w:rPr>
                <w:rFonts w:cs="Arial"/>
                <w:b/>
                <w:bCs/>
                <w:sz w:val="22"/>
                <w:szCs w:val="22"/>
              </w:rPr>
              <w:t xml:space="preserve">Programme Value £ (full life): </w:t>
            </w:r>
            <w:r w:rsidRPr="6AF6AFF1" w:rsidR="7E623107">
              <w:rPr>
                <w:rFonts w:cs="Arial"/>
                <w:sz w:val="22"/>
                <w:szCs w:val="22"/>
              </w:rPr>
              <w:t>£121.1m</w:t>
            </w:r>
          </w:p>
        </w:tc>
        <w:tc>
          <w:tcPr>
            <w:tcW w:w="3209" w:type="dxa"/>
            <w:tcBorders>
              <w:top w:val="dotted" w:color="000000" w:themeColor="text1" w:sz="2" w:space="0"/>
              <w:left w:val="dotted" w:color="000000" w:themeColor="text1" w:sz="2" w:space="0"/>
              <w:bottom w:val="dotted" w:color="000000" w:themeColor="text1" w:sz="2" w:space="0"/>
              <w:right w:val="single" w:color="000000" w:themeColor="text1" w:sz="4" w:space="0"/>
            </w:tcBorders>
            <w:hideMark/>
          </w:tcPr>
          <w:p w:rsidRPr="003F6641" w:rsidR="004D2FC0" w:rsidP="6AF6AFF1" w:rsidRDefault="004D2FC0" w14:paraId="5E522675" w14:textId="30A77081">
            <w:pPr>
              <w:rPr>
                <w:rFonts w:cs="Arial"/>
                <w:sz w:val="22"/>
                <w:szCs w:val="22"/>
              </w:rPr>
            </w:pPr>
            <w:r w:rsidRPr="6AF6AFF1">
              <w:rPr>
                <w:rFonts w:cs="Arial"/>
                <w:b/>
                <w:bCs/>
                <w:sz w:val="22"/>
                <w:szCs w:val="22"/>
              </w:rPr>
              <w:t>Review date</w:t>
            </w:r>
            <w:r w:rsidRPr="6AF6AFF1" w:rsidR="06ADFB17">
              <w:rPr>
                <w:rFonts w:cs="Arial"/>
                <w:b/>
                <w:bCs/>
                <w:sz w:val="22"/>
                <w:szCs w:val="22"/>
              </w:rPr>
              <w:t xml:space="preserve"> </w:t>
            </w:r>
            <w:r w:rsidRPr="6AF6AFF1">
              <w:rPr>
                <w:rFonts w:cs="Arial"/>
                <w:b/>
                <w:bCs/>
                <w:sz w:val="22"/>
                <w:szCs w:val="22"/>
              </w:rPr>
              <w:t>(and review period start-end)</w:t>
            </w:r>
            <w:r w:rsidRPr="6AF6AFF1" w:rsidR="287EAB0B">
              <w:rPr>
                <w:rFonts w:cs="Arial"/>
                <w:b/>
                <w:bCs/>
                <w:sz w:val="22"/>
                <w:szCs w:val="22"/>
              </w:rPr>
              <w:t xml:space="preserve">: </w:t>
            </w:r>
            <w:r w:rsidRPr="6AF6AFF1" w:rsidR="287EAB0B">
              <w:rPr>
                <w:rFonts w:cs="Arial"/>
                <w:sz w:val="22"/>
                <w:szCs w:val="22"/>
              </w:rPr>
              <w:t>October 2024 (1 July 2024 – 30 June 2025)</w:t>
            </w:r>
          </w:p>
        </w:tc>
      </w:tr>
      <w:tr w:rsidRPr="003F6641" w:rsidR="004D2FC0" w:rsidTr="04EDBA2B" w14:paraId="4F6467CB" w14:textId="77777777">
        <w:trPr>
          <w:trHeight w:val="300"/>
        </w:trPr>
        <w:tc>
          <w:tcPr>
            <w:tcW w:w="3397" w:type="dxa"/>
            <w:tcBorders>
              <w:top w:val="dotted" w:color="000000" w:themeColor="text1" w:sz="2" w:space="0"/>
              <w:left w:val="single" w:color="auto" w:sz="4" w:space="0"/>
              <w:bottom w:val="single" w:color="auto" w:sz="4" w:space="0"/>
              <w:right w:val="dotted" w:color="000000" w:themeColor="text1" w:sz="2" w:space="0"/>
            </w:tcBorders>
          </w:tcPr>
          <w:p w:rsidRPr="00D6126B" w:rsidR="004D2FC0" w:rsidP="00FC16A6" w:rsidRDefault="004D2FC0" w14:paraId="07FE2881" w14:textId="52BD9C94">
            <w:pPr>
              <w:rPr>
                <w:rFonts w:cs="Arial"/>
                <w:sz w:val="22"/>
                <w:szCs w:val="22"/>
                <w:lang w:val="fr-FR"/>
              </w:rPr>
            </w:pPr>
            <w:r w:rsidRPr="00D6126B">
              <w:rPr>
                <w:rFonts w:cs="Arial"/>
                <w:b/>
                <w:sz w:val="22"/>
                <w:szCs w:val="22"/>
                <w:lang w:val="fr-FR"/>
              </w:rPr>
              <w:t xml:space="preserve">Programme Code: </w:t>
            </w:r>
            <w:r w:rsidRPr="00D6126B" w:rsidR="379A2FCB">
              <w:rPr>
                <w:rFonts w:cs="Arial"/>
                <w:sz w:val="22"/>
                <w:szCs w:val="22"/>
                <w:lang w:val="fr-FR"/>
              </w:rPr>
              <w:t xml:space="preserve">GB-GOV-13-ICF-0016-BioCF  </w:t>
            </w:r>
          </w:p>
        </w:tc>
        <w:tc>
          <w:tcPr>
            <w:tcW w:w="2410" w:type="dxa"/>
            <w:tcBorders>
              <w:top w:val="dotted" w:color="000000" w:themeColor="text1" w:sz="2" w:space="0"/>
              <w:left w:val="dotted" w:color="000000" w:themeColor="text1" w:sz="2" w:space="0"/>
              <w:bottom w:val="single" w:color="000000" w:themeColor="text1" w:sz="4" w:space="0"/>
              <w:right w:val="dotted" w:color="000000" w:themeColor="text1" w:sz="2" w:space="0"/>
            </w:tcBorders>
            <w:hideMark/>
          </w:tcPr>
          <w:p w:rsidRPr="003F6641" w:rsidR="004D2FC0" w:rsidP="04EDBA2B" w:rsidRDefault="004D2FC0" w14:paraId="3C649775" w14:textId="58D997B1">
            <w:pPr>
              <w:rPr>
                <w:rFonts w:cs="Arial"/>
                <w:sz w:val="22"/>
                <w:szCs w:val="22"/>
              </w:rPr>
            </w:pPr>
            <w:r w:rsidRPr="04EDBA2B">
              <w:rPr>
                <w:rFonts w:cs="Arial"/>
                <w:b/>
                <w:bCs/>
                <w:sz w:val="22"/>
                <w:szCs w:val="22"/>
              </w:rPr>
              <w:t>Programme start date:</w:t>
            </w:r>
            <w:r w:rsidRPr="04EDBA2B">
              <w:rPr>
                <w:rFonts w:cs="Arial"/>
                <w:sz w:val="22"/>
                <w:szCs w:val="22"/>
              </w:rPr>
              <w:t xml:space="preserve"> </w:t>
            </w:r>
            <w:r w:rsidRPr="04EDBA2B" w:rsidR="3D24F522">
              <w:rPr>
                <w:rFonts w:cs="Arial"/>
                <w:sz w:val="22"/>
                <w:szCs w:val="22"/>
              </w:rPr>
              <w:t>December 2013</w:t>
            </w:r>
          </w:p>
        </w:tc>
        <w:tc>
          <w:tcPr>
            <w:tcW w:w="3209" w:type="dxa"/>
            <w:tcBorders>
              <w:top w:val="dotted" w:color="000000" w:themeColor="text1" w:sz="2" w:space="0"/>
              <w:left w:val="dotted" w:color="000000" w:themeColor="text1" w:sz="2" w:space="0"/>
              <w:bottom w:val="single" w:color="auto" w:sz="4" w:space="0"/>
              <w:right w:val="single" w:color="auto" w:sz="4" w:space="0"/>
            </w:tcBorders>
            <w:hideMark/>
          </w:tcPr>
          <w:p w:rsidRPr="003F6641" w:rsidR="004D2FC0" w:rsidP="04EDBA2B" w:rsidRDefault="004D2FC0" w14:paraId="7A133EFD" w14:textId="699214E6">
            <w:pPr>
              <w:rPr>
                <w:rFonts w:cs="Arial"/>
                <w:sz w:val="22"/>
                <w:szCs w:val="22"/>
              </w:rPr>
            </w:pPr>
            <w:r w:rsidRPr="04EDBA2B">
              <w:rPr>
                <w:rFonts w:cs="Arial"/>
                <w:b/>
                <w:bCs/>
                <w:sz w:val="22"/>
                <w:szCs w:val="22"/>
              </w:rPr>
              <w:t>Programme end date:</w:t>
            </w:r>
            <w:r w:rsidRPr="04EDBA2B">
              <w:rPr>
                <w:rFonts w:cs="Arial"/>
                <w:sz w:val="22"/>
                <w:szCs w:val="22"/>
              </w:rPr>
              <w:t xml:space="preserve"> </w:t>
            </w:r>
            <w:r>
              <w:br/>
            </w:r>
            <w:r w:rsidRPr="04EDBA2B" w:rsidR="0308B148">
              <w:rPr>
                <w:rFonts w:cs="Arial"/>
                <w:sz w:val="22"/>
                <w:szCs w:val="22"/>
              </w:rPr>
              <w:t>December 2030</w:t>
            </w:r>
          </w:p>
        </w:tc>
      </w:tr>
    </w:tbl>
    <w:p w:rsidRPr="003F6641" w:rsidR="004D2FC0" w:rsidP="004D2FC0" w:rsidRDefault="004D2FC0" w14:paraId="44D21F6A" w14:textId="77777777">
      <w:pPr>
        <w:rPr>
          <w:rFonts w:cs="Arial"/>
          <w:b/>
          <w:sz w:val="22"/>
          <w:szCs w:val="22"/>
        </w:rPr>
      </w:pPr>
    </w:p>
    <w:tbl>
      <w:tblPr>
        <w:tblStyle w:val="TableGrid"/>
        <w:tblW w:w="9016" w:type="dxa"/>
        <w:tblLook w:val="04A0" w:firstRow="1" w:lastRow="0" w:firstColumn="1" w:lastColumn="0" w:noHBand="0" w:noVBand="1"/>
      </w:tblPr>
      <w:tblGrid>
        <w:gridCol w:w="1292"/>
        <w:gridCol w:w="839"/>
        <w:gridCol w:w="624"/>
        <w:gridCol w:w="624"/>
        <w:gridCol w:w="624"/>
        <w:gridCol w:w="624"/>
        <w:gridCol w:w="624"/>
        <w:gridCol w:w="624"/>
        <w:gridCol w:w="624"/>
        <w:gridCol w:w="839"/>
        <w:gridCol w:w="839"/>
        <w:gridCol w:w="839"/>
      </w:tblGrid>
      <w:tr w:rsidRPr="003F6641" w:rsidR="004D2FC0" w:rsidTr="290A5D73" w14:paraId="397F49F6" w14:textId="77777777">
        <w:trPr>
          <w:trHeight w:val="300"/>
        </w:trPr>
        <w:tc>
          <w:tcPr>
            <w:tcW w:w="198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0425EB" w:rsidR="004D2FC0" w:rsidP="00FC16A6" w:rsidRDefault="004D2FC0" w14:paraId="4C0C093D" w14:textId="77777777">
            <w:pPr>
              <w:rPr>
                <w:rFonts w:cs="Arial"/>
                <w:b/>
                <w:bCs/>
                <w:sz w:val="22"/>
                <w:szCs w:val="22"/>
              </w:rPr>
            </w:pPr>
            <w:r w:rsidRPr="000425EB">
              <w:rPr>
                <w:rFonts w:cs="Arial"/>
                <w:b/>
                <w:bCs/>
                <w:sz w:val="22"/>
                <w:szCs w:val="22"/>
              </w:rPr>
              <w:t>Year</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5A0EE896" w14:textId="696A8282">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14/15</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15C6703F" w14:textId="4F9654E2">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15/16</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33E02D64" w14:textId="52289602">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16/17</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04C36E76" w14:textId="4582CD10">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17/18</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5B76683B" w14:textId="2E1A6B79">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18/19</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0183EF47" w14:textId="2804B6B5">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19/20</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6DE45DAD" w14:textId="03371049">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20/21</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1492C7CD" w14:textId="489EF003">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21/22</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5C2DCFB4" w14:textId="0506B71F">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22/23</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49739D1" w14:paraId="1DC5FC7C" w14:textId="5206C9F7">
            <w:pPr>
              <w:spacing w:line="259" w:lineRule="auto"/>
              <w:jc w:val="center"/>
              <w:rPr>
                <w:rFonts w:eastAsia="Arial" w:cs="Arial"/>
                <w:color w:val="000000" w:themeColor="text1"/>
                <w:sz w:val="16"/>
                <w:szCs w:val="16"/>
              </w:rPr>
            </w:pPr>
            <w:r w:rsidRPr="62DB956E">
              <w:rPr>
                <w:rFonts w:eastAsia="Arial" w:cs="Arial"/>
                <w:b/>
                <w:bCs/>
                <w:color w:val="000000" w:themeColor="text1"/>
                <w:sz w:val="16"/>
                <w:szCs w:val="16"/>
              </w:rPr>
              <w:t>23/24</w:t>
            </w:r>
          </w:p>
        </w:tc>
        <w:tc>
          <w:tcPr>
            <w:tcW w:w="639" w:type="dxa"/>
            <w:tcBorders>
              <w:top w:val="single" w:color="auto" w:sz="4" w:space="0"/>
              <w:left w:val="single" w:color="auto" w:sz="4" w:space="0"/>
              <w:bottom w:val="single" w:color="auto" w:sz="4" w:space="0"/>
              <w:right w:val="single" w:color="auto" w:sz="4" w:space="0"/>
            </w:tcBorders>
          </w:tcPr>
          <w:p w:rsidR="349739D1" w:rsidP="62DB956E" w:rsidRDefault="369461B1" w14:paraId="620BF9F1" w14:textId="1AA3CE03">
            <w:pPr>
              <w:rPr>
                <w:rFonts w:cs="Arial"/>
                <w:b/>
                <w:bCs/>
                <w:sz w:val="16"/>
                <w:szCs w:val="16"/>
              </w:rPr>
            </w:pPr>
            <w:r w:rsidRPr="62DB956E">
              <w:rPr>
                <w:rFonts w:cs="Arial"/>
                <w:b/>
                <w:bCs/>
                <w:sz w:val="16"/>
                <w:szCs w:val="16"/>
              </w:rPr>
              <w:t>24/25</w:t>
            </w:r>
          </w:p>
        </w:tc>
      </w:tr>
      <w:tr w:rsidRPr="003F6641" w:rsidR="004D2FC0" w:rsidTr="290A5D73" w14:paraId="461D6177" w14:textId="77777777">
        <w:trPr>
          <w:trHeight w:val="300"/>
        </w:trPr>
        <w:tc>
          <w:tcPr>
            <w:tcW w:w="198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0425EB" w:rsidR="004D2FC0" w:rsidP="00FC16A6" w:rsidRDefault="004D2FC0" w14:paraId="63454618" w14:textId="77777777">
            <w:pPr>
              <w:rPr>
                <w:rFonts w:cs="Arial"/>
                <w:b/>
                <w:bCs/>
                <w:sz w:val="22"/>
                <w:szCs w:val="22"/>
              </w:rPr>
            </w:pPr>
            <w:r w:rsidRPr="000425EB">
              <w:rPr>
                <w:rFonts w:cs="Arial"/>
                <w:b/>
                <w:bCs/>
                <w:sz w:val="22"/>
                <w:szCs w:val="22"/>
              </w:rPr>
              <w:t>Overall Output Score</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466C5174" w14:textId="41E96F35">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B</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406D991C" w14:textId="60F320CA">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B</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086F3BB9" w14:textId="4E9D3BF0">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A</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5306E811" w14:textId="18D6FFA0">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B</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0022A153" w14:textId="27D7F91F">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B</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347A914C" w14:textId="4CC3ECE7">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B</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1CB8C3CB" w14:textId="1EF7A8BC">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B</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63E70785" w14:textId="11F3383A">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 xml:space="preserve"> A   </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3514AF2B" w14:textId="53275995">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A</w:t>
            </w:r>
          </w:p>
        </w:tc>
        <w:tc>
          <w:tcPr>
            <w:tcW w:w="639" w:type="dxa"/>
            <w:tcBorders>
              <w:top w:val="single" w:color="auto" w:sz="4" w:space="0"/>
              <w:left w:val="single" w:color="auto" w:sz="4" w:space="0"/>
              <w:bottom w:val="single" w:color="auto" w:sz="4" w:space="0"/>
              <w:right w:val="single" w:color="auto" w:sz="4" w:space="0"/>
            </w:tcBorders>
          </w:tcPr>
          <w:p w:rsidR="349739D1" w:rsidP="349739D1" w:rsidRDefault="349739D1" w14:paraId="10C2D891" w14:textId="30BBF8DC">
            <w:pPr>
              <w:spacing w:line="259" w:lineRule="auto"/>
              <w:jc w:val="center"/>
              <w:rPr>
                <w:rFonts w:eastAsia="Arial" w:cs="Arial"/>
                <w:color w:val="000000" w:themeColor="text1"/>
                <w:sz w:val="18"/>
                <w:szCs w:val="18"/>
              </w:rPr>
            </w:pPr>
            <w:r w:rsidRPr="349739D1">
              <w:rPr>
                <w:rFonts w:eastAsia="Arial" w:cs="Arial"/>
                <w:b/>
                <w:bCs/>
                <w:color w:val="000000" w:themeColor="text1"/>
                <w:sz w:val="18"/>
                <w:szCs w:val="18"/>
              </w:rPr>
              <w:t>A</w:t>
            </w:r>
          </w:p>
        </w:tc>
        <w:tc>
          <w:tcPr>
            <w:tcW w:w="639" w:type="dxa"/>
            <w:tcBorders>
              <w:top w:val="single" w:color="auto" w:sz="4" w:space="0"/>
              <w:left w:val="single" w:color="auto" w:sz="4" w:space="0"/>
              <w:bottom w:val="single" w:color="auto" w:sz="4" w:space="0"/>
              <w:right w:val="single" w:color="auto" w:sz="4" w:space="0"/>
            </w:tcBorders>
          </w:tcPr>
          <w:p w:rsidRPr="0029297C" w:rsidR="349739D1" w:rsidP="349739D1" w:rsidRDefault="70D6AAA3" w14:paraId="7A1FCB2A" w14:textId="224B99CE">
            <w:pPr>
              <w:rPr>
                <w:rFonts w:cs="Arial"/>
                <w:b/>
                <w:bCs/>
                <w:sz w:val="18"/>
                <w:szCs w:val="18"/>
              </w:rPr>
            </w:pPr>
            <w:r w:rsidRPr="0029297C">
              <w:rPr>
                <w:rFonts w:cs="Arial"/>
                <w:b/>
                <w:bCs/>
                <w:sz w:val="18"/>
                <w:szCs w:val="18"/>
              </w:rPr>
              <w:t>A</w:t>
            </w:r>
          </w:p>
        </w:tc>
      </w:tr>
      <w:tr w:rsidRPr="003F6641" w:rsidR="004D2FC0" w:rsidTr="290A5D73" w14:paraId="58491621" w14:textId="77777777">
        <w:trPr>
          <w:trHeight w:val="309"/>
        </w:trPr>
        <w:tc>
          <w:tcPr>
            <w:tcW w:w="198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0425EB" w:rsidR="004D2FC0" w:rsidP="00FC16A6" w:rsidRDefault="004D2FC0" w14:paraId="7030DD62" w14:textId="77777777">
            <w:pPr>
              <w:rPr>
                <w:rFonts w:cs="Arial"/>
                <w:b/>
                <w:bCs/>
                <w:sz w:val="22"/>
                <w:szCs w:val="22"/>
              </w:rPr>
            </w:pPr>
            <w:r w:rsidRPr="000425EB">
              <w:rPr>
                <w:rFonts w:cs="Arial"/>
                <w:b/>
                <w:bCs/>
                <w:sz w:val="22"/>
                <w:szCs w:val="22"/>
              </w:rPr>
              <w:t xml:space="preserve">Risk Rating </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0D2F0917" w14:textId="26126E00">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Moderate</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6A96F798" w14:textId="5CC762CC">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Major</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73778F58" w14:textId="2BF7762C">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Major</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08B68591" w14:textId="40F2D152">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Major</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75ED459A" w14:textId="2465915E">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Major</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2CB67D71" w14:textId="7214F274">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Major</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44B89462" w14:textId="0C86D3C2">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Major</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54D04C2F" w14:textId="383CA68D">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Major</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5630F13C" w14:textId="5030D2BB">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Moderate</w:t>
            </w:r>
          </w:p>
        </w:tc>
        <w:tc>
          <w:tcPr>
            <w:tcW w:w="639" w:type="dxa"/>
            <w:tcBorders>
              <w:top w:val="single" w:color="auto" w:sz="4" w:space="0"/>
              <w:left w:val="single" w:color="auto" w:sz="4" w:space="0"/>
              <w:bottom w:val="single" w:color="auto" w:sz="4" w:space="0"/>
              <w:right w:val="single" w:color="auto" w:sz="4" w:space="0"/>
            </w:tcBorders>
          </w:tcPr>
          <w:p w:rsidR="349739D1" w:rsidP="127972C1" w:rsidRDefault="11BA513E" w14:paraId="7D4F3C7C" w14:textId="04C81326">
            <w:pPr>
              <w:spacing w:line="259" w:lineRule="auto"/>
              <w:jc w:val="center"/>
              <w:rPr>
                <w:rFonts w:eastAsia="Arial" w:cs="Arial"/>
                <w:color w:val="000000" w:themeColor="text1"/>
                <w:sz w:val="14"/>
                <w:szCs w:val="14"/>
              </w:rPr>
            </w:pPr>
            <w:r w:rsidRPr="127972C1">
              <w:rPr>
                <w:rFonts w:eastAsia="Arial" w:cs="Arial"/>
                <w:b/>
                <w:bCs/>
                <w:color w:val="000000" w:themeColor="text1"/>
                <w:sz w:val="14"/>
                <w:szCs w:val="14"/>
              </w:rPr>
              <w:t>Moderate</w:t>
            </w:r>
          </w:p>
        </w:tc>
        <w:tc>
          <w:tcPr>
            <w:tcW w:w="639" w:type="dxa"/>
            <w:tcBorders>
              <w:top w:val="single" w:color="auto" w:sz="4" w:space="0"/>
              <w:left w:val="single" w:color="auto" w:sz="4" w:space="0"/>
              <w:bottom w:val="single" w:color="auto" w:sz="4" w:space="0"/>
              <w:right w:val="single" w:color="auto" w:sz="4" w:space="0"/>
            </w:tcBorders>
          </w:tcPr>
          <w:p w:rsidR="349739D1" w:rsidP="18EEF2E2" w:rsidRDefault="64FA58BD" w14:paraId="1C3C7D71" w14:textId="0ED8134F">
            <w:pPr>
              <w:rPr>
                <w:rFonts w:cs="Arial"/>
                <w:b/>
                <w:bCs/>
                <w:sz w:val="14"/>
                <w:szCs w:val="14"/>
              </w:rPr>
            </w:pPr>
            <w:r w:rsidRPr="18EEF2E2">
              <w:rPr>
                <w:rFonts w:cs="Arial"/>
                <w:b/>
                <w:bCs/>
                <w:sz w:val="14"/>
                <w:szCs w:val="14"/>
              </w:rPr>
              <w:t>Moderate</w:t>
            </w:r>
          </w:p>
        </w:tc>
      </w:tr>
    </w:tbl>
    <w:p w:rsidRPr="003F6641" w:rsidR="004D2FC0" w:rsidP="004D2FC0" w:rsidRDefault="004D2FC0" w14:paraId="06E2DA9D" w14:textId="77777777">
      <w:pPr>
        <w:rPr>
          <w:rFonts w:cs="Arial"/>
          <w:b/>
          <w:sz w:val="22"/>
          <w:szCs w:val="22"/>
        </w:rPr>
      </w:pPr>
    </w:p>
    <w:tbl>
      <w:tblPr>
        <w:tblStyle w:val="TableGrid"/>
        <w:tblW w:w="0" w:type="auto"/>
        <w:tblInd w:w="-5" w:type="dxa"/>
        <w:tblLook w:val="04A0" w:firstRow="1" w:lastRow="0" w:firstColumn="1" w:lastColumn="0" w:noHBand="0" w:noVBand="1"/>
      </w:tblPr>
      <w:tblGrid>
        <w:gridCol w:w="3969"/>
        <w:gridCol w:w="5052"/>
      </w:tblGrid>
      <w:tr w:rsidRPr="003F6641" w:rsidR="00CF5AEE" w:rsidTr="5B3B7BDB" w14:paraId="4FEBD36E" w14:textId="77777777">
        <w:trPr>
          <w:trHeight w:val="355"/>
        </w:trPr>
        <w:tc>
          <w:tcPr>
            <w:tcW w:w="3969" w:type="dxa"/>
            <w:shd w:val="clear" w:color="auto" w:fill="DEEAF6" w:themeFill="accent5" w:themeFillTint="33"/>
            <w:tcMar/>
            <w:hideMark/>
          </w:tcPr>
          <w:p w:rsidRPr="000425EB" w:rsidR="004D2FC0" w:rsidP="00FC16A6" w:rsidRDefault="004D2FC0" w14:paraId="47E97EB8" w14:textId="77777777">
            <w:pPr>
              <w:rPr>
                <w:rFonts w:cs="Arial"/>
                <w:b/>
                <w:sz w:val="22"/>
                <w:szCs w:val="22"/>
              </w:rPr>
            </w:pPr>
            <w:r w:rsidRPr="000425EB">
              <w:rPr>
                <w:rFonts w:cs="Arial"/>
                <w:b/>
                <w:sz w:val="22"/>
                <w:szCs w:val="22"/>
              </w:rPr>
              <w:t xml:space="preserve">Link to Business Case: </w:t>
            </w:r>
          </w:p>
        </w:tc>
        <w:tc>
          <w:tcPr>
            <w:tcW w:w="5052" w:type="dxa"/>
            <w:tcMar/>
          </w:tcPr>
          <w:p w:rsidR="4FB8B7F5" w:rsidP="5B3B7BDB" w:rsidRDefault="4FB8B7F5" w14:paraId="4B6573CA" w14:textId="3F4495F5">
            <w:pPr>
              <w:spacing w:line="259" w:lineRule="auto"/>
              <w:rPr>
                <w:rFonts w:eastAsia="Arial" w:cs="Arial"/>
                <w:color w:val="000000" w:themeColor="text1"/>
                <w:sz w:val="22"/>
                <w:szCs w:val="22"/>
              </w:rPr>
            </w:pPr>
            <w:hyperlink r:id="R88d766f435e14b17">
              <w:r w:rsidRPr="5B3B7BDB" w:rsidR="79C7CE11">
                <w:rPr>
                  <w:rStyle w:val="Hyperlink"/>
                  <w:rFonts w:eastAsia="Arial" w:cs="Arial"/>
                  <w:sz w:val="22"/>
                  <w:szCs w:val="22"/>
                </w:rPr>
                <w:t>Business Case</w:t>
              </w:r>
            </w:hyperlink>
          </w:p>
          <w:p w:rsidR="4FB8B7F5" w:rsidP="5B3B7BDB" w:rsidRDefault="4FB8B7F5" w14:paraId="5D78C371" w14:textId="48D31BEC">
            <w:pPr>
              <w:rPr>
                <w:rFonts w:eastAsia="Arial" w:cs="Arial"/>
                <w:color w:val="000000" w:themeColor="text1"/>
                <w:sz w:val="22"/>
                <w:szCs w:val="22"/>
              </w:rPr>
            </w:pPr>
          </w:p>
        </w:tc>
      </w:tr>
      <w:tr w:rsidRPr="003F6641" w:rsidR="00CF5AEE" w:rsidTr="5B3B7BDB" w14:paraId="728A7692" w14:textId="77777777">
        <w:trPr>
          <w:trHeight w:val="403"/>
        </w:trPr>
        <w:tc>
          <w:tcPr>
            <w:tcW w:w="3969" w:type="dxa"/>
            <w:shd w:val="clear" w:color="auto" w:fill="DEEAF6" w:themeFill="accent5" w:themeFillTint="33"/>
            <w:tcMar/>
            <w:hideMark/>
          </w:tcPr>
          <w:p w:rsidRPr="000425EB" w:rsidR="004D2FC0" w:rsidP="00FC16A6" w:rsidRDefault="004D2FC0" w14:paraId="251B0951" w14:textId="77777777">
            <w:pPr>
              <w:rPr>
                <w:rFonts w:cs="Arial"/>
                <w:b/>
                <w:i/>
                <w:sz w:val="22"/>
                <w:szCs w:val="22"/>
              </w:rPr>
            </w:pPr>
            <w:r w:rsidRPr="000425EB">
              <w:rPr>
                <w:rFonts w:cs="Arial"/>
                <w:b/>
                <w:sz w:val="22"/>
                <w:szCs w:val="22"/>
              </w:rPr>
              <w:t xml:space="preserve">Link to Logframe: </w:t>
            </w:r>
          </w:p>
        </w:tc>
        <w:tc>
          <w:tcPr>
            <w:tcW w:w="5052" w:type="dxa"/>
            <w:tcMar/>
          </w:tcPr>
          <w:p w:rsidR="4FB8B7F5" w:rsidP="5B3B7BDB" w:rsidRDefault="4FB8B7F5" w14:paraId="6A321876" w14:textId="2DBAEC86">
            <w:pPr>
              <w:rPr>
                <w:rFonts w:eastAsia="Arial" w:cs="Arial"/>
                <w:sz w:val="22"/>
                <w:szCs w:val="22"/>
              </w:rPr>
            </w:pPr>
            <w:r w:rsidRPr="5B3B7BDB" w:rsidR="4497CE09">
              <w:rPr>
                <w:rFonts w:eastAsia="Arial" w:cs="Arial"/>
                <w:sz w:val="20"/>
                <w:szCs w:val="20"/>
              </w:rPr>
              <w:t>ISFL Logframe 2024-25</w:t>
            </w:r>
          </w:p>
        </w:tc>
      </w:tr>
      <w:tr w:rsidRPr="003F6641" w:rsidR="00CF5AEE" w:rsidTr="5B3B7BDB" w14:paraId="240D100A" w14:textId="77777777">
        <w:trPr>
          <w:trHeight w:val="403"/>
        </w:trPr>
        <w:tc>
          <w:tcPr>
            <w:tcW w:w="3969" w:type="dxa"/>
            <w:shd w:val="clear" w:color="auto" w:fill="DEEAF6" w:themeFill="accent5" w:themeFillTint="33"/>
            <w:tcMar/>
          </w:tcPr>
          <w:p w:rsidRPr="000425EB" w:rsidR="004D2FC0" w:rsidP="00FC16A6" w:rsidRDefault="004D2FC0" w14:paraId="44F3A577" w14:textId="77777777">
            <w:pPr>
              <w:rPr>
                <w:rFonts w:cs="Arial"/>
                <w:b/>
                <w:sz w:val="22"/>
                <w:szCs w:val="22"/>
              </w:rPr>
            </w:pPr>
            <w:r w:rsidRPr="000425EB">
              <w:rPr>
                <w:rFonts w:cs="Arial"/>
                <w:b/>
                <w:sz w:val="22"/>
                <w:szCs w:val="22"/>
              </w:rPr>
              <w:t xml:space="preserve">Link to previous Annual Review </w:t>
            </w:r>
            <w:r w:rsidRPr="000425EB">
              <w:rPr>
                <w:rFonts w:cs="Arial"/>
                <w:bCs/>
                <w:sz w:val="22"/>
                <w:szCs w:val="22"/>
              </w:rPr>
              <w:t>(if appropriate)</w:t>
            </w:r>
          </w:p>
        </w:tc>
        <w:tc>
          <w:tcPr>
            <w:tcW w:w="5052" w:type="dxa"/>
            <w:tcMar/>
          </w:tcPr>
          <w:p w:rsidRPr="003F6641" w:rsidR="004D2FC0" w:rsidP="4FB8B7F5" w:rsidRDefault="6EEFF0AE" w14:paraId="521FABC2" w14:textId="6CC9D5AC">
            <w:pPr>
              <w:rPr>
                <w:rFonts w:eastAsia="Arial" w:cs="Arial"/>
                <w:sz w:val="22"/>
                <w:szCs w:val="22"/>
              </w:rPr>
            </w:pPr>
            <w:hyperlink r:id="Rc3468921bd4e4449">
              <w:r w:rsidRPr="5B3B7BDB" w:rsidR="6702DF17">
                <w:rPr>
                  <w:rStyle w:val="Hyperlink"/>
                  <w:rFonts w:eastAsia="Arial" w:cs="Arial"/>
                  <w:sz w:val="22"/>
                  <w:szCs w:val="22"/>
                </w:rPr>
                <w:t>ISFL Annual Review 2023-24</w:t>
              </w:r>
            </w:hyperlink>
          </w:p>
        </w:tc>
      </w:tr>
    </w:tbl>
    <w:p w:rsidRPr="006C516E" w:rsidR="004D2FC0" w:rsidP="006C516E" w:rsidRDefault="004D2FC0" w14:paraId="5A54EF7F" w14:textId="77777777"/>
    <w:p w:rsidRPr="009E3F6E" w:rsidR="003D222C" w:rsidP="004D5FD5" w:rsidRDefault="003D222C" w14:paraId="7A642962" w14:textId="7FF66EBD">
      <w:pPr>
        <w:jc w:val="both"/>
      </w:pPr>
      <w:bookmarkStart w:name="_Toc858425328" w:id="1865923202"/>
      <w:r w:rsidRPr="376EB76A" w:rsidR="35EEEB8C">
        <w:rPr>
          <w:rStyle w:val="Heading2Char"/>
        </w:rPr>
        <w:t>Description of programme</w:t>
      </w:r>
      <w:bookmarkEnd w:id="1865923202"/>
      <w:r w:rsidR="35EEEB8C">
        <w:rPr/>
        <w:t xml:space="preserve"> </w:t>
      </w:r>
    </w:p>
    <w:p w:rsidRPr="00D80C6C" w:rsidR="003D222C" w:rsidP="1DAE5BE6" w:rsidRDefault="003D222C" w14:paraId="6F9482AB" w14:textId="7B61F11C">
      <w:pPr>
        <w:jc w:val="both"/>
        <w:rPr>
          <w:rFonts w:cs="Arial"/>
          <w:b/>
          <w:bCs/>
          <w:sz w:val="22"/>
          <w:szCs w:val="22"/>
        </w:rPr>
      </w:pPr>
    </w:p>
    <w:p w:rsidR="6D28CCAE" w:rsidP="1DAE5BE6" w:rsidRDefault="6D28CCAE" w14:paraId="63BE1196" w14:textId="6CCB80FF">
      <w:pPr>
        <w:jc w:val="both"/>
      </w:pPr>
      <w:r w:rsidRPr="62F3D97A">
        <w:rPr>
          <w:rFonts w:eastAsia="Arial" w:cs="Arial"/>
          <w:color w:val="000000" w:themeColor="text1"/>
          <w:sz w:val="22"/>
          <w:szCs w:val="22"/>
        </w:rPr>
        <w:t xml:space="preserve">The </w:t>
      </w:r>
      <w:proofErr w:type="spellStart"/>
      <w:r w:rsidRPr="62F3D97A">
        <w:rPr>
          <w:rFonts w:eastAsia="Arial" w:cs="Arial"/>
          <w:color w:val="000000" w:themeColor="text1"/>
          <w:sz w:val="22"/>
          <w:szCs w:val="22"/>
        </w:rPr>
        <w:t>BioCarbon</w:t>
      </w:r>
      <w:proofErr w:type="spellEnd"/>
      <w:r w:rsidRPr="62F3D97A">
        <w:rPr>
          <w:rFonts w:eastAsia="Arial" w:cs="Arial"/>
          <w:color w:val="000000" w:themeColor="text1"/>
          <w:sz w:val="22"/>
          <w:szCs w:val="22"/>
        </w:rPr>
        <w:t xml:space="preserve"> Fund Initiative for Sustainable Forest Landscapes (ISFL) is a multilateral fund operating in five sub-national jurisdictions in Colombia, Ethiopia, Indonesia, Mexico and Zambia. Operational since 2013, the programme aims to incentivise a transformation at this large “jurisdictional” scale to a more sustainable, low-carbon development path. The scale of the sub-national jurisdictions can offer replicable, scalable, transformative change through an integrated approach to results-based payments for emissions reductions. The programme tests comprehensive carbon accounting methodologies to pay for emission reductions from a range of landscape features including forests, wetlands, and agriculture. </w:t>
      </w:r>
    </w:p>
    <w:p w:rsidR="6D28CCAE" w:rsidP="62F3D97A" w:rsidRDefault="6D28CCAE" w14:paraId="068A5E56" w14:textId="034BFE0E">
      <w:pPr>
        <w:jc w:val="both"/>
        <w:rPr>
          <w:rFonts w:eastAsia="Arial" w:cs="Arial"/>
          <w:color w:val="000000" w:themeColor="text1"/>
          <w:sz w:val="22"/>
          <w:szCs w:val="22"/>
        </w:rPr>
      </w:pPr>
    </w:p>
    <w:p w:rsidR="6D28CCAE" w:rsidP="62F3D97A" w:rsidRDefault="6D28CCAE" w14:paraId="6BCFF6DF" w14:textId="60127A38">
      <w:pPr>
        <w:jc w:val="both"/>
        <w:rPr>
          <w:rFonts w:eastAsia="Arial" w:cs="Arial"/>
          <w:sz w:val="22"/>
          <w:szCs w:val="22"/>
        </w:rPr>
      </w:pPr>
      <w:r w:rsidRPr="562E01D1" w:rsidR="6D28CCAE">
        <w:rPr>
          <w:rFonts w:eastAsia="Arial" w:cs="Arial"/>
          <w:color w:val="000000" w:themeColor="text1"/>
          <w:sz w:val="22"/>
          <w:szCs w:val="22"/>
        </w:rPr>
        <w:t xml:space="preserve">ISFL also aims to engage closely with the private sector in </w:t>
      </w:r>
      <w:r w:rsidRPr="562E01D1" w:rsidR="6D28CCAE">
        <w:rPr>
          <w:rFonts w:eastAsia="Arial" w:cs="Arial"/>
          <w:color w:val="000000" w:themeColor="text1"/>
          <w:sz w:val="22"/>
          <w:szCs w:val="22"/>
        </w:rPr>
        <w:t xml:space="preserve">various ways</w:t>
      </w:r>
      <w:r w:rsidRPr="562E01D1" w:rsidR="6D28CCAE">
        <w:rPr>
          <w:rFonts w:eastAsia="Arial" w:cs="Arial"/>
          <w:color w:val="000000" w:themeColor="text1"/>
          <w:sz w:val="22"/>
          <w:szCs w:val="22"/>
        </w:rPr>
        <w:t xml:space="preserve"> such as collaborating on sustainability projects and best practice with a focus on deforestation and sustainable agriculture, blending finance, and </w:t>
      </w:r>
      <w:r w:rsidRPr="562E01D1" w:rsidR="6D28CCAE">
        <w:rPr>
          <w:rFonts w:eastAsia="Arial" w:cs="Arial"/>
          <w:color w:val="000000" w:themeColor="text1"/>
          <w:sz w:val="22"/>
          <w:szCs w:val="22"/>
        </w:rPr>
        <w:t xml:space="preserve">convening</w:t>
      </w:r>
      <w:r w:rsidRPr="562E01D1" w:rsidR="6D28CCAE">
        <w:rPr>
          <w:rFonts w:eastAsia="Arial" w:cs="Arial"/>
          <w:color w:val="000000" w:themeColor="text1"/>
          <w:sz w:val="22"/>
          <w:szCs w:val="22"/>
        </w:rPr>
        <w:t xml:space="preserve"> stakeholders to work toward complementary goals (including emission reduction (ER), and sustainable investment). The aim of the programme’s engagement with the private sector is to provide sustainable livelihood opportunities for communities and mobilise finance for critical investments. ISFL is managed by the World Bank and has five participating donor countries, </w:t>
      </w:r>
      <w:r w:rsidRPr="562E01D1" w:rsidR="6D28CCAE">
        <w:rPr>
          <w:rFonts w:eastAsia="Arial" w:cs="Arial"/>
          <w:color w:val="000000" w:themeColor="text1"/>
          <w:sz w:val="22"/>
          <w:szCs w:val="22"/>
        </w:rPr>
        <w:t>with their share of the fund</w:t>
      </w:r>
      <w:r w:rsidR="003A0B4D">
        <w:rPr>
          <w:rFonts w:eastAsia="Arial" w:cs="Arial"/>
          <w:color w:val="000000" w:themeColor="text1"/>
          <w:sz w:val="22"/>
          <w:szCs w:val="22"/>
        </w:rPr>
        <w:t xml:space="preserve"> (based on total pledged)</w:t>
      </w:r>
      <w:r w:rsidRPr="562E01D1" w:rsidR="6D28CCAE">
        <w:rPr>
          <w:rFonts w:eastAsia="Arial" w:cs="Arial"/>
          <w:color w:val="000000" w:themeColor="text1"/>
          <w:sz w:val="22"/>
          <w:szCs w:val="22"/>
        </w:rPr>
        <w:t xml:space="preserve"> at the end of this review period as follows: UK c4</w:t>
      </w:r>
      <w:r w:rsidRPr="562E01D1" w:rsidR="65B21F00">
        <w:rPr>
          <w:rFonts w:eastAsia="Arial" w:cs="Arial"/>
          <w:color w:val="000000" w:themeColor="text1"/>
          <w:sz w:val="22"/>
          <w:szCs w:val="22"/>
        </w:rPr>
        <w:t>3</w:t>
      </w:r>
      <w:r w:rsidRPr="562E01D1" w:rsidR="6D28CCAE">
        <w:rPr>
          <w:rFonts w:eastAsia="Arial" w:cs="Arial"/>
          <w:color w:val="000000" w:themeColor="text1"/>
          <w:sz w:val="22"/>
          <w:szCs w:val="22"/>
        </w:rPr>
        <w:t>%</w:t>
      </w:r>
      <w:r w:rsidRPr="562E01D1">
        <w:rPr>
          <w:rStyle w:val="FootnoteReference"/>
          <w:rFonts w:eastAsia="Arial" w:cs="Arial"/>
          <w:color w:val="000000" w:themeColor="text1"/>
          <w:sz w:val="22"/>
          <w:szCs w:val="22"/>
        </w:rPr>
        <w:footnoteReference w:id="2"/>
      </w:r>
      <w:r w:rsidRPr="562E01D1" w:rsidR="259A599F">
        <w:rPr>
          <w:rFonts w:eastAsia="Arial" w:cs="Arial"/>
          <w:color w:val="000000" w:themeColor="text1"/>
          <w:sz w:val="22"/>
          <w:szCs w:val="22"/>
        </w:rPr>
        <w:t xml:space="preserve"> </w:t>
      </w:r>
      <w:r w:rsidRPr="562E01D1" w:rsidR="6D28CCAE">
        <w:rPr>
          <w:rFonts w:eastAsia="Arial" w:cs="Arial"/>
          <w:color w:val="000000" w:themeColor="text1"/>
          <w:sz w:val="22"/>
          <w:szCs w:val="22"/>
        </w:rPr>
        <w:t>Norway c3</w:t>
      </w:r>
      <w:r w:rsidRPr="562E01D1" w:rsidR="341D37D5">
        <w:rPr>
          <w:rFonts w:eastAsia="Arial" w:cs="Arial"/>
          <w:color w:val="000000" w:themeColor="text1"/>
          <w:sz w:val="22"/>
          <w:szCs w:val="22"/>
        </w:rPr>
        <w:t>1</w:t>
      </w:r>
      <w:r w:rsidRPr="562E01D1" w:rsidR="6D28CCAE">
        <w:rPr>
          <w:rFonts w:eastAsia="Arial" w:cs="Arial"/>
          <w:color w:val="000000" w:themeColor="text1"/>
          <w:sz w:val="22"/>
          <w:szCs w:val="22"/>
        </w:rPr>
        <w:t xml:space="preserve">%, Germany c11%, Switzerland c3%, and the US c12%</w:t>
      </w:r>
      <w:r w:rsidRPr="562E01D1" w:rsidR="6D28CCAE">
        <w:rPr>
          <w:rFonts w:eastAsia="Arial" w:cs="Arial"/>
          <w:color w:val="000000" w:themeColor="text1"/>
          <w:sz w:val="22"/>
          <w:szCs w:val="22"/>
        </w:rPr>
        <w:t xml:space="preserve">.  </w:t>
      </w:r>
      <w:r w:rsidRPr="6922A194" w:rsidR="6D28CCAE">
        <w:rPr>
          <w:rFonts w:eastAsia="Arial" w:cs="Arial"/>
          <w:sz w:val="22"/>
          <w:szCs w:val="22"/>
        </w:rPr>
        <w:t xml:space="preserve"> </w:t>
      </w:r>
    </w:p>
    <w:p w:rsidR="1DAE5BE6" w:rsidP="1DAE5BE6" w:rsidRDefault="1DAE5BE6" w14:paraId="7E2E2C1A" w14:textId="52B03C23">
      <w:pPr>
        <w:spacing w:before="40" w:after="40"/>
        <w:jc w:val="both"/>
        <w:rPr>
          <w:rFonts w:cs="Arial"/>
          <w:sz w:val="22"/>
          <w:szCs w:val="22"/>
        </w:rPr>
      </w:pPr>
    </w:p>
    <w:p w:rsidR="6D28CCAE" w:rsidP="1DAE5BE6" w:rsidRDefault="6D28CCAE" w14:paraId="7DB2F8F5" w14:textId="694CB393">
      <w:pPr>
        <w:jc w:val="both"/>
        <w:rPr>
          <w:rFonts w:eastAsia="Arial" w:cs="Arial"/>
          <w:color w:val="000000" w:themeColor="text1"/>
          <w:sz w:val="22"/>
          <w:szCs w:val="22"/>
        </w:rPr>
      </w:pPr>
      <w:r w:rsidRPr="1DAE5BE6">
        <w:rPr>
          <w:rFonts w:eastAsia="Arial" w:cs="Arial"/>
          <w:color w:val="000000" w:themeColor="text1"/>
          <w:sz w:val="22"/>
          <w:szCs w:val="22"/>
        </w:rPr>
        <w:t xml:space="preserve">The UK investment in the ISFL contributes to the UK’s International Climate Finance (ICF) objectives and is well-aligned with the UK government’s commitment to protect nature globally for climate and people and foster the growth of innovative and sustainable forestry businesses.  </w:t>
      </w:r>
    </w:p>
    <w:p w:rsidR="6D28CCAE" w:rsidP="1DAE5BE6" w:rsidRDefault="6D28CCAE" w14:paraId="77DADD33" w14:textId="27A03C0D">
      <w:pPr>
        <w:jc w:val="both"/>
        <w:rPr>
          <w:rFonts w:eastAsia="Arial" w:cs="Arial"/>
          <w:color w:val="000000" w:themeColor="text1"/>
          <w:sz w:val="22"/>
          <w:szCs w:val="22"/>
        </w:rPr>
      </w:pPr>
      <w:r w:rsidRPr="0C9B3F9C" w:rsidR="6D28CCAE">
        <w:rPr>
          <w:rFonts w:eastAsia="Arial" w:cs="Arial"/>
          <w:color w:val="000000" w:themeColor="text1" w:themeTint="FF" w:themeShade="FF"/>
          <w:sz w:val="22"/>
          <w:szCs w:val="22"/>
        </w:rPr>
        <w:t xml:space="preserve">  </w:t>
      </w:r>
    </w:p>
    <w:p w:rsidR="0C9B3F9C" w:rsidP="0C9B3F9C" w:rsidRDefault="0C9B3F9C" w14:paraId="7D623560" w14:textId="565EF94B">
      <w:pPr>
        <w:jc w:val="both"/>
        <w:rPr>
          <w:rFonts w:eastAsia="Arial" w:cs="Arial"/>
          <w:color w:val="000000" w:themeColor="text1" w:themeTint="FF" w:themeShade="FF"/>
          <w:sz w:val="22"/>
          <w:szCs w:val="22"/>
        </w:rPr>
      </w:pPr>
    </w:p>
    <w:p w:rsidR="6D28CCAE" w:rsidP="1DAE5BE6" w:rsidRDefault="6D28CCAE" w14:paraId="56ED3AEC" w14:textId="54693A95">
      <w:pPr>
        <w:jc w:val="both"/>
        <w:rPr>
          <w:rFonts w:eastAsia="Arial" w:cs="Arial"/>
          <w:color w:val="000000" w:themeColor="text1"/>
          <w:sz w:val="22"/>
          <w:szCs w:val="22"/>
        </w:rPr>
      </w:pPr>
      <w:r w:rsidRPr="1DAE5BE6">
        <w:rPr>
          <w:rFonts w:eastAsia="Arial" w:cs="Arial"/>
          <w:color w:val="000000" w:themeColor="text1"/>
          <w:sz w:val="22"/>
          <w:szCs w:val="22"/>
        </w:rPr>
        <w:t xml:space="preserve">The ISFL has two complementary financing mechanisms:  </w:t>
      </w:r>
    </w:p>
    <w:p w:rsidR="6D28CCAE" w:rsidP="00756B4F" w:rsidRDefault="6D28CCAE" w14:paraId="4C8ABDD3" w14:textId="6DED8C15">
      <w:pPr>
        <w:pStyle w:val="ListParagraph"/>
        <w:numPr>
          <w:ilvl w:val="0"/>
          <w:numId w:val="25"/>
        </w:numPr>
        <w:jc w:val="both"/>
        <w:rPr>
          <w:rFonts w:eastAsia="Arial" w:cs="Arial"/>
          <w:color w:val="000000" w:themeColor="text1"/>
          <w:sz w:val="22"/>
          <w:szCs w:val="22"/>
        </w:rPr>
      </w:pPr>
      <w:proofErr w:type="spellStart"/>
      <w:r w:rsidRPr="29D42BB5">
        <w:rPr>
          <w:rFonts w:eastAsia="Arial" w:cs="Arial"/>
          <w:color w:val="000000" w:themeColor="text1"/>
          <w:sz w:val="22"/>
          <w:szCs w:val="22"/>
        </w:rPr>
        <w:t>BioCFplus</w:t>
      </w:r>
      <w:proofErr w:type="spellEnd"/>
      <w:r w:rsidRPr="29D42BB5">
        <w:rPr>
          <w:rFonts w:eastAsia="Arial" w:cs="Arial"/>
          <w:color w:val="000000" w:themeColor="text1"/>
          <w:sz w:val="22"/>
          <w:szCs w:val="22"/>
        </w:rPr>
        <w:t>-ISFL (</w:t>
      </w:r>
      <w:proofErr w:type="spellStart"/>
      <w:r w:rsidRPr="29D42BB5">
        <w:rPr>
          <w:rFonts w:eastAsia="Arial" w:cs="Arial"/>
          <w:color w:val="000000" w:themeColor="text1"/>
          <w:sz w:val="22"/>
          <w:szCs w:val="22"/>
        </w:rPr>
        <w:t>BioCFplus</w:t>
      </w:r>
      <w:proofErr w:type="spellEnd"/>
      <w:r w:rsidRPr="29D42BB5">
        <w:rPr>
          <w:rFonts w:eastAsia="Arial" w:cs="Arial"/>
          <w:color w:val="000000" w:themeColor="text1"/>
          <w:sz w:val="22"/>
          <w:szCs w:val="22"/>
        </w:rPr>
        <w:t xml:space="preserve">) which provides upfront grant funding and technical assistance to strengthen enabling environments for </w:t>
      </w:r>
      <w:r w:rsidR="00A75BEF">
        <w:rPr>
          <w:rFonts w:eastAsia="Arial" w:cs="Arial"/>
          <w:color w:val="000000" w:themeColor="text1"/>
          <w:sz w:val="22"/>
          <w:szCs w:val="22"/>
        </w:rPr>
        <w:t>ER</w:t>
      </w:r>
      <w:r w:rsidRPr="29D42BB5">
        <w:rPr>
          <w:rFonts w:eastAsia="Arial" w:cs="Arial"/>
          <w:color w:val="000000" w:themeColor="text1"/>
          <w:sz w:val="22"/>
          <w:szCs w:val="22"/>
        </w:rPr>
        <w:t xml:space="preserve"> programmes, and</w:t>
      </w:r>
      <w:r w:rsidRPr="29D42BB5" w:rsidR="31DA4301">
        <w:rPr>
          <w:rFonts w:eastAsia="Arial" w:cs="Arial"/>
          <w:color w:val="000000" w:themeColor="text1"/>
          <w:sz w:val="22"/>
          <w:szCs w:val="22"/>
        </w:rPr>
        <w:t>;</w:t>
      </w:r>
    </w:p>
    <w:p w:rsidRPr="0007200D" w:rsidR="6D28CCAE" w:rsidP="00756B4F" w:rsidRDefault="6D28CCAE" w14:paraId="33330643" w14:textId="7FE3308E">
      <w:pPr>
        <w:pStyle w:val="ListParagraph"/>
        <w:numPr>
          <w:ilvl w:val="0"/>
          <w:numId w:val="25"/>
        </w:numPr>
        <w:jc w:val="both"/>
        <w:rPr>
          <w:rFonts w:eastAsia="Arial" w:cs="Arial"/>
          <w:color w:val="000000" w:themeColor="text1"/>
          <w:sz w:val="22"/>
          <w:szCs w:val="22"/>
        </w:rPr>
      </w:pPr>
      <w:proofErr w:type="spellStart"/>
      <w:r w:rsidRPr="1DAE5BE6">
        <w:rPr>
          <w:rFonts w:eastAsia="Arial" w:cs="Arial"/>
          <w:color w:val="000000" w:themeColor="text1"/>
          <w:sz w:val="22"/>
          <w:szCs w:val="22"/>
        </w:rPr>
        <w:t>BioCF</w:t>
      </w:r>
      <w:proofErr w:type="spellEnd"/>
      <w:r w:rsidRPr="1DAE5BE6">
        <w:rPr>
          <w:rFonts w:eastAsia="Arial" w:cs="Arial"/>
          <w:color w:val="000000" w:themeColor="text1"/>
          <w:sz w:val="22"/>
          <w:szCs w:val="22"/>
        </w:rPr>
        <w:t xml:space="preserve"> Tranche 3 (BioCFT3) which will </w:t>
      </w:r>
      <w:r w:rsidRPr="0007200D">
        <w:rPr>
          <w:rFonts w:eastAsia="Arial" w:cs="Arial"/>
          <w:color w:val="000000" w:themeColor="text1"/>
          <w:sz w:val="22"/>
          <w:szCs w:val="22"/>
        </w:rPr>
        <w:t xml:space="preserve">provide results-based payments for ERs.  </w:t>
      </w:r>
    </w:p>
    <w:p w:rsidR="6D28CCAE" w:rsidP="1F3653E1" w:rsidRDefault="67673575" w14:paraId="47523D07" w14:textId="229550E8">
      <w:pPr>
        <w:jc w:val="both"/>
        <w:rPr>
          <w:rFonts w:eastAsia="Arial" w:cs="Arial"/>
          <w:color w:val="000000" w:themeColor="text1"/>
          <w:sz w:val="22"/>
          <w:szCs w:val="22"/>
        </w:rPr>
      </w:pPr>
      <w:r w:rsidRPr="0007200D" w:rsidR="67673575">
        <w:rPr>
          <w:rFonts w:eastAsia="Arial" w:cs="Arial"/>
          <w:color w:val="000000" w:themeColor="text1"/>
          <w:sz w:val="22"/>
          <w:szCs w:val="22"/>
        </w:rPr>
        <w:t>Total financial commitments to the ISFL at the end of the World Bank’s 2024</w:t>
      </w:r>
      <w:r w:rsidRPr="0007200D" w:rsidR="25BC5278">
        <w:rPr>
          <w:rFonts w:eastAsia="Arial" w:cs="Arial"/>
          <w:color w:val="000000" w:themeColor="text1"/>
          <w:sz w:val="22"/>
          <w:szCs w:val="22"/>
        </w:rPr>
        <w:t>/25</w:t>
      </w:r>
      <w:r w:rsidRPr="0007200D" w:rsidR="67673575">
        <w:rPr>
          <w:rFonts w:eastAsia="Arial" w:cs="Arial"/>
          <w:color w:val="000000" w:themeColor="text1"/>
          <w:sz w:val="22"/>
          <w:szCs w:val="22"/>
        </w:rPr>
        <w:t xml:space="preserve"> fiscal </w:t>
      </w:r>
      <w:r w:rsidRPr="0007200D" w:rsidR="53F85F40">
        <w:rPr>
          <w:rFonts w:eastAsia="Arial" w:cs="Arial"/>
          <w:color w:val="000000" w:themeColor="text1"/>
          <w:sz w:val="22"/>
          <w:szCs w:val="22"/>
        </w:rPr>
        <w:t xml:space="preserve">tax </w:t>
      </w:r>
      <w:r w:rsidRPr="0007200D" w:rsidR="67673575">
        <w:rPr>
          <w:rFonts w:eastAsia="Arial" w:cs="Arial"/>
          <w:color w:val="000000" w:themeColor="text1"/>
          <w:sz w:val="22"/>
          <w:szCs w:val="22"/>
        </w:rPr>
        <w:t>year were $36</w:t>
      </w:r>
      <w:r w:rsidRPr="0007200D" w:rsidR="21256EDC">
        <w:rPr>
          <w:rFonts w:eastAsia="Arial" w:cs="Arial"/>
          <w:color w:val="000000" w:themeColor="text1"/>
          <w:sz w:val="22"/>
          <w:szCs w:val="22"/>
        </w:rPr>
        <w:t>5</w:t>
      </w:r>
      <w:r w:rsidRPr="0007200D" w:rsidR="637F3920">
        <w:rPr>
          <w:rFonts w:eastAsia="Arial" w:cs="Arial"/>
          <w:color w:val="000000" w:themeColor="text1"/>
          <w:sz w:val="22"/>
          <w:szCs w:val="22"/>
        </w:rPr>
        <w:t>.4</w:t>
      </w:r>
      <w:r w:rsidRPr="0007200D" w:rsidR="67673575">
        <w:rPr>
          <w:rFonts w:eastAsia="Arial" w:cs="Arial"/>
          <w:color w:val="000000" w:themeColor="text1"/>
          <w:sz w:val="22"/>
          <w:szCs w:val="22"/>
        </w:rPr>
        <w:t>m: $14</w:t>
      </w:r>
      <w:r w:rsidRPr="0007200D" w:rsidR="11CAD4CA">
        <w:rPr>
          <w:rFonts w:eastAsia="Arial" w:cs="Arial"/>
          <w:color w:val="000000" w:themeColor="text1"/>
          <w:sz w:val="22"/>
          <w:szCs w:val="22"/>
        </w:rPr>
        <w:t>2</w:t>
      </w:r>
      <w:r w:rsidRPr="0007200D" w:rsidR="6EE5F047">
        <w:rPr>
          <w:rFonts w:eastAsia="Arial" w:cs="Arial"/>
          <w:color w:val="000000" w:themeColor="text1"/>
          <w:sz w:val="22"/>
          <w:szCs w:val="22"/>
        </w:rPr>
        <w:t>.03</w:t>
      </w:r>
      <w:r w:rsidRPr="0007200D" w:rsidR="67673575">
        <w:rPr>
          <w:rFonts w:eastAsia="Arial" w:cs="Arial"/>
          <w:color w:val="000000" w:themeColor="text1"/>
          <w:sz w:val="22"/>
          <w:szCs w:val="22"/>
        </w:rPr>
        <w:t xml:space="preserve">m in </w:t>
      </w:r>
      <w:r w:rsidRPr="0007200D" w:rsidR="67673575">
        <w:rPr>
          <w:rFonts w:eastAsia="Arial" w:cs="Arial"/>
          <w:color w:val="000000" w:themeColor="text1"/>
          <w:sz w:val="22"/>
          <w:szCs w:val="22"/>
        </w:rPr>
        <w:t>BioCFplus</w:t>
      </w:r>
      <w:r w:rsidRPr="0007200D" w:rsidR="67673575">
        <w:rPr>
          <w:rFonts w:eastAsia="Arial" w:cs="Arial"/>
          <w:color w:val="000000" w:themeColor="text1"/>
          <w:sz w:val="22"/>
          <w:szCs w:val="22"/>
        </w:rPr>
        <w:t>; $2</w:t>
      </w:r>
      <w:r w:rsidRPr="0007200D" w:rsidR="7C57F69B">
        <w:rPr>
          <w:rFonts w:eastAsia="Arial" w:cs="Arial"/>
          <w:color w:val="000000" w:themeColor="text1"/>
          <w:sz w:val="22"/>
          <w:szCs w:val="22"/>
        </w:rPr>
        <w:t>23.</w:t>
      </w:r>
      <w:r w:rsidRPr="0007200D" w:rsidR="6ABF677A">
        <w:rPr>
          <w:rFonts w:eastAsia="Arial" w:cs="Arial"/>
          <w:color w:val="000000" w:themeColor="text1"/>
          <w:sz w:val="22"/>
          <w:szCs w:val="22"/>
        </w:rPr>
        <w:t>37</w:t>
      </w:r>
      <w:r w:rsidRPr="0007200D" w:rsidR="67673575">
        <w:rPr>
          <w:rFonts w:eastAsia="Arial" w:cs="Arial"/>
          <w:color w:val="000000" w:themeColor="text1"/>
          <w:sz w:val="22"/>
          <w:szCs w:val="22"/>
        </w:rPr>
        <w:t>m in BioCFT3.</w:t>
      </w:r>
      <w:r w:rsidRPr="0007200D" w:rsidR="6D28CCAE">
        <w:rPr>
          <w:rStyle w:val="FootnoteReference"/>
          <w:rFonts w:eastAsia="Arial" w:cs="Arial"/>
          <w:color w:val="000000" w:themeColor="text1"/>
          <w:sz w:val="22"/>
          <w:szCs w:val="22"/>
        </w:rPr>
        <w:footnoteReference w:id="3"/>
      </w:r>
      <w:r w:rsidRPr="0007200D" w:rsidR="67673575">
        <w:rPr>
          <w:rFonts w:eastAsia="Arial" w:cs="Arial"/>
          <w:color w:val="000000" w:themeColor="text1"/>
          <w:sz w:val="22"/>
          <w:szCs w:val="22"/>
        </w:rPr>
        <w:t xml:space="preserve"> </w:t>
      </w:r>
      <w:r w:rsidRPr="0007200D" w:rsidR="67673575">
        <w:rPr>
          <w:rFonts w:eastAsia="Arial" w:cs="Arial"/>
          <w:color w:val="000000" w:themeColor="text1"/>
          <w:sz w:val="22"/>
          <w:szCs w:val="22"/>
        </w:rPr>
        <w:t>The majority (£91.5m</w:t>
      </w:r>
      <w:r w:rsidRPr="0007200D" w:rsidR="63792EDF">
        <w:rPr>
          <w:rFonts w:eastAsia="Arial" w:cs="Arial"/>
          <w:color w:val="000000" w:themeColor="text1"/>
          <w:sz w:val="22"/>
          <w:szCs w:val="22"/>
        </w:rPr>
        <w:t xml:space="preserve"> </w:t>
      </w:r>
      <w:r w:rsidRPr="0007200D" w:rsidR="43A2D95B">
        <w:rPr>
          <w:rFonts w:eastAsia="Arial" w:cs="Arial"/>
          <w:color w:val="000000" w:themeColor="text1"/>
          <w:sz w:val="22"/>
          <w:szCs w:val="22"/>
        </w:rPr>
        <w:t xml:space="preserve">or </w:t>
      </w:r>
      <w:r w:rsidRPr="0007200D" w:rsidR="63792EDF">
        <w:rPr>
          <w:rFonts w:eastAsia="Arial" w:cs="Arial"/>
          <w:color w:val="000000" w:themeColor="text1"/>
          <w:sz w:val="22"/>
          <w:szCs w:val="22"/>
        </w:rPr>
        <w:t>$117.69m</w:t>
      </w:r>
      <w:r w:rsidRPr="0007200D" w:rsidR="183BDF4E">
        <w:rPr>
          <w:rFonts w:eastAsia="Arial" w:cs="Arial"/>
          <w:color w:val="000000" w:themeColor="text1"/>
          <w:sz w:val="22"/>
          <w:szCs w:val="22"/>
        </w:rPr>
        <w:t>)</w:t>
      </w:r>
      <w:r w:rsidRPr="0007200D" w:rsidR="67673575">
        <w:rPr>
          <w:rFonts w:eastAsia="Arial" w:cs="Arial"/>
          <w:color w:val="000000" w:themeColor="text1"/>
          <w:sz w:val="22"/>
          <w:szCs w:val="22"/>
        </w:rPr>
        <w:t xml:space="preserve"> of the UK’s commitments is invested in BioCFT3 to support ISFL’s emission reductions programmes; the remaining £29.6m</w:t>
      </w:r>
      <w:r w:rsidRPr="0007200D" w:rsidR="34407766">
        <w:rPr>
          <w:rFonts w:eastAsia="Arial" w:cs="Arial"/>
          <w:color w:val="000000" w:themeColor="text1"/>
          <w:sz w:val="22"/>
          <w:szCs w:val="22"/>
        </w:rPr>
        <w:t xml:space="preserve"> </w:t>
      </w:r>
      <w:r w:rsidRPr="0007200D" w:rsidR="6A52A086">
        <w:rPr>
          <w:rFonts w:eastAsia="Arial" w:cs="Arial"/>
          <w:color w:val="000000" w:themeColor="text1"/>
          <w:sz w:val="22"/>
          <w:szCs w:val="22"/>
        </w:rPr>
        <w:t>(</w:t>
      </w:r>
      <w:r w:rsidRPr="0007200D" w:rsidR="34407766">
        <w:rPr>
          <w:rFonts w:eastAsia="Arial" w:cs="Arial"/>
          <w:color w:val="000000" w:themeColor="text1"/>
          <w:sz w:val="22"/>
          <w:szCs w:val="22"/>
        </w:rPr>
        <w:t>$38.34m</w:t>
      </w:r>
      <w:r w:rsidRPr="0007200D" w:rsidR="702AA39A">
        <w:rPr>
          <w:rFonts w:eastAsia="Arial" w:cs="Arial"/>
          <w:color w:val="000000" w:themeColor="text1"/>
          <w:sz w:val="22"/>
          <w:szCs w:val="22"/>
        </w:rPr>
        <w:t xml:space="preserve">) </w:t>
      </w:r>
      <w:r w:rsidRPr="0007200D" w:rsidR="67673575">
        <w:rPr>
          <w:rFonts w:eastAsia="Arial" w:cs="Arial"/>
          <w:color w:val="000000" w:themeColor="text1"/>
          <w:sz w:val="22"/>
          <w:szCs w:val="22"/>
        </w:rPr>
        <w:t>is</w:t>
      </w:r>
      <w:r w:rsidRPr="1F3653E1" w:rsidR="67673575">
        <w:rPr>
          <w:rFonts w:eastAsia="Arial" w:cs="Arial"/>
          <w:color w:val="000000" w:themeColor="text1"/>
          <w:sz w:val="22"/>
          <w:szCs w:val="22"/>
        </w:rPr>
        <w:t xml:space="preserve"> invested in </w:t>
      </w:r>
      <w:r w:rsidRPr="1F3653E1" w:rsidR="67673575">
        <w:rPr>
          <w:rFonts w:eastAsia="Arial" w:cs="Arial"/>
          <w:color w:val="000000" w:themeColor="text1"/>
          <w:sz w:val="22"/>
          <w:szCs w:val="22"/>
        </w:rPr>
        <w:t>BioCFplus</w:t>
      </w:r>
      <w:r w:rsidRPr="1F3653E1" w:rsidR="67673575">
        <w:rPr>
          <w:rFonts w:eastAsia="Arial" w:cs="Arial"/>
          <w:color w:val="000000" w:themeColor="text1"/>
          <w:sz w:val="22"/>
          <w:szCs w:val="22"/>
        </w:rPr>
        <w:t>.</w:t>
      </w:r>
      <w:r w:rsidRPr="1F3653E1" w:rsidR="67673575">
        <w:rPr>
          <w:rFonts w:eastAsia="Arial" w:cs="Arial"/>
          <w:color w:val="000000" w:themeColor="text1"/>
          <w:sz w:val="22"/>
          <w:szCs w:val="22"/>
        </w:rPr>
        <w:t xml:space="preserve"> This was previously £23.6m, but </w:t>
      </w:r>
      <w:r w:rsidRPr="1F3653E1" w:rsidR="04646213">
        <w:rPr>
          <w:rFonts w:eastAsia="Arial" w:cs="Arial"/>
          <w:color w:val="000000" w:themeColor="text1"/>
          <w:sz w:val="22"/>
          <w:szCs w:val="22"/>
        </w:rPr>
        <w:t>in February 2024</w:t>
      </w:r>
      <w:r w:rsidRPr="1F3653E1" w:rsidR="67673575">
        <w:rPr>
          <w:rFonts w:eastAsia="Arial" w:cs="Arial"/>
          <w:color w:val="000000" w:themeColor="text1"/>
          <w:sz w:val="22"/>
          <w:szCs w:val="22"/>
        </w:rPr>
        <w:t xml:space="preserve">, the UK invested an </w:t>
      </w:r>
      <w:r w:rsidRPr="1F3653E1" w:rsidR="67673575">
        <w:rPr>
          <w:rFonts w:eastAsia="Arial" w:cs="Arial"/>
          <w:color w:val="000000" w:themeColor="text1"/>
          <w:sz w:val="22"/>
          <w:szCs w:val="22"/>
        </w:rPr>
        <w:t xml:space="preserve">additional</w:t>
      </w:r>
      <w:r w:rsidRPr="1F3653E1" w:rsidR="67673575">
        <w:rPr>
          <w:rFonts w:eastAsia="Arial" w:cs="Arial"/>
          <w:color w:val="000000" w:themeColor="text1"/>
          <w:sz w:val="22"/>
          <w:szCs w:val="22"/>
        </w:rPr>
        <w:t xml:space="preserve"> £6m in </w:t>
      </w:r>
      <w:r w:rsidRPr="1F3653E1" w:rsidR="67673575">
        <w:rPr>
          <w:rFonts w:eastAsia="Arial" w:cs="Arial"/>
          <w:color w:val="000000" w:themeColor="text1"/>
          <w:sz w:val="22"/>
          <w:szCs w:val="22"/>
        </w:rPr>
        <w:t>BioCFplus</w:t>
      </w:r>
      <w:r w:rsidRPr="1F3653E1" w:rsidR="67673575">
        <w:rPr>
          <w:rFonts w:eastAsia="Arial" w:cs="Arial"/>
          <w:color w:val="000000" w:themeColor="text1"/>
          <w:sz w:val="22"/>
          <w:szCs w:val="22"/>
        </w:rPr>
        <w:t xml:space="preserve">, bringing the total UK financial contributions to the ISFL to £121.1m. </w:t>
      </w:r>
    </w:p>
    <w:p w:rsidR="6D28CCAE" w:rsidP="1DAE5BE6" w:rsidRDefault="6D28CCAE" w14:paraId="7C7D6565" w14:textId="5C39A5D1">
      <w:pPr>
        <w:jc w:val="both"/>
        <w:rPr>
          <w:rFonts w:eastAsia="Arial" w:cs="Arial"/>
          <w:color w:val="000000" w:themeColor="text1"/>
          <w:sz w:val="22"/>
          <w:szCs w:val="22"/>
        </w:rPr>
      </w:pPr>
      <w:r w:rsidRPr="1DAE5BE6">
        <w:rPr>
          <w:rFonts w:eastAsia="Arial" w:cs="Arial"/>
          <w:color w:val="000000" w:themeColor="text1"/>
          <w:sz w:val="22"/>
          <w:szCs w:val="22"/>
        </w:rPr>
        <w:t xml:space="preserve"> </w:t>
      </w:r>
    </w:p>
    <w:p w:rsidR="1DAE5BE6" w:rsidP="0B9CA2C2" w:rsidRDefault="6D28CCAE" w14:paraId="3FD13B21" w14:textId="4794ECD7">
      <w:pPr>
        <w:spacing w:before="40"/>
        <w:jc w:val="both"/>
        <w:rPr>
          <w:rFonts w:eastAsia="Arial" w:cs="Arial"/>
          <w:color w:val="000000" w:themeColor="text1"/>
          <w:sz w:val="22"/>
          <w:szCs w:val="22"/>
        </w:rPr>
      </w:pPr>
      <w:r w:rsidRPr="0B9CA2C2">
        <w:rPr>
          <w:rFonts w:eastAsia="Arial" w:cs="Arial"/>
          <w:color w:val="000000" w:themeColor="text1"/>
          <w:sz w:val="22"/>
          <w:szCs w:val="22"/>
        </w:rPr>
        <w:t>By effectively implementing landscape-level, sustainable land-use program</w:t>
      </w:r>
      <w:r w:rsidR="00153515">
        <w:rPr>
          <w:rFonts w:eastAsia="Arial" w:cs="Arial"/>
          <w:color w:val="000000" w:themeColor="text1"/>
          <w:sz w:val="22"/>
          <w:szCs w:val="22"/>
        </w:rPr>
        <w:t>me</w:t>
      </w:r>
      <w:r w:rsidRPr="0B9CA2C2">
        <w:rPr>
          <w:rFonts w:eastAsia="Arial" w:cs="Arial"/>
          <w:color w:val="000000" w:themeColor="text1"/>
          <w:sz w:val="22"/>
          <w:szCs w:val="22"/>
        </w:rPr>
        <w:t>s, ISFL countries can expect to generate a substantial volume of ERs that are eligible for remuneration once recorded and verified. In addition to the environmental benefits these programmes will bring in the form of reduced carbon emissions, curbed deforestation, and enhanced ecosystem management, the payments made through Emission Reductions Purchase Agreements (ERPAs) will help improve the livelihoods of local communities and give land users additional incentive to adopt more sustainable modalities of operation.</w:t>
      </w:r>
    </w:p>
    <w:p w:rsidR="009E3F6E" w:rsidP="004D5FD5" w:rsidRDefault="009E3F6E" w14:paraId="58574625" w14:textId="77777777">
      <w:pPr>
        <w:jc w:val="both"/>
      </w:pPr>
    </w:p>
    <w:p w:rsidRPr="009E3F6E" w:rsidR="003D222C" w:rsidP="11614349" w:rsidRDefault="003D222C" w14:paraId="5276E7EE" w14:textId="42A91932">
      <w:pPr>
        <w:jc w:val="both"/>
        <w:rPr>
          <w:rStyle w:val="Heading2Char"/>
        </w:rPr>
      </w:pPr>
      <w:bookmarkStart w:name="_Toc2121406532" w:id="1326059709"/>
      <w:r w:rsidRPr="376EB76A" w:rsidR="35EEEB8C">
        <w:rPr>
          <w:rStyle w:val="Heading2Char"/>
        </w:rPr>
        <w:t>Summary of progress and supporting narrative for the overall score</w:t>
      </w:r>
      <w:bookmarkEnd w:id="1326059709"/>
    </w:p>
    <w:p w:rsidR="08B879AA" w:rsidP="08B879AA" w:rsidRDefault="08B879AA" w14:paraId="28C49D4B" w14:textId="1B80C1E3">
      <w:pPr>
        <w:jc w:val="both"/>
        <w:rPr>
          <w:rFonts w:cs="Arial"/>
          <w:b/>
          <w:bCs/>
          <w:sz w:val="22"/>
          <w:szCs w:val="22"/>
          <w:highlight w:val="magenta"/>
        </w:rPr>
      </w:pPr>
    </w:p>
    <w:p w:rsidR="2EEB7E6A" w:rsidP="63018341" w:rsidRDefault="4816EB62" w14:paraId="42F71CB8" w14:textId="23E37F19">
      <w:pPr>
        <w:spacing/>
        <w:contextualSpacing w:val="1"/>
        <w:jc w:val="both"/>
        <w:rPr>
          <w:rFonts w:eastAsia="Arial" w:cs="Arial"/>
          <w:color w:val="000000" w:themeColor="text1"/>
          <w:sz w:val="22"/>
          <w:szCs w:val="22"/>
        </w:rPr>
      </w:pPr>
      <w:r w:rsidRPr="63018341" w:rsidR="4816EB62">
        <w:rPr>
          <w:rFonts w:eastAsia="Arial" w:cs="Arial"/>
          <w:color w:val="000000" w:themeColor="text1" w:themeTint="FF" w:themeShade="FF"/>
          <w:sz w:val="22"/>
          <w:szCs w:val="22"/>
        </w:rPr>
        <w:t>In FY25</w:t>
      </w:r>
      <w:r w:rsidRPr="63018341" w:rsidR="7BB55E90">
        <w:rPr>
          <w:rFonts w:eastAsia="Arial" w:cs="Arial"/>
          <w:color w:val="000000" w:themeColor="text1" w:themeTint="FF" w:themeShade="FF"/>
          <w:sz w:val="22"/>
          <w:szCs w:val="22"/>
        </w:rPr>
        <w:t xml:space="preserve"> (the reporting period from June 2024 to July 2025)</w:t>
      </w:r>
      <w:r w:rsidRPr="63018341" w:rsidR="4816EB62">
        <w:rPr>
          <w:rFonts w:eastAsia="Arial" w:cs="Arial"/>
          <w:color w:val="000000" w:themeColor="text1" w:themeTint="FF" w:themeShade="FF"/>
          <w:sz w:val="22"/>
          <w:szCs w:val="22"/>
        </w:rPr>
        <w:t>,</w:t>
      </w:r>
      <w:r w:rsidRPr="63018341" w:rsidR="4816EB62">
        <w:rPr>
          <w:rFonts w:eastAsia="Arial" w:cs="Arial"/>
          <w:color w:val="000000" w:themeColor="text1" w:themeTint="FF" w:themeShade="FF"/>
          <w:sz w:val="22"/>
          <w:szCs w:val="22"/>
        </w:rPr>
        <w:t xml:space="preserve"> the ISFL programme progressed in several key areas and therefore </w:t>
      </w:r>
      <w:r w:rsidRPr="63018341" w:rsidR="4816EB62">
        <w:rPr>
          <w:rFonts w:eastAsia="Arial" w:cs="Arial"/>
          <w:b w:val="1"/>
          <w:bCs w:val="1"/>
          <w:color w:val="000000" w:themeColor="text1" w:themeTint="FF" w:themeShade="FF"/>
          <w:sz w:val="22"/>
          <w:szCs w:val="22"/>
        </w:rPr>
        <w:t>has scored an A</w:t>
      </w:r>
      <w:r w:rsidRPr="63018341" w:rsidR="4816EB62">
        <w:rPr>
          <w:rFonts w:eastAsia="Arial" w:cs="Arial"/>
          <w:color w:val="000000" w:themeColor="text1" w:themeTint="FF" w:themeShade="FF"/>
          <w:sz w:val="22"/>
          <w:szCs w:val="22"/>
        </w:rPr>
        <w:t xml:space="preserve"> for the Annual Review reporting period (July 2024 to June 2025). This score has been </w:t>
      </w:r>
      <w:r w:rsidRPr="63018341" w:rsidR="4816EB62">
        <w:rPr>
          <w:rFonts w:eastAsia="Arial" w:cs="Arial"/>
          <w:color w:val="000000" w:themeColor="text1" w:themeTint="FF" w:themeShade="FF"/>
          <w:sz w:val="22"/>
          <w:szCs w:val="22"/>
        </w:rPr>
        <w:t>maintained</w:t>
      </w:r>
      <w:r w:rsidRPr="63018341" w:rsidR="4816EB62">
        <w:rPr>
          <w:rFonts w:eastAsia="Arial" w:cs="Arial"/>
          <w:color w:val="000000" w:themeColor="text1" w:themeTint="FF" w:themeShade="FF"/>
          <w:sz w:val="22"/>
          <w:szCs w:val="22"/>
        </w:rPr>
        <w:t xml:space="preserve"> since FY22.</w:t>
      </w:r>
    </w:p>
    <w:p w:rsidR="01DFA7AD" w:rsidP="617D3D84" w:rsidRDefault="01DFA7AD" w14:paraId="37D2E91A" w14:textId="703C8031">
      <w:pPr>
        <w:contextualSpacing/>
        <w:jc w:val="both"/>
        <w:rPr>
          <w:rFonts w:eastAsia="Arial" w:cs="Arial"/>
          <w:color w:val="000000" w:themeColor="text1"/>
          <w:sz w:val="22"/>
          <w:szCs w:val="22"/>
        </w:rPr>
      </w:pPr>
    </w:p>
    <w:p w:rsidR="1A5F4B34" w:rsidP="63018341" w:rsidRDefault="27F4139A" w14:paraId="587E7C5E" w14:textId="70BF4C6D">
      <w:pPr>
        <w:spacing/>
        <w:contextualSpacing w:val="1"/>
        <w:jc w:val="both"/>
        <w:rPr>
          <w:rFonts w:eastAsia="Arial" w:cs="Arial"/>
          <w:color w:val="000000" w:themeColor="text1"/>
          <w:sz w:val="22"/>
          <w:szCs w:val="22"/>
        </w:rPr>
      </w:pPr>
      <w:r w:rsidRPr="63018341" w:rsidR="27F4139A">
        <w:rPr>
          <w:rFonts w:eastAsia="Arial" w:cs="Arial"/>
          <w:color w:val="000000" w:themeColor="text1" w:themeTint="FF" w:themeShade="FF"/>
          <w:sz w:val="22"/>
          <w:szCs w:val="22"/>
        </w:rPr>
        <w:t xml:space="preserve">The programme </w:t>
      </w:r>
      <w:r w:rsidRPr="63018341" w:rsidR="27F4139A">
        <w:rPr>
          <w:rFonts w:eastAsia="Arial" w:cs="Arial"/>
          <w:color w:val="000000" w:themeColor="text1" w:themeTint="FF" w:themeShade="FF"/>
          <w:sz w:val="22"/>
          <w:szCs w:val="22"/>
        </w:rPr>
        <w:t>demonstrated</w:t>
      </w:r>
      <w:r w:rsidRPr="63018341" w:rsidR="27F4139A">
        <w:rPr>
          <w:rFonts w:eastAsia="Arial" w:cs="Arial"/>
          <w:color w:val="000000" w:themeColor="text1" w:themeTint="FF" w:themeShade="FF"/>
          <w:sz w:val="22"/>
          <w:szCs w:val="22"/>
        </w:rPr>
        <w:t xml:space="preserve"> strong progress in finalising grant-funded activities, advancing ERPA readiness</w:t>
      </w:r>
      <w:r w:rsidRPr="63018341" w:rsidR="18374B2F">
        <w:rPr>
          <w:rFonts w:eastAsia="Arial" w:cs="Arial"/>
          <w:color w:val="000000" w:themeColor="text1" w:themeTint="FF" w:themeShade="FF"/>
          <w:sz w:val="22"/>
          <w:szCs w:val="22"/>
        </w:rPr>
        <w:t xml:space="preserve"> and negotiations</w:t>
      </w:r>
      <w:r w:rsidRPr="63018341" w:rsidR="27F4139A">
        <w:rPr>
          <w:rFonts w:eastAsia="Arial" w:cs="Arial"/>
          <w:color w:val="000000" w:themeColor="text1" w:themeTint="FF" w:themeShade="FF"/>
          <w:sz w:val="22"/>
          <w:szCs w:val="22"/>
        </w:rPr>
        <w:t xml:space="preserve">, and scaling </w:t>
      </w:r>
      <w:r w:rsidRPr="63018341" w:rsidR="68023B7B">
        <w:rPr>
          <w:rFonts w:eastAsia="Arial" w:cs="Arial"/>
          <w:color w:val="000000" w:themeColor="text1" w:themeTint="FF" w:themeShade="FF"/>
          <w:sz w:val="22"/>
          <w:szCs w:val="22"/>
        </w:rPr>
        <w:t>C</w:t>
      </w:r>
      <w:r w:rsidRPr="63018341" w:rsidR="27F4139A">
        <w:rPr>
          <w:rFonts w:eastAsia="Arial" w:cs="Arial"/>
          <w:color w:val="000000" w:themeColor="text1" w:themeTint="FF" w:themeShade="FF"/>
          <w:sz w:val="22"/>
          <w:szCs w:val="22"/>
        </w:rPr>
        <w:t>limate-</w:t>
      </w:r>
      <w:r w:rsidRPr="63018341" w:rsidR="2FB3FE70">
        <w:rPr>
          <w:rFonts w:eastAsia="Arial" w:cs="Arial"/>
          <w:color w:val="000000" w:themeColor="text1" w:themeTint="FF" w:themeShade="FF"/>
          <w:sz w:val="22"/>
          <w:szCs w:val="22"/>
        </w:rPr>
        <w:t>S</w:t>
      </w:r>
      <w:r w:rsidRPr="63018341" w:rsidR="27F4139A">
        <w:rPr>
          <w:rFonts w:eastAsia="Arial" w:cs="Arial"/>
          <w:color w:val="000000" w:themeColor="text1" w:themeTint="FF" w:themeShade="FF"/>
          <w:sz w:val="22"/>
          <w:szCs w:val="22"/>
        </w:rPr>
        <w:t xml:space="preserve">mart </w:t>
      </w:r>
      <w:r w:rsidRPr="63018341" w:rsidR="2FAFEFF7">
        <w:rPr>
          <w:rFonts w:eastAsia="Arial" w:cs="Arial"/>
          <w:color w:val="000000" w:themeColor="text1" w:themeTint="FF" w:themeShade="FF"/>
          <w:sz w:val="22"/>
          <w:szCs w:val="22"/>
        </w:rPr>
        <w:t>Agriculture (CSA)</w:t>
      </w:r>
      <w:r w:rsidRPr="63018341" w:rsidR="27F4139A">
        <w:rPr>
          <w:rFonts w:eastAsia="Arial" w:cs="Arial"/>
          <w:color w:val="000000" w:themeColor="text1" w:themeTint="FF" w:themeShade="FF"/>
          <w:sz w:val="22"/>
          <w:szCs w:val="22"/>
        </w:rPr>
        <w:t xml:space="preserve"> practices through private sector partnerships. </w:t>
      </w:r>
      <w:r w:rsidRPr="63018341" w:rsidR="6ED62E52">
        <w:rPr>
          <w:rFonts w:eastAsia="Arial" w:cs="Arial"/>
          <w:color w:val="000000" w:themeColor="text1" w:themeTint="FF" w:themeShade="FF"/>
          <w:sz w:val="22"/>
          <w:szCs w:val="22"/>
        </w:rPr>
        <w:t xml:space="preserve">It also fostered global engagement through carbon market roundtables and </w:t>
      </w:r>
      <w:r w:rsidRPr="63018341" w:rsidR="6ED62E52">
        <w:rPr>
          <w:rFonts w:eastAsia="Arial" w:cs="Arial"/>
          <w:color w:val="000000" w:themeColor="text1" w:themeTint="FF" w:themeShade="FF"/>
          <w:sz w:val="22"/>
          <w:szCs w:val="22"/>
        </w:rPr>
        <w:t>facilitating</w:t>
      </w:r>
      <w:r w:rsidRPr="63018341" w:rsidR="6ED62E52">
        <w:rPr>
          <w:rFonts w:eastAsia="Arial" w:cs="Arial"/>
          <w:color w:val="000000" w:themeColor="text1" w:themeTint="FF" w:themeShade="FF"/>
          <w:sz w:val="22"/>
          <w:szCs w:val="22"/>
        </w:rPr>
        <w:t xml:space="preserve"> South-South knowledge exchanges, including those focused on coffee and dairy value chains. </w:t>
      </w:r>
      <w:r w:rsidRPr="63018341" w:rsidR="55A661AC">
        <w:rPr>
          <w:rFonts w:eastAsia="Arial" w:cs="Arial"/>
          <w:color w:val="000000" w:themeColor="text1" w:themeTint="FF" w:themeShade="FF"/>
          <w:sz w:val="22"/>
          <w:szCs w:val="22"/>
        </w:rPr>
        <w:t xml:space="preserve">However, delays in finalising ERPA signatures </w:t>
      </w:r>
      <w:r w:rsidRPr="63018341" w:rsidR="55A661AC">
        <w:rPr>
          <w:rFonts w:eastAsia="Arial" w:cs="Arial"/>
          <w:color w:val="000000" w:themeColor="text1" w:themeTint="FF" w:themeShade="FF"/>
          <w:sz w:val="22"/>
          <w:szCs w:val="22"/>
        </w:rPr>
        <w:t>continued</w:t>
      </w:r>
      <w:r w:rsidRPr="63018341" w:rsidR="55A661AC">
        <w:rPr>
          <w:rFonts w:eastAsia="Arial" w:cs="Arial"/>
          <w:color w:val="000000" w:themeColor="text1" w:themeTint="FF" w:themeShade="FF"/>
          <w:sz w:val="22"/>
          <w:szCs w:val="22"/>
        </w:rPr>
        <w:t>, whilst progress on several key output components</w:t>
      </w:r>
      <w:r w:rsidRPr="63018341" w:rsidR="00352B21">
        <w:rPr>
          <w:rFonts w:eastAsia="Arial" w:cs="Arial"/>
          <w:color w:val="000000" w:themeColor="text1" w:themeTint="FF" w:themeShade="FF"/>
          <w:sz w:val="22"/>
          <w:szCs w:val="22"/>
        </w:rPr>
        <w:t xml:space="preserve"> </w:t>
      </w:r>
      <w:r w:rsidRPr="63018341" w:rsidR="00260C99">
        <w:rPr>
          <w:rFonts w:eastAsia="Arial" w:cs="Arial"/>
          <w:color w:val="000000" w:themeColor="text1" w:themeTint="FF" w:themeShade="FF"/>
          <w:sz w:val="22"/>
          <w:szCs w:val="22"/>
        </w:rPr>
        <w:t>remained limited.</w:t>
      </w:r>
    </w:p>
    <w:p w:rsidR="7921556F" w:rsidP="7921556F" w:rsidRDefault="7921556F" w14:paraId="4894EF82" w14:textId="54AA2556">
      <w:pPr>
        <w:contextualSpacing/>
        <w:jc w:val="both"/>
        <w:rPr>
          <w:rFonts w:eastAsia="Arial" w:cs="Arial"/>
          <w:color w:val="000000" w:themeColor="text1"/>
          <w:sz w:val="22"/>
          <w:szCs w:val="22"/>
        </w:rPr>
      </w:pPr>
    </w:p>
    <w:p w:rsidR="54994631" w:rsidP="53D016EB" w:rsidRDefault="1720CAE0" w14:paraId="0549D00B" w14:textId="7F0625BF">
      <w:pPr>
        <w:spacing w:after="240"/>
        <w:jc w:val="both"/>
        <w:rPr>
          <w:rFonts w:cs="Arial"/>
          <w:sz w:val="22"/>
          <w:szCs w:val="22"/>
        </w:rPr>
      </w:pPr>
      <w:r w:rsidRPr="63018341" w:rsidR="1720CAE0">
        <w:rPr>
          <w:rFonts w:cs="Arial"/>
          <w:sz w:val="22"/>
          <w:szCs w:val="22"/>
        </w:rPr>
        <w:t xml:space="preserve">Notable achievements in FY25 </w:t>
      </w:r>
      <w:r w:rsidRPr="63018341" w:rsidR="00260C99">
        <w:rPr>
          <w:rFonts w:cs="Arial"/>
          <w:sz w:val="22"/>
          <w:szCs w:val="22"/>
        </w:rPr>
        <w:t>are outlined below</w:t>
      </w:r>
      <w:r w:rsidRPr="63018341" w:rsidR="1720CAE0">
        <w:rPr>
          <w:rFonts w:cs="Arial"/>
          <w:sz w:val="22"/>
          <w:szCs w:val="22"/>
        </w:rPr>
        <w:t>:</w:t>
      </w:r>
    </w:p>
    <w:p w:rsidR="54994631" w:rsidP="00756B4F" w:rsidRDefault="6B7D1EAE" w14:paraId="639722A4" w14:textId="3EDEBBE4">
      <w:pPr>
        <w:pStyle w:val="ListParagraph"/>
        <w:numPr>
          <w:ilvl w:val="0"/>
          <w:numId w:val="17"/>
        </w:numPr>
        <w:spacing w:before="210" w:after="210" w:line="300" w:lineRule="auto"/>
        <w:jc w:val="both"/>
        <w:rPr>
          <w:rFonts w:eastAsia="Arial" w:cs="Arial"/>
        </w:rPr>
      </w:pPr>
      <w:r w:rsidRPr="63018341" w:rsidR="6B7D1EAE">
        <w:rPr>
          <w:rFonts w:eastAsia="Arial" w:cs="Arial"/>
          <w:b w:val="1"/>
          <w:bCs w:val="1"/>
          <w:sz w:val="22"/>
          <w:szCs w:val="22"/>
        </w:rPr>
        <w:t>Significant progress</w:t>
      </w:r>
      <w:r w:rsidRPr="63018341" w:rsidR="6B7D1EAE">
        <w:rPr>
          <w:rFonts w:eastAsia="Arial" w:cs="Arial"/>
          <w:b w:val="1"/>
          <w:bCs w:val="1"/>
          <w:sz w:val="22"/>
          <w:szCs w:val="22"/>
        </w:rPr>
        <w:t xml:space="preserve"> was made across ISFL’s grant programmes.</w:t>
      </w:r>
      <w:r w:rsidRPr="63018341" w:rsidR="6B7D1EAE">
        <w:rPr>
          <w:rFonts w:eastAsia="Arial" w:cs="Arial"/>
          <w:sz w:val="22"/>
          <w:szCs w:val="22"/>
        </w:rPr>
        <w:t xml:space="preserve"> </w:t>
      </w:r>
      <w:r w:rsidRPr="63018341" w:rsidR="113CF8E4">
        <w:rPr>
          <w:rFonts w:eastAsia="Arial" w:cs="Arial"/>
          <w:sz w:val="22"/>
          <w:szCs w:val="22"/>
        </w:rPr>
        <w:t xml:space="preserve">Through </w:t>
      </w:r>
      <w:r w:rsidRPr="63018341" w:rsidR="113CF8E4">
        <w:rPr>
          <w:rFonts w:eastAsia="Arial" w:cs="Arial"/>
          <w:sz w:val="22"/>
          <w:szCs w:val="22"/>
        </w:rPr>
        <w:t>BioCFplus</w:t>
      </w:r>
      <w:r w:rsidRPr="63018341" w:rsidR="113CF8E4">
        <w:rPr>
          <w:rFonts w:eastAsia="Arial" w:cs="Arial"/>
          <w:sz w:val="22"/>
          <w:szCs w:val="22"/>
        </w:rPr>
        <w:t xml:space="preserve">, a further $9.4 million in grants was disbursed to ISFL programmes in </w:t>
      </w:r>
      <w:r w:rsidRPr="63018341" w:rsidR="113CF8E4">
        <w:rPr>
          <w:rFonts w:eastAsia="Arial" w:cs="Arial"/>
          <w:sz w:val="22"/>
          <w:szCs w:val="22"/>
        </w:rPr>
        <w:t xml:space="preserve">FY25, </w:t>
      </w:r>
      <w:r w:rsidRPr="63018341" w:rsidR="113CF8E4">
        <w:rPr>
          <w:rFonts w:eastAsia="Arial" w:cs="Arial"/>
          <w:sz w:val="22"/>
          <w:szCs w:val="22"/>
        </w:rPr>
        <w:t>allowing the delivery of activities to improve sustainable land use, build capacity</w:t>
      </w:r>
      <w:r w:rsidRPr="63018341" w:rsidR="008A1B22">
        <w:rPr>
          <w:rFonts w:eastAsia="Arial" w:cs="Arial"/>
          <w:sz w:val="22"/>
          <w:szCs w:val="22"/>
        </w:rPr>
        <w:t>,</w:t>
      </w:r>
      <w:r w:rsidRPr="63018341" w:rsidR="113CF8E4">
        <w:rPr>
          <w:rFonts w:eastAsia="Arial" w:cs="Arial"/>
          <w:sz w:val="22"/>
          <w:szCs w:val="22"/>
        </w:rPr>
        <w:t xml:space="preserve"> and prepare for </w:t>
      </w:r>
      <w:r w:rsidRPr="63018341" w:rsidR="008A1B22">
        <w:rPr>
          <w:rFonts w:eastAsia="Arial" w:cs="Arial"/>
          <w:sz w:val="22"/>
          <w:szCs w:val="22"/>
        </w:rPr>
        <w:t>ER</w:t>
      </w:r>
      <w:r w:rsidRPr="63018341" w:rsidR="113CF8E4">
        <w:rPr>
          <w:rFonts w:eastAsia="Arial" w:cs="Arial"/>
          <w:sz w:val="22"/>
          <w:szCs w:val="22"/>
        </w:rPr>
        <w:t xml:space="preserve"> programmes. </w:t>
      </w:r>
      <w:r w:rsidRPr="63018341" w:rsidR="2C221C22">
        <w:rPr>
          <w:rFonts w:eastAsia="Arial" w:cs="Arial"/>
          <w:sz w:val="22"/>
          <w:szCs w:val="22"/>
        </w:rPr>
        <w:t>Colombia</w:t>
      </w:r>
      <w:r w:rsidRPr="63018341" w:rsidR="32051E20">
        <w:rPr>
          <w:rFonts w:eastAsia="Arial" w:cs="Arial"/>
          <w:sz w:val="22"/>
          <w:szCs w:val="22"/>
        </w:rPr>
        <w:t>’s</w:t>
      </w:r>
      <w:r w:rsidRPr="63018341" w:rsidR="2C221C22">
        <w:rPr>
          <w:rFonts w:eastAsia="Arial" w:cs="Arial"/>
          <w:sz w:val="22"/>
          <w:szCs w:val="22"/>
        </w:rPr>
        <w:t xml:space="preserve"> six-year grant programme</w:t>
      </w:r>
      <w:r w:rsidRPr="63018341" w:rsidR="1D42B1F4">
        <w:rPr>
          <w:rFonts w:eastAsia="Arial" w:cs="Arial"/>
          <w:sz w:val="22"/>
          <w:szCs w:val="22"/>
        </w:rPr>
        <w:t xml:space="preserve"> successfully concluded</w:t>
      </w:r>
      <w:r w:rsidRPr="63018341" w:rsidR="2C221C22">
        <w:rPr>
          <w:rFonts w:eastAsia="Arial" w:cs="Arial"/>
          <w:sz w:val="22"/>
          <w:szCs w:val="22"/>
        </w:rPr>
        <w:t>, with final efforts focused on dissemination, communications, and private sector engagement</w:t>
      </w:r>
      <w:r w:rsidRPr="63018341" w:rsidR="033E4708">
        <w:rPr>
          <w:rFonts w:eastAsia="Arial" w:cs="Arial"/>
          <w:sz w:val="22"/>
          <w:szCs w:val="22"/>
        </w:rPr>
        <w:t>.</w:t>
      </w:r>
      <w:r w:rsidRPr="63018341" w:rsidR="05B3380C">
        <w:rPr>
          <w:rFonts w:eastAsia="Arial" w:cs="Arial"/>
          <w:sz w:val="22"/>
          <w:szCs w:val="22"/>
        </w:rPr>
        <w:t xml:space="preserve"> In Mexico, the grant programme’s closing date was extended and collaborated with FAO and the </w:t>
      </w:r>
      <w:r w:rsidRPr="63018341" w:rsidR="3F840E5B">
        <w:rPr>
          <w:rFonts w:eastAsia="Arial" w:cs="Arial"/>
          <w:sz w:val="22"/>
          <w:szCs w:val="22"/>
        </w:rPr>
        <w:t>WB</w:t>
      </w:r>
      <w:r w:rsidRPr="63018341" w:rsidR="70E0FD0E">
        <w:rPr>
          <w:rFonts w:eastAsia="Arial" w:cs="Arial"/>
          <w:sz w:val="22"/>
          <w:szCs w:val="22"/>
        </w:rPr>
        <w:t xml:space="preserve"> </w:t>
      </w:r>
      <w:r w:rsidRPr="63018341" w:rsidR="05B3380C">
        <w:rPr>
          <w:rFonts w:eastAsia="Arial" w:cs="Arial"/>
          <w:sz w:val="22"/>
          <w:szCs w:val="22"/>
        </w:rPr>
        <w:t xml:space="preserve">to pilot a biodiversity impact </w:t>
      </w:r>
      <w:r w:rsidRPr="63018341" w:rsidR="05B3380C">
        <w:rPr>
          <w:rFonts w:eastAsia="Arial" w:cs="Arial"/>
          <w:sz w:val="22"/>
          <w:szCs w:val="22"/>
        </w:rPr>
        <w:t>methodology</w:t>
      </w:r>
      <w:r w:rsidRPr="63018341" w:rsidR="05B3380C">
        <w:rPr>
          <w:rFonts w:eastAsia="Arial" w:cs="Arial"/>
          <w:sz w:val="22"/>
          <w:szCs w:val="22"/>
        </w:rPr>
        <w:t xml:space="preserve"> and assess cost-efficiency of</w:t>
      </w:r>
      <w:r w:rsidRPr="63018341" w:rsidR="70E0FD0E">
        <w:rPr>
          <w:rFonts w:eastAsia="Arial" w:cs="Arial"/>
          <w:sz w:val="22"/>
          <w:szCs w:val="22"/>
        </w:rPr>
        <w:t xml:space="preserve"> investments.</w:t>
      </w:r>
    </w:p>
    <w:p w:rsidRPr="005F05A1" w:rsidR="6586CF2F" w:rsidP="00756B4F" w:rsidRDefault="6E47625C" w14:paraId="49D86241" w14:textId="480BAA09">
      <w:pPr>
        <w:pStyle w:val="ListParagraph"/>
        <w:numPr>
          <w:ilvl w:val="0"/>
          <w:numId w:val="17"/>
        </w:numPr>
        <w:spacing w:before="210" w:after="210" w:line="300" w:lineRule="auto"/>
        <w:jc w:val="both"/>
        <w:rPr>
          <w:rFonts w:eastAsia="Arial" w:cs="Arial"/>
          <w:sz w:val="22"/>
          <w:szCs w:val="22"/>
        </w:rPr>
      </w:pPr>
      <w:r w:rsidRPr="63018341" w:rsidR="6E47625C">
        <w:rPr>
          <w:rFonts w:eastAsia="Arial" w:cs="Arial"/>
          <w:b w:val="1"/>
          <w:bCs w:val="1"/>
          <w:sz w:val="22"/>
          <w:szCs w:val="22"/>
        </w:rPr>
        <w:t>In Colombia</w:t>
      </w:r>
      <w:r w:rsidRPr="63018341" w:rsidR="1403600D">
        <w:rPr>
          <w:rFonts w:eastAsia="Arial" w:cs="Arial"/>
          <w:b w:val="1"/>
          <w:bCs w:val="1"/>
          <w:sz w:val="22"/>
          <w:szCs w:val="22"/>
        </w:rPr>
        <w:t xml:space="preserve"> and Mexico</w:t>
      </w:r>
      <w:r w:rsidRPr="63018341" w:rsidR="6E47625C">
        <w:rPr>
          <w:rFonts w:eastAsia="Arial" w:cs="Arial"/>
          <w:b w:val="1"/>
          <w:bCs w:val="1"/>
          <w:sz w:val="22"/>
          <w:szCs w:val="22"/>
        </w:rPr>
        <w:t xml:space="preserve">, </w:t>
      </w:r>
      <w:r w:rsidRPr="63018341" w:rsidR="00AB3706">
        <w:rPr>
          <w:rFonts w:eastAsia="Arial" w:cs="Arial"/>
          <w:b w:val="1"/>
          <w:bCs w:val="1"/>
          <w:sz w:val="22"/>
          <w:szCs w:val="22"/>
        </w:rPr>
        <w:t>both countries continued to advance towards signing ERPAs.</w:t>
      </w:r>
      <w:r w:rsidRPr="63018341" w:rsidR="00723E2F">
        <w:rPr>
          <w:rFonts w:eastAsia="Arial" w:cs="Arial"/>
          <w:b w:val="1"/>
          <w:bCs w:val="1"/>
          <w:sz w:val="22"/>
          <w:szCs w:val="22"/>
        </w:rPr>
        <w:t xml:space="preserve"> </w:t>
      </w:r>
      <w:r w:rsidRPr="63018341" w:rsidR="00723E2F">
        <w:rPr>
          <w:rFonts w:eastAsia="Arial" w:cs="Arial"/>
          <w:sz w:val="22"/>
          <w:szCs w:val="22"/>
        </w:rPr>
        <w:t>Colombia finalised its ERPD and BSP</w:t>
      </w:r>
      <w:r w:rsidRPr="63018341" w:rsidR="00942121">
        <w:rPr>
          <w:rFonts w:eastAsia="Arial" w:cs="Arial"/>
          <w:sz w:val="22"/>
          <w:szCs w:val="22"/>
        </w:rPr>
        <w:t xml:space="preserve"> in FY24</w:t>
      </w:r>
      <w:r w:rsidRPr="63018341" w:rsidR="00723E2F">
        <w:rPr>
          <w:rFonts w:eastAsia="Arial" w:cs="Arial"/>
          <w:sz w:val="22"/>
          <w:szCs w:val="22"/>
        </w:rPr>
        <w:t xml:space="preserve">, both of which were broadly consulted, </w:t>
      </w:r>
      <w:r w:rsidRPr="63018341" w:rsidR="00723E2F">
        <w:rPr>
          <w:rFonts w:eastAsia="Arial" w:cs="Arial"/>
          <w:sz w:val="22"/>
          <w:szCs w:val="22"/>
        </w:rPr>
        <w:t>validated</w:t>
      </w:r>
      <w:r w:rsidRPr="63018341" w:rsidR="00723E2F">
        <w:rPr>
          <w:rFonts w:eastAsia="Arial" w:cs="Arial"/>
          <w:sz w:val="22"/>
          <w:szCs w:val="22"/>
        </w:rPr>
        <w:t xml:space="preserve"> by a third-party audit, and approved by ISFL contributors. </w:t>
      </w:r>
      <w:r w:rsidRPr="63018341" w:rsidR="00D90696">
        <w:rPr>
          <w:rFonts w:eastAsia="Arial" w:cs="Arial"/>
          <w:sz w:val="22"/>
          <w:szCs w:val="22"/>
        </w:rPr>
        <w:t>Mexico further strengthened ERPA readiness by conducting technical workshops with multiple ministries</w:t>
      </w:r>
      <w:r w:rsidRPr="63018341" w:rsidR="005F05A1">
        <w:rPr>
          <w:rFonts w:eastAsia="Arial" w:cs="Arial"/>
          <w:sz w:val="22"/>
          <w:szCs w:val="22"/>
        </w:rPr>
        <w:t xml:space="preserve"> and</w:t>
      </w:r>
      <w:r w:rsidRPr="63018341" w:rsidR="00D90696">
        <w:rPr>
          <w:rFonts w:eastAsia="Arial" w:cs="Arial"/>
          <w:sz w:val="22"/>
          <w:szCs w:val="22"/>
        </w:rPr>
        <w:t xml:space="preserve"> addressed recommendations from their ERPD assessment</w:t>
      </w:r>
      <w:r w:rsidRPr="63018341" w:rsidR="005F05A1">
        <w:rPr>
          <w:rFonts w:eastAsia="Arial" w:cs="Arial"/>
          <w:sz w:val="22"/>
          <w:szCs w:val="22"/>
        </w:rPr>
        <w:t xml:space="preserve">. ERPA negotiations in both countries with the World Bank and contributors were actively pursued in FY25, </w:t>
      </w:r>
      <w:r w:rsidRPr="63018341" w:rsidR="75D6BA19">
        <w:rPr>
          <w:rFonts w:eastAsia="Arial" w:cs="Arial"/>
          <w:sz w:val="22"/>
          <w:szCs w:val="22"/>
        </w:rPr>
        <w:t>and both countries are expected to sign ERPAs at the end of 2025</w:t>
      </w:r>
      <w:r w:rsidRPr="63018341" w:rsidR="3AB51CF0">
        <w:rPr>
          <w:rFonts w:eastAsia="Arial" w:cs="Arial"/>
          <w:sz w:val="22"/>
          <w:szCs w:val="22"/>
        </w:rPr>
        <w:t>.</w:t>
      </w:r>
    </w:p>
    <w:p w:rsidR="0547282F" w:rsidP="67349020" w:rsidRDefault="6586CF2F" w14:paraId="4BF9FF9D" w14:textId="4787511B">
      <w:pPr>
        <w:pStyle w:val="ListParagraph"/>
        <w:numPr>
          <w:ilvl w:val="0"/>
          <w:numId w:val="1"/>
        </w:numPr>
        <w:spacing w:before="210" w:after="210" w:line="300" w:lineRule="auto"/>
        <w:jc w:val="both"/>
        <w:rPr>
          <w:rFonts w:eastAsia="Arial" w:cs="Arial"/>
          <w:sz w:val="22"/>
          <w:szCs w:val="22"/>
        </w:rPr>
      </w:pPr>
      <w:r w:rsidRPr="63018341" w:rsidR="6586CF2F">
        <w:rPr>
          <w:rFonts w:eastAsia="Arial" w:cs="Arial"/>
          <w:b w:val="1"/>
          <w:bCs w:val="1"/>
          <w:sz w:val="22"/>
          <w:szCs w:val="22"/>
        </w:rPr>
        <w:t xml:space="preserve">Ethiopia </w:t>
      </w:r>
      <w:r w:rsidRPr="63018341" w:rsidR="692D4B64">
        <w:rPr>
          <w:rFonts w:eastAsia="Arial" w:cs="Arial"/>
          <w:b w:val="1"/>
          <w:bCs w:val="1"/>
          <w:sz w:val="22"/>
          <w:szCs w:val="22"/>
        </w:rPr>
        <w:t xml:space="preserve">and Zambia </w:t>
      </w:r>
      <w:r w:rsidRPr="63018341" w:rsidR="6586CF2F">
        <w:rPr>
          <w:rFonts w:eastAsia="Arial" w:cs="Arial"/>
          <w:b w:val="1"/>
          <w:bCs w:val="1"/>
          <w:sz w:val="22"/>
          <w:szCs w:val="22"/>
        </w:rPr>
        <w:t>ha</w:t>
      </w:r>
      <w:r w:rsidRPr="63018341" w:rsidR="6D6D9745">
        <w:rPr>
          <w:rFonts w:eastAsia="Arial" w:cs="Arial"/>
          <w:b w:val="1"/>
          <w:bCs w:val="1"/>
          <w:sz w:val="22"/>
          <w:szCs w:val="22"/>
        </w:rPr>
        <w:t>ve</w:t>
      </w:r>
      <w:r w:rsidRPr="63018341" w:rsidR="6586CF2F">
        <w:rPr>
          <w:rFonts w:eastAsia="Arial" w:cs="Arial"/>
          <w:b w:val="1"/>
          <w:bCs w:val="1"/>
          <w:sz w:val="22"/>
          <w:szCs w:val="22"/>
        </w:rPr>
        <w:t xml:space="preserve"> </w:t>
      </w:r>
      <w:r w:rsidRPr="63018341" w:rsidR="6286A1AD">
        <w:rPr>
          <w:rFonts w:eastAsia="Arial" w:cs="Arial"/>
          <w:b w:val="1"/>
          <w:bCs w:val="1"/>
          <w:sz w:val="22"/>
          <w:szCs w:val="22"/>
        </w:rPr>
        <w:t xml:space="preserve">also </w:t>
      </w:r>
      <w:r w:rsidRPr="63018341" w:rsidR="6586CF2F">
        <w:rPr>
          <w:rFonts w:eastAsia="Arial" w:cs="Arial"/>
          <w:b w:val="1"/>
          <w:bCs w:val="1"/>
          <w:sz w:val="22"/>
          <w:szCs w:val="22"/>
        </w:rPr>
        <w:t xml:space="preserve">made progress in </w:t>
      </w:r>
      <w:r w:rsidRPr="63018341" w:rsidR="362A0F2A">
        <w:rPr>
          <w:rFonts w:eastAsia="Arial" w:cs="Arial"/>
          <w:b w:val="1"/>
          <w:bCs w:val="1"/>
          <w:sz w:val="22"/>
          <w:szCs w:val="22"/>
        </w:rPr>
        <w:t xml:space="preserve">their </w:t>
      </w:r>
      <w:r w:rsidRPr="63018341" w:rsidR="6586CF2F">
        <w:rPr>
          <w:rFonts w:eastAsia="Arial" w:cs="Arial"/>
          <w:b w:val="1"/>
          <w:bCs w:val="1"/>
          <w:sz w:val="22"/>
          <w:szCs w:val="22"/>
        </w:rPr>
        <w:t xml:space="preserve">Emission Reduction </w:t>
      </w:r>
      <w:r w:rsidRPr="63018341" w:rsidR="0FB9704C">
        <w:rPr>
          <w:rFonts w:eastAsia="Arial" w:cs="Arial"/>
          <w:b w:val="1"/>
          <w:bCs w:val="1"/>
          <w:sz w:val="22"/>
          <w:szCs w:val="22"/>
        </w:rPr>
        <w:t>programmes</w:t>
      </w:r>
      <w:r w:rsidRPr="63018341" w:rsidR="648474DF">
        <w:rPr>
          <w:rFonts w:eastAsia="Arial" w:cs="Arial"/>
          <w:b w:val="1"/>
          <w:bCs w:val="1"/>
          <w:sz w:val="22"/>
          <w:szCs w:val="22"/>
        </w:rPr>
        <w:t>,</w:t>
      </w:r>
      <w:r w:rsidRPr="63018341" w:rsidR="4AE6666F">
        <w:rPr>
          <w:rFonts w:eastAsia="Arial" w:cs="Arial"/>
          <w:b w:val="1"/>
          <w:bCs w:val="1"/>
          <w:sz w:val="22"/>
          <w:szCs w:val="22"/>
        </w:rPr>
        <w:t xml:space="preserve"> </w:t>
      </w:r>
      <w:r w:rsidRPr="63018341" w:rsidR="4AE6666F">
        <w:rPr>
          <w:rFonts w:eastAsia="Arial" w:cs="Arial"/>
          <w:sz w:val="22"/>
          <w:szCs w:val="22"/>
        </w:rPr>
        <w:t xml:space="preserve">with Ethiopia </w:t>
      </w:r>
      <w:r w:rsidRPr="63018341" w:rsidR="6586CF2F">
        <w:rPr>
          <w:rFonts w:eastAsia="Arial" w:cs="Arial"/>
          <w:sz w:val="22"/>
          <w:szCs w:val="22"/>
        </w:rPr>
        <w:t xml:space="preserve">reaching Phase I disbursement readiness, </w:t>
      </w:r>
      <w:r w:rsidRPr="63018341" w:rsidR="4E7C3A1B">
        <w:rPr>
          <w:rFonts w:eastAsia="Arial" w:cs="Arial"/>
          <w:sz w:val="22"/>
          <w:szCs w:val="22"/>
        </w:rPr>
        <w:t>and</w:t>
      </w:r>
      <w:r w:rsidRPr="63018341" w:rsidR="6586CF2F">
        <w:rPr>
          <w:rFonts w:eastAsia="Arial" w:cs="Arial"/>
          <w:sz w:val="22"/>
          <w:szCs w:val="22"/>
        </w:rPr>
        <w:t xml:space="preserve"> third-party verification of it</w:t>
      </w:r>
      <w:r w:rsidRPr="63018341" w:rsidR="1B4A872F">
        <w:rPr>
          <w:rFonts w:eastAsia="Arial" w:cs="Arial"/>
          <w:sz w:val="22"/>
          <w:szCs w:val="22"/>
        </w:rPr>
        <w:t xml:space="preserve">s first </w:t>
      </w:r>
      <w:r w:rsidRPr="63018341" w:rsidR="2C57C4FE">
        <w:rPr>
          <w:rFonts w:eastAsia="Arial" w:cs="Arial"/>
          <w:sz w:val="22"/>
          <w:szCs w:val="22"/>
        </w:rPr>
        <w:t>monitoring report</w:t>
      </w:r>
      <w:r w:rsidRPr="63018341" w:rsidR="1B4A872F">
        <w:rPr>
          <w:rFonts w:eastAsia="Arial" w:cs="Arial"/>
          <w:sz w:val="22"/>
          <w:szCs w:val="22"/>
        </w:rPr>
        <w:t xml:space="preserve"> underway. </w:t>
      </w:r>
      <w:r w:rsidRPr="63018341" w:rsidR="7D1EFCEC">
        <w:rPr>
          <w:rFonts w:eastAsia="Arial" w:cs="Arial"/>
          <w:sz w:val="22"/>
          <w:szCs w:val="22"/>
        </w:rPr>
        <w:t xml:space="preserve">Additionally, Ethiopia completed a draft ERPD for Phase II, currently undergoing validation. The final draft of its </w:t>
      </w:r>
      <w:r w:rsidRPr="63018341" w:rsidR="00CE5295">
        <w:rPr>
          <w:rFonts w:eastAsia="Arial" w:cs="Arial"/>
          <w:sz w:val="22"/>
          <w:szCs w:val="22"/>
        </w:rPr>
        <w:t>Benefit-Sharing Plan (</w:t>
      </w:r>
      <w:r w:rsidRPr="63018341" w:rsidR="7D1EFCEC">
        <w:rPr>
          <w:rFonts w:eastAsia="Arial" w:cs="Arial"/>
          <w:sz w:val="22"/>
          <w:szCs w:val="22"/>
        </w:rPr>
        <w:t>BSP</w:t>
      </w:r>
      <w:r w:rsidRPr="63018341" w:rsidR="00CE5295">
        <w:rPr>
          <w:rFonts w:eastAsia="Arial" w:cs="Arial"/>
          <w:sz w:val="22"/>
          <w:szCs w:val="22"/>
        </w:rPr>
        <w:t>)</w:t>
      </w:r>
      <w:r w:rsidRPr="63018341" w:rsidR="7D1EFCEC">
        <w:rPr>
          <w:rFonts w:eastAsia="Arial" w:cs="Arial"/>
          <w:sz w:val="22"/>
          <w:szCs w:val="22"/>
        </w:rPr>
        <w:t xml:space="preserve"> for Phase II is </w:t>
      </w:r>
      <w:r w:rsidRPr="63018341" w:rsidR="7D1EFCEC">
        <w:rPr>
          <w:rFonts w:eastAsia="Arial" w:cs="Arial"/>
          <w:sz w:val="22"/>
          <w:szCs w:val="22"/>
        </w:rPr>
        <w:t xml:space="preserve">presently under internal review </w:t>
      </w:r>
      <w:r w:rsidRPr="63018341" w:rsidR="7D1EFCEC">
        <w:rPr>
          <w:rFonts w:eastAsia="Arial" w:cs="Arial"/>
          <w:sz w:val="22"/>
          <w:szCs w:val="22"/>
        </w:rPr>
        <w:t>by the W</w:t>
      </w:r>
      <w:r w:rsidRPr="63018341" w:rsidR="3411BBF0">
        <w:rPr>
          <w:rFonts w:eastAsia="Arial" w:cs="Arial"/>
          <w:sz w:val="22"/>
          <w:szCs w:val="22"/>
        </w:rPr>
        <w:t>B</w:t>
      </w:r>
      <w:r w:rsidRPr="63018341" w:rsidR="37EF3B2F">
        <w:rPr>
          <w:rFonts w:eastAsia="Arial" w:cs="Arial"/>
          <w:sz w:val="22"/>
          <w:szCs w:val="22"/>
        </w:rPr>
        <w:t xml:space="preserve"> </w:t>
      </w:r>
      <w:r w:rsidRPr="63018341" w:rsidR="37EF3B2F">
        <w:rPr>
          <w:rFonts w:eastAsia="Arial" w:cs="Arial"/>
          <w:sz w:val="22"/>
          <w:szCs w:val="22"/>
        </w:rPr>
        <w:t>(outside of the FY25 reporting period)</w:t>
      </w:r>
      <w:r w:rsidRPr="63018341" w:rsidR="7D1EFCEC">
        <w:rPr>
          <w:rFonts w:eastAsia="Arial" w:cs="Arial"/>
          <w:sz w:val="22"/>
          <w:szCs w:val="22"/>
        </w:rPr>
        <w:t>, before ISFL contr</w:t>
      </w:r>
      <w:r w:rsidRPr="63018341" w:rsidR="253B2BD3">
        <w:rPr>
          <w:rFonts w:eastAsia="Arial" w:cs="Arial"/>
          <w:sz w:val="22"/>
          <w:szCs w:val="22"/>
        </w:rPr>
        <w:t xml:space="preserve">ibutor approval. </w:t>
      </w:r>
      <w:r w:rsidRPr="63018341" w:rsidR="02B37059">
        <w:rPr>
          <w:rFonts w:eastAsia="Arial" w:cs="Arial"/>
          <w:sz w:val="22"/>
          <w:szCs w:val="22"/>
        </w:rPr>
        <w:t>Zambia</w:t>
      </w:r>
      <w:r w:rsidRPr="63018341" w:rsidR="00D6126B">
        <w:rPr>
          <w:rFonts w:eastAsia="Arial" w:cs="Arial"/>
          <w:sz w:val="22"/>
          <w:szCs w:val="22"/>
        </w:rPr>
        <w:t xml:space="preserve"> signed</w:t>
      </w:r>
      <w:r w:rsidRPr="63018341" w:rsidR="0C397FD7">
        <w:rPr>
          <w:rFonts w:eastAsia="Arial" w:cs="Arial"/>
          <w:sz w:val="22"/>
          <w:szCs w:val="22"/>
        </w:rPr>
        <w:t xml:space="preserve"> 56 Chiefdom ERPAs and one Nesting ERPA</w:t>
      </w:r>
      <w:r w:rsidRPr="63018341" w:rsidR="00355AA0">
        <w:rPr>
          <w:rFonts w:eastAsia="Arial" w:cs="Arial"/>
          <w:sz w:val="22"/>
          <w:szCs w:val="22"/>
        </w:rPr>
        <w:t xml:space="preserve"> (NERPA)</w:t>
      </w:r>
      <w:r w:rsidRPr="63018341" w:rsidR="0C397FD7">
        <w:rPr>
          <w:rFonts w:eastAsia="Arial" w:cs="Arial"/>
          <w:sz w:val="22"/>
          <w:szCs w:val="22"/>
        </w:rPr>
        <w:t>, and issued a landmark permit for forest carbon trading</w:t>
      </w:r>
      <w:r w:rsidRPr="63018341" w:rsidR="7C383DF0">
        <w:rPr>
          <w:rFonts w:eastAsia="Arial" w:cs="Arial"/>
          <w:sz w:val="22"/>
          <w:szCs w:val="22"/>
        </w:rPr>
        <w:t>, enabling the programme to legally transact ERs</w:t>
      </w:r>
      <w:r w:rsidRPr="63018341" w:rsidR="78308943">
        <w:rPr>
          <w:rFonts w:eastAsia="Arial" w:cs="Arial"/>
          <w:sz w:val="22"/>
          <w:szCs w:val="22"/>
        </w:rPr>
        <w:t>.</w:t>
      </w:r>
      <w:r w:rsidRPr="63018341" w:rsidR="2617F0E1">
        <w:rPr>
          <w:rFonts w:eastAsia="Arial" w:cs="Arial"/>
          <w:sz w:val="22"/>
          <w:szCs w:val="22"/>
        </w:rPr>
        <w:t xml:space="preserve"> Moreover, it has made progress towards its first validation and verification, </w:t>
      </w:r>
      <w:r w:rsidRPr="63018341" w:rsidR="6FCCA87E">
        <w:rPr>
          <w:rFonts w:eastAsia="Arial" w:cs="Arial"/>
          <w:sz w:val="22"/>
          <w:szCs w:val="22"/>
        </w:rPr>
        <w:t>submitting</w:t>
      </w:r>
      <w:r w:rsidRPr="63018341" w:rsidR="6FCCA87E">
        <w:rPr>
          <w:rFonts w:eastAsia="Arial" w:cs="Arial"/>
          <w:sz w:val="22"/>
          <w:szCs w:val="22"/>
        </w:rPr>
        <w:t xml:space="preserve"> </w:t>
      </w:r>
      <w:r w:rsidRPr="63018341" w:rsidR="2617F0E1">
        <w:rPr>
          <w:rFonts w:eastAsia="Arial" w:cs="Arial"/>
          <w:sz w:val="22"/>
          <w:szCs w:val="22"/>
        </w:rPr>
        <w:t xml:space="preserve">its </w:t>
      </w:r>
      <w:r w:rsidRPr="63018341" w:rsidR="07799BC4">
        <w:rPr>
          <w:rFonts w:eastAsia="Arial" w:cs="Arial"/>
          <w:sz w:val="22"/>
          <w:szCs w:val="22"/>
        </w:rPr>
        <w:t xml:space="preserve">first </w:t>
      </w:r>
      <w:r w:rsidRPr="63018341" w:rsidR="2617F0E1">
        <w:rPr>
          <w:rFonts w:eastAsia="Arial" w:cs="Arial"/>
          <w:sz w:val="22"/>
          <w:szCs w:val="22"/>
        </w:rPr>
        <w:t xml:space="preserve">ERMR </w:t>
      </w:r>
      <w:r w:rsidRPr="63018341" w:rsidR="4BF51372">
        <w:rPr>
          <w:rFonts w:eastAsia="Arial" w:cs="Arial"/>
          <w:sz w:val="22"/>
          <w:szCs w:val="22"/>
        </w:rPr>
        <w:t xml:space="preserve">for validation </w:t>
      </w:r>
      <w:r w:rsidRPr="63018341" w:rsidR="2617F0E1">
        <w:rPr>
          <w:rFonts w:eastAsia="Arial" w:cs="Arial"/>
          <w:sz w:val="22"/>
          <w:szCs w:val="22"/>
        </w:rPr>
        <w:t xml:space="preserve">under </w:t>
      </w:r>
      <w:r w:rsidRPr="63018341" w:rsidR="05729513">
        <w:rPr>
          <w:rFonts w:eastAsia="Arial" w:cs="Arial"/>
          <w:sz w:val="22"/>
          <w:szCs w:val="22"/>
        </w:rPr>
        <w:t>its Eastern Province Jurisdictional Sustainable Landscape Program (EP-JSLP).</w:t>
      </w:r>
      <w:r w:rsidRPr="63018341" w:rsidR="11389912">
        <w:rPr>
          <w:rFonts w:eastAsia="Arial" w:cs="Arial"/>
          <w:sz w:val="22"/>
          <w:szCs w:val="22"/>
        </w:rPr>
        <w:t xml:space="preserve"> </w:t>
      </w:r>
    </w:p>
    <w:p w:rsidR="29569882" w:rsidP="4963069A" w:rsidRDefault="00FC706C" w14:paraId="1AE3C6CC" w14:textId="09DB6ACF">
      <w:pPr>
        <w:pStyle w:val="ListParagraph"/>
        <w:numPr>
          <w:ilvl w:val="0"/>
          <w:numId w:val="1"/>
        </w:numPr>
        <w:spacing w:before="210" w:after="210" w:line="300" w:lineRule="auto"/>
        <w:jc w:val="both"/>
        <w:rPr>
          <w:rFonts w:eastAsia="Arial" w:cs="Arial"/>
        </w:rPr>
      </w:pPr>
      <w:r w:rsidRPr="63018341" w:rsidR="00FC706C">
        <w:rPr>
          <w:rFonts w:eastAsia="Arial" w:cs="Arial"/>
          <w:b w:val="1"/>
          <w:bCs w:val="1"/>
          <w:sz w:val="22"/>
          <w:szCs w:val="22"/>
        </w:rPr>
        <w:t>P</w:t>
      </w:r>
      <w:r w:rsidRPr="63018341" w:rsidR="29569882">
        <w:rPr>
          <w:rFonts w:eastAsia="Arial" w:cs="Arial"/>
          <w:b w:val="1"/>
          <w:bCs w:val="1"/>
          <w:sz w:val="22"/>
          <w:szCs w:val="22"/>
        </w:rPr>
        <w:t>rivate sector engagement</w:t>
      </w:r>
      <w:r w:rsidRPr="63018341" w:rsidR="3276B3C1">
        <w:rPr>
          <w:rFonts w:eastAsia="Arial" w:cs="Arial"/>
          <w:b w:val="1"/>
          <w:bCs w:val="1"/>
          <w:sz w:val="22"/>
          <w:szCs w:val="22"/>
        </w:rPr>
        <w:t xml:space="preserve"> </w:t>
      </w:r>
      <w:r w:rsidRPr="63018341" w:rsidR="00FC706C">
        <w:rPr>
          <w:rFonts w:eastAsia="Arial" w:cs="Arial"/>
          <w:b w:val="1"/>
          <w:bCs w:val="1"/>
          <w:sz w:val="22"/>
          <w:szCs w:val="22"/>
        </w:rPr>
        <w:t>was strengthened</w:t>
      </w:r>
      <w:r w:rsidRPr="63018341" w:rsidR="00FC706C">
        <w:rPr>
          <w:rFonts w:eastAsia="Arial" w:cs="Arial"/>
          <w:b w:val="1"/>
          <w:bCs w:val="1"/>
          <w:sz w:val="22"/>
          <w:szCs w:val="22"/>
        </w:rPr>
        <w:t xml:space="preserve"> </w:t>
      </w:r>
      <w:r w:rsidRPr="63018341" w:rsidR="3276B3C1">
        <w:rPr>
          <w:rFonts w:eastAsia="Arial" w:cs="Arial"/>
          <w:b w:val="1"/>
          <w:bCs w:val="1"/>
          <w:sz w:val="22"/>
          <w:szCs w:val="22"/>
        </w:rPr>
        <w:t>in FY25</w:t>
      </w:r>
      <w:r w:rsidRPr="63018341" w:rsidR="29569882">
        <w:rPr>
          <w:rFonts w:eastAsia="Arial" w:cs="Arial"/>
          <w:b w:val="1"/>
          <w:bCs w:val="1"/>
          <w:sz w:val="22"/>
          <w:szCs w:val="22"/>
        </w:rPr>
        <w:t>.</w:t>
      </w:r>
      <w:r w:rsidRPr="63018341" w:rsidR="29569882">
        <w:rPr>
          <w:rFonts w:eastAsia="Arial" w:cs="Arial"/>
          <w:sz w:val="22"/>
          <w:szCs w:val="22"/>
        </w:rPr>
        <w:t xml:space="preserve"> In Colombia, a $42 million private investment in </w:t>
      </w:r>
      <w:r w:rsidRPr="63018341" w:rsidR="6687CCB5">
        <w:rPr>
          <w:rFonts w:eastAsia="Arial" w:cs="Arial"/>
          <w:sz w:val="22"/>
          <w:szCs w:val="22"/>
        </w:rPr>
        <w:t xml:space="preserve">the </w:t>
      </w:r>
      <w:r w:rsidRPr="63018341" w:rsidR="29569882">
        <w:rPr>
          <w:rFonts w:eastAsia="Arial" w:cs="Arial"/>
          <w:sz w:val="22"/>
          <w:szCs w:val="22"/>
        </w:rPr>
        <w:t xml:space="preserve">cocoa sector was catalysed through IFC’s upstream engagement, creating rural jobs, connecting </w:t>
      </w:r>
      <w:r w:rsidRPr="63018341" w:rsidR="29569882">
        <w:rPr>
          <w:rFonts w:eastAsia="Arial" w:cs="Arial"/>
          <w:sz w:val="22"/>
          <w:szCs w:val="22"/>
        </w:rPr>
        <w:t xml:space="preserve">smallholders to global markets, and restoring </w:t>
      </w:r>
      <w:r w:rsidRPr="63018341" w:rsidR="29569882">
        <w:rPr>
          <w:rFonts w:eastAsia="Arial" w:cs="Arial"/>
          <w:sz w:val="22"/>
          <w:szCs w:val="22"/>
        </w:rPr>
        <w:t>degraded land</w:t>
      </w:r>
      <w:r w:rsidRPr="63018341" w:rsidR="29569882">
        <w:rPr>
          <w:rFonts w:eastAsia="Arial" w:cs="Arial"/>
          <w:sz w:val="22"/>
          <w:szCs w:val="22"/>
        </w:rPr>
        <w:t>. In Ethiopia,</w:t>
      </w:r>
      <w:r w:rsidRPr="63018341" w:rsidR="1EE4A470">
        <w:rPr>
          <w:rFonts w:eastAsia="Arial" w:cs="Arial"/>
          <w:sz w:val="22"/>
          <w:szCs w:val="22"/>
        </w:rPr>
        <w:t xml:space="preserve"> partnerships with Nespresso, JDE Peet’s, and</w:t>
      </w:r>
      <w:r w:rsidRPr="63018341" w:rsidR="1EE4A470">
        <w:rPr>
          <w:rFonts w:eastAsia="Arial" w:cs="Arial"/>
          <w:sz w:val="22"/>
          <w:szCs w:val="22"/>
        </w:rPr>
        <w:t xml:space="preserve"> dairy value chain actors scaled </w:t>
      </w:r>
      <w:r w:rsidRPr="63018341" w:rsidR="00FA6A22">
        <w:rPr>
          <w:rFonts w:eastAsia="Arial" w:cs="Arial"/>
          <w:sz w:val="22"/>
          <w:szCs w:val="22"/>
        </w:rPr>
        <w:t>CSA</w:t>
      </w:r>
      <w:r w:rsidRPr="63018341" w:rsidR="1EE4A470">
        <w:rPr>
          <w:rFonts w:eastAsia="Arial" w:cs="Arial"/>
          <w:sz w:val="22"/>
          <w:szCs w:val="22"/>
        </w:rPr>
        <w:t xml:space="preserve"> models. Collaboration with coffee cooperatives is helping </w:t>
      </w:r>
      <w:r w:rsidRPr="63018341" w:rsidR="1EE4A470">
        <w:rPr>
          <w:rFonts w:eastAsia="Arial" w:cs="Arial"/>
          <w:sz w:val="22"/>
          <w:szCs w:val="22"/>
        </w:rPr>
        <w:t>farmers triple yields and access premium market</w:t>
      </w:r>
      <w:r w:rsidRPr="63018341" w:rsidR="00EF79C2">
        <w:rPr>
          <w:rFonts w:eastAsia="Arial" w:cs="Arial"/>
          <w:sz w:val="22"/>
          <w:szCs w:val="22"/>
        </w:rPr>
        <w:t>s.</w:t>
      </w:r>
    </w:p>
    <w:p w:rsidR="18C162B1" w:rsidP="0D0D886A" w:rsidRDefault="18C162B1" w14:paraId="618A70E1" w14:textId="0A94E1BC">
      <w:pPr>
        <w:pStyle w:val="ListParagraph"/>
        <w:numPr>
          <w:ilvl w:val="0"/>
          <w:numId w:val="1"/>
        </w:numPr>
        <w:spacing w:before="210" w:after="210" w:line="300" w:lineRule="auto"/>
        <w:jc w:val="both"/>
        <w:rPr>
          <w:rFonts w:eastAsia="Arial" w:cs="Arial"/>
          <w:sz w:val="22"/>
          <w:szCs w:val="22"/>
        </w:rPr>
      </w:pPr>
      <w:r w:rsidRPr="0D0D886A">
        <w:rPr>
          <w:rFonts w:eastAsia="Arial" w:cs="Arial"/>
          <w:b/>
          <w:bCs/>
          <w:sz w:val="22"/>
          <w:szCs w:val="22"/>
        </w:rPr>
        <w:t>The programme has had substantial on-the-ground impacts.</w:t>
      </w:r>
      <w:r w:rsidRPr="0D0D886A">
        <w:rPr>
          <w:rFonts w:eastAsia="Arial" w:cs="Arial"/>
          <w:sz w:val="22"/>
          <w:szCs w:val="22"/>
        </w:rPr>
        <w:t xml:space="preserve"> In Ethiopia, 77,997 women participated in income-generating activities including agroforestry, livestock rearing, and coffee production, improving </w:t>
      </w:r>
      <w:r w:rsidRPr="0D0D886A" w:rsidR="2D3957F7">
        <w:rPr>
          <w:rFonts w:eastAsia="Arial" w:cs="Arial"/>
          <w:sz w:val="22"/>
          <w:szCs w:val="22"/>
        </w:rPr>
        <w:t>business skill</w:t>
      </w:r>
      <w:r w:rsidRPr="0D0D886A">
        <w:rPr>
          <w:rFonts w:eastAsia="Arial" w:cs="Arial"/>
          <w:sz w:val="22"/>
          <w:szCs w:val="22"/>
        </w:rPr>
        <w:t xml:space="preserve">s </w:t>
      </w:r>
      <w:r w:rsidRPr="0D0D886A" w:rsidR="76F10BB6">
        <w:rPr>
          <w:rFonts w:eastAsia="Arial" w:cs="Arial"/>
          <w:sz w:val="22"/>
          <w:szCs w:val="22"/>
        </w:rPr>
        <w:t>and</w:t>
      </w:r>
      <w:r w:rsidRPr="0D0D886A">
        <w:rPr>
          <w:rFonts w:eastAsia="Arial" w:cs="Arial"/>
          <w:sz w:val="22"/>
          <w:szCs w:val="22"/>
        </w:rPr>
        <w:t xml:space="preserve"> promoting sustainable forest management. In Zambia, 17,000 lead farmers </w:t>
      </w:r>
      <w:r w:rsidRPr="0D0D886A" w:rsidR="7C379508">
        <w:rPr>
          <w:rFonts w:eastAsia="Arial" w:cs="Arial"/>
          <w:sz w:val="22"/>
          <w:szCs w:val="22"/>
        </w:rPr>
        <w:t xml:space="preserve">were trained </w:t>
      </w:r>
      <w:r w:rsidRPr="0D0D886A">
        <w:rPr>
          <w:rFonts w:eastAsia="Arial" w:cs="Arial"/>
          <w:sz w:val="22"/>
          <w:szCs w:val="22"/>
        </w:rPr>
        <w:t xml:space="preserve">in </w:t>
      </w:r>
      <w:r w:rsidR="00BB3317">
        <w:rPr>
          <w:rFonts w:eastAsia="Arial" w:cs="Arial"/>
          <w:sz w:val="22"/>
          <w:szCs w:val="22"/>
        </w:rPr>
        <w:t xml:space="preserve">CSA, </w:t>
      </w:r>
      <w:r w:rsidRPr="0D0D886A" w:rsidR="0FA60E12">
        <w:rPr>
          <w:rFonts w:eastAsia="Arial" w:cs="Arial"/>
          <w:sz w:val="22"/>
          <w:szCs w:val="22"/>
        </w:rPr>
        <w:t>each cascading training to 10 additional farmers.</w:t>
      </w:r>
    </w:p>
    <w:p w:rsidR="18C162B1" w:rsidP="194B9124" w:rsidRDefault="401F8849" w14:paraId="0771E166" w14:textId="6475107E">
      <w:pPr>
        <w:pStyle w:val="ListParagraph"/>
        <w:numPr>
          <w:ilvl w:val="0"/>
          <w:numId w:val="1"/>
        </w:numPr>
        <w:spacing w:before="210" w:after="210" w:line="300" w:lineRule="auto"/>
        <w:jc w:val="both"/>
        <w:rPr>
          <w:rFonts w:eastAsia="Arial" w:cs="Arial"/>
          <w:sz w:val="22"/>
          <w:szCs w:val="22"/>
        </w:rPr>
      </w:pPr>
      <w:r w:rsidRPr="78DF65F4">
        <w:rPr>
          <w:rFonts w:eastAsia="Arial" w:cs="Arial"/>
          <w:b/>
          <w:bCs/>
          <w:sz w:val="22"/>
          <w:szCs w:val="22"/>
        </w:rPr>
        <w:t>Tangible progress was evident in global engagement and innovation</w:t>
      </w:r>
      <w:r w:rsidRPr="78DF65F4" w:rsidR="2124681C">
        <w:rPr>
          <w:rFonts w:eastAsia="Arial" w:cs="Arial"/>
          <w:b/>
          <w:bCs/>
          <w:sz w:val="22"/>
          <w:szCs w:val="22"/>
        </w:rPr>
        <w:t>:</w:t>
      </w:r>
      <w:r w:rsidRPr="78DF65F4">
        <w:rPr>
          <w:rFonts w:eastAsia="Arial" w:cs="Arial"/>
          <w:sz w:val="22"/>
          <w:szCs w:val="22"/>
        </w:rPr>
        <w:t xml:space="preserve"> </w:t>
      </w:r>
    </w:p>
    <w:p w:rsidR="18C162B1" w:rsidP="78DF65F4" w:rsidRDefault="0FA60E12" w14:paraId="74228DAD" w14:textId="71C3B92A">
      <w:pPr>
        <w:pStyle w:val="ListParagraph"/>
        <w:numPr>
          <w:ilvl w:val="1"/>
          <w:numId w:val="1"/>
        </w:numPr>
        <w:spacing w:before="210" w:after="210" w:line="300" w:lineRule="auto"/>
        <w:jc w:val="both"/>
        <w:rPr>
          <w:rFonts w:eastAsia="Arial" w:cs="Arial"/>
          <w:sz w:val="22"/>
          <w:szCs w:val="22"/>
        </w:rPr>
      </w:pPr>
      <w:r w:rsidRPr="78DF65F4">
        <w:rPr>
          <w:rFonts w:eastAsia="Arial" w:cs="Arial"/>
          <w:sz w:val="22"/>
          <w:szCs w:val="22"/>
        </w:rPr>
        <w:t>ISFL convened global carbon market roundtables in Europe and Asia, engaging over 150 participants to foster direct dialogue between ERP suppliers and buyers.</w:t>
      </w:r>
      <w:r w:rsidRPr="78DF65F4" w:rsidR="557CFBA3">
        <w:rPr>
          <w:rFonts w:eastAsia="Arial" w:cs="Arial"/>
          <w:sz w:val="22"/>
          <w:szCs w:val="22"/>
        </w:rPr>
        <w:t xml:space="preserve"> </w:t>
      </w:r>
    </w:p>
    <w:p w:rsidR="18C162B1" w:rsidP="78DF65F4" w:rsidRDefault="0FA60E12" w14:paraId="7708D953" w14:textId="40D0A49F">
      <w:pPr>
        <w:pStyle w:val="ListParagraph"/>
        <w:numPr>
          <w:ilvl w:val="1"/>
          <w:numId w:val="1"/>
        </w:numPr>
        <w:spacing w:before="210" w:after="210" w:line="300" w:lineRule="auto"/>
        <w:jc w:val="both"/>
        <w:rPr>
          <w:rFonts w:eastAsia="Arial" w:cs="Arial"/>
          <w:sz w:val="22"/>
          <w:szCs w:val="22"/>
        </w:rPr>
      </w:pPr>
      <w:r w:rsidRPr="78DF65F4">
        <w:rPr>
          <w:rFonts w:eastAsia="Arial" w:cs="Arial"/>
          <w:sz w:val="22"/>
          <w:szCs w:val="22"/>
        </w:rPr>
        <w:t>IFC introduced open-source traceability systems for sustainable supply chains and promoted CSA practices across beef and cocoa sectors.</w:t>
      </w:r>
      <w:r w:rsidRPr="78DF65F4" w:rsidR="3EE85A0C">
        <w:rPr>
          <w:rFonts w:eastAsia="Arial" w:cs="Arial"/>
          <w:sz w:val="22"/>
          <w:szCs w:val="22"/>
        </w:rPr>
        <w:t xml:space="preserve"> </w:t>
      </w:r>
    </w:p>
    <w:p w:rsidR="18C162B1" w:rsidP="78DF65F4" w:rsidRDefault="3EE85A0C" w14:paraId="24F81E7C" w14:textId="359DAC2C">
      <w:pPr>
        <w:pStyle w:val="ListParagraph"/>
        <w:numPr>
          <w:ilvl w:val="1"/>
          <w:numId w:val="1"/>
        </w:numPr>
        <w:spacing w:before="210" w:after="210" w:line="300" w:lineRule="auto"/>
        <w:jc w:val="both"/>
        <w:rPr>
          <w:rFonts w:eastAsia="Arial" w:cs="Arial"/>
          <w:sz w:val="22"/>
          <w:szCs w:val="22"/>
        </w:rPr>
      </w:pPr>
      <w:r w:rsidRPr="63018341" w:rsidR="3EE85A0C">
        <w:rPr>
          <w:rFonts w:eastAsia="Arial" w:cs="Arial"/>
          <w:sz w:val="22"/>
          <w:szCs w:val="22"/>
        </w:rPr>
        <w:t>ISFL</w:t>
      </w:r>
      <w:r w:rsidRPr="63018341" w:rsidR="0FA60E12">
        <w:rPr>
          <w:rFonts w:eastAsia="Arial" w:cs="Arial"/>
          <w:sz w:val="22"/>
          <w:szCs w:val="22"/>
        </w:rPr>
        <w:t xml:space="preserve"> launch</w:t>
      </w:r>
      <w:r w:rsidRPr="63018341" w:rsidR="3E869432">
        <w:rPr>
          <w:rFonts w:eastAsia="Arial" w:cs="Arial"/>
          <w:sz w:val="22"/>
          <w:szCs w:val="22"/>
        </w:rPr>
        <w:t>ed</w:t>
      </w:r>
      <w:r w:rsidRPr="63018341" w:rsidR="0FA60E12">
        <w:rPr>
          <w:rFonts w:eastAsia="Arial" w:cs="Arial"/>
          <w:sz w:val="22"/>
          <w:szCs w:val="22"/>
        </w:rPr>
        <w:t xml:space="preserve"> an “MRV Community of Practice</w:t>
      </w:r>
      <w:r w:rsidRPr="63018341" w:rsidR="0FA60E12">
        <w:rPr>
          <w:rFonts w:eastAsia="Arial" w:cs="Arial"/>
          <w:sz w:val="22"/>
          <w:szCs w:val="22"/>
        </w:rPr>
        <w:t>”,</w:t>
      </w:r>
      <w:r w:rsidRPr="63018341" w:rsidR="0FA60E12">
        <w:rPr>
          <w:rFonts w:eastAsia="Arial" w:cs="Arial"/>
          <w:sz w:val="22"/>
          <w:szCs w:val="22"/>
        </w:rPr>
        <w:t xml:space="preserve"> </w:t>
      </w:r>
      <w:r w:rsidRPr="63018341" w:rsidR="0FA60E12">
        <w:rPr>
          <w:rFonts w:eastAsia="Arial" w:cs="Arial"/>
          <w:sz w:val="22"/>
          <w:szCs w:val="22"/>
        </w:rPr>
        <w:t>facilitating</w:t>
      </w:r>
      <w:r w:rsidRPr="63018341" w:rsidR="0FA60E12">
        <w:rPr>
          <w:rFonts w:eastAsia="Arial" w:cs="Arial"/>
          <w:sz w:val="22"/>
          <w:szCs w:val="22"/>
        </w:rPr>
        <w:t xml:space="preserve"> South-South exchanges, and delivering targeted communications and 18 knowledge tools to support land-use planning, market access, </w:t>
      </w:r>
      <w:r w:rsidRPr="63018341" w:rsidR="0FA60E12">
        <w:rPr>
          <w:rFonts w:eastAsia="Arial" w:cs="Arial"/>
          <w:sz w:val="22"/>
          <w:szCs w:val="22"/>
        </w:rPr>
        <w:t>and</w:t>
      </w:r>
      <w:r w:rsidRPr="63018341" w:rsidR="0FA60E12">
        <w:rPr>
          <w:rFonts w:eastAsia="Arial" w:cs="Arial"/>
          <w:sz w:val="22"/>
          <w:szCs w:val="22"/>
        </w:rPr>
        <w:t xml:space="preserve"> </w:t>
      </w:r>
      <w:r w:rsidRPr="63018341" w:rsidR="0FA60E12">
        <w:rPr>
          <w:rFonts w:eastAsia="Arial" w:cs="Arial"/>
          <w:sz w:val="22"/>
          <w:szCs w:val="22"/>
        </w:rPr>
        <w:t>productivity</w:t>
      </w:r>
      <w:r w:rsidRPr="63018341" w:rsidR="0FA60E12">
        <w:rPr>
          <w:rFonts w:eastAsia="Arial" w:cs="Arial"/>
          <w:sz w:val="22"/>
          <w:szCs w:val="22"/>
        </w:rPr>
        <w:t>.</w:t>
      </w:r>
      <w:r w:rsidRPr="63018341" w:rsidR="0BAFC39F">
        <w:rPr>
          <w:rFonts w:eastAsia="Arial" w:cs="Arial"/>
          <w:sz w:val="22"/>
          <w:szCs w:val="22"/>
        </w:rPr>
        <w:t xml:space="preserve"> </w:t>
      </w:r>
    </w:p>
    <w:p w:rsidRPr="00783719" w:rsidR="2DB811BF" w:rsidP="2DB811BF" w:rsidRDefault="0FA60E12" w14:paraId="773AF5B2" w14:textId="33689A4C">
      <w:pPr>
        <w:pStyle w:val="ListParagraph"/>
        <w:numPr>
          <w:ilvl w:val="1"/>
          <w:numId w:val="1"/>
        </w:numPr>
        <w:spacing w:before="210" w:after="210" w:line="300" w:lineRule="auto"/>
        <w:jc w:val="both"/>
        <w:rPr>
          <w:rFonts w:eastAsia="Arial" w:cs="Arial"/>
          <w:sz w:val="22"/>
          <w:szCs w:val="22"/>
        </w:rPr>
      </w:pPr>
      <w:r w:rsidRPr="63018341" w:rsidR="0FA60E12">
        <w:rPr>
          <w:rFonts w:eastAsia="Arial" w:cs="Arial"/>
          <w:sz w:val="22"/>
          <w:szCs w:val="22"/>
        </w:rPr>
        <w:t xml:space="preserve">ISFL reallocated $4 million in UK funding to support Mexico’s revitalised </w:t>
      </w:r>
      <w:r w:rsidRPr="63018341" w:rsidR="005A48CE">
        <w:rPr>
          <w:rFonts w:eastAsia="Arial" w:cs="Arial"/>
          <w:sz w:val="22"/>
          <w:szCs w:val="22"/>
        </w:rPr>
        <w:t>private sector</w:t>
      </w:r>
      <w:r w:rsidRPr="63018341" w:rsidR="0FA60E12">
        <w:rPr>
          <w:rFonts w:eastAsia="Arial" w:cs="Arial"/>
          <w:sz w:val="22"/>
          <w:szCs w:val="22"/>
        </w:rPr>
        <w:t xml:space="preserve"> strategy, advancing low-carbon cattle production and inclusive candelilla wax value chains</w:t>
      </w:r>
      <w:r w:rsidRPr="63018341" w:rsidR="6D0FAA2A">
        <w:rPr>
          <w:rFonts w:eastAsia="Arial" w:cs="Arial"/>
          <w:sz w:val="22"/>
          <w:szCs w:val="22"/>
        </w:rPr>
        <w:t xml:space="preserve">, </w:t>
      </w:r>
      <w:r w:rsidRPr="63018341" w:rsidR="6D0FAA2A">
        <w:rPr>
          <w:rFonts w:eastAsia="Arial" w:cs="Arial"/>
          <w:sz w:val="22"/>
          <w:szCs w:val="22"/>
        </w:rPr>
        <w:t>leveraging</w:t>
      </w:r>
      <w:r w:rsidRPr="63018341" w:rsidR="6D0FAA2A">
        <w:rPr>
          <w:rFonts w:eastAsia="Arial" w:cs="Arial"/>
          <w:sz w:val="22"/>
          <w:szCs w:val="22"/>
        </w:rPr>
        <w:t xml:space="preserve"> co-financing from CONAFOR</w:t>
      </w:r>
      <w:r w:rsidRPr="63018341" w:rsidR="42CD6F49">
        <w:rPr>
          <w:rFonts w:eastAsia="Arial" w:cs="Arial"/>
          <w:sz w:val="22"/>
          <w:szCs w:val="22"/>
        </w:rPr>
        <w:t xml:space="preserve"> (Comisión Nacional Forestal)</w:t>
      </w:r>
      <w:r w:rsidRPr="63018341" w:rsidR="0FA60E12">
        <w:rPr>
          <w:rFonts w:eastAsia="Arial" w:cs="Arial"/>
          <w:sz w:val="22"/>
          <w:szCs w:val="22"/>
        </w:rPr>
        <w:t>.</w:t>
      </w:r>
      <w:r w:rsidRPr="63018341" w:rsidR="00CE5295">
        <w:rPr>
          <w:rFonts w:eastAsia="Arial" w:cs="Arial"/>
          <w:sz w:val="22"/>
          <w:szCs w:val="22"/>
        </w:rPr>
        <w:t xml:space="preserve"> This was approved just after the FY25 reporting period (July 2025).</w:t>
      </w:r>
      <w:r w:rsidRPr="63018341" w:rsidR="0FA60E12">
        <w:rPr>
          <w:rFonts w:eastAsia="Arial" w:cs="Arial"/>
          <w:sz w:val="22"/>
          <w:szCs w:val="22"/>
        </w:rPr>
        <w:t xml:space="preserve"> </w:t>
      </w:r>
    </w:p>
    <w:p w:rsidR="7F2557CC" w:rsidP="7F2557CC" w:rsidRDefault="5B9D5A50" w14:paraId="35784300" w14:textId="513B6D87">
      <w:pPr>
        <w:jc w:val="both"/>
        <w:rPr>
          <w:rFonts w:eastAsia="Arial" w:cs="Arial"/>
          <w:color w:val="000000" w:themeColor="text1"/>
          <w:sz w:val="22"/>
          <w:szCs w:val="22"/>
        </w:rPr>
      </w:pPr>
      <w:r w:rsidRPr="63018341" w:rsidR="5B9D5A50">
        <w:rPr>
          <w:rFonts w:eastAsia="Arial" w:cs="Arial"/>
          <w:color w:val="000000" w:themeColor="text1" w:themeTint="FF" w:themeShade="FF"/>
          <w:sz w:val="22"/>
          <w:szCs w:val="22"/>
        </w:rPr>
        <w:t xml:space="preserve">Despite the successes described above, the programme has continued to face challenges and delays over the past year. </w:t>
      </w:r>
      <w:r w:rsidRPr="63018341" w:rsidR="119DD06D">
        <w:rPr>
          <w:rFonts w:eastAsia="Arial" w:cs="Arial"/>
          <w:color w:val="000000" w:themeColor="text1" w:themeTint="FF" w:themeShade="FF"/>
          <w:sz w:val="22"/>
          <w:szCs w:val="22"/>
        </w:rPr>
        <w:t>No ERPAs were signed in FY25, with the last ERPA signing taking place in FY2</w:t>
      </w:r>
      <w:r w:rsidRPr="63018341" w:rsidR="004F070C">
        <w:rPr>
          <w:rFonts w:eastAsia="Arial" w:cs="Arial"/>
          <w:color w:val="000000" w:themeColor="text1" w:themeTint="FF" w:themeShade="FF"/>
          <w:sz w:val="22"/>
          <w:szCs w:val="22"/>
        </w:rPr>
        <w:t>4</w:t>
      </w:r>
      <w:r w:rsidRPr="63018341" w:rsidR="119DD06D">
        <w:rPr>
          <w:rFonts w:eastAsia="Arial" w:cs="Arial"/>
          <w:color w:val="000000" w:themeColor="text1" w:themeTint="FF" w:themeShade="FF"/>
          <w:sz w:val="22"/>
          <w:szCs w:val="22"/>
        </w:rPr>
        <w:t xml:space="preserve">. </w:t>
      </w:r>
      <w:r w:rsidRPr="63018341" w:rsidR="39DE15B8">
        <w:rPr>
          <w:rFonts w:eastAsia="Arial" w:cs="Arial"/>
          <w:color w:val="000000" w:themeColor="text1" w:themeTint="FF" w:themeShade="FF"/>
          <w:sz w:val="22"/>
          <w:szCs w:val="22"/>
        </w:rPr>
        <w:t>Delays in ERPA signatures across Indonesia, Colombia, and Mexico were driven by a mix of political, institutional, and stakeholder-related challenges</w:t>
      </w:r>
      <w:r w:rsidRPr="63018341" w:rsidR="6485FDCB">
        <w:rPr>
          <w:rFonts w:eastAsia="Arial" w:cs="Arial"/>
          <w:color w:val="000000" w:themeColor="text1" w:themeTint="FF" w:themeShade="FF"/>
          <w:sz w:val="22"/>
          <w:szCs w:val="22"/>
        </w:rPr>
        <w:t>, as well as lengthy audit report processes</w:t>
      </w:r>
      <w:r w:rsidRPr="63018341" w:rsidR="39DE15B8">
        <w:rPr>
          <w:rFonts w:eastAsia="Arial" w:cs="Arial"/>
          <w:color w:val="000000" w:themeColor="text1" w:themeTint="FF" w:themeShade="FF"/>
          <w:sz w:val="22"/>
          <w:szCs w:val="22"/>
        </w:rPr>
        <w:t>.</w:t>
      </w:r>
      <w:r w:rsidRPr="63018341" w:rsidR="5014D2BA">
        <w:rPr>
          <w:rFonts w:eastAsia="Arial" w:cs="Arial"/>
          <w:color w:val="000000" w:themeColor="text1" w:themeTint="FF" w:themeShade="FF"/>
          <w:sz w:val="22"/>
          <w:szCs w:val="22"/>
        </w:rPr>
        <w:t xml:space="preserve"> </w:t>
      </w:r>
      <w:r w:rsidRPr="63018341" w:rsidR="200BA663">
        <w:rPr>
          <w:rFonts w:eastAsia="Arial" w:cs="Arial"/>
          <w:color w:val="000000" w:themeColor="text1" w:themeTint="FF" w:themeShade="FF"/>
          <w:sz w:val="22"/>
          <w:szCs w:val="22"/>
        </w:rPr>
        <w:t xml:space="preserve">In Indonesia, despite final ERPA terms being agreed in FY24, negotiations have stalled since due to a grievance </w:t>
      </w:r>
      <w:r w:rsidRPr="63018341" w:rsidR="200BA663">
        <w:rPr>
          <w:rFonts w:eastAsia="Arial" w:cs="Arial"/>
          <w:color w:val="000000" w:themeColor="text1" w:themeTint="FF" w:themeShade="FF"/>
          <w:sz w:val="22"/>
          <w:szCs w:val="22"/>
        </w:rPr>
        <w:t>submitted</w:t>
      </w:r>
      <w:r w:rsidRPr="63018341" w:rsidR="200BA663">
        <w:rPr>
          <w:rFonts w:eastAsia="Arial" w:cs="Arial"/>
          <w:color w:val="000000" w:themeColor="text1" w:themeTint="FF" w:themeShade="FF"/>
          <w:sz w:val="22"/>
          <w:szCs w:val="22"/>
        </w:rPr>
        <w:t xml:space="preserve"> to the FCPF in East Kalimantan. In Colombia, progress has been d</w:t>
      </w:r>
      <w:r w:rsidRPr="63018341" w:rsidR="7E003645">
        <w:rPr>
          <w:rFonts w:eastAsia="Arial" w:cs="Arial"/>
          <w:color w:val="000000" w:themeColor="text1" w:themeTint="FF" w:themeShade="FF"/>
          <w:sz w:val="22"/>
          <w:szCs w:val="22"/>
        </w:rPr>
        <w:t xml:space="preserve">isrupted due to ministerial changes, whilst in Mexico, </w:t>
      </w:r>
      <w:r w:rsidRPr="63018341" w:rsidR="7E003645">
        <w:rPr>
          <w:rFonts w:eastAsia="Arial" w:cs="Arial"/>
          <w:color w:val="000000" w:themeColor="text1" w:themeTint="FF" w:themeShade="FF"/>
          <w:sz w:val="22"/>
          <w:szCs w:val="22"/>
        </w:rPr>
        <w:t>previous</w:t>
      </w:r>
      <w:r w:rsidRPr="63018341" w:rsidR="7E003645">
        <w:rPr>
          <w:rFonts w:eastAsia="Arial" w:cs="Arial"/>
          <w:color w:val="000000" w:themeColor="text1" w:themeTint="FF" w:themeShade="FF"/>
          <w:sz w:val="22"/>
          <w:szCs w:val="22"/>
        </w:rPr>
        <w:t xml:space="preserve"> government resistant to REDD+ and withdrawal from the FCPF over pricing concerns had stalled progress, but a change in administration has </w:t>
      </w:r>
      <w:r w:rsidRPr="63018341" w:rsidR="32D63D38">
        <w:rPr>
          <w:rFonts w:eastAsia="Arial" w:cs="Arial"/>
          <w:color w:val="000000" w:themeColor="text1" w:themeTint="FF" w:themeShade="FF"/>
          <w:sz w:val="22"/>
          <w:szCs w:val="22"/>
        </w:rPr>
        <w:t xml:space="preserve">revitalised </w:t>
      </w:r>
      <w:r w:rsidRPr="63018341" w:rsidR="7E003645">
        <w:rPr>
          <w:rFonts w:eastAsia="Arial" w:cs="Arial"/>
          <w:color w:val="000000" w:themeColor="text1" w:themeTint="FF" w:themeShade="FF"/>
          <w:sz w:val="22"/>
          <w:szCs w:val="22"/>
        </w:rPr>
        <w:t>efforts.</w:t>
      </w:r>
    </w:p>
    <w:p w:rsidR="00392A75" w:rsidP="2888E6ED" w:rsidRDefault="00392A75" w14:paraId="44BBADAD" w14:textId="740497C8">
      <w:pPr>
        <w:pStyle w:val="Heading2"/>
        <w:spacing w:before="0"/>
        <w:jc w:val="both"/>
        <w:rPr>
          <w:rFonts w:eastAsia="Arial" w:cs="Arial"/>
          <w:b w:val="0"/>
          <w:i w:val="0"/>
          <w:color w:val="000000" w:themeColor="text1"/>
          <w:sz w:val="22"/>
          <w:szCs w:val="22"/>
        </w:rPr>
      </w:pPr>
    </w:p>
    <w:p w:rsidRPr="00D80C6C" w:rsidR="003D222C" w:rsidP="376EB76A" w:rsidRDefault="003D222C" w14:paraId="18A47DD3" w14:textId="7C73B898">
      <w:pPr>
        <w:pStyle w:val="Heading2"/>
        <w:spacing w:before="0"/>
        <w:jc w:val="both"/>
        <w:rPr>
          <w:rFonts w:eastAsia="Arial" w:cs="Arial"/>
          <w:b w:val="0"/>
          <w:bCs w:val="0"/>
          <w:i w:val="0"/>
          <w:iCs w:val="0"/>
          <w:color w:val="000000" w:themeColor="text1"/>
          <w:sz w:val="22"/>
          <w:szCs w:val="22"/>
        </w:rPr>
      </w:pPr>
      <w:bookmarkStart w:name="_Toc496809562" w:id="698912759"/>
      <w:r w:rsidR="35EEEB8C">
        <w:rPr/>
        <w:t>Progress against recommendations from the last review</w:t>
      </w:r>
      <w:bookmarkEnd w:id="698912759"/>
    </w:p>
    <w:p w:rsidRPr="00D80C6C" w:rsidR="003D222C" w:rsidP="004D5FD5" w:rsidRDefault="003D222C" w14:paraId="49A291B7" w14:textId="13A47A78">
      <w:pPr>
        <w:jc w:val="both"/>
        <w:rPr>
          <w:rFonts w:cs="Arial"/>
          <w:b/>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1"/>
        <w:gridCol w:w="4795"/>
      </w:tblGrid>
      <w:tr w:rsidRPr="00D80C6C" w:rsidR="003D222C" w:rsidTr="63018341" w14:paraId="70C21392" w14:textId="77777777">
        <w:tc>
          <w:tcPr>
            <w:tcW w:w="4221" w:type="dxa"/>
            <w:shd w:val="clear" w:color="auto" w:fill="DEEAF6" w:themeFill="accent5" w:themeFillTint="33"/>
            <w:tcMar/>
          </w:tcPr>
          <w:p w:rsidRPr="00D80C6C" w:rsidR="003D222C" w:rsidP="004D5FD5" w:rsidRDefault="003D222C" w14:paraId="53D8F37C" w14:textId="77777777">
            <w:pPr>
              <w:jc w:val="both"/>
              <w:rPr>
                <w:rFonts w:cs="Arial"/>
                <w:b/>
                <w:sz w:val="22"/>
                <w:szCs w:val="22"/>
              </w:rPr>
            </w:pPr>
            <w:r w:rsidRPr="00D80C6C">
              <w:rPr>
                <w:rFonts w:cs="Arial"/>
                <w:b/>
                <w:sz w:val="22"/>
                <w:szCs w:val="22"/>
              </w:rPr>
              <w:t>Recommendation</w:t>
            </w:r>
          </w:p>
        </w:tc>
        <w:tc>
          <w:tcPr>
            <w:tcW w:w="4795" w:type="dxa"/>
            <w:shd w:val="clear" w:color="auto" w:fill="DEEAF6" w:themeFill="accent5" w:themeFillTint="33"/>
            <w:tcMar/>
          </w:tcPr>
          <w:p w:rsidRPr="00D80C6C" w:rsidR="003D222C" w:rsidP="004D5FD5" w:rsidRDefault="003D222C" w14:paraId="4501CA7E" w14:textId="77777777">
            <w:pPr>
              <w:jc w:val="both"/>
              <w:rPr>
                <w:rFonts w:cs="Arial"/>
                <w:b/>
                <w:sz w:val="22"/>
                <w:szCs w:val="22"/>
              </w:rPr>
            </w:pPr>
            <w:r w:rsidRPr="00D80C6C">
              <w:rPr>
                <w:rFonts w:cs="Arial"/>
                <w:b/>
                <w:sz w:val="22"/>
                <w:szCs w:val="22"/>
              </w:rPr>
              <w:t>Progress</w:t>
            </w:r>
          </w:p>
        </w:tc>
      </w:tr>
      <w:tr w:rsidRPr="00D80C6C" w:rsidR="00172291" w:rsidTr="63018341" w14:paraId="3B8F7C7F" w14:textId="77777777">
        <w:trPr>
          <w:trHeight w:val="6375"/>
        </w:trPr>
        <w:tc>
          <w:tcPr>
            <w:tcW w:w="4221" w:type="dxa"/>
            <w:tcMar/>
          </w:tcPr>
          <w:p w:rsidRPr="00F03F55" w:rsidR="00172291" w:rsidP="00172291" w:rsidRDefault="00172291" w14:paraId="669DAF91" w14:textId="7940A5FE">
            <w:pPr>
              <w:pStyle w:val="NoSpacing"/>
              <w:rPr>
                <w:rFonts w:ascii="Arial" w:hAnsi="Arial" w:eastAsia="Arial" w:cs="Arial"/>
                <w:color w:val="000000" w:themeColor="text1"/>
                <w:sz w:val="22"/>
                <w:szCs w:val="22"/>
              </w:rPr>
            </w:pPr>
            <w:r w:rsidRPr="00F03F55">
              <w:rPr>
                <w:rFonts w:ascii="Arial" w:hAnsi="Arial" w:eastAsia="Arial" w:cs="Arial"/>
                <w:b/>
                <w:bCs/>
                <w:color w:val="000000" w:themeColor="text1"/>
                <w:sz w:val="22"/>
                <w:szCs w:val="22"/>
              </w:rPr>
              <w:t xml:space="preserve">Recommendation [1]: </w:t>
            </w:r>
            <w:r w:rsidRPr="00F03F55">
              <w:rPr>
                <w:rFonts w:ascii="Arial" w:hAnsi="Arial" w:eastAsia="Arial" w:cs="Arial"/>
                <w:color w:val="000000" w:themeColor="text1"/>
                <w:sz w:val="22"/>
                <w:szCs w:val="22"/>
              </w:rPr>
              <w:t>DESNZ to revise its logframe to reflect changes made to the World Bank’s logframe in FY23 and FY24, specifically:</w:t>
            </w:r>
          </w:p>
          <w:p w:rsidRPr="00327995" w:rsidR="00172291" w:rsidP="00756B4F" w:rsidRDefault="00172291" w14:paraId="033879D3" w14:textId="1B459153">
            <w:pPr>
              <w:pStyle w:val="ListParagraph"/>
              <w:numPr>
                <w:ilvl w:val="0"/>
                <w:numId w:val="30"/>
              </w:numPr>
              <w:rPr>
                <w:rFonts w:eastAsia="Arial" w:cs="Arial"/>
                <w:color w:val="000000" w:themeColor="text1"/>
                <w:sz w:val="22"/>
                <w:szCs w:val="22"/>
                <w:vertAlign w:val="superscript"/>
              </w:rPr>
            </w:pPr>
            <w:r w:rsidRPr="00327995">
              <w:rPr>
                <w:rFonts w:eastAsia="Arial" w:cs="Arial"/>
                <w:color w:val="000000" w:themeColor="text1"/>
                <w:sz w:val="22"/>
                <w:szCs w:val="22"/>
              </w:rPr>
              <w:t>Increase end-of-programme target for Outcome Indicator 1.1 and add interim milestones.</w:t>
            </w:r>
            <w:r w:rsidRPr="00F03F55">
              <w:rPr>
                <w:rStyle w:val="FootnoteReference"/>
                <w:rFonts w:eastAsia="Arial" w:cs="Arial"/>
                <w:color w:val="000000" w:themeColor="text1"/>
                <w:sz w:val="22"/>
                <w:szCs w:val="22"/>
              </w:rPr>
              <w:footnoteReference w:id="4"/>
            </w:r>
          </w:p>
          <w:p w:rsidRPr="00F76AD6" w:rsidR="00172291" w:rsidP="00756B4F" w:rsidRDefault="00172291" w14:paraId="067A7290" w14:textId="41D8D7C5">
            <w:pPr>
              <w:pStyle w:val="ListParagraph"/>
              <w:numPr>
                <w:ilvl w:val="0"/>
                <w:numId w:val="30"/>
              </w:numPr>
              <w:rPr>
                <w:rFonts w:eastAsia="Arial" w:cs="Arial"/>
                <w:color w:val="000000" w:themeColor="text1"/>
                <w:sz w:val="22"/>
                <w:szCs w:val="22"/>
                <w:vertAlign w:val="superscript"/>
              </w:rPr>
            </w:pPr>
            <w:r w:rsidRPr="00F03F55">
              <w:rPr>
                <w:rFonts w:eastAsia="Arial" w:cs="Arial"/>
                <w:color w:val="000000" w:themeColor="text1"/>
                <w:sz w:val="22"/>
                <w:szCs w:val="22"/>
              </w:rPr>
              <w:t>Add an end-of-programme target for Outcome Indicator 1.3 and consider adding interim milestones.</w:t>
            </w:r>
            <w:r w:rsidRPr="00F03F55">
              <w:rPr>
                <w:rStyle w:val="FootnoteReference"/>
                <w:rFonts w:eastAsia="Arial" w:cs="Arial"/>
                <w:color w:val="000000" w:themeColor="text1"/>
                <w:sz w:val="22"/>
                <w:szCs w:val="22"/>
              </w:rPr>
              <w:footnoteReference w:id="5"/>
            </w:r>
          </w:p>
          <w:p w:rsidRPr="00F76AD6" w:rsidR="00172291" w:rsidP="00756B4F" w:rsidRDefault="00172291" w14:paraId="6D12EE2D" w14:textId="13724378">
            <w:pPr>
              <w:pStyle w:val="ListParagraph"/>
              <w:numPr>
                <w:ilvl w:val="0"/>
                <w:numId w:val="30"/>
              </w:numPr>
              <w:rPr>
                <w:rFonts w:eastAsia="Arial" w:cs="Arial"/>
                <w:color w:val="000000" w:themeColor="text1"/>
                <w:sz w:val="22"/>
                <w:szCs w:val="22"/>
                <w:vertAlign w:val="superscript"/>
              </w:rPr>
            </w:pPr>
            <w:r w:rsidRPr="00F76AD6">
              <w:rPr>
                <w:rFonts w:eastAsia="Arial" w:cs="Arial"/>
                <w:color w:val="000000" w:themeColor="text1"/>
                <w:sz w:val="22"/>
                <w:szCs w:val="22"/>
              </w:rPr>
              <w:t>Decrease end-of-programme target for Output Indicator 2.1 and revise interim milestones accordingly.</w:t>
            </w:r>
            <w:r w:rsidRPr="00F03F55">
              <w:rPr>
                <w:rStyle w:val="FootnoteReference"/>
                <w:rFonts w:eastAsia="Arial" w:cs="Arial"/>
                <w:color w:val="000000" w:themeColor="text1"/>
                <w:sz w:val="22"/>
                <w:szCs w:val="22"/>
              </w:rPr>
              <w:footnoteReference w:id="6"/>
            </w:r>
          </w:p>
          <w:p w:rsidRPr="00DA0E82" w:rsidR="00DA0E82" w:rsidP="00756B4F" w:rsidRDefault="00172291" w14:paraId="751CBED0" w14:textId="0B9841CA">
            <w:pPr>
              <w:pStyle w:val="ListParagraph"/>
              <w:numPr>
                <w:ilvl w:val="0"/>
                <w:numId w:val="30"/>
              </w:numPr>
              <w:rPr>
                <w:rFonts w:eastAsia="Arial" w:cs="Arial"/>
                <w:color w:val="000000" w:themeColor="text1"/>
                <w:sz w:val="22"/>
                <w:szCs w:val="22"/>
                <w:vertAlign w:val="superscript"/>
              </w:rPr>
            </w:pPr>
            <w:r w:rsidRPr="00F76AD6">
              <w:rPr>
                <w:rFonts w:eastAsia="Arial" w:cs="Arial"/>
                <w:color w:val="000000" w:themeColor="text1"/>
                <w:sz w:val="22"/>
                <w:szCs w:val="22"/>
              </w:rPr>
              <w:t>Add an end-of-programme target and interim milestones for Output Indicator 2.3 for countries reporting on this indicator (currently Ethiopia and Zambia). Interim milestones should be based on the expected delivery of results-based payments.</w:t>
            </w:r>
          </w:p>
          <w:p w:rsidRPr="00DA0E82" w:rsidR="00172291" w:rsidP="00756B4F" w:rsidRDefault="00172291" w14:paraId="036B0DF1" w14:textId="6D9D0835">
            <w:pPr>
              <w:pStyle w:val="ListParagraph"/>
              <w:numPr>
                <w:ilvl w:val="0"/>
                <w:numId w:val="30"/>
              </w:numPr>
              <w:rPr>
                <w:rFonts w:eastAsia="Arial" w:cs="Arial"/>
                <w:color w:val="000000" w:themeColor="text1"/>
                <w:sz w:val="22"/>
                <w:szCs w:val="22"/>
                <w:vertAlign w:val="superscript"/>
              </w:rPr>
            </w:pPr>
            <w:r w:rsidRPr="00DA0E82">
              <w:rPr>
                <w:rFonts w:eastAsia="Arial" w:cs="Arial"/>
                <w:color w:val="000000" w:themeColor="text1"/>
                <w:sz w:val="22"/>
                <w:szCs w:val="22"/>
              </w:rPr>
              <w:t>Increase end-of-programme target for Output Indicator 3.1 and revise interim milestones accordingly.</w:t>
            </w:r>
            <w:r w:rsidRPr="00F03F55">
              <w:rPr>
                <w:rStyle w:val="FootnoteReference"/>
                <w:rFonts w:eastAsia="Arial" w:cs="Arial"/>
                <w:color w:val="000000" w:themeColor="text1"/>
                <w:sz w:val="22"/>
                <w:szCs w:val="22"/>
              </w:rPr>
              <w:footnoteReference w:id="7"/>
            </w:r>
          </w:p>
        </w:tc>
        <w:tc>
          <w:tcPr>
            <w:tcW w:w="4795" w:type="dxa"/>
            <w:tcMar/>
          </w:tcPr>
          <w:p w:rsidRPr="00F03F55" w:rsidR="00172291" w:rsidP="00172291" w:rsidRDefault="00172291" w14:paraId="7B913ADF" w14:textId="14EA4D28">
            <w:pPr>
              <w:rPr>
                <w:rFonts w:cs="Arial"/>
                <w:b/>
                <w:bCs/>
                <w:i/>
                <w:iCs/>
                <w:sz w:val="22"/>
                <w:szCs w:val="22"/>
              </w:rPr>
            </w:pPr>
            <w:r w:rsidRPr="00F03F55">
              <w:rPr>
                <w:rFonts w:cs="Arial"/>
                <w:b/>
                <w:bCs/>
                <w:i/>
                <w:iCs/>
                <w:sz w:val="22"/>
                <w:szCs w:val="22"/>
              </w:rPr>
              <w:t>Achieved</w:t>
            </w:r>
          </w:p>
          <w:p w:rsidRPr="00F03F55" w:rsidR="00172291" w:rsidP="00172291" w:rsidRDefault="00172291" w14:paraId="558F8C25" w14:textId="2888B6EC">
            <w:pPr>
              <w:rPr>
                <w:rFonts w:cs="Arial"/>
                <w:i/>
                <w:iCs/>
                <w:sz w:val="22"/>
                <w:szCs w:val="22"/>
              </w:rPr>
            </w:pPr>
          </w:p>
          <w:p w:rsidRPr="00327995" w:rsidR="00172291" w:rsidP="00756B4F" w:rsidRDefault="00172291" w14:paraId="61180E62" w14:textId="45E27F0B">
            <w:pPr>
              <w:pStyle w:val="ListParagraph"/>
              <w:numPr>
                <w:ilvl w:val="0"/>
                <w:numId w:val="6"/>
              </w:numPr>
              <w:spacing w:after="0"/>
              <w:rPr>
                <w:rFonts w:cs="Arial"/>
                <w:sz w:val="22"/>
                <w:szCs w:val="22"/>
              </w:rPr>
            </w:pPr>
            <w:r>
              <w:rPr>
                <w:rFonts w:cs="Arial"/>
                <w:b/>
                <w:bCs/>
                <w:sz w:val="22"/>
                <w:szCs w:val="22"/>
              </w:rPr>
              <w:t xml:space="preserve">Outcome Indicator 1.1: </w:t>
            </w:r>
            <w:r>
              <w:rPr>
                <w:rFonts w:cs="Arial"/>
                <w:sz w:val="22"/>
                <w:szCs w:val="22"/>
              </w:rPr>
              <w:t>t</w:t>
            </w:r>
            <w:r w:rsidRPr="00F03F55">
              <w:rPr>
                <w:rFonts w:cs="Arial"/>
                <w:sz w:val="22"/>
                <w:szCs w:val="22"/>
              </w:rPr>
              <w:t xml:space="preserve">he EOP target for </w:t>
            </w:r>
            <w:r w:rsidR="00305058">
              <w:rPr>
                <w:rFonts w:cs="Arial"/>
                <w:sz w:val="22"/>
                <w:szCs w:val="22"/>
              </w:rPr>
              <w:t>O</w:t>
            </w:r>
            <w:r w:rsidRPr="00F03F55">
              <w:rPr>
                <w:rFonts w:cs="Arial"/>
                <w:sz w:val="22"/>
                <w:szCs w:val="22"/>
              </w:rPr>
              <w:t xml:space="preserve">utcome </w:t>
            </w:r>
            <w:r w:rsidR="00305058">
              <w:rPr>
                <w:rFonts w:cs="Arial"/>
                <w:sz w:val="22"/>
                <w:szCs w:val="22"/>
              </w:rPr>
              <w:t>I</w:t>
            </w:r>
            <w:r w:rsidRPr="00F03F55">
              <w:rPr>
                <w:rFonts w:cs="Arial"/>
                <w:sz w:val="22"/>
                <w:szCs w:val="22"/>
              </w:rPr>
              <w:t>ndicator 1.1 was increased to match the WB target. DESNZ calculated interim milestones using emission reductions estimates outlined in the ERPDs.</w:t>
            </w:r>
          </w:p>
          <w:p w:rsidRPr="00F03F55" w:rsidR="00172291" w:rsidP="00756B4F" w:rsidRDefault="00172291" w14:paraId="72ECBDC9" w14:textId="14709846">
            <w:pPr>
              <w:pStyle w:val="ListParagraph"/>
              <w:numPr>
                <w:ilvl w:val="0"/>
                <w:numId w:val="6"/>
              </w:numPr>
              <w:spacing w:after="0"/>
              <w:rPr>
                <w:rFonts w:cs="Arial"/>
                <w:sz w:val="22"/>
                <w:szCs w:val="22"/>
              </w:rPr>
            </w:pPr>
            <w:r>
              <w:rPr>
                <w:rFonts w:cs="Arial"/>
                <w:b/>
                <w:bCs/>
                <w:sz w:val="22"/>
                <w:szCs w:val="22"/>
              </w:rPr>
              <w:t xml:space="preserve">Outcome Indicator 1.3: </w:t>
            </w:r>
            <w:r w:rsidRPr="00F03F55">
              <w:rPr>
                <w:rFonts w:cs="Arial"/>
                <w:sz w:val="22"/>
                <w:szCs w:val="22"/>
              </w:rPr>
              <w:t xml:space="preserve">The WB EOP target for </w:t>
            </w:r>
            <w:r w:rsidR="00305058">
              <w:rPr>
                <w:rFonts w:cs="Arial"/>
                <w:sz w:val="22"/>
                <w:szCs w:val="22"/>
              </w:rPr>
              <w:t>O</w:t>
            </w:r>
            <w:r w:rsidRPr="00F03F55">
              <w:rPr>
                <w:rFonts w:cs="Arial"/>
                <w:sz w:val="22"/>
                <w:szCs w:val="22"/>
              </w:rPr>
              <w:t xml:space="preserve">utcome </w:t>
            </w:r>
            <w:r w:rsidR="00305058">
              <w:rPr>
                <w:rFonts w:cs="Arial"/>
                <w:sz w:val="22"/>
                <w:szCs w:val="22"/>
              </w:rPr>
              <w:t>I</w:t>
            </w:r>
            <w:r w:rsidRPr="00F03F55">
              <w:rPr>
                <w:rFonts w:cs="Arial"/>
                <w:sz w:val="22"/>
                <w:szCs w:val="22"/>
              </w:rPr>
              <w:t>ndicator 1.3 was added to the DESNZ logframe. DESNZ has set interim milestones for countries with signed ERPAs (Zambia and Ethiopia).</w:t>
            </w:r>
          </w:p>
          <w:p w:rsidRPr="00F03F55" w:rsidR="00172291" w:rsidP="00756B4F" w:rsidRDefault="00172291" w14:paraId="7F39AF58" w14:textId="774A0D12">
            <w:pPr>
              <w:pStyle w:val="ListParagraph"/>
              <w:numPr>
                <w:ilvl w:val="0"/>
                <w:numId w:val="6"/>
              </w:numPr>
              <w:spacing w:after="0"/>
              <w:rPr>
                <w:rFonts w:cs="Arial"/>
                <w:sz w:val="22"/>
                <w:szCs w:val="22"/>
              </w:rPr>
            </w:pPr>
            <w:r>
              <w:rPr>
                <w:rFonts w:cs="Arial"/>
                <w:b/>
                <w:bCs/>
                <w:sz w:val="22"/>
                <w:szCs w:val="22"/>
              </w:rPr>
              <w:t xml:space="preserve">Output Indicator 2.1: </w:t>
            </w:r>
            <w:r>
              <w:rPr>
                <w:rFonts w:cs="Arial"/>
                <w:sz w:val="22"/>
                <w:szCs w:val="22"/>
              </w:rPr>
              <w:t>i</w:t>
            </w:r>
            <w:r w:rsidRPr="00F03F55">
              <w:rPr>
                <w:rFonts w:cs="Arial"/>
                <w:sz w:val="22"/>
                <w:szCs w:val="22"/>
              </w:rPr>
              <w:t xml:space="preserve">t was decided not to decrease the EOP target and interim milestones for </w:t>
            </w:r>
            <w:r w:rsidR="00305058">
              <w:rPr>
                <w:rFonts w:cs="Arial"/>
                <w:sz w:val="22"/>
                <w:szCs w:val="22"/>
              </w:rPr>
              <w:t>O</w:t>
            </w:r>
            <w:r w:rsidRPr="00F03F55">
              <w:rPr>
                <w:rFonts w:cs="Arial"/>
                <w:sz w:val="22"/>
                <w:szCs w:val="22"/>
              </w:rPr>
              <w:t xml:space="preserve">utput </w:t>
            </w:r>
            <w:r w:rsidR="00305058">
              <w:rPr>
                <w:rFonts w:cs="Arial"/>
                <w:sz w:val="22"/>
                <w:szCs w:val="22"/>
              </w:rPr>
              <w:t>I</w:t>
            </w:r>
            <w:r w:rsidRPr="00F03F55">
              <w:rPr>
                <w:rFonts w:cs="Arial"/>
                <w:sz w:val="22"/>
                <w:szCs w:val="22"/>
              </w:rPr>
              <w:t>ndicator 2.1, as the EOP target has already been achieved.</w:t>
            </w:r>
          </w:p>
          <w:p w:rsidRPr="00F03F55" w:rsidR="00172291" w:rsidP="00756B4F" w:rsidRDefault="00172291" w14:paraId="6308AF63" w14:textId="1A1A4DD5">
            <w:pPr>
              <w:pStyle w:val="ListParagraph"/>
              <w:numPr>
                <w:ilvl w:val="0"/>
                <w:numId w:val="6"/>
              </w:numPr>
              <w:spacing w:after="0"/>
              <w:rPr>
                <w:rFonts w:cs="Arial"/>
                <w:sz w:val="22"/>
                <w:szCs w:val="22"/>
              </w:rPr>
            </w:pPr>
            <w:r>
              <w:rPr>
                <w:rFonts w:cs="Arial"/>
                <w:b/>
                <w:bCs/>
                <w:sz w:val="22"/>
                <w:szCs w:val="22"/>
              </w:rPr>
              <w:t xml:space="preserve">Output Indicator 2.3: </w:t>
            </w:r>
            <w:r>
              <w:rPr>
                <w:rFonts w:cs="Arial"/>
                <w:sz w:val="22"/>
                <w:szCs w:val="22"/>
              </w:rPr>
              <w:t>t</w:t>
            </w:r>
            <w:r w:rsidRPr="00F03F55">
              <w:rPr>
                <w:rFonts w:cs="Arial"/>
                <w:sz w:val="22"/>
                <w:szCs w:val="22"/>
              </w:rPr>
              <w:t xml:space="preserve">he WB EOP target for </w:t>
            </w:r>
            <w:r w:rsidR="00305058">
              <w:rPr>
                <w:rFonts w:cs="Arial"/>
                <w:sz w:val="22"/>
                <w:szCs w:val="22"/>
              </w:rPr>
              <w:t>O</w:t>
            </w:r>
            <w:r w:rsidRPr="00F03F55">
              <w:rPr>
                <w:rFonts w:cs="Arial"/>
                <w:sz w:val="22"/>
                <w:szCs w:val="22"/>
              </w:rPr>
              <w:t xml:space="preserve">utput </w:t>
            </w:r>
            <w:r w:rsidR="00305058">
              <w:rPr>
                <w:rFonts w:cs="Arial"/>
                <w:sz w:val="22"/>
                <w:szCs w:val="22"/>
              </w:rPr>
              <w:t>I</w:t>
            </w:r>
            <w:r w:rsidRPr="00F03F55">
              <w:rPr>
                <w:rFonts w:cs="Arial"/>
                <w:sz w:val="22"/>
                <w:szCs w:val="22"/>
              </w:rPr>
              <w:t>ndicator 2.3 was added to the DESNZ logframe. DESNZ set interim milestones.</w:t>
            </w:r>
          </w:p>
          <w:p w:rsidRPr="00D6126B" w:rsidR="00172291" w:rsidP="00756B4F" w:rsidRDefault="00172291" w14:paraId="1E6248CC" w14:textId="2C237D47">
            <w:pPr>
              <w:pStyle w:val="ListParagraph"/>
              <w:numPr>
                <w:ilvl w:val="0"/>
                <w:numId w:val="6"/>
              </w:numPr>
              <w:spacing w:after="0"/>
              <w:jc w:val="both"/>
              <w:rPr>
                <w:rFonts w:cs="Arial"/>
                <w:sz w:val="22"/>
                <w:szCs w:val="22"/>
              </w:rPr>
            </w:pPr>
            <w:r>
              <w:rPr>
                <w:rFonts w:cs="Arial"/>
                <w:b/>
                <w:bCs/>
                <w:sz w:val="22"/>
                <w:szCs w:val="22"/>
              </w:rPr>
              <w:t xml:space="preserve">Output Indicator 3.1: </w:t>
            </w:r>
            <w:r>
              <w:rPr>
                <w:rFonts w:cs="Arial"/>
                <w:sz w:val="22"/>
                <w:szCs w:val="22"/>
              </w:rPr>
              <w:t>t</w:t>
            </w:r>
            <w:r w:rsidRPr="00F03F55">
              <w:rPr>
                <w:rFonts w:cs="Arial"/>
                <w:sz w:val="22"/>
                <w:szCs w:val="22"/>
              </w:rPr>
              <w:t xml:space="preserve">he EOP target for </w:t>
            </w:r>
            <w:r w:rsidR="00305058">
              <w:rPr>
                <w:rFonts w:cs="Arial"/>
                <w:sz w:val="22"/>
                <w:szCs w:val="22"/>
              </w:rPr>
              <w:t>O</w:t>
            </w:r>
            <w:r w:rsidRPr="00F03F55">
              <w:rPr>
                <w:rFonts w:cs="Arial"/>
                <w:sz w:val="22"/>
                <w:szCs w:val="22"/>
              </w:rPr>
              <w:t xml:space="preserve">utput </w:t>
            </w:r>
            <w:r w:rsidR="00305058">
              <w:rPr>
                <w:rFonts w:cs="Arial"/>
                <w:sz w:val="22"/>
                <w:szCs w:val="22"/>
              </w:rPr>
              <w:t>I</w:t>
            </w:r>
            <w:r w:rsidRPr="00F03F55">
              <w:rPr>
                <w:rFonts w:cs="Arial"/>
                <w:sz w:val="22"/>
                <w:szCs w:val="22"/>
              </w:rPr>
              <w:t>ndicator 3.1 was increased to match the WB target. DESNZ revised interim milestones.</w:t>
            </w:r>
          </w:p>
        </w:tc>
      </w:tr>
      <w:tr w:rsidRPr="00D80C6C" w:rsidR="0070742C" w:rsidTr="63018341" w14:paraId="2483F714" w14:textId="77777777">
        <w:tc>
          <w:tcPr>
            <w:tcW w:w="4221" w:type="dxa"/>
            <w:tcMar/>
          </w:tcPr>
          <w:p w:rsidRPr="00F03F55" w:rsidR="0070742C" w:rsidP="0070742C" w:rsidRDefault="0070742C" w14:paraId="321ACB4C" w14:textId="04CB6DDC">
            <w:pPr>
              <w:rPr>
                <w:rFonts w:eastAsia="Arial" w:cs="Arial"/>
                <w:color w:val="000000" w:themeColor="text1"/>
                <w:sz w:val="22"/>
                <w:szCs w:val="22"/>
              </w:rPr>
            </w:pPr>
            <w:r w:rsidRPr="00F03F55">
              <w:rPr>
                <w:rFonts w:eastAsia="Arial" w:cs="Arial"/>
                <w:b/>
                <w:bCs/>
                <w:color w:val="000000" w:themeColor="text1"/>
                <w:sz w:val="22"/>
                <w:szCs w:val="22"/>
              </w:rPr>
              <w:t xml:space="preserve">Recommendation [2]: </w:t>
            </w:r>
            <w:r w:rsidRPr="00F03F55">
              <w:rPr>
                <w:rFonts w:eastAsia="Arial" w:cs="Arial"/>
                <w:color w:val="000000" w:themeColor="text1"/>
                <w:sz w:val="22"/>
                <w:szCs w:val="22"/>
              </w:rPr>
              <w:t>DESNZ and World Bank</w:t>
            </w:r>
            <w:r w:rsidRPr="00F03F55">
              <w:rPr>
                <w:rFonts w:eastAsia="Arial" w:cs="Arial"/>
                <w:b/>
                <w:bCs/>
                <w:color w:val="000000" w:themeColor="text1"/>
                <w:sz w:val="22"/>
                <w:szCs w:val="22"/>
              </w:rPr>
              <w:t xml:space="preserve"> </w:t>
            </w:r>
            <w:r w:rsidRPr="00F03F55">
              <w:rPr>
                <w:rFonts w:eastAsia="Arial" w:cs="Arial"/>
                <w:color w:val="000000" w:themeColor="text1"/>
                <w:sz w:val="22"/>
                <w:szCs w:val="22"/>
              </w:rPr>
              <w:t xml:space="preserve">to update their </w:t>
            </w:r>
            <w:proofErr w:type="spellStart"/>
            <w:r w:rsidRPr="00F03F55">
              <w:rPr>
                <w:rFonts w:eastAsia="Arial" w:cs="Arial"/>
                <w:color w:val="000000" w:themeColor="text1"/>
                <w:sz w:val="22"/>
                <w:szCs w:val="22"/>
              </w:rPr>
              <w:t>logframes</w:t>
            </w:r>
            <w:proofErr w:type="spellEnd"/>
            <w:r w:rsidRPr="00F03F55">
              <w:rPr>
                <w:rFonts w:eastAsia="Arial" w:cs="Arial"/>
                <w:color w:val="000000" w:themeColor="text1"/>
                <w:sz w:val="22"/>
                <w:szCs w:val="22"/>
              </w:rPr>
              <w:t>, specifically:</w:t>
            </w:r>
          </w:p>
          <w:p w:rsidRPr="00F03F55" w:rsidR="0070742C" w:rsidP="00756B4F" w:rsidRDefault="0070742C" w14:paraId="6AC965A6" w14:textId="3FD6679D">
            <w:pPr>
              <w:pStyle w:val="ListParagraph"/>
              <w:numPr>
                <w:ilvl w:val="0"/>
                <w:numId w:val="24"/>
              </w:numPr>
              <w:rPr>
                <w:rFonts w:eastAsia="Arial" w:cs="Arial"/>
                <w:color w:val="000000" w:themeColor="text1"/>
                <w:sz w:val="22"/>
                <w:szCs w:val="22"/>
              </w:rPr>
            </w:pPr>
            <w:r w:rsidRPr="00F03F55">
              <w:rPr>
                <w:rFonts w:eastAsia="Arial" w:cs="Arial"/>
                <w:color w:val="000000" w:themeColor="text1"/>
                <w:sz w:val="22"/>
                <w:szCs w:val="22"/>
              </w:rPr>
              <w:t>DESNZ and World Bank to discuss how to monitor Outcome Indicator 1.2 going forward.</w:t>
            </w:r>
          </w:p>
          <w:p w:rsidRPr="00F03F55" w:rsidR="0070742C" w:rsidP="00756B4F" w:rsidRDefault="0070742C" w14:paraId="5F1F9C2B" w14:textId="1E28414B">
            <w:pPr>
              <w:pStyle w:val="ListParagraph"/>
              <w:numPr>
                <w:ilvl w:val="0"/>
                <w:numId w:val="24"/>
              </w:numPr>
              <w:rPr>
                <w:rFonts w:eastAsia="Arial" w:cs="Arial"/>
                <w:color w:val="000000" w:themeColor="text1"/>
                <w:sz w:val="22"/>
                <w:szCs w:val="22"/>
              </w:rPr>
            </w:pPr>
            <w:r w:rsidRPr="00F03F55">
              <w:rPr>
                <w:rFonts w:eastAsia="Arial" w:cs="Arial"/>
                <w:color w:val="000000" w:themeColor="text1"/>
                <w:sz w:val="22"/>
                <w:szCs w:val="22"/>
              </w:rPr>
              <w:t>DESNZ to consider reweighting or removing Output Indicator 1.3.</w:t>
            </w:r>
          </w:p>
          <w:p w:rsidRPr="00F03F55" w:rsidR="0070742C" w:rsidP="00756B4F" w:rsidRDefault="0070742C" w14:paraId="5E3882C6" w14:textId="4B877BD5">
            <w:pPr>
              <w:pStyle w:val="ListParagraph"/>
              <w:numPr>
                <w:ilvl w:val="0"/>
                <w:numId w:val="24"/>
              </w:numPr>
              <w:rPr>
                <w:rFonts w:eastAsia="Arial" w:cs="Arial"/>
                <w:color w:val="000000" w:themeColor="text1"/>
                <w:sz w:val="22"/>
                <w:szCs w:val="22"/>
              </w:rPr>
            </w:pPr>
            <w:r w:rsidRPr="00F03F55">
              <w:rPr>
                <w:rFonts w:eastAsia="Arial" w:cs="Arial"/>
                <w:color w:val="000000" w:themeColor="text1"/>
                <w:sz w:val="22"/>
                <w:szCs w:val="22"/>
              </w:rPr>
              <w:t>DESNZ to consider reweighting Output Indicator 1.4 to reflect the importance of the signing of ERPAs to the delivery of the programme.</w:t>
            </w:r>
          </w:p>
          <w:p w:rsidRPr="00F03F55" w:rsidR="0070742C" w:rsidP="00756B4F" w:rsidRDefault="0070742C" w14:paraId="0D6941A8" w14:textId="005BF2AC">
            <w:pPr>
              <w:pStyle w:val="ListParagraph"/>
              <w:numPr>
                <w:ilvl w:val="0"/>
                <w:numId w:val="24"/>
              </w:numPr>
              <w:rPr>
                <w:rFonts w:eastAsia="Arial" w:cs="Arial"/>
                <w:color w:val="000000" w:themeColor="text1"/>
                <w:sz w:val="22"/>
                <w:szCs w:val="22"/>
              </w:rPr>
            </w:pPr>
            <w:r w:rsidRPr="00F03F55">
              <w:rPr>
                <w:rFonts w:eastAsia="Arial" w:cs="Arial"/>
                <w:color w:val="000000" w:themeColor="text1"/>
                <w:sz w:val="22"/>
                <w:szCs w:val="22"/>
              </w:rPr>
              <w:t>Add operational progress or qualitative indicators to Output Indicator 1.6 to assess the progress of the biodiversity pilot in Colombia once it is operational.</w:t>
            </w:r>
          </w:p>
          <w:p w:rsidRPr="00F03F55" w:rsidR="0070742C" w:rsidP="00756B4F" w:rsidRDefault="0070742C" w14:paraId="42BF99C7" w14:textId="07E69999">
            <w:pPr>
              <w:pStyle w:val="ListParagraph"/>
              <w:numPr>
                <w:ilvl w:val="0"/>
                <w:numId w:val="24"/>
              </w:numPr>
              <w:rPr>
                <w:rFonts w:eastAsia="Arial" w:cs="Arial"/>
                <w:color w:val="000000" w:themeColor="text1"/>
                <w:sz w:val="22"/>
                <w:szCs w:val="22"/>
              </w:rPr>
            </w:pPr>
            <w:r w:rsidRPr="00F03F55">
              <w:rPr>
                <w:rFonts w:eastAsia="Arial" w:cs="Arial"/>
                <w:color w:val="000000" w:themeColor="text1"/>
                <w:sz w:val="22"/>
                <w:szCs w:val="22"/>
              </w:rPr>
              <w:t>DESNZ to revise sub-weightings under Output 2 as reporting on Output Indicator 2.3 will begin in FY25.</w:t>
            </w:r>
          </w:p>
          <w:p w:rsidR="0070742C" w:rsidP="00756B4F" w:rsidRDefault="0070742C" w14:paraId="41D815F6" w14:textId="0EC63713">
            <w:pPr>
              <w:pStyle w:val="ListParagraph"/>
              <w:numPr>
                <w:ilvl w:val="0"/>
                <w:numId w:val="24"/>
              </w:numPr>
              <w:jc w:val="both"/>
              <w:rPr>
                <w:rFonts w:eastAsia="Arial" w:cs="Arial"/>
                <w:color w:val="000000" w:themeColor="text1"/>
                <w:sz w:val="22"/>
                <w:szCs w:val="22"/>
              </w:rPr>
            </w:pPr>
            <w:r w:rsidRPr="00F03F55">
              <w:rPr>
                <w:rFonts w:eastAsia="Arial" w:cs="Arial"/>
                <w:color w:val="000000" w:themeColor="text1"/>
                <w:sz w:val="22"/>
                <w:szCs w:val="22"/>
              </w:rPr>
              <w:t>DESNZ and World Bank to discuss how the climate-smart agriculture (CSA) delivered under the additional £6million grant funding provided by the UK to the Zambia programme in FY24 will be measured.</w:t>
            </w:r>
          </w:p>
        </w:tc>
        <w:tc>
          <w:tcPr>
            <w:tcW w:w="4795" w:type="dxa"/>
            <w:tcMar/>
          </w:tcPr>
          <w:p w:rsidRPr="00F03F55" w:rsidR="0070742C" w:rsidP="0070742C" w:rsidRDefault="0070742C" w14:paraId="32345EB9" w14:textId="1FE60D46">
            <w:pPr>
              <w:rPr>
                <w:rFonts w:cs="Arial"/>
                <w:b/>
                <w:bCs/>
                <w:i/>
                <w:iCs/>
                <w:sz w:val="22"/>
                <w:szCs w:val="22"/>
              </w:rPr>
            </w:pPr>
            <w:r w:rsidRPr="00F03F55">
              <w:rPr>
                <w:rFonts w:cs="Arial"/>
                <w:b/>
                <w:bCs/>
                <w:i/>
                <w:iCs/>
                <w:sz w:val="22"/>
                <w:szCs w:val="22"/>
              </w:rPr>
              <w:t>Partially Achieved</w:t>
            </w:r>
          </w:p>
          <w:p w:rsidRPr="00F03F55" w:rsidR="0070742C" w:rsidP="0070742C" w:rsidRDefault="0070742C" w14:paraId="36AAF62D" w14:textId="6A6F916C">
            <w:pPr>
              <w:rPr>
                <w:rFonts w:cs="Arial"/>
                <w:b/>
                <w:bCs/>
                <w:i/>
                <w:iCs/>
                <w:sz w:val="22"/>
                <w:szCs w:val="22"/>
              </w:rPr>
            </w:pPr>
          </w:p>
          <w:p w:rsidRPr="00F03F55" w:rsidR="0070742C" w:rsidP="0070742C" w:rsidRDefault="0070742C" w14:paraId="7609AE32" w14:textId="10E03122">
            <w:pPr>
              <w:pStyle w:val="ListParagraph"/>
              <w:numPr>
                <w:ilvl w:val="0"/>
                <w:numId w:val="3"/>
              </w:numPr>
              <w:rPr>
                <w:rFonts w:cs="Arial"/>
                <w:sz w:val="22"/>
                <w:szCs w:val="22"/>
              </w:rPr>
            </w:pPr>
            <w:r w:rsidRPr="00F03F55">
              <w:rPr>
                <w:rFonts w:eastAsia="Arial" w:cs="Arial"/>
                <w:b/>
                <w:bCs/>
                <w:sz w:val="22"/>
                <w:szCs w:val="22"/>
              </w:rPr>
              <w:t>Partially Achieved</w:t>
            </w:r>
            <w:r w:rsidRPr="00F03F55">
              <w:rPr>
                <w:rFonts w:eastAsia="Arial" w:cs="Arial"/>
                <w:sz w:val="22"/>
                <w:szCs w:val="22"/>
              </w:rPr>
              <w:t>. The WB c</w:t>
            </w:r>
            <w:r w:rsidRPr="00F03F55">
              <w:rPr>
                <w:rFonts w:eastAsia="Arial" w:cs="Arial"/>
                <w:color w:val="000000" w:themeColor="text1"/>
                <w:sz w:val="22"/>
                <w:szCs w:val="22"/>
              </w:rPr>
              <w:t xml:space="preserve">hanged the indicator from "Area (ha) of avoided deforestation compared to a reference level in ISFL programme areas" to "a) Decrease in area (ha) of conversions from forest to other land uses in ISFL programme areas and b) area (ha) of land use converted to forest in ISFL programme areas". This reflects a change made by WB at the end of 2024 to their T2.O1.2 indicator to respond to the fact that only the Zambia grant programme, which closed in 2024, reported on this. The WB is not currently able to provide milestones for this, as country targets outlined in ERPDs are based on ERs rather than land area. It has been added </w:t>
            </w:r>
            <w:r w:rsidR="00564810">
              <w:rPr>
                <w:rFonts w:eastAsia="Arial" w:cs="Arial"/>
                <w:color w:val="000000" w:themeColor="text1"/>
                <w:sz w:val="22"/>
                <w:szCs w:val="22"/>
              </w:rPr>
              <w:t>under</w:t>
            </w:r>
            <w:r w:rsidRPr="00F03F55">
              <w:rPr>
                <w:rFonts w:eastAsia="Arial" w:cs="Arial"/>
                <w:color w:val="000000" w:themeColor="text1"/>
                <w:sz w:val="22"/>
                <w:szCs w:val="22"/>
              </w:rPr>
              <w:t xml:space="preserve"> </w:t>
            </w:r>
            <w:r w:rsidRPr="00C51787">
              <w:rPr>
                <w:rFonts w:eastAsia="Arial" w:cs="Arial"/>
                <w:b/>
                <w:bCs/>
                <w:color w:val="000000" w:themeColor="text1"/>
                <w:sz w:val="22"/>
                <w:szCs w:val="22"/>
              </w:rPr>
              <w:t xml:space="preserve">Recommendation </w:t>
            </w:r>
            <w:r>
              <w:rPr>
                <w:rFonts w:eastAsia="Arial" w:cs="Arial"/>
                <w:b/>
                <w:bCs/>
                <w:color w:val="000000" w:themeColor="text1"/>
                <w:sz w:val="22"/>
                <w:szCs w:val="22"/>
              </w:rPr>
              <w:t>[</w:t>
            </w:r>
            <w:r w:rsidRPr="00C51787">
              <w:rPr>
                <w:rFonts w:eastAsia="Arial" w:cs="Arial"/>
                <w:b/>
                <w:bCs/>
                <w:color w:val="000000" w:themeColor="text1"/>
                <w:sz w:val="22"/>
                <w:szCs w:val="22"/>
              </w:rPr>
              <w:t>1</w:t>
            </w:r>
            <w:r>
              <w:rPr>
                <w:rFonts w:eastAsia="Arial" w:cs="Arial"/>
                <w:b/>
                <w:bCs/>
                <w:color w:val="000000" w:themeColor="text1"/>
                <w:sz w:val="22"/>
                <w:szCs w:val="22"/>
              </w:rPr>
              <w:t>]</w:t>
            </w:r>
            <w:r>
              <w:rPr>
                <w:rFonts w:eastAsia="Arial" w:cs="Arial"/>
                <w:color w:val="000000" w:themeColor="text1"/>
                <w:sz w:val="22"/>
                <w:szCs w:val="22"/>
              </w:rPr>
              <w:t xml:space="preserve"> </w:t>
            </w:r>
            <w:r w:rsidRPr="00F03F55">
              <w:rPr>
                <w:rFonts w:eastAsia="Arial" w:cs="Arial"/>
                <w:color w:val="000000" w:themeColor="text1"/>
                <w:sz w:val="22"/>
                <w:szCs w:val="22"/>
              </w:rPr>
              <w:t>to discuss calculating milestones for this.</w:t>
            </w:r>
          </w:p>
          <w:p w:rsidRPr="00F03F55" w:rsidR="0070742C" w:rsidP="0070742C" w:rsidRDefault="0070742C" w14:paraId="554DD6ED" w14:textId="7BCAE741">
            <w:pPr>
              <w:pStyle w:val="ListParagraph"/>
              <w:numPr>
                <w:ilvl w:val="0"/>
                <w:numId w:val="3"/>
              </w:numPr>
              <w:rPr>
                <w:rFonts w:cs="Arial"/>
                <w:sz w:val="22"/>
                <w:szCs w:val="22"/>
              </w:rPr>
            </w:pPr>
            <w:r w:rsidRPr="00F03F55">
              <w:rPr>
                <w:rFonts w:cs="Arial"/>
                <w:b/>
                <w:bCs/>
                <w:sz w:val="22"/>
                <w:szCs w:val="22"/>
              </w:rPr>
              <w:t xml:space="preserve">Achieved. </w:t>
            </w:r>
            <w:r w:rsidRPr="00F03F55">
              <w:rPr>
                <w:rFonts w:cs="Arial"/>
                <w:sz w:val="22"/>
                <w:szCs w:val="22"/>
              </w:rPr>
              <w:t>Output Indicator 1.3 was closed as the EOP target has been surpassed and workshops/technical studies are coming to an end.</w:t>
            </w:r>
          </w:p>
          <w:p w:rsidRPr="00F03F55" w:rsidR="0070742C" w:rsidP="0070742C" w:rsidRDefault="0070742C" w14:paraId="4E9A4E0A" w14:textId="57CD6B75">
            <w:pPr>
              <w:pStyle w:val="ListParagraph"/>
              <w:numPr>
                <w:ilvl w:val="0"/>
                <w:numId w:val="3"/>
              </w:numPr>
              <w:rPr>
                <w:rFonts w:cs="Arial"/>
                <w:sz w:val="22"/>
                <w:szCs w:val="22"/>
              </w:rPr>
            </w:pPr>
            <w:r w:rsidRPr="00F03F55">
              <w:rPr>
                <w:rFonts w:cs="Arial"/>
                <w:b/>
                <w:bCs/>
                <w:sz w:val="22"/>
                <w:szCs w:val="22"/>
              </w:rPr>
              <w:t xml:space="preserve">Achieved. </w:t>
            </w:r>
            <w:r w:rsidRPr="00F03F55">
              <w:rPr>
                <w:rFonts w:cs="Arial"/>
                <w:sz w:val="22"/>
                <w:szCs w:val="22"/>
              </w:rPr>
              <w:t>The weighting of output indicator 1.4 was increased from 20% to 22.5%.</w:t>
            </w:r>
          </w:p>
          <w:p w:rsidRPr="00F03F55" w:rsidR="0070742C" w:rsidP="0070742C" w:rsidRDefault="0070742C" w14:paraId="55E5E52D" w14:textId="5B7A504B">
            <w:pPr>
              <w:pStyle w:val="ListParagraph"/>
              <w:numPr>
                <w:ilvl w:val="0"/>
                <w:numId w:val="3"/>
              </w:numPr>
              <w:rPr>
                <w:rFonts w:cs="Arial"/>
                <w:sz w:val="22"/>
                <w:szCs w:val="22"/>
              </w:rPr>
            </w:pPr>
            <w:r w:rsidRPr="00F03F55">
              <w:rPr>
                <w:rFonts w:cs="Arial"/>
                <w:b/>
                <w:bCs/>
                <w:sz w:val="22"/>
                <w:szCs w:val="22"/>
              </w:rPr>
              <w:t>Not achieved</w:t>
            </w:r>
            <w:r w:rsidRPr="00F03F55">
              <w:rPr>
                <w:rFonts w:cs="Arial"/>
                <w:sz w:val="22"/>
                <w:szCs w:val="22"/>
              </w:rPr>
              <w:t>. The biodiversity pilot in Colombia is still not operational.</w:t>
            </w:r>
          </w:p>
          <w:p w:rsidRPr="00F03F55" w:rsidR="0070742C" w:rsidP="0070742C" w:rsidRDefault="0070742C" w14:paraId="17567025" w14:textId="7EA04682">
            <w:pPr>
              <w:pStyle w:val="ListParagraph"/>
              <w:numPr>
                <w:ilvl w:val="0"/>
                <w:numId w:val="3"/>
              </w:numPr>
              <w:rPr>
                <w:rFonts w:cs="Arial"/>
                <w:sz w:val="22"/>
                <w:szCs w:val="22"/>
              </w:rPr>
            </w:pPr>
            <w:r w:rsidRPr="00F03F55">
              <w:rPr>
                <w:rFonts w:cs="Arial"/>
                <w:b/>
                <w:bCs/>
                <w:sz w:val="22"/>
                <w:szCs w:val="22"/>
              </w:rPr>
              <w:t>Achieved</w:t>
            </w:r>
            <w:r w:rsidRPr="00F03F55">
              <w:rPr>
                <w:rFonts w:cs="Arial"/>
                <w:sz w:val="22"/>
                <w:szCs w:val="22"/>
              </w:rPr>
              <w:t>. Changes to sub-weightings under Output 2 have been revised as Output Indicator 2.3 is now being reported against.</w:t>
            </w:r>
          </w:p>
          <w:p w:rsidRPr="00F03F55" w:rsidR="0070742C" w:rsidP="0070742C" w:rsidRDefault="0070742C" w14:paraId="4597CE8D" w14:textId="0C9A287F">
            <w:pPr>
              <w:pStyle w:val="ListParagraph"/>
              <w:numPr>
                <w:ilvl w:val="0"/>
                <w:numId w:val="3"/>
              </w:numPr>
              <w:spacing w:after="0"/>
              <w:rPr>
                <w:rFonts w:eastAsia="Arial" w:cs="Arial"/>
                <w:sz w:val="22"/>
                <w:szCs w:val="22"/>
              </w:rPr>
            </w:pPr>
            <w:r w:rsidRPr="00F03F55">
              <w:rPr>
                <w:rFonts w:cs="Arial"/>
                <w:b/>
                <w:bCs/>
                <w:sz w:val="22"/>
                <w:szCs w:val="22"/>
              </w:rPr>
              <w:t>Achieved</w:t>
            </w:r>
            <w:r w:rsidRPr="00F03F55">
              <w:rPr>
                <w:rFonts w:cs="Arial"/>
                <w:sz w:val="22"/>
                <w:szCs w:val="22"/>
              </w:rPr>
              <w:t xml:space="preserve">. </w:t>
            </w:r>
            <w:r w:rsidRPr="00F03F55">
              <w:rPr>
                <w:rFonts w:eastAsia="Arial" w:cs="Arial"/>
                <w:sz w:val="22"/>
                <w:szCs w:val="22"/>
              </w:rPr>
              <w:t>For the Zambia ER programme:</w:t>
            </w:r>
          </w:p>
          <w:p w:rsidRPr="00F03F55" w:rsidR="0070742C" w:rsidP="00756B4F" w:rsidRDefault="0070742C" w14:paraId="3C751D43" w14:textId="11349BFA">
            <w:pPr>
              <w:pStyle w:val="ListParagraph"/>
              <w:numPr>
                <w:ilvl w:val="0"/>
                <w:numId w:val="5"/>
              </w:numPr>
              <w:spacing w:after="0"/>
              <w:rPr>
                <w:rFonts w:eastAsia="Arial" w:cs="Arial"/>
                <w:sz w:val="22"/>
                <w:szCs w:val="22"/>
              </w:rPr>
            </w:pPr>
            <w:r w:rsidRPr="00F03F55">
              <w:rPr>
                <w:rFonts w:eastAsia="Arial" w:cs="Arial"/>
                <w:sz w:val="22"/>
                <w:szCs w:val="22"/>
              </w:rPr>
              <w:t>Output 3.1 will be reported on (Number of people in private sector schemes adopting improved agricultural practices). The WB have confirmed this is fully aligned with the number of farmers receiving CSA support/adopting CSA practices.</w:t>
            </w:r>
          </w:p>
          <w:p w:rsidRPr="00F03F55" w:rsidR="0070742C" w:rsidP="00756B4F" w:rsidRDefault="0070742C" w14:paraId="0A19423D" w14:textId="5192D389">
            <w:pPr>
              <w:pStyle w:val="ListParagraph"/>
              <w:numPr>
                <w:ilvl w:val="0"/>
                <w:numId w:val="5"/>
              </w:numPr>
              <w:spacing w:after="0"/>
              <w:rPr>
                <w:rFonts w:eastAsia="Arial" w:cs="Arial"/>
                <w:sz w:val="22"/>
                <w:szCs w:val="22"/>
              </w:rPr>
            </w:pPr>
            <w:r w:rsidRPr="00F03F55">
              <w:rPr>
                <w:rFonts w:eastAsia="Arial" w:cs="Arial"/>
                <w:sz w:val="22"/>
                <w:szCs w:val="22"/>
              </w:rPr>
              <w:t>Output 2.1 will not be reported on (Land users who have adopted sustainable land management practices).</w:t>
            </w:r>
          </w:p>
          <w:p w:rsidRPr="00F03F55" w:rsidR="0070742C" w:rsidP="00756B4F" w:rsidRDefault="0070742C" w14:paraId="45149521" w14:textId="39E02BDF">
            <w:pPr>
              <w:pStyle w:val="ListParagraph"/>
              <w:numPr>
                <w:ilvl w:val="0"/>
                <w:numId w:val="5"/>
              </w:numPr>
              <w:spacing w:after="0"/>
              <w:rPr>
                <w:rFonts w:eastAsia="Arial" w:cs="Arial"/>
                <w:sz w:val="22"/>
                <w:szCs w:val="22"/>
              </w:rPr>
            </w:pPr>
            <w:r w:rsidRPr="00F03F55">
              <w:rPr>
                <w:rFonts w:eastAsia="Arial" w:cs="Arial"/>
                <w:sz w:val="22"/>
                <w:szCs w:val="22"/>
              </w:rPr>
              <w:t>Output 1.1b will be reported on (Land area under sustainable landscape management practices) however this will measure a combination of all practices on forest, CSA and protected areas.</w:t>
            </w:r>
          </w:p>
          <w:p w:rsidR="0070742C" w:rsidP="00756B4F" w:rsidRDefault="0070742C" w14:paraId="13F61FBA" w14:textId="77777777">
            <w:pPr>
              <w:pStyle w:val="ListParagraph"/>
              <w:numPr>
                <w:ilvl w:val="0"/>
                <w:numId w:val="5"/>
              </w:numPr>
              <w:spacing w:after="0"/>
              <w:rPr>
                <w:rFonts w:eastAsia="Arial" w:cs="Arial"/>
                <w:sz w:val="22"/>
                <w:szCs w:val="22"/>
              </w:rPr>
            </w:pPr>
            <w:r w:rsidRPr="00F03F55">
              <w:rPr>
                <w:rFonts w:eastAsia="Arial" w:cs="Arial"/>
                <w:sz w:val="22"/>
                <w:szCs w:val="22"/>
              </w:rPr>
              <w:t>The WB will also provide narrative updates e.g. in the Annual Report, Mid-Year Meeting and Annual Meeting.</w:t>
            </w:r>
          </w:p>
          <w:p w:rsidR="0070742C" w:rsidP="0070742C" w:rsidRDefault="0070742C" w14:paraId="642BCCAE" w14:textId="77777777">
            <w:pPr>
              <w:rPr>
                <w:rFonts w:eastAsia="Arial" w:cs="Arial"/>
                <w:sz w:val="22"/>
                <w:szCs w:val="22"/>
              </w:rPr>
            </w:pPr>
          </w:p>
          <w:p w:rsidRPr="00564810" w:rsidR="0070742C" w:rsidP="00564810" w:rsidRDefault="0070742C" w14:paraId="49823DA6" w14:textId="2D250C1E">
            <w:pPr>
              <w:rPr>
                <w:rFonts w:eastAsia="Arial" w:cs="Arial"/>
                <w:sz w:val="22"/>
                <w:szCs w:val="22"/>
              </w:rPr>
            </w:pPr>
            <w:r w:rsidRPr="00564810">
              <w:rPr>
                <w:rFonts w:eastAsia="Arial" w:cs="Arial"/>
                <w:i/>
                <w:iCs/>
                <w:sz w:val="22"/>
                <w:szCs w:val="22"/>
              </w:rPr>
              <w:t>(</w:t>
            </w:r>
            <w:r w:rsidR="00C70074">
              <w:rPr>
                <w:rFonts w:eastAsia="Arial" w:cs="Arial"/>
                <w:i/>
                <w:iCs/>
                <w:sz w:val="22"/>
                <w:szCs w:val="22"/>
              </w:rPr>
              <w:t xml:space="preserve">Outstanding </w:t>
            </w:r>
            <w:r w:rsidRPr="5C99F1CE" w:rsidR="375D1C89">
              <w:rPr>
                <w:rFonts w:eastAsia="Arial" w:cs="Arial"/>
                <w:i/>
                <w:iCs/>
                <w:sz w:val="22"/>
                <w:szCs w:val="22"/>
              </w:rPr>
              <w:t>r</w:t>
            </w:r>
            <w:r w:rsidRPr="5C99F1CE" w:rsidR="2365668D">
              <w:rPr>
                <w:rFonts w:eastAsia="Arial" w:cs="Arial"/>
                <w:i/>
                <w:iCs/>
                <w:sz w:val="22"/>
                <w:szCs w:val="22"/>
              </w:rPr>
              <w:t>ecommendation</w:t>
            </w:r>
            <w:r w:rsidRPr="00564810">
              <w:rPr>
                <w:rFonts w:eastAsia="Arial" w:cs="Arial"/>
                <w:i/>
                <w:iCs/>
                <w:sz w:val="22"/>
                <w:szCs w:val="22"/>
              </w:rPr>
              <w:t xml:space="preserve"> </w:t>
            </w:r>
            <w:r w:rsidR="00C70074">
              <w:rPr>
                <w:rFonts w:eastAsia="Arial" w:cs="Arial"/>
                <w:i/>
                <w:iCs/>
                <w:sz w:val="22"/>
                <w:szCs w:val="22"/>
              </w:rPr>
              <w:t>elements</w:t>
            </w:r>
            <w:r w:rsidRPr="00564810">
              <w:rPr>
                <w:rFonts w:eastAsia="Arial" w:cs="Arial"/>
                <w:i/>
                <w:iCs/>
                <w:sz w:val="22"/>
                <w:szCs w:val="22"/>
              </w:rPr>
              <w:t xml:space="preserve"> to be carried forward to FY26 Annual Review)</w:t>
            </w:r>
          </w:p>
        </w:tc>
      </w:tr>
      <w:tr w:rsidRPr="00D80C6C" w:rsidR="00A654A3" w:rsidTr="63018341" w14:paraId="76F25969" w14:textId="77777777">
        <w:tc>
          <w:tcPr>
            <w:tcW w:w="4221" w:type="dxa"/>
            <w:tcMar/>
          </w:tcPr>
          <w:p w:rsidR="00A654A3" w:rsidP="00A654A3" w:rsidRDefault="00A654A3" w14:paraId="130B58D6" w14:textId="443F2843">
            <w:pPr>
              <w:jc w:val="both"/>
              <w:rPr>
                <w:rFonts w:eastAsia="Arial" w:cs="Arial"/>
                <w:sz w:val="22"/>
                <w:szCs w:val="22"/>
              </w:rPr>
            </w:pPr>
            <w:r w:rsidRPr="00F03F55">
              <w:rPr>
                <w:rFonts w:eastAsia="Arial" w:cs="Arial"/>
                <w:b/>
                <w:bCs/>
                <w:color w:val="000000" w:themeColor="text1"/>
                <w:sz w:val="22"/>
                <w:szCs w:val="22"/>
              </w:rPr>
              <w:t>Recommendation [3] (</w:t>
            </w:r>
            <w:r w:rsidRPr="00F03F55">
              <w:rPr>
                <w:rFonts w:eastAsia="Arial" w:cs="Arial"/>
                <w:b/>
                <w:bCs/>
                <w:i/>
                <w:iCs/>
                <w:color w:val="000000" w:themeColor="text1"/>
                <w:sz w:val="22"/>
                <w:szCs w:val="22"/>
              </w:rPr>
              <w:t>rolled over from FY23</w:t>
            </w:r>
            <w:r w:rsidRPr="00F03F55">
              <w:rPr>
                <w:rFonts w:eastAsia="Arial" w:cs="Arial"/>
                <w:b/>
                <w:bCs/>
                <w:color w:val="000000" w:themeColor="text1"/>
                <w:sz w:val="22"/>
                <w:szCs w:val="22"/>
              </w:rPr>
              <w:t>)</w:t>
            </w:r>
            <w:r w:rsidRPr="00F03F55">
              <w:rPr>
                <w:rFonts w:eastAsia="Arial" w:cs="Arial"/>
                <w:b/>
                <w:bCs/>
                <w:i/>
                <w:iCs/>
                <w:color w:val="000000" w:themeColor="text1"/>
                <w:sz w:val="22"/>
                <w:szCs w:val="22"/>
              </w:rPr>
              <w:t>:</w:t>
            </w:r>
            <w:r w:rsidRPr="00F03F55">
              <w:rPr>
                <w:rFonts w:eastAsia="Arial" w:cs="Arial"/>
                <w:i/>
                <w:iCs/>
                <w:color w:val="000000" w:themeColor="text1"/>
                <w:sz w:val="22"/>
                <w:szCs w:val="22"/>
              </w:rPr>
              <w:t xml:space="preserve"> </w:t>
            </w:r>
            <w:r w:rsidRPr="00F03F55">
              <w:rPr>
                <w:rFonts w:eastAsia="Arial" w:cs="Arial"/>
                <w:color w:val="000000" w:themeColor="text1"/>
                <w:sz w:val="22"/>
                <w:szCs w:val="22"/>
              </w:rPr>
              <w:t>World Bank and DESNZ to appraise and fund alternative grant funding options for the remaining unallocated funding in the UK Single Donor Trust Fund (SDTF).</w:t>
            </w:r>
          </w:p>
        </w:tc>
        <w:tc>
          <w:tcPr>
            <w:tcW w:w="4795" w:type="dxa"/>
            <w:tcMar/>
          </w:tcPr>
          <w:p w:rsidRPr="00F03F55" w:rsidR="00A654A3" w:rsidP="63018341" w:rsidRDefault="00A654A3" w14:paraId="10626381" w14:textId="553D6714">
            <w:pPr>
              <w:rPr>
                <w:rFonts w:cs="Arial"/>
                <w:b w:val="1"/>
                <w:bCs w:val="1"/>
                <w:i w:val="1"/>
                <w:iCs w:val="1"/>
                <w:sz w:val="22"/>
                <w:szCs w:val="22"/>
              </w:rPr>
            </w:pPr>
            <w:r w:rsidRPr="63018341" w:rsidR="3F401297">
              <w:rPr>
                <w:rFonts w:cs="Arial"/>
                <w:b w:val="1"/>
                <w:bCs w:val="1"/>
                <w:i w:val="1"/>
                <w:iCs w:val="1"/>
                <w:sz w:val="22"/>
                <w:szCs w:val="22"/>
              </w:rPr>
              <w:t>Partially Achieved</w:t>
            </w:r>
          </w:p>
          <w:p w:rsidRPr="00F03F55" w:rsidR="00A654A3" w:rsidP="00A654A3" w:rsidRDefault="00A654A3" w14:paraId="4B806543" w14:textId="22D8FE37">
            <w:pPr>
              <w:rPr>
                <w:rFonts w:cs="Arial"/>
                <w:i/>
                <w:iCs/>
                <w:sz w:val="22"/>
                <w:szCs w:val="22"/>
              </w:rPr>
            </w:pPr>
          </w:p>
          <w:p w:rsidRPr="00F03F55" w:rsidR="00A654A3" w:rsidP="00A654A3" w:rsidRDefault="00A654A3" w14:paraId="38835B58" w14:textId="60C0E224">
            <w:pPr>
              <w:rPr>
                <w:rFonts w:cs="Arial"/>
                <w:sz w:val="22"/>
                <w:szCs w:val="22"/>
              </w:rPr>
            </w:pPr>
            <w:r w:rsidRPr="00F03F55">
              <w:rPr>
                <w:rFonts w:cs="Arial"/>
                <w:sz w:val="22"/>
                <w:szCs w:val="22"/>
              </w:rPr>
              <w:t>Of the previously unallocated funding in the UK SDTF:</w:t>
            </w:r>
          </w:p>
          <w:p w:rsidRPr="00F03F55" w:rsidR="00A654A3" w:rsidP="00756B4F" w:rsidRDefault="00A654A3" w14:paraId="004C2393" w14:textId="597F7A37">
            <w:pPr>
              <w:pStyle w:val="ListParagraph"/>
              <w:numPr>
                <w:ilvl w:val="0"/>
                <w:numId w:val="18"/>
              </w:numPr>
              <w:rPr>
                <w:rFonts w:cs="Arial"/>
                <w:sz w:val="22"/>
                <w:szCs w:val="22"/>
              </w:rPr>
            </w:pPr>
            <w:r w:rsidRPr="00F03F55">
              <w:rPr>
                <w:rFonts w:cs="Arial"/>
                <w:sz w:val="22"/>
                <w:szCs w:val="22"/>
              </w:rPr>
              <w:t>$750,000 will go to legal and market support for countries engaging in third-party transactions</w:t>
            </w:r>
          </w:p>
          <w:p w:rsidRPr="00F03F55" w:rsidR="00A654A3" w:rsidP="00756B4F" w:rsidRDefault="00A654A3" w14:paraId="418B23A8" w14:textId="388FE202">
            <w:pPr>
              <w:pStyle w:val="ListParagraph"/>
              <w:numPr>
                <w:ilvl w:val="0"/>
                <w:numId w:val="18"/>
              </w:numPr>
              <w:rPr>
                <w:rFonts w:cs="Arial"/>
                <w:sz w:val="22"/>
                <w:szCs w:val="22"/>
              </w:rPr>
            </w:pPr>
            <w:r w:rsidRPr="00F03F55">
              <w:rPr>
                <w:rFonts w:cs="Arial"/>
                <w:sz w:val="22"/>
                <w:szCs w:val="22"/>
              </w:rPr>
              <w:t>$150,000 will go to soil organic carbon methodological approach</w:t>
            </w:r>
          </w:p>
          <w:p w:rsidR="00915BF7" w:rsidP="00A654A3" w:rsidRDefault="00A654A3" w14:paraId="2928D2F8" w14:textId="4F66C225">
            <w:pPr>
              <w:rPr>
                <w:rFonts w:cs="Arial"/>
                <w:sz w:val="22"/>
                <w:szCs w:val="22"/>
              </w:rPr>
            </w:pPr>
            <w:r w:rsidRPr="00F03F55">
              <w:rPr>
                <w:rFonts w:cs="Arial"/>
                <w:sz w:val="22"/>
                <w:szCs w:val="22"/>
              </w:rPr>
              <w:t>In July 2025 (reporting period 2025/26), we received a request from Mexico to utilise our SDTF funding to pursue a private sector strategy (which was previously cancelled in 2023/24). This was approved after the end of the reporting period.</w:t>
            </w:r>
            <w:r w:rsidR="00915BF7">
              <w:rPr>
                <w:rFonts w:cs="Arial"/>
                <w:sz w:val="22"/>
                <w:szCs w:val="22"/>
              </w:rPr>
              <w:t xml:space="preserve"> </w:t>
            </w:r>
          </w:p>
          <w:p w:rsidR="00915BF7" w:rsidP="00A654A3" w:rsidRDefault="00915BF7" w14:paraId="1D5F2DD5" w14:textId="77777777">
            <w:pPr>
              <w:rPr>
                <w:rFonts w:cs="Arial"/>
                <w:sz w:val="22"/>
                <w:szCs w:val="22"/>
              </w:rPr>
            </w:pPr>
          </w:p>
          <w:p w:rsidRPr="00F03F55" w:rsidR="00915BF7" w:rsidP="00A654A3" w:rsidRDefault="00915BF7" w14:paraId="035F807D" w14:textId="0B0E6D6F">
            <w:pPr>
              <w:rPr>
                <w:rFonts w:cs="Arial"/>
                <w:sz w:val="22"/>
                <w:szCs w:val="22"/>
              </w:rPr>
            </w:pPr>
            <w:r>
              <w:rPr>
                <w:rFonts w:cs="Arial"/>
                <w:sz w:val="22"/>
                <w:szCs w:val="22"/>
              </w:rPr>
              <w:t xml:space="preserve">As of the time of writing, </w:t>
            </w:r>
            <w:r w:rsidR="00045123">
              <w:rPr>
                <w:rFonts w:cs="Arial"/>
                <w:sz w:val="22"/>
                <w:szCs w:val="22"/>
              </w:rPr>
              <w:t>there is approximately $2.</w:t>
            </w:r>
            <w:r w:rsidRPr="283F5B4D" w:rsidR="5FF703B5">
              <w:rPr>
                <w:rFonts w:cs="Arial"/>
                <w:sz w:val="22"/>
                <w:szCs w:val="22"/>
              </w:rPr>
              <w:t>28</w:t>
            </w:r>
            <w:r w:rsidRPr="283F5B4D" w:rsidR="00045123">
              <w:rPr>
                <w:rFonts w:cs="Arial"/>
                <w:sz w:val="22"/>
                <w:szCs w:val="22"/>
              </w:rPr>
              <w:t>m</w:t>
            </w:r>
            <w:r w:rsidR="00045123">
              <w:rPr>
                <w:rFonts w:cs="Arial"/>
                <w:sz w:val="22"/>
                <w:szCs w:val="22"/>
              </w:rPr>
              <w:t xml:space="preserve"> uncommitted funding in the UK SDTF.</w:t>
            </w:r>
          </w:p>
          <w:p w:rsidR="00A654A3" w:rsidP="00A654A3" w:rsidRDefault="00A654A3" w14:paraId="62853EFE" w14:textId="63F173A9">
            <w:pPr>
              <w:rPr>
                <w:rFonts w:cs="Arial"/>
                <w:i/>
                <w:iCs/>
                <w:sz w:val="22"/>
                <w:szCs w:val="22"/>
              </w:rPr>
            </w:pPr>
          </w:p>
          <w:p w:rsidRPr="00D80C6C" w:rsidR="00A654A3" w:rsidP="00A654A3" w:rsidRDefault="00A654A3" w14:paraId="52A74AED" w14:textId="5389729B">
            <w:pPr>
              <w:jc w:val="both"/>
              <w:rPr>
                <w:rFonts w:cs="Arial"/>
                <w:i/>
                <w:iCs/>
                <w:sz w:val="22"/>
                <w:szCs w:val="22"/>
              </w:rPr>
            </w:pPr>
            <w:r>
              <w:rPr>
                <w:rFonts w:eastAsia="Arial" w:cs="Arial"/>
                <w:i/>
                <w:iCs/>
                <w:sz w:val="22"/>
                <w:szCs w:val="22"/>
              </w:rPr>
              <w:t>(Recommendation to be carried forward to FY26 Annual Review)</w:t>
            </w:r>
          </w:p>
        </w:tc>
      </w:tr>
      <w:tr w:rsidR="00AC14AB" w:rsidTr="63018341" w14:paraId="74C24F4F" w14:textId="77777777">
        <w:trPr>
          <w:trHeight w:val="300"/>
        </w:trPr>
        <w:tc>
          <w:tcPr>
            <w:tcW w:w="4221" w:type="dxa"/>
            <w:tcMar/>
          </w:tcPr>
          <w:p w:rsidR="00AC14AB" w:rsidP="00AC14AB" w:rsidRDefault="00AC14AB" w14:paraId="2BB85F3E" w14:textId="4DB337A6">
            <w:pPr>
              <w:jc w:val="both"/>
              <w:rPr>
                <w:rFonts w:eastAsia="Arial" w:cs="Arial"/>
                <w:sz w:val="22"/>
                <w:szCs w:val="22"/>
              </w:rPr>
            </w:pPr>
            <w:r w:rsidRPr="00F03F55">
              <w:rPr>
                <w:rFonts w:eastAsia="Arial" w:cs="Arial"/>
                <w:b/>
                <w:bCs/>
                <w:color w:val="000000" w:themeColor="text1"/>
                <w:sz w:val="22"/>
                <w:szCs w:val="22"/>
              </w:rPr>
              <w:t xml:space="preserve">Recommendation [4]: </w:t>
            </w:r>
            <w:r w:rsidRPr="00F03F55">
              <w:rPr>
                <w:rFonts w:eastAsia="Arial" w:cs="Arial"/>
                <w:color w:val="000000" w:themeColor="text1"/>
                <w:sz w:val="22"/>
                <w:szCs w:val="22"/>
              </w:rPr>
              <w:t>World Bank to integrate relevant lessons from the ISFL Mid-Term Evaluation into the ISFL programme going forwards.</w:t>
            </w:r>
          </w:p>
        </w:tc>
        <w:tc>
          <w:tcPr>
            <w:tcW w:w="4795" w:type="dxa"/>
            <w:tcMar/>
          </w:tcPr>
          <w:p w:rsidRPr="00F03F55" w:rsidR="00AC14AB" w:rsidP="00AC14AB" w:rsidRDefault="00AC14AB" w14:paraId="0B28AB7F" w14:textId="188127A9">
            <w:pPr>
              <w:rPr>
                <w:rFonts w:cs="Arial"/>
                <w:b/>
                <w:bCs/>
                <w:i/>
                <w:iCs/>
                <w:sz w:val="22"/>
                <w:szCs w:val="22"/>
              </w:rPr>
            </w:pPr>
            <w:r w:rsidRPr="00F03F55">
              <w:rPr>
                <w:rFonts w:cs="Arial"/>
                <w:b/>
                <w:bCs/>
                <w:i/>
                <w:iCs/>
                <w:sz w:val="22"/>
                <w:szCs w:val="22"/>
              </w:rPr>
              <w:t>Achieved</w:t>
            </w:r>
          </w:p>
          <w:p w:rsidRPr="00F03F55" w:rsidR="00AC14AB" w:rsidP="00AC14AB" w:rsidRDefault="00AC14AB" w14:paraId="2FE4C509" w14:textId="2BEDD0F0">
            <w:pPr>
              <w:rPr>
                <w:rFonts w:cs="Arial"/>
                <w:b/>
                <w:bCs/>
                <w:i/>
                <w:iCs/>
                <w:sz w:val="22"/>
                <w:szCs w:val="22"/>
              </w:rPr>
            </w:pPr>
          </w:p>
          <w:p w:rsidRPr="00F03F55" w:rsidR="00AC14AB" w:rsidP="00AC14AB" w:rsidRDefault="00AC14AB" w14:paraId="40B09868" w14:textId="5773D0A5">
            <w:pPr>
              <w:rPr>
                <w:rFonts w:cs="Arial"/>
                <w:sz w:val="22"/>
                <w:szCs w:val="22"/>
              </w:rPr>
            </w:pPr>
            <w:r w:rsidRPr="00F03F55">
              <w:rPr>
                <w:rFonts w:cs="Arial"/>
                <w:sz w:val="22"/>
                <w:szCs w:val="22"/>
              </w:rPr>
              <w:t>The World Bank has taken several steps to integrate lessons from the Mid-Term Evaluation into its ongoing and future programming. These include supporting the completion and transition of grant activities to the ERPA stage, with targeted funding for Colombia and Mexico, and strengthening risk management through enhanced environmental and social safeguards and third-party monitoring. ISFL has also worked to build government capacity for carbon market engagement, particularly in Africa, and is piloting automated MRV systems to improve efficiency. The programme has expanded learning and communication efforts, including events, publications, and social media outreach, and is actively promoting replication of successful ISFL elements in other contexts. Lessons on integrated AFOLU approaches, cross-sectoral coordination, and adaptive monitoring and evaluation have been incorporated into programme design and implementation, notably in Mexico and African partner countries.</w:t>
            </w:r>
          </w:p>
          <w:p w:rsidR="00AC14AB" w:rsidP="0135DD70" w:rsidRDefault="00AC14AB" w14:paraId="639EF320" w14:textId="4DB7B411">
            <w:pPr>
              <w:rPr>
                <w:rFonts w:cs="Arial"/>
                <w:i/>
                <w:iCs/>
                <w:sz w:val="22"/>
                <w:szCs w:val="22"/>
              </w:rPr>
            </w:pPr>
          </w:p>
        </w:tc>
      </w:tr>
      <w:tr w:rsidR="000936D0" w:rsidTr="63018341" w14:paraId="6D59F5D2" w14:textId="77777777">
        <w:trPr>
          <w:trHeight w:val="300"/>
        </w:trPr>
        <w:tc>
          <w:tcPr>
            <w:tcW w:w="4221" w:type="dxa"/>
            <w:tcMar/>
          </w:tcPr>
          <w:p w:rsidR="000936D0" w:rsidP="000936D0" w:rsidRDefault="000936D0" w14:paraId="59FBD286" w14:textId="583964BC">
            <w:pPr>
              <w:jc w:val="both"/>
              <w:rPr>
                <w:rFonts w:eastAsia="Arial" w:cs="Arial"/>
                <w:sz w:val="22"/>
                <w:szCs w:val="22"/>
              </w:rPr>
            </w:pPr>
            <w:r w:rsidRPr="00F03F55">
              <w:rPr>
                <w:rFonts w:eastAsia="Arial" w:cs="Arial"/>
                <w:b/>
                <w:bCs/>
                <w:color w:val="000000" w:themeColor="text1"/>
                <w:sz w:val="22"/>
                <w:szCs w:val="22"/>
              </w:rPr>
              <w:t xml:space="preserve">Recommendation [5]: </w:t>
            </w:r>
            <w:r w:rsidRPr="00A47210">
              <w:rPr>
                <w:rFonts w:eastAsia="Arial" w:cs="Arial"/>
                <w:color w:val="000000" w:themeColor="text1"/>
                <w:sz w:val="22"/>
                <w:szCs w:val="22"/>
              </w:rPr>
              <w:t xml:space="preserve">World Bank </w:t>
            </w:r>
            <w:r w:rsidRPr="00F03F55">
              <w:rPr>
                <w:rFonts w:eastAsia="Arial" w:cs="Arial"/>
                <w:color w:val="000000" w:themeColor="text1"/>
                <w:sz w:val="22"/>
                <w:szCs w:val="22"/>
              </w:rPr>
              <w:t>to formalise the operationalisation into SCALE of the key lessons and outcomes from the ISFL Mid-Term Evaluation, the Global Pause and Reflect and the 2024 Annual Meeting.</w:t>
            </w:r>
          </w:p>
        </w:tc>
        <w:tc>
          <w:tcPr>
            <w:tcW w:w="4795" w:type="dxa"/>
            <w:tcMar/>
          </w:tcPr>
          <w:p w:rsidRPr="00F03F55" w:rsidR="000936D0" w:rsidP="000936D0" w:rsidRDefault="000936D0" w14:paraId="22BED4E9" w14:textId="7801C7B3">
            <w:pPr>
              <w:rPr>
                <w:rFonts w:eastAsia="Arial" w:cs="Arial"/>
                <w:b w:val="1"/>
                <w:bCs w:val="1"/>
                <w:sz w:val="22"/>
                <w:szCs w:val="22"/>
              </w:rPr>
            </w:pPr>
            <w:r w:rsidRPr="63018341" w:rsidR="000936D0">
              <w:rPr>
                <w:rFonts w:cs="Arial"/>
                <w:b w:val="1"/>
                <w:bCs w:val="1"/>
                <w:i w:val="1"/>
                <w:iCs w:val="1"/>
                <w:sz w:val="22"/>
                <w:szCs w:val="22"/>
              </w:rPr>
              <w:t>Partially Achieved (</w:t>
            </w:r>
            <w:r w:rsidRPr="63018341" w:rsidR="357A0B8A">
              <w:rPr>
                <w:rFonts w:cs="Arial"/>
                <w:b w:val="1"/>
                <w:bCs w:val="1"/>
                <w:i w:val="1"/>
                <w:iCs w:val="1"/>
                <w:sz w:val="22"/>
                <w:szCs w:val="22"/>
              </w:rPr>
              <w:t>ongoing)</w:t>
            </w:r>
          </w:p>
          <w:p w:rsidRPr="00F03F55" w:rsidR="000936D0" w:rsidP="000936D0" w:rsidRDefault="000936D0" w14:paraId="1ED7EBEA" w14:textId="499E9775">
            <w:pPr>
              <w:rPr>
                <w:rFonts w:cs="Arial"/>
                <w:i/>
                <w:iCs/>
                <w:sz w:val="22"/>
                <w:szCs w:val="22"/>
              </w:rPr>
            </w:pPr>
          </w:p>
          <w:p w:rsidRPr="00F03F55" w:rsidR="000936D0" w:rsidP="000936D0" w:rsidRDefault="000936D0" w14:paraId="3679E3EE" w14:textId="3E5B4347">
            <w:pPr>
              <w:rPr>
                <w:rFonts w:cs="Arial"/>
                <w:sz w:val="22"/>
                <w:szCs w:val="22"/>
              </w:rPr>
            </w:pPr>
            <w:r w:rsidRPr="63018341" w:rsidR="357A0B8A">
              <w:rPr>
                <w:rFonts w:cs="Arial"/>
                <w:sz w:val="22"/>
                <w:szCs w:val="22"/>
              </w:rPr>
              <w:t xml:space="preserve">The Bank’s Climate Finance Mobilisation team has </w:t>
            </w:r>
            <w:r w:rsidRPr="63018341" w:rsidR="357A0B8A">
              <w:rPr>
                <w:rFonts w:cs="Arial"/>
                <w:sz w:val="22"/>
                <w:szCs w:val="22"/>
              </w:rPr>
              <w:t>initiated</w:t>
            </w:r>
            <w:r w:rsidRPr="63018341" w:rsidR="357A0B8A">
              <w:rPr>
                <w:rFonts w:cs="Arial"/>
                <w:sz w:val="22"/>
                <w:szCs w:val="22"/>
              </w:rPr>
              <w:t xml:space="preserve"> the preparation of a comprehensive database to document how the lessons from the </w:t>
            </w:r>
            <w:r w:rsidRPr="63018341" w:rsidR="357A0B8A">
              <w:rPr>
                <w:rFonts w:cs="Arial"/>
                <w:sz w:val="22"/>
                <w:szCs w:val="22"/>
              </w:rPr>
              <w:t>previous</w:t>
            </w:r>
            <w:r w:rsidRPr="63018341" w:rsidR="357A0B8A">
              <w:rPr>
                <w:rFonts w:cs="Arial"/>
                <w:sz w:val="22"/>
                <w:szCs w:val="22"/>
              </w:rPr>
              <w:t xml:space="preserve"> Bank-managed carbon funds, and FCPF and </w:t>
            </w:r>
            <w:r w:rsidRPr="63018341" w:rsidR="357A0B8A">
              <w:rPr>
                <w:rFonts w:cs="Arial"/>
                <w:sz w:val="22"/>
                <w:szCs w:val="22"/>
              </w:rPr>
              <w:t>ISFL in particular, are</w:t>
            </w:r>
            <w:r w:rsidRPr="63018341" w:rsidR="357A0B8A">
              <w:rPr>
                <w:rFonts w:cs="Arial"/>
                <w:sz w:val="22"/>
                <w:szCs w:val="22"/>
              </w:rPr>
              <w:t xml:space="preserve"> being integrated into SCALE programming.</w:t>
            </w:r>
            <w:r w:rsidRPr="63018341" w:rsidR="000936D0">
              <w:rPr>
                <w:rFonts w:cs="Arial"/>
                <w:sz w:val="22"/>
                <w:szCs w:val="22"/>
              </w:rPr>
              <w:t xml:space="preserve"> Whilst this is being prepared, several lessons have been incorporated into the recent SCALE work programme development. Key steps taken include embedding SCALE support within World Bank operations to ensure consistent financing and alignment with project cycles; updating benefit-sharing approaches to be more flexible and context-specific; and developing a tailored private sector engagement strategy, with explicit criteria for private sector involvement in new SCALE programmes.</w:t>
            </w:r>
          </w:p>
          <w:p w:rsidR="3838A7D8" w:rsidP="3838A7D8" w:rsidRDefault="3838A7D8" w14:paraId="142C7742" w14:textId="651B6265">
            <w:pPr>
              <w:rPr>
                <w:rFonts w:cs="Arial"/>
                <w:sz w:val="22"/>
                <w:szCs w:val="22"/>
              </w:rPr>
            </w:pPr>
          </w:p>
          <w:p w:rsidR="000936D0" w:rsidP="000936D0" w:rsidRDefault="287BF3B8" w14:paraId="0E74DDFD" w14:textId="174F1F05">
            <w:pPr>
              <w:rPr>
                <w:rFonts w:cs="Arial"/>
                <w:sz w:val="22"/>
                <w:szCs w:val="22"/>
              </w:rPr>
            </w:pPr>
            <w:r w:rsidRPr="6E9F528A">
              <w:rPr>
                <w:rFonts w:cs="Arial"/>
                <w:sz w:val="22"/>
                <w:szCs w:val="22"/>
              </w:rPr>
              <w:t>Looking forward, this recommendation has been rolled over to FY26, for the Bank to complete the database documenting how lessons from the ISFL and other Bank-managed carbon funds will be integrated into SCALE programming, ensuring lessons from ISFL in Zambia and Ethiopia are shared with and operationalised into SCALE programmes in Zambia and Ethio</w:t>
            </w:r>
            <w:r w:rsidRPr="6E9F528A" w:rsidR="731455CA">
              <w:rPr>
                <w:rFonts w:cs="Arial"/>
                <w:sz w:val="22"/>
                <w:szCs w:val="22"/>
              </w:rPr>
              <w:t xml:space="preserve">pia. </w:t>
            </w:r>
          </w:p>
          <w:p w:rsidR="6E9F528A" w:rsidP="6E9F528A" w:rsidRDefault="6E9F528A" w14:paraId="05705AC9" w14:textId="0756017D">
            <w:pPr>
              <w:rPr>
                <w:rFonts w:cs="Arial"/>
                <w:sz w:val="22"/>
                <w:szCs w:val="22"/>
              </w:rPr>
            </w:pPr>
          </w:p>
          <w:p w:rsidR="000936D0" w:rsidP="000936D0" w:rsidRDefault="000936D0" w14:paraId="340C0916" w14:textId="3474F8BF">
            <w:pPr>
              <w:jc w:val="both"/>
              <w:rPr>
                <w:rFonts w:cs="Arial"/>
                <w:sz w:val="22"/>
                <w:szCs w:val="22"/>
              </w:rPr>
            </w:pPr>
            <w:r>
              <w:rPr>
                <w:rFonts w:eastAsia="Arial" w:cs="Arial"/>
                <w:i/>
                <w:iCs/>
                <w:sz w:val="22"/>
                <w:szCs w:val="22"/>
              </w:rPr>
              <w:t>(Recommendation to be carried forward to FY26 Annual Review)</w:t>
            </w:r>
          </w:p>
        </w:tc>
      </w:tr>
      <w:tr w:rsidR="002B4A45" w:rsidTr="63018341" w14:paraId="1172EA99" w14:textId="77777777">
        <w:trPr>
          <w:trHeight w:val="300"/>
        </w:trPr>
        <w:tc>
          <w:tcPr>
            <w:tcW w:w="4221" w:type="dxa"/>
            <w:tcMar/>
          </w:tcPr>
          <w:p w:rsidR="002B4A45" w:rsidP="002B4A45" w:rsidRDefault="002B4A45" w14:paraId="0C3C29DB" w14:textId="606541D6">
            <w:pPr>
              <w:jc w:val="both"/>
              <w:rPr>
                <w:rFonts w:eastAsia="Arial" w:cs="Arial"/>
                <w:sz w:val="22"/>
                <w:szCs w:val="22"/>
              </w:rPr>
            </w:pPr>
            <w:r w:rsidRPr="00F03F55">
              <w:rPr>
                <w:rFonts w:eastAsia="Arial" w:cs="Arial"/>
                <w:b/>
                <w:bCs/>
                <w:color w:val="000000" w:themeColor="text1"/>
                <w:sz w:val="22"/>
                <w:szCs w:val="22"/>
              </w:rPr>
              <w:t xml:space="preserve">Recommendation [6] </w:t>
            </w:r>
            <w:r w:rsidRPr="00F03F55">
              <w:rPr>
                <w:rFonts w:eastAsia="Arial" w:cs="Arial"/>
                <w:b/>
                <w:bCs/>
                <w:i/>
                <w:iCs/>
                <w:color w:val="000000" w:themeColor="text1"/>
                <w:sz w:val="22"/>
                <w:szCs w:val="22"/>
              </w:rPr>
              <w:t>(rolled over from FY23)</w:t>
            </w:r>
            <w:r w:rsidRPr="00F03F55">
              <w:rPr>
                <w:rFonts w:eastAsia="Arial" w:cs="Arial"/>
                <w:b/>
                <w:bCs/>
                <w:color w:val="000000" w:themeColor="text1"/>
                <w:sz w:val="22"/>
                <w:szCs w:val="22"/>
              </w:rPr>
              <w:t xml:space="preserve">: </w:t>
            </w:r>
            <w:r w:rsidRPr="00F03F55">
              <w:rPr>
                <w:rFonts w:eastAsia="Arial" w:cs="Arial"/>
                <w:color w:val="000000" w:themeColor="text1"/>
                <w:sz w:val="22"/>
                <w:szCs w:val="22"/>
              </w:rPr>
              <w:t>DESNZ and contributors to maintain regular communication with the World Bank to keep track of ERPA progress and, where appropriate, to use available levers to encourage the swift completion of ERPAs if delays persist.</w:t>
            </w:r>
          </w:p>
        </w:tc>
        <w:tc>
          <w:tcPr>
            <w:tcW w:w="4795" w:type="dxa"/>
            <w:tcMar/>
          </w:tcPr>
          <w:p w:rsidRPr="00F03F55" w:rsidR="002B4A45" w:rsidP="002B4A45" w:rsidRDefault="002B4A45" w14:paraId="45609453" w14:textId="77777777">
            <w:pPr>
              <w:rPr>
                <w:rFonts w:cs="Arial"/>
                <w:b/>
                <w:bCs/>
                <w:i/>
                <w:iCs/>
                <w:sz w:val="22"/>
                <w:szCs w:val="22"/>
              </w:rPr>
            </w:pPr>
            <w:r w:rsidRPr="00F03F55">
              <w:rPr>
                <w:rFonts w:cs="Arial"/>
                <w:b/>
                <w:bCs/>
                <w:i/>
                <w:iCs/>
                <w:sz w:val="22"/>
                <w:szCs w:val="22"/>
              </w:rPr>
              <w:t>Achieved</w:t>
            </w:r>
            <w:r>
              <w:rPr>
                <w:rFonts w:cs="Arial"/>
                <w:b/>
                <w:bCs/>
                <w:i/>
                <w:iCs/>
                <w:sz w:val="22"/>
                <w:szCs w:val="22"/>
              </w:rPr>
              <w:t xml:space="preserve"> (Ongoing)</w:t>
            </w:r>
          </w:p>
          <w:p w:rsidRPr="00F03F55" w:rsidR="002B4A45" w:rsidP="002B4A45" w:rsidRDefault="002B4A45" w14:paraId="25271E07" w14:textId="77777777">
            <w:pPr>
              <w:rPr>
                <w:rFonts w:cs="Arial"/>
                <w:i/>
                <w:iCs/>
                <w:sz w:val="22"/>
                <w:szCs w:val="22"/>
              </w:rPr>
            </w:pPr>
          </w:p>
          <w:p w:rsidRPr="00DA4A38" w:rsidR="002B4A45" w:rsidP="002B4A45" w:rsidRDefault="002B4A45" w14:paraId="68B7BF44" w14:textId="77777777">
            <w:pPr>
              <w:rPr>
                <w:rFonts w:cs="Arial"/>
                <w:sz w:val="22"/>
                <w:szCs w:val="22"/>
              </w:rPr>
            </w:pPr>
            <w:r w:rsidRPr="00DA4A38">
              <w:rPr>
                <w:rFonts w:cs="Arial"/>
                <w:sz w:val="22"/>
                <w:szCs w:val="22"/>
              </w:rPr>
              <w:t>Communications with the World Bank on ERPA progress, particularly regarding Mexico, have been strong and consistent, and engagement with donors has been satisfactory. However, the ability to ensure ERPA signatures has been limited</w:t>
            </w:r>
            <w:r>
              <w:rPr>
                <w:rFonts w:cs="Arial"/>
                <w:sz w:val="22"/>
                <w:szCs w:val="22"/>
              </w:rPr>
              <w:t xml:space="preserve"> due to a </w:t>
            </w:r>
            <w:r w:rsidRPr="00E91828">
              <w:rPr>
                <w:rFonts w:cs="Arial"/>
                <w:sz w:val="22"/>
                <w:szCs w:val="22"/>
              </w:rPr>
              <w:t>mix of political, institutional, and stakeholder-related challenges, as well as lengthy audit report processes.</w:t>
            </w:r>
            <w:r>
              <w:rPr>
                <w:rFonts w:cs="Arial"/>
                <w:sz w:val="22"/>
                <w:szCs w:val="22"/>
              </w:rPr>
              <w:t xml:space="preserve"> </w:t>
            </w:r>
            <w:r w:rsidRPr="00DA4A38">
              <w:rPr>
                <w:rFonts w:cs="Arial"/>
                <w:sz w:val="22"/>
                <w:szCs w:val="22"/>
              </w:rPr>
              <w:t>This recommendation will continue to be carried forward until all ERPAs are signed.</w:t>
            </w:r>
          </w:p>
          <w:p w:rsidR="002B4A45" w:rsidP="002B4A45" w:rsidRDefault="002B4A45" w14:paraId="6C3193E7" w14:textId="77777777">
            <w:pPr>
              <w:rPr>
                <w:rFonts w:cs="Arial"/>
                <w:i/>
                <w:iCs/>
                <w:sz w:val="22"/>
                <w:szCs w:val="22"/>
              </w:rPr>
            </w:pPr>
          </w:p>
          <w:p w:rsidR="002B4A45" w:rsidP="002B4A45" w:rsidRDefault="002B4A45" w14:paraId="1E8F10EE" w14:textId="4503FCF4">
            <w:pPr>
              <w:jc w:val="both"/>
              <w:rPr>
                <w:rFonts w:cs="Arial"/>
                <w:i/>
                <w:iCs/>
                <w:sz w:val="22"/>
                <w:szCs w:val="22"/>
              </w:rPr>
            </w:pPr>
            <w:r>
              <w:rPr>
                <w:rFonts w:eastAsia="Arial" w:cs="Arial"/>
                <w:i/>
                <w:iCs/>
                <w:sz w:val="22"/>
                <w:szCs w:val="22"/>
              </w:rPr>
              <w:t>(Recommendation to be carried forward to FY26 Annual Review)</w:t>
            </w:r>
          </w:p>
        </w:tc>
      </w:tr>
      <w:tr w:rsidR="007622B2" w:rsidTr="63018341" w14:paraId="21D86B60" w14:textId="77777777">
        <w:trPr>
          <w:trHeight w:val="300"/>
        </w:trPr>
        <w:tc>
          <w:tcPr>
            <w:tcW w:w="4221" w:type="dxa"/>
            <w:tcMar/>
          </w:tcPr>
          <w:p w:rsidR="007622B2" w:rsidP="007622B2" w:rsidRDefault="007622B2" w14:paraId="54E739CB" w14:textId="1D08ACBA">
            <w:pPr>
              <w:jc w:val="both"/>
              <w:rPr>
                <w:rFonts w:eastAsia="Arial" w:cs="Arial"/>
                <w:sz w:val="22"/>
                <w:szCs w:val="22"/>
              </w:rPr>
            </w:pPr>
            <w:r w:rsidRPr="00F03F55">
              <w:rPr>
                <w:rFonts w:eastAsia="Arial" w:cs="Arial"/>
                <w:b/>
                <w:bCs/>
                <w:color w:val="000000" w:themeColor="text1"/>
                <w:sz w:val="22"/>
                <w:szCs w:val="22"/>
              </w:rPr>
              <w:t xml:space="preserve">Recommendation [7]: </w:t>
            </w:r>
            <w:r w:rsidRPr="00F03F55">
              <w:rPr>
                <w:rFonts w:eastAsia="Arial" w:cs="Arial"/>
                <w:color w:val="000000" w:themeColor="text1"/>
                <w:sz w:val="22"/>
                <w:szCs w:val="22"/>
              </w:rPr>
              <w:t>World Bank and contributors to discuss and plan for the future of the ISFL standard beyond the ISFL programme.</w:t>
            </w:r>
          </w:p>
        </w:tc>
        <w:tc>
          <w:tcPr>
            <w:tcW w:w="4795" w:type="dxa"/>
            <w:tcMar/>
          </w:tcPr>
          <w:p w:rsidRPr="00F03F55" w:rsidR="007622B2" w:rsidP="007622B2" w:rsidRDefault="007622B2" w14:paraId="15BEF030" w14:textId="12EB29B7">
            <w:pPr>
              <w:rPr>
                <w:rFonts w:cs="Arial"/>
                <w:b/>
                <w:bCs/>
                <w:i/>
                <w:iCs/>
                <w:sz w:val="22"/>
                <w:szCs w:val="22"/>
              </w:rPr>
            </w:pPr>
            <w:r w:rsidRPr="00F03F55">
              <w:rPr>
                <w:rFonts w:cs="Arial"/>
                <w:b/>
                <w:bCs/>
                <w:i/>
                <w:iCs/>
                <w:sz w:val="22"/>
                <w:szCs w:val="22"/>
              </w:rPr>
              <w:t>Not Achieved</w:t>
            </w:r>
          </w:p>
          <w:p w:rsidRPr="00F03F55" w:rsidR="007622B2" w:rsidP="007622B2" w:rsidRDefault="007622B2" w14:paraId="214F3699" w14:textId="42E9CF23">
            <w:pPr>
              <w:rPr>
                <w:rFonts w:cs="Arial"/>
                <w:sz w:val="22"/>
                <w:szCs w:val="22"/>
              </w:rPr>
            </w:pPr>
          </w:p>
          <w:p w:rsidR="007622B2" w:rsidP="0D0823E1" w:rsidRDefault="00C66E28" w14:paraId="46FECF93" w14:textId="49A308DF">
            <w:pPr>
              <w:suppressLineNumbers w:val="0"/>
              <w:bidi w:val="0"/>
              <w:spacing w:before="0" w:beforeAutospacing="off" w:after="0" w:afterAutospacing="off" w:line="240" w:lineRule="auto"/>
              <w:ind/>
              <w:rPr>
                <w:rFonts w:cs="Arial"/>
                <w:sz w:val="22"/>
                <w:szCs w:val="22"/>
              </w:rPr>
            </w:pPr>
            <w:r w:rsidRPr="0D0823E1" w:rsidR="7E775C1C">
              <w:rPr>
                <w:rFonts w:cs="Arial"/>
                <w:sz w:val="22"/>
                <w:szCs w:val="22"/>
              </w:rPr>
              <w:t xml:space="preserve">Although discussions took place over FY25, by the end of the reporting </w:t>
            </w:r>
            <w:r w:rsidRPr="0D0823E1" w:rsidR="7E775C1C">
              <w:rPr>
                <w:rFonts w:cs="Arial"/>
                <w:sz w:val="22"/>
                <w:szCs w:val="22"/>
              </w:rPr>
              <w:t>period a plan for the future of the ISFL standard had not been finalised.</w:t>
            </w:r>
          </w:p>
          <w:p w:rsidR="007622B2" w:rsidP="007622B2" w:rsidRDefault="007622B2" w14:paraId="70F0917F" w14:textId="77777777">
            <w:pPr>
              <w:rPr>
                <w:rFonts w:cs="Arial"/>
                <w:sz w:val="22"/>
                <w:szCs w:val="22"/>
              </w:rPr>
            </w:pPr>
          </w:p>
          <w:p w:rsidR="007622B2" w:rsidP="007622B2" w:rsidRDefault="007622B2" w14:paraId="47D449A6" w14:textId="580AB8C9">
            <w:pPr>
              <w:jc w:val="both"/>
              <w:rPr>
                <w:rFonts w:cs="Arial"/>
                <w:sz w:val="22"/>
                <w:szCs w:val="22"/>
              </w:rPr>
            </w:pPr>
            <w:r>
              <w:rPr>
                <w:rFonts w:eastAsia="Arial" w:cs="Arial"/>
                <w:i/>
                <w:iCs/>
                <w:sz w:val="22"/>
                <w:szCs w:val="22"/>
              </w:rPr>
              <w:t>(Recommendation to be carried forward to FY26 Annual Review)</w:t>
            </w:r>
          </w:p>
        </w:tc>
      </w:tr>
      <w:tr w:rsidR="006D4497" w:rsidTr="63018341" w14:paraId="1F4C8515" w14:textId="77777777">
        <w:trPr>
          <w:trHeight w:val="300"/>
        </w:trPr>
        <w:tc>
          <w:tcPr>
            <w:tcW w:w="4221" w:type="dxa"/>
            <w:tcMar/>
          </w:tcPr>
          <w:p w:rsidR="006D4497" w:rsidP="006D4497" w:rsidRDefault="006D4497" w14:paraId="75294650" w14:textId="11D5F9EA">
            <w:pPr>
              <w:jc w:val="both"/>
              <w:rPr>
                <w:rFonts w:eastAsia="Arial" w:cs="Arial"/>
                <w:sz w:val="22"/>
                <w:szCs w:val="22"/>
              </w:rPr>
            </w:pPr>
            <w:r w:rsidRPr="00F03F55">
              <w:rPr>
                <w:rFonts w:eastAsia="Arial" w:cs="Arial"/>
                <w:b/>
                <w:bCs/>
                <w:color w:val="000000" w:themeColor="text1"/>
                <w:sz w:val="22"/>
                <w:szCs w:val="22"/>
              </w:rPr>
              <w:t xml:space="preserve">Recommendation [8]: </w:t>
            </w:r>
            <w:r w:rsidRPr="00F03F55">
              <w:rPr>
                <w:rFonts w:eastAsia="Arial" w:cs="Arial"/>
                <w:color w:val="000000" w:themeColor="text1"/>
                <w:sz w:val="22"/>
                <w:szCs w:val="22"/>
              </w:rPr>
              <w:t>World Bank and contributors to discuss and create a plan for the operationalisation of the various private sector pilots that have been carried out across ISFL programmes.</w:t>
            </w:r>
          </w:p>
        </w:tc>
        <w:tc>
          <w:tcPr>
            <w:tcW w:w="4795" w:type="dxa"/>
            <w:tcMar/>
          </w:tcPr>
          <w:p w:rsidRPr="00F03F55" w:rsidR="006D4497" w:rsidP="006D4497" w:rsidRDefault="006D4497" w14:paraId="0BA283CA" w14:textId="3204BA17">
            <w:pPr>
              <w:rPr>
                <w:rFonts w:cs="Arial"/>
                <w:b/>
                <w:bCs/>
                <w:i/>
                <w:iCs/>
                <w:sz w:val="22"/>
                <w:szCs w:val="22"/>
              </w:rPr>
            </w:pPr>
            <w:r w:rsidRPr="00F03F55">
              <w:rPr>
                <w:rFonts w:cs="Arial"/>
                <w:b/>
                <w:bCs/>
                <w:i/>
                <w:iCs/>
                <w:sz w:val="22"/>
                <w:szCs w:val="22"/>
              </w:rPr>
              <w:t>Achieved</w:t>
            </w:r>
          </w:p>
          <w:p w:rsidRPr="00F03F55" w:rsidR="006D4497" w:rsidP="006D4497" w:rsidRDefault="006D4497" w14:paraId="4CD3B1F6" w14:textId="17530D76">
            <w:pPr>
              <w:rPr>
                <w:rFonts w:cs="Arial"/>
                <w:i/>
                <w:iCs/>
                <w:sz w:val="22"/>
                <w:szCs w:val="22"/>
              </w:rPr>
            </w:pPr>
          </w:p>
          <w:p w:rsidRPr="00F03F55" w:rsidR="006D4497" w:rsidP="006D4497" w:rsidRDefault="006D4497" w14:paraId="75F52993" w14:textId="3BFA5B3D">
            <w:pPr>
              <w:rPr>
                <w:rFonts w:cs="Arial"/>
                <w:sz w:val="22"/>
                <w:szCs w:val="22"/>
              </w:rPr>
            </w:pPr>
            <w:r w:rsidRPr="00F03F55">
              <w:rPr>
                <w:rFonts w:cs="Arial"/>
                <w:sz w:val="22"/>
                <w:szCs w:val="22"/>
              </w:rPr>
              <w:t>The various pilot projects under the ISFL private sector strategy in Ethiopia and Colombia are nearing completion. Most of the initiatives in Colombia have been finalised, and teams in both countries are focused on developing a dissemination strategy for the results of these studies and pilots. This includes publishing peer-reviewed documents, hosting local workshops with stakeholders, writing blog posts, producing podcasts, and training local partners on the use and application of cross-cutting models, such as water management in Colombia, as well as various business models applicable to different contexts in both countries.</w:t>
            </w:r>
          </w:p>
          <w:p w:rsidRPr="00F03F55" w:rsidR="006D4497" w:rsidP="006D4497" w:rsidRDefault="006D4497" w14:paraId="54833FB0" w14:textId="4A4A19CE">
            <w:pPr>
              <w:rPr>
                <w:rFonts w:cs="Arial"/>
                <w:i/>
                <w:iCs/>
                <w:sz w:val="22"/>
                <w:szCs w:val="22"/>
              </w:rPr>
            </w:pPr>
          </w:p>
          <w:p w:rsidR="006D4497" w:rsidP="006D4497" w:rsidRDefault="006D4497" w14:paraId="219BF362" w14:textId="21A0D0A0">
            <w:pPr>
              <w:jc w:val="both"/>
              <w:rPr>
                <w:rFonts w:cs="Arial"/>
                <w:sz w:val="22"/>
                <w:szCs w:val="22"/>
              </w:rPr>
            </w:pPr>
          </w:p>
        </w:tc>
      </w:tr>
      <w:tr w:rsidR="00304770" w:rsidTr="63018341" w14:paraId="3504C96D" w14:textId="77777777">
        <w:trPr>
          <w:trHeight w:val="300"/>
        </w:trPr>
        <w:tc>
          <w:tcPr>
            <w:tcW w:w="4221" w:type="dxa"/>
            <w:tcMar/>
          </w:tcPr>
          <w:p w:rsidR="00304770" w:rsidP="00304770" w:rsidRDefault="00304770" w14:paraId="3B51B8B8" w14:textId="30BC0C46">
            <w:pPr>
              <w:jc w:val="both"/>
              <w:rPr>
                <w:rFonts w:eastAsia="Arial" w:cs="Arial"/>
                <w:sz w:val="22"/>
                <w:szCs w:val="22"/>
              </w:rPr>
            </w:pPr>
            <w:r w:rsidRPr="00F03F55">
              <w:rPr>
                <w:rFonts w:eastAsia="Arial" w:cs="Arial"/>
                <w:b/>
                <w:bCs/>
                <w:color w:val="000000" w:themeColor="text1"/>
                <w:sz w:val="22"/>
                <w:szCs w:val="22"/>
              </w:rPr>
              <w:t xml:space="preserve">Recommendation [9]: </w:t>
            </w:r>
            <w:r w:rsidRPr="00F03F55">
              <w:rPr>
                <w:rFonts w:eastAsia="Arial" w:cs="Arial"/>
                <w:color w:val="000000" w:themeColor="text1"/>
                <w:sz w:val="22"/>
                <w:szCs w:val="22"/>
              </w:rPr>
              <w:t>DESNZ to discuss how to assess Output 3 in the 2024/25 Annual Review to ensure the scoring accurately reflects progress.</w:t>
            </w:r>
          </w:p>
        </w:tc>
        <w:tc>
          <w:tcPr>
            <w:tcW w:w="4795" w:type="dxa"/>
            <w:tcMar/>
          </w:tcPr>
          <w:p w:rsidRPr="00F03F55" w:rsidR="00304770" w:rsidP="00304770" w:rsidRDefault="00304770" w14:paraId="1F9218A3" w14:textId="74E5AF12">
            <w:pPr>
              <w:rPr>
                <w:rFonts w:cs="Arial"/>
                <w:b/>
                <w:bCs/>
                <w:i/>
                <w:iCs/>
                <w:sz w:val="22"/>
                <w:szCs w:val="22"/>
              </w:rPr>
            </w:pPr>
            <w:r w:rsidRPr="00F03F55">
              <w:rPr>
                <w:rFonts w:cs="Arial"/>
                <w:b/>
                <w:bCs/>
                <w:i/>
                <w:iCs/>
                <w:sz w:val="22"/>
                <w:szCs w:val="22"/>
              </w:rPr>
              <w:t>Achieved</w:t>
            </w:r>
          </w:p>
          <w:p w:rsidRPr="00F03F55" w:rsidR="00304770" w:rsidP="00304770" w:rsidRDefault="00304770" w14:paraId="004FB792" w14:textId="28190932">
            <w:pPr>
              <w:rPr>
                <w:rFonts w:cs="Arial"/>
                <w:i/>
                <w:iCs/>
                <w:sz w:val="22"/>
                <w:szCs w:val="22"/>
              </w:rPr>
            </w:pPr>
          </w:p>
          <w:p w:rsidRPr="00F03F55" w:rsidR="00304770" w:rsidP="00304770" w:rsidRDefault="00304770" w14:paraId="2B499239" w14:textId="50878919">
            <w:pPr>
              <w:rPr>
                <w:rFonts w:cs="Arial"/>
                <w:sz w:val="22"/>
                <w:szCs w:val="22"/>
              </w:rPr>
            </w:pPr>
            <w:r w:rsidRPr="00F03F55">
              <w:rPr>
                <w:rFonts w:cs="Arial"/>
                <w:sz w:val="22"/>
                <w:szCs w:val="22"/>
              </w:rPr>
              <w:t>For the 2024/25 Annual Review, Output 3 will be scored according to the following process:</w:t>
            </w:r>
          </w:p>
          <w:p w:rsidRPr="00F03F55" w:rsidR="00304770" w:rsidP="00304770" w:rsidRDefault="00304770" w14:paraId="2A9C0C09" w14:textId="045AAAFE">
            <w:pPr>
              <w:pStyle w:val="ListParagraph"/>
              <w:numPr>
                <w:ilvl w:val="0"/>
                <w:numId w:val="2"/>
              </w:numPr>
              <w:spacing w:after="0"/>
              <w:rPr>
                <w:rFonts w:cs="Arial"/>
                <w:sz w:val="22"/>
                <w:szCs w:val="22"/>
              </w:rPr>
            </w:pPr>
            <w:r w:rsidRPr="00F03F55">
              <w:rPr>
                <w:rFonts w:cs="Arial"/>
                <w:sz w:val="22"/>
                <w:szCs w:val="22"/>
              </w:rPr>
              <w:t xml:space="preserve">Output </w:t>
            </w:r>
            <w:r>
              <w:rPr>
                <w:rFonts w:cs="Arial"/>
                <w:sz w:val="22"/>
                <w:szCs w:val="22"/>
              </w:rPr>
              <w:t>I</w:t>
            </w:r>
            <w:r w:rsidRPr="00F03F55">
              <w:rPr>
                <w:rFonts w:cs="Arial"/>
                <w:sz w:val="22"/>
                <w:szCs w:val="22"/>
              </w:rPr>
              <w:t>ndicators 3.1, 3.2 and 3.3 will be scored as usual to produce an overall score for the output.</w:t>
            </w:r>
          </w:p>
          <w:p w:rsidRPr="00F03F55" w:rsidR="00304770" w:rsidP="00304770" w:rsidRDefault="00304770" w14:paraId="147DFBCD" w14:textId="0B95A81D">
            <w:pPr>
              <w:pStyle w:val="ListParagraph"/>
              <w:numPr>
                <w:ilvl w:val="0"/>
                <w:numId w:val="2"/>
              </w:numPr>
              <w:spacing w:after="0"/>
              <w:rPr>
                <w:rFonts w:cs="Arial"/>
                <w:sz w:val="22"/>
                <w:szCs w:val="22"/>
              </w:rPr>
            </w:pPr>
            <w:r w:rsidRPr="00F03F55">
              <w:rPr>
                <w:rFonts w:cs="Arial"/>
                <w:sz w:val="22"/>
                <w:szCs w:val="22"/>
              </w:rPr>
              <w:t>The assessor will then make a qualitative assessment of the success against this output across all five countries to come to a final assessment of the overall score for Output 3.</w:t>
            </w:r>
          </w:p>
          <w:p w:rsidRPr="00F03F55" w:rsidR="00304770" w:rsidP="00304770" w:rsidRDefault="00304770" w14:paraId="07DAF167" w14:textId="2FB3A1B4">
            <w:pPr>
              <w:rPr>
                <w:rFonts w:cs="Arial"/>
                <w:sz w:val="22"/>
                <w:szCs w:val="22"/>
              </w:rPr>
            </w:pPr>
          </w:p>
          <w:p w:rsidR="00304770" w:rsidP="00304770" w:rsidRDefault="00304770" w14:paraId="73703DE3" w14:textId="040FCCB4">
            <w:pPr>
              <w:rPr>
                <w:rFonts w:cs="Arial"/>
                <w:sz w:val="22"/>
                <w:szCs w:val="22"/>
              </w:rPr>
            </w:pPr>
            <w:r w:rsidRPr="0D0823E1" w:rsidR="00304770">
              <w:rPr>
                <w:rFonts w:cs="Arial"/>
                <w:sz w:val="22"/>
                <w:szCs w:val="22"/>
              </w:rPr>
              <w:t xml:space="preserve">It has been recommended </w:t>
            </w:r>
            <w:r w:rsidRPr="0D0823E1" w:rsidR="00304770">
              <w:rPr>
                <w:rFonts w:cs="Arial"/>
                <w:sz w:val="22"/>
                <w:szCs w:val="22"/>
              </w:rPr>
              <w:t xml:space="preserve">(see </w:t>
            </w:r>
            <w:r w:rsidRPr="0D0823E1" w:rsidR="00304770">
              <w:rPr>
                <w:rFonts w:cs="Arial"/>
                <w:b w:val="1"/>
                <w:bCs w:val="1"/>
                <w:sz w:val="22"/>
                <w:szCs w:val="22"/>
              </w:rPr>
              <w:t>Recommendation [1]</w:t>
            </w:r>
            <w:r w:rsidRPr="0D0823E1" w:rsidR="00304770">
              <w:rPr>
                <w:rFonts w:cs="Arial"/>
                <w:b w:val="1"/>
                <w:bCs w:val="1"/>
                <w:sz w:val="22"/>
                <w:szCs w:val="22"/>
              </w:rPr>
              <w:t xml:space="preserve"> </w:t>
            </w:r>
            <w:r w:rsidRPr="0D0823E1" w:rsidR="00DB5BE1">
              <w:rPr>
                <w:rFonts w:cs="Arial"/>
                <w:b w:val="1"/>
                <w:bCs w:val="1"/>
                <w:sz w:val="22"/>
                <w:szCs w:val="22"/>
              </w:rPr>
              <w:t>for the year ahead</w:t>
            </w:r>
            <w:r w:rsidRPr="0D0823E1" w:rsidR="00304770">
              <w:rPr>
                <w:rFonts w:cs="Arial"/>
                <w:sz w:val="22"/>
                <w:szCs w:val="22"/>
              </w:rPr>
              <w:t xml:space="preserve"> below)</w:t>
            </w:r>
            <w:r w:rsidRPr="0D0823E1" w:rsidR="00304770">
              <w:rPr>
                <w:rFonts w:cs="Arial"/>
                <w:sz w:val="22"/>
                <w:szCs w:val="22"/>
              </w:rPr>
              <w:t xml:space="preserve"> that Output Indicator 3.4, “Number of businesses/private sector actors ensuring environmental and social benefits are created, sustainable, and scaled as a result of ISFL support”, is changed into a qualitative indicator. Once this change is actioned, Annual Review scoring for Output 3 can continue according to the usual process.</w:t>
            </w:r>
          </w:p>
        </w:tc>
      </w:tr>
    </w:tbl>
    <w:p w:rsidR="5C597F2F" w:rsidP="5C597F2F" w:rsidRDefault="5C597F2F" w14:paraId="2EC3EEDB" w14:textId="7BAE1843">
      <w:pPr>
        <w:jc w:val="both"/>
        <w:rPr>
          <w:rStyle w:val="Heading2Char"/>
        </w:rPr>
      </w:pPr>
    </w:p>
    <w:p w:rsidRPr="009E3F6E" w:rsidR="003D222C" w:rsidP="11614349" w:rsidRDefault="003D222C" w14:paraId="788BE7E1" w14:textId="44936129">
      <w:pPr>
        <w:jc w:val="both"/>
        <w:rPr>
          <w:rStyle w:val="Heading2Char"/>
        </w:rPr>
      </w:pPr>
      <w:bookmarkStart w:name="_Toc1170643940" w:id="889578931"/>
      <w:r w:rsidRPr="376EB76A" w:rsidR="35EEEB8C">
        <w:rPr>
          <w:rStyle w:val="Heading2Char"/>
        </w:rPr>
        <w:t>Major lessons and recommendations for the year ahead</w:t>
      </w:r>
      <w:bookmarkEnd w:id="889578931"/>
    </w:p>
    <w:p w:rsidRPr="00D80C6C" w:rsidR="003D222C" w:rsidP="5C597F2F" w:rsidRDefault="003D222C" w14:paraId="2A4B8A97" w14:textId="41B3E906">
      <w:pPr>
        <w:tabs>
          <w:tab w:val="left" w:pos="6915"/>
          <w:tab w:val="left" w:pos="9495"/>
        </w:tabs>
        <w:jc w:val="both"/>
        <w:rPr>
          <w:rFonts w:cs="Arial"/>
          <w:sz w:val="22"/>
          <w:szCs w:val="22"/>
          <w:highlight w:val="yellow"/>
        </w:rPr>
      </w:pPr>
    </w:p>
    <w:p w:rsidR="79BF2C0F" w:rsidP="79BF2C0F" w:rsidRDefault="3851E0AE" w14:paraId="4D4FAF94" w14:textId="7FA7ACC5">
      <w:pPr>
        <w:jc w:val="both"/>
        <w:rPr>
          <w:rFonts w:cs="Arial"/>
          <w:b w:val="1"/>
          <w:bCs w:val="1"/>
          <w:sz w:val="22"/>
          <w:szCs w:val="22"/>
        </w:rPr>
      </w:pPr>
      <w:r w:rsidRPr="63018341" w:rsidR="3851E0AE">
        <w:rPr>
          <w:rFonts w:cs="Arial"/>
          <w:b w:val="1"/>
          <w:bCs w:val="1"/>
          <w:sz w:val="22"/>
          <w:szCs w:val="22"/>
        </w:rPr>
        <w:t>Major Lessons</w:t>
      </w:r>
    </w:p>
    <w:p w:rsidR="2AAF070F" w:rsidP="244A9A43" w:rsidRDefault="2AAF070F" w14:paraId="3FC47820" w14:textId="3B3039DC">
      <w:pPr>
        <w:pStyle w:val="Normal"/>
        <w:jc w:val="both"/>
        <w:rPr>
          <w:rFonts w:cs="Arial"/>
          <w:b w:val="1"/>
          <w:bCs w:val="1"/>
          <w:sz w:val="22"/>
          <w:szCs w:val="22"/>
        </w:rPr>
      </w:pPr>
    </w:p>
    <w:p w:rsidR="00B15B05" w:rsidP="0F253E16" w:rsidRDefault="3851E0AE" w14:paraId="7C859F50" w14:textId="083C4D55">
      <w:pPr>
        <w:jc w:val="both"/>
        <w:rPr>
          <w:rFonts w:eastAsia="Arial" w:cs="Arial"/>
          <w:color w:val="000000" w:themeColor="text1"/>
          <w:sz w:val="22"/>
          <w:szCs w:val="22"/>
        </w:rPr>
      </w:pPr>
      <w:r w:rsidRPr="63018341" w:rsidR="3851E0AE">
        <w:rPr>
          <w:rFonts w:eastAsia="Arial" w:cs="Arial"/>
          <w:color w:val="000000" w:themeColor="text1" w:themeTint="FF" w:themeShade="FF"/>
          <w:sz w:val="22"/>
          <w:szCs w:val="22"/>
        </w:rPr>
        <w:t xml:space="preserve">A key lesson </w:t>
      </w:r>
      <w:r w:rsidRPr="63018341" w:rsidR="3851E0AE">
        <w:rPr>
          <w:rFonts w:eastAsia="Arial" w:cs="Arial"/>
          <w:color w:val="000000" w:themeColor="text1" w:themeTint="FF" w:themeShade="FF"/>
          <w:sz w:val="22"/>
          <w:szCs w:val="22"/>
        </w:rPr>
        <w:t xml:space="preserve">which has been carried over from the previous year is around the underestimation of the time taken to complete ERPDs and ERPAs. </w:t>
      </w:r>
      <w:r w:rsidRPr="63018341" w:rsidR="00723CBF">
        <w:rPr>
          <w:rFonts w:eastAsia="Arial" w:cs="Arial"/>
          <w:color w:val="000000" w:themeColor="text1" w:themeTint="FF" w:themeShade="FF"/>
          <w:sz w:val="22"/>
          <w:szCs w:val="22"/>
        </w:rPr>
        <w:t xml:space="preserve">Whilst </w:t>
      </w:r>
      <w:r w:rsidRPr="63018341" w:rsidR="00723CBF">
        <w:rPr>
          <w:rFonts w:eastAsia="Arial" w:cs="Arial"/>
          <w:color w:val="000000" w:themeColor="text1" w:themeTint="FF" w:themeShade="FF"/>
          <w:sz w:val="22"/>
          <w:szCs w:val="22"/>
        </w:rPr>
        <w:t>previous</w:t>
      </w:r>
      <w:r w:rsidRPr="63018341" w:rsidR="00723CBF">
        <w:rPr>
          <w:rFonts w:eastAsia="Arial" w:cs="Arial"/>
          <w:color w:val="000000" w:themeColor="text1" w:themeTint="FF" w:themeShade="FF"/>
          <w:sz w:val="22"/>
          <w:szCs w:val="22"/>
        </w:rPr>
        <w:t xml:space="preserve"> challenges included internal country dynamics, </w:t>
      </w:r>
      <w:r w:rsidRPr="63018341" w:rsidR="00485FDB">
        <w:rPr>
          <w:rFonts w:eastAsia="Arial" w:cs="Arial"/>
          <w:color w:val="000000" w:themeColor="text1" w:themeTint="FF" w:themeShade="FF"/>
          <w:sz w:val="22"/>
          <w:szCs w:val="22"/>
        </w:rPr>
        <w:t xml:space="preserve">optimism bias in timelines, and lengthy audit and negotiation processes, this year’s delays have also been shaped by context-specific factors such as stakeholder grievances, political transitions, and evolving government positions on REDD+. </w:t>
      </w:r>
      <w:r w:rsidRPr="63018341" w:rsidR="3851E0AE">
        <w:rPr>
          <w:rFonts w:eastAsia="Arial" w:cs="Arial"/>
          <w:b w:val="1"/>
          <w:bCs w:val="1"/>
          <w:color w:val="000000" w:themeColor="text1" w:themeTint="FF" w:themeShade="FF"/>
          <w:sz w:val="22"/>
          <w:szCs w:val="22"/>
        </w:rPr>
        <w:t>Recommendation [</w:t>
      </w:r>
      <w:r w:rsidRPr="63018341" w:rsidR="00A13706">
        <w:rPr>
          <w:rFonts w:eastAsia="Arial" w:cs="Arial"/>
          <w:b w:val="1"/>
          <w:bCs w:val="1"/>
          <w:color w:val="000000" w:themeColor="text1" w:themeTint="FF" w:themeShade="FF"/>
          <w:sz w:val="22"/>
          <w:szCs w:val="22"/>
        </w:rPr>
        <w:t>6</w:t>
      </w:r>
      <w:r w:rsidRPr="63018341" w:rsidR="3851E0AE">
        <w:rPr>
          <w:rFonts w:eastAsia="Arial" w:cs="Arial"/>
          <w:b w:val="1"/>
          <w:bCs w:val="1"/>
          <w:color w:val="000000" w:themeColor="text1" w:themeTint="FF" w:themeShade="FF"/>
          <w:sz w:val="22"/>
          <w:szCs w:val="22"/>
        </w:rPr>
        <w:t>]</w:t>
      </w:r>
      <w:r w:rsidRPr="63018341" w:rsidR="3851E0AE">
        <w:rPr>
          <w:rFonts w:eastAsia="Arial" w:cs="Arial"/>
          <w:color w:val="000000" w:themeColor="text1" w:themeTint="FF" w:themeShade="FF"/>
          <w:sz w:val="22"/>
          <w:szCs w:val="22"/>
        </w:rPr>
        <w:t xml:space="preserve"> has been rolled over from FY2</w:t>
      </w:r>
      <w:r w:rsidRPr="63018341" w:rsidR="00485FDB">
        <w:rPr>
          <w:rFonts w:eastAsia="Arial" w:cs="Arial"/>
          <w:color w:val="000000" w:themeColor="text1" w:themeTint="FF" w:themeShade="FF"/>
          <w:sz w:val="22"/>
          <w:szCs w:val="22"/>
        </w:rPr>
        <w:t>4</w:t>
      </w:r>
      <w:r w:rsidRPr="63018341" w:rsidR="3851E0AE">
        <w:rPr>
          <w:rFonts w:eastAsia="Arial" w:cs="Arial"/>
          <w:color w:val="000000" w:themeColor="text1" w:themeTint="FF" w:themeShade="FF"/>
          <w:sz w:val="22"/>
          <w:szCs w:val="22"/>
        </w:rPr>
        <w:t xml:space="preserve"> to ensure we are kept updated on ERPA progress, and </w:t>
      </w:r>
      <w:r w:rsidRPr="63018341" w:rsidR="3851E0AE">
        <w:rPr>
          <w:rFonts w:eastAsia="Arial" w:cs="Arial"/>
          <w:b w:val="1"/>
          <w:bCs w:val="1"/>
          <w:color w:val="000000" w:themeColor="text1" w:themeTint="FF" w:themeShade="FF"/>
          <w:sz w:val="22"/>
          <w:szCs w:val="22"/>
        </w:rPr>
        <w:t>Recommendation [</w:t>
      </w:r>
      <w:r w:rsidRPr="63018341" w:rsidR="00A13706">
        <w:rPr>
          <w:rFonts w:eastAsia="Arial" w:cs="Arial"/>
          <w:b w:val="1"/>
          <w:bCs w:val="1"/>
          <w:color w:val="000000" w:themeColor="text1" w:themeTint="FF" w:themeShade="FF"/>
          <w:sz w:val="22"/>
          <w:szCs w:val="22"/>
        </w:rPr>
        <w:t>4</w:t>
      </w:r>
      <w:r w:rsidRPr="63018341" w:rsidR="3851E0AE">
        <w:rPr>
          <w:rFonts w:eastAsia="Arial" w:cs="Arial"/>
          <w:b w:val="1"/>
          <w:bCs w:val="1"/>
          <w:color w:val="000000" w:themeColor="text1" w:themeTint="FF" w:themeShade="FF"/>
          <w:sz w:val="22"/>
          <w:szCs w:val="22"/>
        </w:rPr>
        <w:t>]</w:t>
      </w:r>
      <w:r w:rsidRPr="63018341" w:rsidR="3851E0AE">
        <w:rPr>
          <w:rFonts w:eastAsia="Arial" w:cs="Arial"/>
          <w:color w:val="000000" w:themeColor="text1" w:themeTint="FF" w:themeShade="FF"/>
          <w:sz w:val="22"/>
          <w:szCs w:val="22"/>
        </w:rPr>
        <w:t xml:space="preserve"> calls for lessons to be shared with SCALE.</w:t>
      </w:r>
    </w:p>
    <w:p w:rsidR="4F914974" w:rsidP="4273060E" w:rsidRDefault="5E9A58BF" w14:paraId="63E6CB1F" w14:textId="140EFB3C">
      <w:pPr>
        <w:spacing w:before="240"/>
        <w:jc w:val="both"/>
        <w:rPr>
          <w:rFonts w:eastAsia="Arial" w:cs="Arial"/>
          <w:sz w:val="22"/>
          <w:szCs w:val="22"/>
        </w:rPr>
      </w:pPr>
      <w:r w:rsidRPr="63018341" w:rsidR="5E9A58BF">
        <w:rPr>
          <w:rFonts w:eastAsia="Arial" w:cs="Arial"/>
          <w:sz w:val="22"/>
          <w:szCs w:val="22"/>
        </w:rPr>
        <w:t>A</w:t>
      </w:r>
      <w:r w:rsidRPr="63018341" w:rsidR="00B15B05">
        <w:rPr>
          <w:rFonts w:eastAsia="Arial" w:cs="Arial"/>
          <w:sz w:val="22"/>
          <w:szCs w:val="22"/>
        </w:rPr>
        <w:t xml:space="preserve">nother </w:t>
      </w:r>
      <w:r w:rsidRPr="63018341" w:rsidR="00E673D1">
        <w:rPr>
          <w:rFonts w:eastAsia="Arial" w:cs="Arial"/>
          <w:sz w:val="22"/>
          <w:szCs w:val="22"/>
        </w:rPr>
        <w:t xml:space="preserve">lesson </w:t>
      </w:r>
      <w:r w:rsidRPr="63018341" w:rsidR="00E673D1">
        <w:rPr>
          <w:rFonts w:eastAsia="Arial" w:cs="Arial"/>
          <w:sz w:val="22"/>
          <w:szCs w:val="22"/>
        </w:rPr>
        <w:t>emerging</w:t>
      </w:r>
      <w:r w:rsidRPr="63018341" w:rsidR="00E673D1">
        <w:rPr>
          <w:rFonts w:eastAsia="Arial" w:cs="Arial"/>
          <w:sz w:val="22"/>
          <w:szCs w:val="22"/>
        </w:rPr>
        <w:t xml:space="preserve"> relates to the importance of</w:t>
      </w:r>
      <w:r w:rsidRPr="63018341" w:rsidR="5E9A58BF">
        <w:rPr>
          <w:rFonts w:eastAsia="Arial" w:cs="Arial"/>
          <w:sz w:val="22"/>
          <w:szCs w:val="22"/>
        </w:rPr>
        <w:t xml:space="preserve"> UK cross-government coordination and diplomacy in forestry-related </w:t>
      </w:r>
      <w:r w:rsidRPr="63018341" w:rsidR="000C16A2">
        <w:rPr>
          <w:rFonts w:eastAsia="Arial" w:cs="Arial"/>
          <w:sz w:val="22"/>
          <w:szCs w:val="22"/>
        </w:rPr>
        <w:t>work</w:t>
      </w:r>
      <w:r w:rsidRPr="63018341" w:rsidR="5E9A58BF">
        <w:rPr>
          <w:rFonts w:eastAsia="Arial" w:cs="Arial"/>
          <w:sz w:val="22"/>
          <w:szCs w:val="22"/>
        </w:rPr>
        <w:t>. The collection of REDD+ programmes across IFU presents a valuable opportunity to strengthen collaboration, both at country level and across bilateral and multilateral platforms. Mechanisms for pooled results oversight, shared intelligence, and coordinated engagement with partner governments are currently underutilised. Establishing country-level coordination platforms and improving cross-departmental diplomacy could enhance the strategic coherence and impact of UK forestry efforts.</w:t>
      </w:r>
      <w:r w:rsidRPr="63018341" w:rsidR="4371C560">
        <w:rPr>
          <w:rFonts w:eastAsia="Arial" w:cs="Arial"/>
          <w:sz w:val="22"/>
          <w:szCs w:val="22"/>
        </w:rPr>
        <w:t xml:space="preserve"> </w:t>
      </w:r>
      <w:r w:rsidRPr="63018341" w:rsidR="6B1D9A52">
        <w:rPr>
          <w:rFonts w:eastAsia="Arial" w:cs="Arial"/>
          <w:sz w:val="22"/>
          <w:szCs w:val="22"/>
        </w:rPr>
        <w:t xml:space="preserve">Strong engagement with embassies within the host </w:t>
      </w:r>
      <w:r w:rsidRPr="63018341" w:rsidR="6B1D9A52">
        <w:rPr>
          <w:rFonts w:eastAsia="Arial" w:cs="Arial"/>
          <w:sz w:val="22"/>
          <w:szCs w:val="22"/>
        </w:rPr>
        <w:t xml:space="preserve">countries </w:t>
      </w:r>
      <w:r w:rsidRPr="63018341" w:rsidR="2FD725AC">
        <w:rPr>
          <w:rFonts w:eastAsia="Arial" w:cs="Arial"/>
          <w:sz w:val="22"/>
          <w:szCs w:val="22"/>
        </w:rPr>
        <w:t xml:space="preserve">is also </w:t>
      </w:r>
      <w:r w:rsidRPr="63018341" w:rsidR="2FD725AC">
        <w:rPr>
          <w:rFonts w:eastAsia="Arial" w:cs="Arial"/>
          <w:sz w:val="22"/>
          <w:szCs w:val="22"/>
        </w:rPr>
        <w:t>crucial</w:t>
      </w:r>
      <w:r w:rsidRPr="63018341" w:rsidR="4E4AC9AC">
        <w:rPr>
          <w:rFonts w:eastAsia="Arial" w:cs="Arial"/>
          <w:sz w:val="22"/>
          <w:szCs w:val="22"/>
        </w:rPr>
        <w:t xml:space="preserve"> as it provides </w:t>
      </w:r>
      <w:r w:rsidRPr="63018341" w:rsidR="4E4AC9AC">
        <w:rPr>
          <w:rFonts w:eastAsia="Arial" w:cs="Arial"/>
          <w:sz w:val="22"/>
          <w:szCs w:val="22"/>
        </w:rPr>
        <w:t xml:space="preserve">us with knowledge </w:t>
      </w:r>
      <w:r w:rsidRPr="63018341" w:rsidR="4E4AC9AC">
        <w:rPr>
          <w:rFonts w:eastAsia="Arial" w:cs="Arial"/>
          <w:sz w:val="22"/>
          <w:szCs w:val="22"/>
        </w:rPr>
        <w:t xml:space="preserve">of </w:t>
      </w:r>
      <w:r w:rsidRPr="63018341" w:rsidR="408AF26B">
        <w:rPr>
          <w:rFonts w:eastAsia="Arial" w:cs="Arial"/>
          <w:sz w:val="22"/>
          <w:szCs w:val="22"/>
        </w:rPr>
        <w:t xml:space="preserve">the </w:t>
      </w:r>
      <w:r w:rsidRPr="63018341" w:rsidR="4E4AC9AC">
        <w:rPr>
          <w:rFonts w:eastAsia="Arial" w:cs="Arial"/>
          <w:sz w:val="22"/>
          <w:szCs w:val="22"/>
        </w:rPr>
        <w:t>local context</w:t>
      </w:r>
      <w:r w:rsidRPr="63018341" w:rsidR="0C31D26E">
        <w:rPr>
          <w:rFonts w:eastAsia="Arial" w:cs="Arial"/>
          <w:sz w:val="22"/>
          <w:szCs w:val="22"/>
        </w:rPr>
        <w:t xml:space="preserve"> and </w:t>
      </w:r>
      <w:r w:rsidRPr="63018341" w:rsidR="4B367338">
        <w:rPr>
          <w:rFonts w:eastAsia="Arial" w:cs="Arial"/>
          <w:sz w:val="22"/>
          <w:szCs w:val="22"/>
        </w:rPr>
        <w:t xml:space="preserve">positions </w:t>
      </w:r>
      <w:r w:rsidRPr="63018341" w:rsidR="4B367338">
        <w:rPr>
          <w:rFonts w:eastAsia="Arial" w:cs="Arial"/>
          <w:sz w:val="22"/>
          <w:szCs w:val="22"/>
        </w:rPr>
        <w:t>within</w:t>
      </w:r>
      <w:r w:rsidRPr="63018341" w:rsidR="29A0052D">
        <w:rPr>
          <w:rFonts w:eastAsia="Arial" w:cs="Arial"/>
          <w:sz w:val="22"/>
          <w:szCs w:val="22"/>
        </w:rPr>
        <w:t xml:space="preserve"> the </w:t>
      </w:r>
      <w:r w:rsidRPr="63018341" w:rsidR="29A0052D">
        <w:rPr>
          <w:rFonts w:eastAsia="Arial" w:cs="Arial"/>
          <w:sz w:val="22"/>
          <w:szCs w:val="22"/>
        </w:rPr>
        <w:t xml:space="preserve">countries’ </w:t>
      </w:r>
      <w:r w:rsidRPr="63018341" w:rsidR="0C31D26E">
        <w:rPr>
          <w:rFonts w:eastAsia="Arial" w:cs="Arial"/>
          <w:sz w:val="22"/>
          <w:szCs w:val="22"/>
        </w:rPr>
        <w:t xml:space="preserve">government </w:t>
      </w:r>
      <w:r w:rsidRPr="63018341" w:rsidR="29A0052D">
        <w:rPr>
          <w:rFonts w:eastAsia="Arial" w:cs="Arial"/>
          <w:sz w:val="22"/>
          <w:szCs w:val="22"/>
        </w:rPr>
        <w:t xml:space="preserve">strengthens </w:t>
      </w:r>
      <w:r w:rsidRPr="63018341" w:rsidR="53866C5B">
        <w:rPr>
          <w:rFonts w:eastAsia="Arial" w:cs="Arial"/>
          <w:sz w:val="22"/>
          <w:szCs w:val="22"/>
        </w:rPr>
        <w:t xml:space="preserve">coordination across the UK </w:t>
      </w:r>
      <w:r w:rsidRPr="63018341" w:rsidR="53866C5B">
        <w:rPr>
          <w:rFonts w:eastAsia="Arial" w:cs="Arial"/>
          <w:sz w:val="22"/>
          <w:szCs w:val="22"/>
        </w:rPr>
        <w:t>government</w:t>
      </w:r>
      <w:r w:rsidRPr="63018341" w:rsidR="2FD725AC">
        <w:rPr>
          <w:rFonts w:eastAsia="Arial" w:cs="Arial"/>
          <w:sz w:val="22"/>
          <w:szCs w:val="22"/>
        </w:rPr>
        <w:t>.</w:t>
      </w:r>
      <w:r w:rsidRPr="63018341" w:rsidR="2FD725AC">
        <w:rPr>
          <w:rFonts w:eastAsia="Arial" w:cs="Arial"/>
          <w:sz w:val="22"/>
          <w:szCs w:val="22"/>
        </w:rPr>
        <w:t xml:space="preserve"> </w:t>
      </w:r>
      <w:r w:rsidRPr="63018341" w:rsidR="2FD725AC">
        <w:rPr>
          <w:rFonts w:eastAsia="Arial" w:cs="Arial"/>
          <w:sz w:val="22"/>
          <w:szCs w:val="22"/>
        </w:rPr>
        <w:t xml:space="preserve">This has been </w:t>
      </w:r>
      <w:r w:rsidRPr="63018341" w:rsidR="2FD725AC">
        <w:rPr>
          <w:rFonts w:eastAsia="Arial" w:cs="Arial"/>
          <w:sz w:val="22"/>
          <w:szCs w:val="22"/>
        </w:rPr>
        <w:t>demonstrate</w:t>
      </w:r>
      <w:r w:rsidRPr="63018341" w:rsidR="52BAA9F5">
        <w:rPr>
          <w:rFonts w:eastAsia="Arial" w:cs="Arial"/>
          <w:sz w:val="22"/>
          <w:szCs w:val="22"/>
        </w:rPr>
        <w:t>d</w:t>
      </w:r>
      <w:r w:rsidRPr="63018341" w:rsidR="52BAA9F5">
        <w:rPr>
          <w:rFonts w:eastAsia="Arial" w:cs="Arial"/>
          <w:sz w:val="22"/>
          <w:szCs w:val="22"/>
        </w:rPr>
        <w:t xml:space="preserve"> in FY25 where, for </w:t>
      </w:r>
      <w:r w:rsidRPr="63018341" w:rsidR="52BAA9F5">
        <w:rPr>
          <w:rFonts w:eastAsia="Arial" w:cs="Arial"/>
          <w:sz w:val="22"/>
          <w:szCs w:val="22"/>
        </w:rPr>
        <w:t xml:space="preserve">example, our engagement with the UK </w:t>
      </w:r>
      <w:r w:rsidRPr="63018341" w:rsidR="52BAA9F5">
        <w:rPr>
          <w:rFonts w:eastAsia="Arial" w:cs="Arial"/>
          <w:sz w:val="22"/>
          <w:szCs w:val="22"/>
        </w:rPr>
        <w:t xml:space="preserve">embassy </w:t>
      </w:r>
      <w:r w:rsidRPr="63018341" w:rsidR="52BAA9F5">
        <w:rPr>
          <w:rFonts w:eastAsia="Arial" w:cs="Arial"/>
          <w:sz w:val="22"/>
          <w:szCs w:val="22"/>
        </w:rPr>
        <w:t xml:space="preserve">in Mexico </w:t>
      </w:r>
      <w:r w:rsidRPr="63018341" w:rsidR="35649514">
        <w:rPr>
          <w:rFonts w:eastAsia="Arial" w:cs="Arial"/>
          <w:sz w:val="22"/>
          <w:szCs w:val="22"/>
        </w:rPr>
        <w:t xml:space="preserve">strengthened alignment </w:t>
      </w:r>
      <w:r w:rsidRPr="63018341" w:rsidR="35649514">
        <w:rPr>
          <w:rFonts w:eastAsia="Arial" w:cs="Arial"/>
          <w:sz w:val="22"/>
          <w:szCs w:val="22"/>
        </w:rPr>
        <w:t xml:space="preserve">during </w:t>
      </w:r>
      <w:r w:rsidRPr="63018341" w:rsidR="35649514">
        <w:rPr>
          <w:rFonts w:eastAsia="Arial" w:cs="Arial"/>
          <w:sz w:val="22"/>
          <w:szCs w:val="22"/>
        </w:rPr>
        <w:t xml:space="preserve">ERPA negotiations. </w:t>
      </w:r>
      <w:r w:rsidRPr="63018341" w:rsidR="35649514">
        <w:rPr>
          <w:rFonts w:eastAsia="Arial" w:cs="Arial"/>
          <w:sz w:val="22"/>
          <w:szCs w:val="22"/>
        </w:rPr>
        <w:t xml:space="preserve">Similarly, </w:t>
      </w:r>
      <w:r w:rsidRPr="63018341" w:rsidR="16915610">
        <w:rPr>
          <w:rFonts w:eastAsia="Arial" w:cs="Arial"/>
          <w:sz w:val="22"/>
          <w:szCs w:val="22"/>
        </w:rPr>
        <w:t>frequent communications with the UK embassy in Zambia have</w:t>
      </w:r>
      <w:r w:rsidRPr="63018341" w:rsidR="16915610">
        <w:rPr>
          <w:rFonts w:eastAsia="Arial" w:cs="Arial"/>
          <w:sz w:val="22"/>
          <w:szCs w:val="22"/>
        </w:rPr>
        <w:t xml:space="preserve"> streamlined decisions related to the programme </w:t>
      </w:r>
      <w:r w:rsidRPr="63018341" w:rsidR="16915610">
        <w:rPr>
          <w:rFonts w:eastAsia="Arial" w:cs="Arial"/>
          <w:sz w:val="22"/>
          <w:szCs w:val="22"/>
        </w:rPr>
        <w:t>there.</w:t>
      </w:r>
    </w:p>
    <w:p w:rsidR="4273060E" w:rsidP="712013CD" w:rsidRDefault="26EE17E3" w14:paraId="593D0A8B" w14:textId="2AE37F4A">
      <w:pPr>
        <w:spacing w:before="240"/>
        <w:jc w:val="both"/>
        <w:rPr>
          <w:rFonts w:eastAsia="Arial" w:cs="Arial"/>
          <w:sz w:val="22"/>
          <w:szCs w:val="22"/>
        </w:rPr>
      </w:pPr>
      <w:r w:rsidRPr="63018341" w:rsidR="26318907">
        <w:rPr>
          <w:rFonts w:eastAsia="Arial" w:cs="Arial"/>
          <w:sz w:val="22"/>
          <w:szCs w:val="22"/>
        </w:rPr>
        <w:t>A k</w:t>
      </w:r>
      <w:r w:rsidRPr="63018341" w:rsidR="26EE17E3">
        <w:rPr>
          <w:rFonts w:eastAsia="Arial" w:cs="Arial"/>
          <w:sz w:val="22"/>
          <w:szCs w:val="22"/>
        </w:rPr>
        <w:t>e</w:t>
      </w:r>
      <w:r w:rsidRPr="63018341" w:rsidR="5AE854F8">
        <w:rPr>
          <w:rFonts w:eastAsia="Arial" w:cs="Arial"/>
          <w:sz w:val="22"/>
          <w:szCs w:val="22"/>
        </w:rPr>
        <w:t>y lesson has</w:t>
      </w:r>
      <w:r w:rsidRPr="63018341" w:rsidR="26EE17E3">
        <w:rPr>
          <w:rFonts w:eastAsia="Arial" w:cs="Arial"/>
          <w:sz w:val="22"/>
          <w:szCs w:val="22"/>
        </w:rPr>
        <w:t xml:space="preserve"> </w:t>
      </w:r>
      <w:r w:rsidRPr="63018341" w:rsidR="26EE17E3">
        <w:rPr>
          <w:rFonts w:eastAsia="Arial" w:cs="Arial"/>
          <w:sz w:val="22"/>
          <w:szCs w:val="22"/>
        </w:rPr>
        <w:t>emerged</w:t>
      </w:r>
      <w:r w:rsidRPr="63018341" w:rsidR="26EE17E3">
        <w:rPr>
          <w:rFonts w:eastAsia="Arial" w:cs="Arial"/>
          <w:sz w:val="22"/>
          <w:szCs w:val="22"/>
        </w:rPr>
        <w:t xml:space="preserve"> in</w:t>
      </w:r>
      <w:r w:rsidRPr="63018341" w:rsidR="26EE17E3">
        <w:rPr>
          <w:rFonts w:eastAsia="Arial" w:cs="Arial"/>
          <w:sz w:val="22"/>
          <w:szCs w:val="22"/>
        </w:rPr>
        <w:t xml:space="preserve"> FY25 </w:t>
      </w:r>
      <w:r w:rsidRPr="63018341" w:rsidR="40D9C7F7">
        <w:rPr>
          <w:rFonts w:eastAsia="Arial" w:cs="Arial"/>
          <w:sz w:val="22"/>
          <w:szCs w:val="22"/>
        </w:rPr>
        <w:t>r</w:t>
      </w:r>
      <w:r w:rsidRPr="63018341" w:rsidR="40D9C7F7">
        <w:rPr>
          <w:rFonts w:eastAsia="Arial" w:cs="Arial"/>
          <w:sz w:val="22"/>
          <w:szCs w:val="22"/>
        </w:rPr>
        <w:t>egarding</w:t>
      </w:r>
      <w:r w:rsidRPr="63018341" w:rsidR="40D9C7F7">
        <w:rPr>
          <w:rFonts w:eastAsia="Arial" w:cs="Arial"/>
          <w:sz w:val="22"/>
          <w:szCs w:val="22"/>
        </w:rPr>
        <w:t xml:space="preserve"> </w:t>
      </w:r>
      <w:r w:rsidRPr="63018341" w:rsidR="40D9C7F7">
        <w:rPr>
          <w:rFonts w:eastAsia="Arial" w:cs="Arial"/>
          <w:sz w:val="22"/>
          <w:szCs w:val="22"/>
        </w:rPr>
        <w:t>delays to</w:t>
      </w:r>
      <w:r w:rsidRPr="63018341" w:rsidR="40D9C7F7">
        <w:rPr>
          <w:rFonts w:eastAsia="Arial" w:cs="Arial"/>
          <w:sz w:val="22"/>
          <w:szCs w:val="22"/>
        </w:rPr>
        <w:t xml:space="preserve"> ERPA signing </w:t>
      </w:r>
      <w:r w:rsidRPr="63018341" w:rsidR="26EE17E3">
        <w:rPr>
          <w:rFonts w:eastAsia="Arial" w:cs="Arial"/>
          <w:sz w:val="22"/>
          <w:szCs w:val="22"/>
        </w:rPr>
        <w:t xml:space="preserve">that </w:t>
      </w:r>
      <w:r w:rsidRPr="63018341" w:rsidR="26EE17E3">
        <w:rPr>
          <w:rFonts w:eastAsia="Arial" w:cs="Arial"/>
          <w:sz w:val="22"/>
          <w:szCs w:val="22"/>
        </w:rPr>
        <w:t>warrant</w:t>
      </w:r>
      <w:r w:rsidRPr="63018341" w:rsidR="26EE17E3">
        <w:rPr>
          <w:rFonts w:eastAsia="Arial" w:cs="Arial"/>
          <w:sz w:val="22"/>
          <w:szCs w:val="22"/>
        </w:rPr>
        <w:t xml:space="preserve"> cl</w:t>
      </w:r>
      <w:r w:rsidRPr="63018341" w:rsidR="26EE17E3">
        <w:rPr>
          <w:rFonts w:eastAsia="Arial" w:cs="Arial"/>
          <w:sz w:val="22"/>
          <w:szCs w:val="22"/>
        </w:rPr>
        <w:t>oser at</w:t>
      </w:r>
      <w:r w:rsidRPr="63018341" w:rsidR="26EE17E3">
        <w:rPr>
          <w:rFonts w:eastAsia="Arial" w:cs="Arial"/>
          <w:sz w:val="22"/>
          <w:szCs w:val="22"/>
        </w:rPr>
        <w:t xml:space="preserve">tention. </w:t>
      </w:r>
      <w:r w:rsidRPr="63018341" w:rsidR="599B9046">
        <w:rPr>
          <w:rFonts w:eastAsia="Arial" w:cs="Arial"/>
          <w:sz w:val="22"/>
          <w:szCs w:val="22"/>
        </w:rPr>
        <w:t>C</w:t>
      </w:r>
      <w:r w:rsidRPr="63018341" w:rsidR="57C09E26">
        <w:rPr>
          <w:rFonts w:eastAsia="Arial" w:cs="Arial"/>
          <w:sz w:val="22"/>
          <w:szCs w:val="22"/>
        </w:rPr>
        <w:t>hanges</w:t>
      </w:r>
      <w:r w:rsidRPr="63018341" w:rsidR="57C09E26">
        <w:rPr>
          <w:rFonts w:eastAsia="Arial" w:cs="Arial"/>
          <w:sz w:val="22"/>
          <w:szCs w:val="22"/>
        </w:rPr>
        <w:t xml:space="preserve"> within the governments of host </w:t>
      </w:r>
      <w:r w:rsidRPr="63018341" w:rsidR="0EEBC03B">
        <w:rPr>
          <w:rFonts w:eastAsia="Arial" w:cs="Arial"/>
          <w:sz w:val="22"/>
          <w:szCs w:val="22"/>
        </w:rPr>
        <w:t>countries</w:t>
      </w:r>
      <w:r w:rsidRPr="63018341" w:rsidR="57C09E26">
        <w:rPr>
          <w:rFonts w:eastAsia="Arial" w:cs="Arial"/>
          <w:sz w:val="22"/>
          <w:szCs w:val="22"/>
        </w:rPr>
        <w:t xml:space="preserve"> have </w:t>
      </w:r>
      <w:r w:rsidRPr="63018341" w:rsidR="57C09E26">
        <w:rPr>
          <w:rFonts w:eastAsia="Arial" w:cs="Arial"/>
          <w:sz w:val="22"/>
          <w:szCs w:val="22"/>
        </w:rPr>
        <w:t>impacted</w:t>
      </w:r>
      <w:r w:rsidRPr="63018341" w:rsidR="57C09E26">
        <w:rPr>
          <w:rFonts w:eastAsia="Arial" w:cs="Arial"/>
          <w:sz w:val="22"/>
          <w:szCs w:val="22"/>
        </w:rPr>
        <w:t xml:space="preserve"> E</w:t>
      </w:r>
      <w:r w:rsidRPr="63018341" w:rsidR="57C09E26">
        <w:rPr>
          <w:rFonts w:eastAsia="Arial" w:cs="Arial"/>
          <w:sz w:val="22"/>
          <w:szCs w:val="22"/>
        </w:rPr>
        <w:t xml:space="preserve">RPA </w:t>
      </w:r>
      <w:r w:rsidRPr="63018341" w:rsidR="57C09E26">
        <w:rPr>
          <w:rFonts w:eastAsia="Arial" w:cs="Arial"/>
          <w:sz w:val="22"/>
          <w:szCs w:val="22"/>
        </w:rPr>
        <w:t>prog</w:t>
      </w:r>
      <w:r w:rsidRPr="63018341" w:rsidR="57C09E26">
        <w:rPr>
          <w:rFonts w:eastAsia="Arial" w:cs="Arial"/>
          <w:sz w:val="22"/>
          <w:szCs w:val="22"/>
        </w:rPr>
        <w:t>res</w:t>
      </w:r>
      <w:r w:rsidRPr="63018341" w:rsidR="00FB249E">
        <w:rPr>
          <w:rFonts w:eastAsia="Arial" w:cs="Arial"/>
          <w:sz w:val="22"/>
          <w:szCs w:val="22"/>
        </w:rPr>
        <w:t>s</w:t>
      </w:r>
      <w:r w:rsidRPr="63018341" w:rsidR="26EE17E3">
        <w:rPr>
          <w:rFonts w:eastAsia="Arial" w:cs="Arial"/>
          <w:sz w:val="22"/>
          <w:szCs w:val="22"/>
        </w:rPr>
        <w:t>.</w:t>
      </w:r>
      <w:r w:rsidRPr="63018341" w:rsidR="0FD1136A">
        <w:rPr>
          <w:rFonts w:eastAsia="Arial" w:cs="Arial"/>
          <w:sz w:val="22"/>
          <w:szCs w:val="22"/>
        </w:rPr>
        <w:t xml:space="preserve"> </w:t>
      </w:r>
      <w:r w:rsidRPr="63018341" w:rsidR="4B473656">
        <w:rPr>
          <w:rFonts w:eastAsia="Arial" w:cs="Arial"/>
          <w:sz w:val="22"/>
          <w:szCs w:val="22"/>
        </w:rPr>
        <w:t xml:space="preserve">In Colombia, progress has been limited due to </w:t>
      </w:r>
      <w:r w:rsidRPr="63018341" w:rsidR="4B473656">
        <w:rPr>
          <w:rFonts w:eastAsia="Arial" w:cs="Arial"/>
          <w:sz w:val="22"/>
          <w:szCs w:val="22"/>
        </w:rPr>
        <w:t>ministerial changes</w:t>
      </w:r>
      <w:r w:rsidRPr="63018341" w:rsidR="4B473656">
        <w:rPr>
          <w:rFonts w:eastAsia="Arial" w:cs="Arial"/>
          <w:sz w:val="22"/>
          <w:szCs w:val="22"/>
        </w:rPr>
        <w:t xml:space="preserve"> and in Mexico, whilst </w:t>
      </w:r>
      <w:r w:rsidRPr="63018341" w:rsidR="4B473656">
        <w:rPr>
          <w:rFonts w:eastAsia="Arial" w:cs="Arial"/>
          <w:sz w:val="22"/>
          <w:szCs w:val="22"/>
        </w:rPr>
        <w:t>previous</w:t>
      </w:r>
      <w:r w:rsidRPr="63018341" w:rsidR="4B473656">
        <w:rPr>
          <w:rFonts w:eastAsia="Arial" w:cs="Arial"/>
          <w:sz w:val="22"/>
          <w:szCs w:val="22"/>
        </w:rPr>
        <w:t xml:space="preserve"> p</w:t>
      </w:r>
      <w:r w:rsidRPr="63018341" w:rsidR="4B473656">
        <w:rPr>
          <w:rFonts w:eastAsia="Arial" w:cs="Arial"/>
          <w:sz w:val="22"/>
          <w:szCs w:val="22"/>
        </w:rPr>
        <w:t>olitical</w:t>
      </w:r>
      <w:r w:rsidRPr="63018341" w:rsidR="4B473656">
        <w:rPr>
          <w:rFonts w:eastAsia="Arial" w:cs="Arial"/>
          <w:sz w:val="22"/>
          <w:szCs w:val="22"/>
        </w:rPr>
        <w:t xml:space="preserve"> priorities delayed </w:t>
      </w:r>
      <w:r w:rsidRPr="63018341" w:rsidR="5FEAB20B">
        <w:rPr>
          <w:rFonts w:eastAsia="Arial" w:cs="Arial"/>
          <w:sz w:val="22"/>
          <w:szCs w:val="22"/>
        </w:rPr>
        <w:t xml:space="preserve">ERPA negotiations, new political </w:t>
      </w:r>
      <w:r w:rsidRPr="63018341" w:rsidR="5FEAB20B">
        <w:rPr>
          <w:rFonts w:eastAsia="Arial" w:cs="Arial"/>
          <w:sz w:val="22"/>
          <w:szCs w:val="22"/>
        </w:rPr>
        <w:t xml:space="preserve">leadership led to </w:t>
      </w:r>
      <w:r w:rsidRPr="63018341" w:rsidR="5FEAB20B">
        <w:rPr>
          <w:rFonts w:eastAsia="Arial" w:cs="Arial"/>
          <w:sz w:val="22"/>
          <w:szCs w:val="22"/>
        </w:rPr>
        <w:t xml:space="preserve">considerable </w:t>
      </w:r>
      <w:r w:rsidRPr="63018341" w:rsidR="5FEAB20B">
        <w:rPr>
          <w:rFonts w:eastAsia="Arial" w:cs="Arial"/>
          <w:sz w:val="22"/>
          <w:szCs w:val="22"/>
        </w:rPr>
        <w:t xml:space="preserve">progress towards ERPA signing in </w:t>
      </w:r>
      <w:r w:rsidRPr="63018341" w:rsidR="5FEAB20B">
        <w:rPr>
          <w:rFonts w:eastAsia="Arial" w:cs="Arial"/>
          <w:sz w:val="22"/>
          <w:szCs w:val="22"/>
        </w:rPr>
        <w:t xml:space="preserve">FY25. </w:t>
      </w:r>
      <w:r w:rsidRPr="63018341" w:rsidR="5FEAB20B">
        <w:rPr>
          <w:rFonts w:eastAsia="Arial" w:cs="Arial"/>
          <w:sz w:val="22"/>
          <w:szCs w:val="22"/>
        </w:rPr>
        <w:t xml:space="preserve">This is expanded </w:t>
      </w:r>
      <w:r w:rsidRPr="63018341" w:rsidR="57B24A0C">
        <w:rPr>
          <w:rFonts w:eastAsia="Arial" w:cs="Arial"/>
          <w:sz w:val="22"/>
          <w:szCs w:val="22"/>
        </w:rPr>
        <w:t xml:space="preserve">upon in </w:t>
      </w:r>
      <w:r w:rsidRPr="63018341" w:rsidR="57B24A0C">
        <w:rPr>
          <w:rFonts w:eastAsia="Arial" w:cs="Arial"/>
          <w:sz w:val="22"/>
          <w:szCs w:val="22"/>
        </w:rPr>
        <w:t>section “</w:t>
      </w:r>
      <w:r w:rsidRPr="63018341" w:rsidR="57B24A0C">
        <w:rPr>
          <w:rFonts w:eastAsia="Arial" w:cs="Arial"/>
          <w:sz w:val="22"/>
          <w:szCs w:val="22"/>
        </w:rPr>
        <w:t xml:space="preserve">Section C: </w:t>
      </w:r>
      <w:r w:rsidRPr="63018341" w:rsidR="57B24A0C">
        <w:rPr>
          <w:rFonts w:eastAsia="Arial" w:cs="Arial"/>
          <w:sz w:val="22"/>
          <w:szCs w:val="22"/>
        </w:rPr>
        <w:t xml:space="preserve">Output </w:t>
      </w:r>
      <w:r w:rsidRPr="63018341" w:rsidR="57B24A0C">
        <w:rPr>
          <w:rFonts w:eastAsia="Arial" w:cs="Arial"/>
          <w:sz w:val="22"/>
          <w:szCs w:val="22"/>
        </w:rPr>
        <w:t>1”.</w:t>
      </w:r>
    </w:p>
    <w:p w:rsidR="4273060E" w:rsidP="00EF328A" w:rsidRDefault="0040219D" w14:paraId="539526B8" w14:textId="32C22AD4">
      <w:pPr>
        <w:spacing w:before="240"/>
        <w:jc w:val="both"/>
        <w:rPr>
          <w:rFonts w:eastAsia="Arial" w:cs="Arial"/>
          <w:sz w:val="22"/>
          <w:szCs w:val="22"/>
        </w:rPr>
      </w:pPr>
      <w:r w:rsidRPr="63018341" w:rsidR="0040219D">
        <w:rPr>
          <w:rFonts w:eastAsia="Arial" w:cs="Arial"/>
          <w:sz w:val="22"/>
          <w:szCs w:val="22"/>
        </w:rPr>
        <w:t>Finally, an</w:t>
      </w:r>
      <w:r w:rsidRPr="63018341" w:rsidR="0091495B">
        <w:rPr>
          <w:rFonts w:eastAsia="Arial" w:cs="Arial"/>
          <w:sz w:val="22"/>
          <w:szCs w:val="22"/>
        </w:rPr>
        <w:t xml:space="preserve"> important lesson is around the implementation of private sector work. </w:t>
      </w:r>
      <w:r w:rsidRPr="63018341" w:rsidR="0091495B">
        <w:rPr>
          <w:rFonts w:eastAsia="Arial" w:cs="Arial"/>
          <w:sz w:val="22"/>
          <w:szCs w:val="22"/>
        </w:rPr>
        <w:t xml:space="preserve">The challenges faced in Indonesia, Mexico </w:t>
      </w:r>
      <w:r w:rsidRPr="63018341" w:rsidR="40A14F38">
        <w:rPr>
          <w:rFonts w:eastAsia="Arial" w:cs="Arial"/>
          <w:sz w:val="22"/>
          <w:szCs w:val="22"/>
        </w:rPr>
        <w:t>(</w:t>
      </w:r>
      <w:r w:rsidRPr="63018341" w:rsidR="534CA068">
        <w:rPr>
          <w:rFonts w:eastAsia="Arial" w:cs="Arial"/>
          <w:sz w:val="22"/>
          <w:szCs w:val="22"/>
        </w:rPr>
        <w:t>although M</w:t>
      </w:r>
      <w:r w:rsidRPr="63018341" w:rsidR="40A14F38">
        <w:rPr>
          <w:rFonts w:eastAsia="Arial" w:cs="Arial"/>
          <w:sz w:val="22"/>
          <w:szCs w:val="22"/>
        </w:rPr>
        <w:t xml:space="preserve">exico </w:t>
      </w:r>
      <w:r w:rsidRPr="63018341" w:rsidR="7192F098">
        <w:rPr>
          <w:rFonts w:eastAsia="Arial" w:cs="Arial"/>
          <w:sz w:val="22"/>
          <w:szCs w:val="22"/>
        </w:rPr>
        <w:t xml:space="preserve">has </w:t>
      </w:r>
      <w:r w:rsidRPr="63018341" w:rsidR="40A14F38">
        <w:rPr>
          <w:rFonts w:eastAsia="Arial" w:cs="Arial"/>
          <w:sz w:val="22"/>
          <w:szCs w:val="22"/>
        </w:rPr>
        <w:t xml:space="preserve">now </w:t>
      </w:r>
      <w:r w:rsidRPr="63018341" w:rsidR="366135C4">
        <w:rPr>
          <w:rFonts w:eastAsia="Arial" w:cs="Arial"/>
          <w:sz w:val="22"/>
          <w:szCs w:val="22"/>
        </w:rPr>
        <w:t xml:space="preserve">been </w:t>
      </w:r>
      <w:r w:rsidRPr="63018341" w:rsidR="40A14F38">
        <w:rPr>
          <w:rFonts w:eastAsia="Arial" w:cs="Arial"/>
          <w:sz w:val="22"/>
          <w:szCs w:val="22"/>
        </w:rPr>
        <w:t xml:space="preserve">reactivated </w:t>
      </w:r>
      <w:r w:rsidRPr="63018341" w:rsidR="7D289476">
        <w:rPr>
          <w:rFonts w:eastAsia="Arial" w:cs="Arial"/>
          <w:sz w:val="22"/>
          <w:szCs w:val="22"/>
        </w:rPr>
        <w:t>following</w:t>
      </w:r>
      <w:r w:rsidRPr="63018341" w:rsidR="40A14F38">
        <w:rPr>
          <w:rFonts w:eastAsia="Arial" w:cs="Arial"/>
          <w:sz w:val="22"/>
          <w:szCs w:val="22"/>
        </w:rPr>
        <w:t xml:space="preserve"> the FY25 reporting period)</w:t>
      </w:r>
      <w:r w:rsidRPr="63018341" w:rsidR="4E15152D">
        <w:rPr>
          <w:rFonts w:eastAsia="Arial" w:cs="Arial"/>
          <w:sz w:val="22"/>
          <w:szCs w:val="22"/>
        </w:rPr>
        <w:t xml:space="preserve"> </w:t>
      </w:r>
      <w:r w:rsidRPr="63018341" w:rsidR="0091495B">
        <w:rPr>
          <w:rFonts w:eastAsia="Arial" w:cs="Arial"/>
          <w:sz w:val="22"/>
          <w:szCs w:val="22"/>
        </w:rPr>
        <w:t>and Zambia, where private sector strategies have been cancelled, as well as the successes in Colombia and Ethiopia, should be taken as lessons going forward. This is covered in more detail in section “Output 3: Progress on recommendations from FY2</w:t>
      </w:r>
      <w:r w:rsidRPr="63018341" w:rsidR="0091495B">
        <w:rPr>
          <w:rFonts w:eastAsia="Arial" w:cs="Arial"/>
          <w:sz w:val="22"/>
          <w:szCs w:val="22"/>
        </w:rPr>
        <w:t>4</w:t>
      </w:r>
      <w:r w:rsidRPr="63018341" w:rsidR="0091495B">
        <w:rPr>
          <w:rFonts w:eastAsia="Arial" w:cs="Arial"/>
          <w:sz w:val="22"/>
          <w:szCs w:val="22"/>
        </w:rPr>
        <w:t>. </w:t>
      </w:r>
    </w:p>
    <w:p w:rsidR="595E383F" w:rsidP="595E383F" w:rsidRDefault="595E383F" w14:paraId="68B1AE96" w14:textId="33A49C24">
      <w:pPr>
        <w:jc w:val="both"/>
        <w:rPr>
          <w:rFonts w:cs="Arial"/>
          <w:sz w:val="22"/>
          <w:szCs w:val="22"/>
        </w:rPr>
      </w:pPr>
    </w:p>
    <w:p w:rsidR="005E3076" w:rsidP="005E3076" w:rsidRDefault="005E3076" w14:paraId="5B908B82" w14:textId="77777777">
      <w:pPr>
        <w:jc w:val="both"/>
        <w:rPr>
          <w:rFonts w:cs="Arial"/>
          <w:b/>
          <w:bCs/>
          <w:sz w:val="22"/>
          <w:szCs w:val="22"/>
        </w:rPr>
      </w:pPr>
      <w:r w:rsidRPr="2AAF070F">
        <w:rPr>
          <w:rFonts w:cs="Arial"/>
          <w:b/>
          <w:bCs/>
          <w:sz w:val="22"/>
          <w:szCs w:val="22"/>
        </w:rPr>
        <w:t>Recommendations for the year ahead</w:t>
      </w:r>
    </w:p>
    <w:p w:rsidR="005E3076" w:rsidP="005E3076" w:rsidRDefault="005E3076" w14:paraId="5344D257" w14:textId="77777777">
      <w:pPr>
        <w:jc w:val="both"/>
        <w:rPr>
          <w:rFonts w:cs="Arial"/>
          <w:sz w:val="22"/>
          <w:szCs w:val="22"/>
        </w:rPr>
      </w:pPr>
    </w:p>
    <w:p w:rsidR="005E3076" w:rsidP="005E3076" w:rsidRDefault="005E3076" w14:paraId="5692AF1A" w14:textId="480C0C42">
      <w:pPr>
        <w:jc w:val="both"/>
        <w:rPr>
          <w:rFonts w:eastAsia="Arial" w:cs="Arial"/>
          <w:color w:val="000000" w:themeColor="text1"/>
          <w:sz w:val="22"/>
          <w:szCs w:val="22"/>
        </w:rPr>
      </w:pPr>
      <w:r w:rsidRPr="63018341" w:rsidR="005E3076">
        <w:rPr>
          <w:rFonts w:eastAsia="Arial" w:cs="Arial"/>
          <w:b w:val="1"/>
          <w:bCs w:val="1"/>
          <w:color w:val="000000" w:themeColor="text1" w:themeTint="FF" w:themeShade="FF"/>
          <w:sz w:val="22"/>
          <w:szCs w:val="22"/>
        </w:rPr>
        <w:t xml:space="preserve">Recommendation </w:t>
      </w:r>
      <w:r w:rsidRPr="63018341" w:rsidR="005E3076">
        <w:rPr>
          <w:rFonts w:eastAsia="Arial" w:cs="Arial"/>
          <w:b w:val="1"/>
          <w:bCs w:val="1"/>
          <w:color w:val="000000" w:themeColor="text1" w:themeTint="FF" w:themeShade="FF"/>
          <w:sz w:val="22"/>
          <w:szCs w:val="22"/>
        </w:rPr>
        <w:t>[</w:t>
      </w:r>
      <w:r w:rsidRPr="63018341" w:rsidR="005E3076">
        <w:rPr>
          <w:rFonts w:eastAsia="Arial" w:cs="Arial"/>
          <w:b w:val="1"/>
          <w:bCs w:val="1"/>
          <w:color w:val="000000" w:themeColor="text1" w:themeTint="FF" w:themeShade="FF"/>
          <w:sz w:val="22"/>
          <w:szCs w:val="22"/>
        </w:rPr>
        <w:t>1</w:t>
      </w:r>
      <w:r w:rsidRPr="63018341" w:rsidR="005E3076">
        <w:rPr>
          <w:rFonts w:eastAsia="Arial" w:cs="Arial"/>
          <w:b w:val="1"/>
          <w:bCs w:val="1"/>
          <w:color w:val="000000" w:themeColor="text1" w:themeTint="FF" w:themeShade="FF"/>
          <w:sz w:val="22"/>
          <w:szCs w:val="22"/>
        </w:rPr>
        <w:t xml:space="preserve">]: </w:t>
      </w:r>
      <w:r w:rsidRPr="63018341" w:rsidR="005E3076">
        <w:rPr>
          <w:rFonts w:eastAsia="Arial" w:cs="Arial"/>
          <w:color w:val="000000" w:themeColor="text1" w:themeTint="FF" w:themeShade="FF"/>
          <w:sz w:val="22"/>
          <w:szCs w:val="22"/>
        </w:rPr>
        <w:t>DESNZ and World Bank</w:t>
      </w:r>
      <w:r w:rsidRPr="63018341" w:rsidR="005E3076">
        <w:rPr>
          <w:rFonts w:eastAsia="Arial" w:cs="Arial"/>
          <w:b w:val="1"/>
          <w:bCs w:val="1"/>
          <w:color w:val="000000" w:themeColor="text1" w:themeTint="FF" w:themeShade="FF"/>
          <w:sz w:val="22"/>
          <w:szCs w:val="22"/>
        </w:rPr>
        <w:t xml:space="preserve"> </w:t>
      </w:r>
      <w:r w:rsidRPr="63018341" w:rsidR="005E3076">
        <w:rPr>
          <w:rFonts w:eastAsia="Arial" w:cs="Arial"/>
          <w:color w:val="000000" w:themeColor="text1" w:themeTint="FF" w:themeShade="FF"/>
          <w:sz w:val="22"/>
          <w:szCs w:val="22"/>
        </w:rPr>
        <w:t xml:space="preserve">to update their </w:t>
      </w:r>
      <w:r w:rsidRPr="63018341" w:rsidR="005E3076">
        <w:rPr>
          <w:rFonts w:eastAsia="Arial" w:cs="Arial"/>
          <w:color w:val="000000" w:themeColor="text1" w:themeTint="FF" w:themeShade="FF"/>
          <w:sz w:val="22"/>
          <w:szCs w:val="22"/>
        </w:rPr>
        <w:t>logframes</w:t>
      </w:r>
      <w:r w:rsidRPr="63018341" w:rsidR="005E3076">
        <w:rPr>
          <w:rFonts w:eastAsia="Arial" w:cs="Arial"/>
          <w:color w:val="000000" w:themeColor="text1" w:themeTint="FF" w:themeShade="FF"/>
          <w:sz w:val="22"/>
          <w:szCs w:val="22"/>
        </w:rPr>
        <w:t>, specifically:</w:t>
      </w:r>
    </w:p>
    <w:p w:rsidR="005E3076" w:rsidP="00756B4F" w:rsidRDefault="005E3076" w14:paraId="0CADCDAF" w14:textId="7EB0F797">
      <w:pPr>
        <w:pStyle w:val="ListParagraph"/>
        <w:numPr>
          <w:ilvl w:val="0"/>
          <w:numId w:val="4"/>
        </w:numPr>
        <w:jc w:val="both"/>
        <w:rPr>
          <w:rFonts w:eastAsia="Arial" w:cs="Arial"/>
          <w:color w:val="000000" w:themeColor="text1"/>
          <w:sz w:val="22"/>
          <w:szCs w:val="22"/>
        </w:rPr>
      </w:pPr>
      <w:r w:rsidRPr="63018341" w:rsidR="005E3076">
        <w:rPr>
          <w:rFonts w:eastAsia="Arial" w:cs="Arial"/>
          <w:color w:val="000000" w:themeColor="text1" w:themeTint="FF" w:themeShade="FF"/>
          <w:sz w:val="22"/>
          <w:szCs w:val="22"/>
        </w:rPr>
        <w:t>Discuss how to calculate interim milestones for Outcome Indicator 1.2 going forwards.</w:t>
      </w:r>
    </w:p>
    <w:p w:rsidR="005E3076" w:rsidP="00756B4F" w:rsidRDefault="005E3076" w14:paraId="365E8F21" w14:textId="2F1DB241">
      <w:pPr>
        <w:pStyle w:val="ListParagraph"/>
        <w:numPr>
          <w:ilvl w:val="0"/>
          <w:numId w:val="4"/>
        </w:numPr>
        <w:jc w:val="both"/>
        <w:rPr>
          <w:rFonts w:eastAsia="Arial" w:cs="Arial"/>
          <w:color w:val="000000" w:themeColor="text1"/>
          <w:sz w:val="22"/>
          <w:szCs w:val="22"/>
        </w:rPr>
      </w:pPr>
      <w:r w:rsidRPr="76A2BC93">
        <w:rPr>
          <w:rFonts w:eastAsia="Arial" w:cs="Arial"/>
          <w:color w:val="000000" w:themeColor="text1"/>
          <w:sz w:val="22"/>
          <w:szCs w:val="22"/>
        </w:rPr>
        <w:t xml:space="preserve">Discuss how to monitor third-party purchases of emission reductions under </w:t>
      </w:r>
      <w:r w:rsidR="00F86AEB">
        <w:rPr>
          <w:rFonts w:eastAsia="Arial" w:cs="Arial"/>
          <w:color w:val="000000" w:themeColor="text1"/>
          <w:sz w:val="22"/>
          <w:szCs w:val="22"/>
        </w:rPr>
        <w:t>O</w:t>
      </w:r>
      <w:r w:rsidRPr="76A2BC93">
        <w:rPr>
          <w:rFonts w:eastAsia="Arial" w:cs="Arial"/>
          <w:color w:val="000000" w:themeColor="text1"/>
          <w:sz w:val="22"/>
          <w:szCs w:val="22"/>
        </w:rPr>
        <w:t xml:space="preserve">utput </w:t>
      </w:r>
      <w:r w:rsidR="00F86AEB">
        <w:rPr>
          <w:rFonts w:eastAsia="Arial" w:cs="Arial"/>
          <w:color w:val="000000" w:themeColor="text1"/>
          <w:sz w:val="22"/>
          <w:szCs w:val="22"/>
        </w:rPr>
        <w:t>I</w:t>
      </w:r>
      <w:r w:rsidRPr="76A2BC93">
        <w:rPr>
          <w:rFonts w:eastAsia="Arial" w:cs="Arial"/>
          <w:color w:val="000000" w:themeColor="text1"/>
          <w:sz w:val="22"/>
          <w:szCs w:val="22"/>
        </w:rPr>
        <w:t>ndicator 1.2</w:t>
      </w:r>
      <w:r w:rsidR="00715E77">
        <w:rPr>
          <w:rFonts w:eastAsia="Arial" w:cs="Arial"/>
          <w:color w:val="000000" w:themeColor="text1"/>
          <w:sz w:val="22"/>
          <w:szCs w:val="22"/>
        </w:rPr>
        <w:t xml:space="preserve">, </w:t>
      </w:r>
      <w:r w:rsidRPr="00986105" w:rsidR="00715E77">
        <w:rPr>
          <w:rFonts w:cs="Arial"/>
          <w:sz w:val="22"/>
          <w:szCs w:val="22"/>
        </w:rPr>
        <w:t>to reflect both the cumulative disbursements made for ER payments, as well as the additional revenue mobilised through carbon market transactions.</w:t>
      </w:r>
    </w:p>
    <w:p w:rsidR="005E3076" w:rsidP="00756B4F" w:rsidRDefault="005E3076" w14:paraId="33737DF9" w14:textId="3D358F17">
      <w:pPr>
        <w:pStyle w:val="ListParagraph"/>
        <w:numPr>
          <w:ilvl w:val="0"/>
          <w:numId w:val="4"/>
        </w:numPr>
        <w:jc w:val="both"/>
        <w:rPr>
          <w:rFonts w:eastAsia="Arial" w:cs="Arial"/>
          <w:color w:val="000000" w:themeColor="text1"/>
          <w:sz w:val="22"/>
          <w:szCs w:val="22"/>
        </w:rPr>
      </w:pPr>
      <w:r w:rsidRPr="76A2BC93">
        <w:rPr>
          <w:rFonts w:eastAsia="Arial" w:cs="Arial"/>
          <w:i/>
          <w:iCs/>
          <w:color w:val="000000" w:themeColor="text1"/>
          <w:sz w:val="22"/>
          <w:szCs w:val="22"/>
        </w:rPr>
        <w:t>(Rolled over from FY24)</w:t>
      </w:r>
      <w:r w:rsidRPr="76A2BC93">
        <w:rPr>
          <w:rFonts w:eastAsia="Arial" w:cs="Arial"/>
          <w:color w:val="000000" w:themeColor="text1"/>
          <w:sz w:val="22"/>
          <w:szCs w:val="22"/>
        </w:rPr>
        <w:t xml:space="preserve"> Add operational progress or qualitative indicators to Output Indicator 1.6 to assess the progress of the biodiversity pilot in Colombia once it is operational.</w:t>
      </w:r>
    </w:p>
    <w:p w:rsidR="005E3076" w:rsidP="00756B4F" w:rsidRDefault="005E3076" w14:paraId="09B00F39" w14:textId="006066AC">
      <w:pPr>
        <w:pStyle w:val="ListParagraph"/>
        <w:numPr>
          <w:ilvl w:val="0"/>
          <w:numId w:val="4"/>
        </w:numPr>
        <w:jc w:val="both"/>
        <w:rPr>
          <w:rFonts w:eastAsia="Arial" w:cs="Arial"/>
          <w:color w:val="000000" w:themeColor="text1"/>
          <w:sz w:val="22"/>
          <w:szCs w:val="22"/>
        </w:rPr>
      </w:pPr>
      <w:r w:rsidRPr="63018341" w:rsidR="005E3076">
        <w:rPr>
          <w:rFonts w:eastAsia="Arial" w:cs="Arial"/>
          <w:color w:val="000000" w:themeColor="text1" w:themeTint="FF" w:themeShade="FF"/>
          <w:sz w:val="22"/>
          <w:szCs w:val="22"/>
        </w:rPr>
        <w:t>Discuss making output indicator 3.4 a qualitative indicator and report on this from FY26.</w:t>
      </w:r>
    </w:p>
    <w:p w:rsidR="00021DF4" w:rsidP="00756B4F" w:rsidRDefault="001F1929" w14:paraId="4282DDEE" w14:textId="225429C8">
      <w:pPr>
        <w:pStyle w:val="ListParagraph"/>
        <w:numPr>
          <w:ilvl w:val="0"/>
          <w:numId w:val="4"/>
        </w:numPr>
        <w:jc w:val="both"/>
        <w:rPr>
          <w:rFonts w:eastAsia="Arial" w:cs="Arial"/>
          <w:color w:val="000000" w:themeColor="text1"/>
          <w:sz w:val="22"/>
          <w:szCs w:val="22"/>
        </w:rPr>
      </w:pPr>
      <w:r>
        <w:rPr>
          <w:rFonts w:eastAsia="Arial" w:cs="Arial"/>
          <w:color w:val="000000" w:themeColor="text1"/>
          <w:sz w:val="22"/>
          <w:szCs w:val="22"/>
        </w:rPr>
        <w:t>DESNZ to u</w:t>
      </w:r>
      <w:r w:rsidR="00021DF4">
        <w:rPr>
          <w:rFonts w:eastAsia="Arial" w:cs="Arial"/>
          <w:color w:val="000000" w:themeColor="text1"/>
          <w:sz w:val="22"/>
          <w:szCs w:val="22"/>
        </w:rPr>
        <w:t xml:space="preserve">pdate </w:t>
      </w:r>
      <w:r w:rsidR="006C2E5E">
        <w:rPr>
          <w:rFonts w:eastAsia="Arial" w:cs="Arial"/>
          <w:color w:val="000000" w:themeColor="text1"/>
          <w:sz w:val="22"/>
          <w:szCs w:val="22"/>
        </w:rPr>
        <w:t xml:space="preserve">interim milestones and EOP target for </w:t>
      </w:r>
      <w:r w:rsidR="00E244D2">
        <w:rPr>
          <w:rFonts w:eastAsia="Arial" w:cs="Arial"/>
          <w:color w:val="000000" w:themeColor="text1"/>
          <w:sz w:val="22"/>
          <w:szCs w:val="22"/>
        </w:rPr>
        <w:t xml:space="preserve">outcome indicator </w:t>
      </w:r>
      <w:r w:rsidR="00D6126B">
        <w:rPr>
          <w:rFonts w:eastAsia="Arial" w:cs="Arial"/>
          <w:color w:val="000000" w:themeColor="text1"/>
          <w:sz w:val="22"/>
          <w:szCs w:val="22"/>
        </w:rPr>
        <w:t>1.1 to</w:t>
      </w:r>
      <w:r w:rsidR="00237591">
        <w:rPr>
          <w:rFonts w:eastAsia="Arial" w:cs="Arial"/>
          <w:color w:val="000000" w:themeColor="text1"/>
          <w:sz w:val="22"/>
          <w:szCs w:val="22"/>
        </w:rPr>
        <w:t xml:space="preserve"> </w:t>
      </w:r>
      <w:r>
        <w:rPr>
          <w:rFonts w:eastAsia="Arial" w:cs="Arial"/>
          <w:color w:val="000000" w:themeColor="text1"/>
          <w:sz w:val="22"/>
          <w:szCs w:val="22"/>
        </w:rPr>
        <w:t>align with revisions made to the WB Results Framework.</w:t>
      </w:r>
    </w:p>
    <w:p w:rsidR="00454AED" w:rsidP="00756B4F" w:rsidRDefault="00454AED" w14:paraId="6DB2678A" w14:textId="04FFF221">
      <w:pPr>
        <w:pStyle w:val="ListParagraph"/>
        <w:numPr>
          <w:ilvl w:val="0"/>
          <w:numId w:val="4"/>
        </w:numPr>
        <w:jc w:val="both"/>
        <w:rPr>
          <w:rFonts w:eastAsia="Arial" w:cs="Arial"/>
          <w:color w:val="000000" w:themeColor="text1"/>
          <w:sz w:val="22"/>
          <w:szCs w:val="22"/>
        </w:rPr>
      </w:pPr>
      <w:r>
        <w:rPr>
          <w:rFonts w:eastAsia="Arial" w:cs="Arial"/>
          <w:color w:val="000000" w:themeColor="text1"/>
          <w:sz w:val="22"/>
          <w:szCs w:val="22"/>
        </w:rPr>
        <w:t xml:space="preserve">DESNZ to update EOP target for </w:t>
      </w:r>
      <w:r w:rsidR="008A1F93">
        <w:rPr>
          <w:rFonts w:eastAsia="Arial" w:cs="Arial"/>
          <w:color w:val="000000" w:themeColor="text1"/>
          <w:sz w:val="22"/>
          <w:szCs w:val="22"/>
        </w:rPr>
        <w:t>output indicator 2.2</w:t>
      </w:r>
      <w:r>
        <w:rPr>
          <w:rFonts w:eastAsia="Arial" w:cs="Arial"/>
          <w:color w:val="000000" w:themeColor="text1"/>
          <w:sz w:val="22"/>
          <w:szCs w:val="22"/>
        </w:rPr>
        <w:t xml:space="preserve"> to align with revision made to the WB Results Framework and revise interim milestones accordingly.</w:t>
      </w:r>
    </w:p>
    <w:p w:rsidR="04603C7E" w:rsidP="00756B4F" w:rsidRDefault="2BD2A5FC" w14:paraId="62909CCD" w14:textId="0096B78B">
      <w:pPr>
        <w:pStyle w:val="ListParagraph"/>
        <w:numPr>
          <w:ilvl w:val="0"/>
          <w:numId w:val="4"/>
        </w:numPr>
        <w:jc w:val="both"/>
        <w:rPr>
          <w:rFonts w:eastAsia="Arial" w:cs="Arial"/>
          <w:color w:val="000000" w:themeColor="text1"/>
          <w:sz w:val="22"/>
          <w:szCs w:val="22"/>
        </w:rPr>
      </w:pPr>
      <w:r w:rsidRPr="1846153E">
        <w:rPr>
          <w:rFonts w:eastAsia="Arial" w:cs="Arial"/>
          <w:color w:val="000000" w:themeColor="text1"/>
          <w:sz w:val="22"/>
          <w:szCs w:val="22"/>
        </w:rPr>
        <w:t xml:space="preserve">DESNZ to remove Output 1.5 to reflect that it was achieved in FY24. </w:t>
      </w:r>
    </w:p>
    <w:p w:rsidR="009C2191" w:rsidP="00756B4F" w:rsidRDefault="009C2191" w14:paraId="0FB4E2A6" w14:textId="14286A2C">
      <w:pPr>
        <w:pStyle w:val="ListParagraph"/>
        <w:numPr>
          <w:ilvl w:val="0"/>
          <w:numId w:val="4"/>
        </w:numPr>
        <w:jc w:val="both"/>
        <w:rPr>
          <w:rFonts w:eastAsia="Arial" w:cs="Arial"/>
          <w:color w:val="000000" w:themeColor="text1"/>
          <w:sz w:val="22"/>
          <w:szCs w:val="22"/>
        </w:rPr>
      </w:pPr>
      <w:r>
        <w:rPr>
          <w:rFonts w:eastAsia="Arial" w:cs="Arial"/>
          <w:color w:val="000000" w:themeColor="text1"/>
          <w:sz w:val="22"/>
          <w:szCs w:val="22"/>
        </w:rPr>
        <w:t>DESNZ to r</w:t>
      </w:r>
      <w:r w:rsidRPr="009C2191">
        <w:rPr>
          <w:rFonts w:eastAsia="Arial" w:cs="Arial"/>
          <w:color w:val="000000" w:themeColor="text1"/>
          <w:sz w:val="22"/>
          <w:szCs w:val="22"/>
        </w:rPr>
        <w:t>evise Outcome Indicator 1.3</w:t>
      </w:r>
      <w:r>
        <w:rPr>
          <w:rFonts w:eastAsia="Arial" w:cs="Arial"/>
          <w:color w:val="000000" w:themeColor="text1"/>
          <w:sz w:val="22"/>
          <w:szCs w:val="22"/>
        </w:rPr>
        <w:t xml:space="preserve"> </w:t>
      </w:r>
      <w:r w:rsidRPr="009C2191">
        <w:rPr>
          <w:rFonts w:eastAsia="Arial" w:cs="Arial"/>
          <w:color w:val="000000" w:themeColor="text1"/>
          <w:sz w:val="22"/>
          <w:szCs w:val="22"/>
        </w:rPr>
        <w:t>(b) to reflect the significant overachievement of the FY25 milestone for not-for-profit finance mobilised.</w:t>
      </w:r>
    </w:p>
    <w:p w:rsidR="005E3076" w:rsidP="3CB79CFC" w:rsidRDefault="005E3076" w14:paraId="4A47F654" w14:textId="61A005E4">
      <w:pPr>
        <w:jc w:val="both"/>
        <w:rPr>
          <w:rFonts w:eastAsia="Arial" w:cs="Arial"/>
          <w:i w:val="1"/>
          <w:iCs w:val="1"/>
          <w:color w:val="000000" w:themeColor="text1"/>
          <w:sz w:val="22"/>
          <w:szCs w:val="22"/>
        </w:rPr>
      </w:pPr>
      <w:r w:rsidRPr="3CB79CFC" w:rsidR="005E3076">
        <w:rPr>
          <w:rFonts w:eastAsia="Arial" w:cs="Arial"/>
          <w:i w:val="1"/>
          <w:iCs w:val="1"/>
          <w:color w:val="000000" w:themeColor="text1" w:themeTint="FF" w:themeShade="FF"/>
          <w:sz w:val="22"/>
          <w:szCs w:val="22"/>
        </w:rPr>
        <w:t>Deadline: 3</w:t>
      </w:r>
      <w:r w:rsidRPr="3CB79CFC" w:rsidR="4A229E8E">
        <w:rPr>
          <w:rFonts w:eastAsia="Arial" w:cs="Arial"/>
          <w:i w:val="1"/>
          <w:iCs w:val="1"/>
          <w:color w:val="000000" w:themeColor="text1" w:themeTint="FF" w:themeShade="FF"/>
          <w:sz w:val="22"/>
          <w:szCs w:val="22"/>
        </w:rPr>
        <w:t>0 June</w:t>
      </w:r>
      <w:r w:rsidRPr="3CB79CFC" w:rsidR="005E3076">
        <w:rPr>
          <w:rFonts w:eastAsia="Arial" w:cs="Arial"/>
          <w:i w:val="1"/>
          <w:iCs w:val="1"/>
          <w:color w:val="000000" w:themeColor="text1" w:themeTint="FF" w:themeShade="FF"/>
          <w:sz w:val="22"/>
          <w:szCs w:val="22"/>
        </w:rPr>
        <w:t xml:space="preserve"> 2026</w:t>
      </w:r>
    </w:p>
    <w:p w:rsidR="005E3076" w:rsidP="005E3076" w:rsidRDefault="005E3076" w14:paraId="77D89581" w14:textId="77777777">
      <w:pPr>
        <w:jc w:val="both"/>
        <w:rPr>
          <w:rFonts w:cs="Arial"/>
          <w:b/>
          <w:bCs/>
          <w:sz w:val="22"/>
          <w:szCs w:val="22"/>
        </w:rPr>
      </w:pPr>
    </w:p>
    <w:p w:rsidRPr="00955AFA" w:rsidR="005E3076" w:rsidP="005E3076" w:rsidRDefault="005E3076" w14:paraId="4AEC6DF9" w14:textId="04B3A1DC">
      <w:pPr>
        <w:jc w:val="both"/>
        <w:rPr>
          <w:rFonts w:cs="Arial"/>
          <w:sz w:val="22"/>
          <w:szCs w:val="22"/>
        </w:rPr>
      </w:pPr>
      <w:r w:rsidRPr="7BFD73A2" w:rsidR="005E3076">
        <w:rPr>
          <w:rFonts w:cs="Arial"/>
          <w:b w:val="1"/>
          <w:bCs w:val="1"/>
          <w:sz w:val="22"/>
          <w:szCs w:val="22"/>
        </w:rPr>
        <w:t>Recommendation [</w:t>
      </w:r>
      <w:r w:rsidR="005E3076">
        <w:rPr>
          <w:rFonts w:cs="Arial"/>
          <w:b w:val="1"/>
          <w:bCs w:val="1"/>
          <w:sz w:val="22"/>
          <w:szCs w:val="22"/>
        </w:rPr>
        <w:t>2</w:t>
      </w:r>
      <w:r w:rsidRPr="7BFD73A2" w:rsidR="005E3076">
        <w:rPr>
          <w:rFonts w:cs="Arial"/>
          <w:b w:val="1"/>
          <w:bCs w:val="1"/>
          <w:sz w:val="22"/>
          <w:szCs w:val="22"/>
        </w:rPr>
        <w:t xml:space="preserve">] </w:t>
      </w:r>
      <w:r w:rsidRPr="494508DD" w:rsidR="005E3076">
        <w:rPr>
          <w:rFonts w:cs="Arial"/>
          <w:b w:val="1"/>
          <w:bCs w:val="1"/>
          <w:i w:val="1"/>
          <w:iCs w:val="1"/>
          <w:sz w:val="22"/>
          <w:szCs w:val="22"/>
        </w:rPr>
        <w:t>(rolled over from FY24)</w:t>
      </w:r>
      <w:r w:rsidRPr="7BFD73A2" w:rsidR="005E3076">
        <w:rPr>
          <w:rFonts w:cs="Arial"/>
          <w:b w:val="1"/>
          <w:bCs w:val="1"/>
          <w:sz w:val="22"/>
          <w:szCs w:val="22"/>
        </w:rPr>
        <w:t xml:space="preserve">: </w:t>
      </w:r>
      <w:r w:rsidRPr="7BFD73A2" w:rsidR="005E3076">
        <w:rPr>
          <w:rFonts w:eastAsia="Arial" w:cs="Arial"/>
          <w:color w:val="000000" w:themeColor="text1"/>
          <w:sz w:val="22"/>
          <w:szCs w:val="22"/>
        </w:rPr>
        <w:t xml:space="preserve">World Bank and DESNZ to appraise and fund alternative grant funding options for the remaining unallocated </w:t>
      </w:r>
      <w:r w:rsidR="00E44F7D">
        <w:rPr>
          <w:rFonts w:eastAsia="Arial" w:cs="Arial"/>
          <w:color w:val="000000" w:themeColor="text1"/>
          <w:sz w:val="22"/>
          <w:szCs w:val="22"/>
        </w:rPr>
        <w:t>$2.</w:t>
      </w:r>
      <w:r w:rsidRPr="7CBDBB8D" w:rsidR="7A273556">
        <w:rPr>
          <w:rFonts w:eastAsia="Arial" w:cs="Arial"/>
          <w:color w:val="000000" w:themeColor="text1"/>
          <w:sz w:val="22"/>
          <w:szCs w:val="22"/>
        </w:rPr>
        <w:t>28</w:t>
      </w:r>
      <w:r w:rsidRPr="7CBDBB8D" w:rsidR="00E44F7D">
        <w:rPr>
          <w:rFonts w:eastAsia="Arial" w:cs="Arial"/>
          <w:color w:val="000000" w:themeColor="text1"/>
          <w:sz w:val="22"/>
          <w:szCs w:val="22"/>
        </w:rPr>
        <w:t>m</w:t>
      </w:r>
      <w:r w:rsidRPr="7CBDBB8D">
        <w:rPr>
          <w:rStyle w:val="FootnoteReference"/>
          <w:rFonts w:eastAsia="Arial" w:cs="Arial"/>
          <w:color w:val="000000" w:themeColor="text1"/>
          <w:sz w:val="22"/>
          <w:szCs w:val="22"/>
        </w:rPr>
        <w:footnoteReference w:id="8"/>
      </w:r>
      <w:r w:rsidR="00E44F7D">
        <w:rPr>
          <w:rFonts w:eastAsia="Arial" w:cs="Arial"/>
          <w:color w:val="000000" w:themeColor="text1"/>
          <w:sz w:val="22"/>
          <w:szCs w:val="22"/>
        </w:rPr>
        <w:t xml:space="preserve"> </w:t>
      </w:r>
      <w:r w:rsidRPr="7BFD73A2" w:rsidR="005E3076">
        <w:rPr>
          <w:rFonts w:eastAsia="Arial" w:cs="Arial"/>
          <w:color w:val="000000" w:themeColor="text1"/>
          <w:sz w:val="22"/>
          <w:szCs w:val="22"/>
        </w:rPr>
        <w:t>funding in the UK Single Donor Trust Fund (SDTF).</w:t>
      </w:r>
      <w:r w:rsidR="00C31B80">
        <w:rPr>
          <w:rFonts w:eastAsia="Arial" w:cs="Arial"/>
          <w:color w:val="000000" w:themeColor="text1"/>
          <w:sz w:val="22"/>
          <w:szCs w:val="22"/>
        </w:rPr>
        <w:t xml:space="preserve"> </w:t>
      </w:r>
    </w:p>
    <w:p w:rsidR="005E3076" w:rsidP="005E3076" w:rsidRDefault="005E3076" w14:paraId="6B43C9E3" w14:textId="77777777">
      <w:pPr>
        <w:jc w:val="both"/>
        <w:rPr>
          <w:rFonts w:eastAsia="Arial" w:cs="Arial"/>
          <w:color w:val="000000" w:themeColor="text1"/>
          <w:sz w:val="22"/>
          <w:szCs w:val="22"/>
        </w:rPr>
      </w:pPr>
    </w:p>
    <w:p w:rsidR="005E3076" w:rsidP="005E3076" w:rsidRDefault="005E3076" w14:paraId="22A500E7" w14:textId="77777777">
      <w:pPr>
        <w:jc w:val="both"/>
        <w:rPr>
          <w:rFonts w:eastAsia="Arial" w:cs="Arial"/>
          <w:i/>
          <w:iCs/>
          <w:color w:val="000000" w:themeColor="text1"/>
          <w:sz w:val="22"/>
          <w:szCs w:val="22"/>
        </w:rPr>
      </w:pPr>
      <w:r w:rsidRPr="7BFD73A2">
        <w:rPr>
          <w:rFonts w:eastAsia="Arial" w:cs="Arial"/>
          <w:i/>
          <w:iCs/>
          <w:color w:val="000000" w:themeColor="text1"/>
          <w:sz w:val="22"/>
          <w:szCs w:val="22"/>
        </w:rPr>
        <w:t xml:space="preserve">Deadline: </w:t>
      </w:r>
      <w:r>
        <w:rPr>
          <w:rFonts w:eastAsia="Arial" w:cs="Arial"/>
          <w:i/>
          <w:iCs/>
          <w:color w:val="000000" w:themeColor="text1"/>
          <w:sz w:val="22"/>
          <w:szCs w:val="22"/>
        </w:rPr>
        <w:t>30 June 2026</w:t>
      </w:r>
    </w:p>
    <w:p w:rsidR="005E3076" w:rsidP="005E3076" w:rsidRDefault="005E3076" w14:paraId="7FF535BC" w14:textId="77777777">
      <w:pPr>
        <w:jc w:val="both"/>
        <w:rPr>
          <w:rFonts w:eastAsia="Arial" w:cs="Arial"/>
          <w:b/>
          <w:bCs/>
          <w:color w:val="000000" w:themeColor="text1"/>
          <w:sz w:val="22"/>
          <w:szCs w:val="22"/>
        </w:rPr>
      </w:pPr>
    </w:p>
    <w:p w:rsidR="005E3076" w:rsidP="005E3076" w:rsidRDefault="005E3076" w14:paraId="7D1B7477" w14:textId="11D39721">
      <w:pPr>
        <w:jc w:val="both"/>
        <w:rPr>
          <w:rFonts w:eastAsia="Arial" w:cs="Arial"/>
          <w:sz w:val="22"/>
          <w:szCs w:val="22"/>
        </w:rPr>
      </w:pPr>
      <w:r w:rsidRPr="0FE0EEA2">
        <w:rPr>
          <w:rFonts w:eastAsia="Arial" w:cs="Arial"/>
          <w:b/>
          <w:bCs/>
          <w:color w:val="000000" w:themeColor="text1"/>
          <w:sz w:val="22"/>
          <w:szCs w:val="22"/>
        </w:rPr>
        <w:t>Recommendation [</w:t>
      </w:r>
      <w:r>
        <w:rPr>
          <w:rFonts w:eastAsia="Arial" w:cs="Arial"/>
          <w:b/>
          <w:bCs/>
          <w:color w:val="000000" w:themeColor="text1"/>
          <w:sz w:val="22"/>
          <w:szCs w:val="22"/>
        </w:rPr>
        <w:t>4</w:t>
      </w:r>
      <w:r w:rsidRPr="0FE0EEA2">
        <w:rPr>
          <w:rFonts w:eastAsia="Arial" w:cs="Arial"/>
          <w:b/>
          <w:bCs/>
          <w:color w:val="000000" w:themeColor="text1"/>
          <w:sz w:val="22"/>
          <w:szCs w:val="22"/>
        </w:rPr>
        <w:t xml:space="preserve">] </w:t>
      </w:r>
      <w:r w:rsidRPr="0FE0EEA2">
        <w:rPr>
          <w:rFonts w:cs="Arial"/>
          <w:b/>
          <w:bCs/>
          <w:i/>
          <w:iCs/>
          <w:sz w:val="22"/>
          <w:szCs w:val="22"/>
        </w:rPr>
        <w:t>(rolled over from FY24)</w:t>
      </w:r>
      <w:r w:rsidRPr="0FE0EEA2">
        <w:rPr>
          <w:rFonts w:cs="Arial"/>
          <w:b/>
          <w:bCs/>
          <w:sz w:val="22"/>
          <w:szCs w:val="22"/>
        </w:rPr>
        <w:t xml:space="preserve">: </w:t>
      </w:r>
      <w:r w:rsidRPr="0008661D" w:rsidR="005404D8">
        <w:rPr>
          <w:rFonts w:cs="Arial"/>
          <w:sz w:val="22"/>
          <w:szCs w:val="22"/>
        </w:rPr>
        <w:t>World Bank to complete the database documenting how lessons from the ISFL (and other Bank-managed carbon funds) will be integrated into SCALE programming, and to share this with contributors</w:t>
      </w:r>
      <w:r w:rsidR="009E0F05">
        <w:rPr>
          <w:rFonts w:cs="Arial"/>
          <w:sz w:val="22"/>
          <w:szCs w:val="22"/>
        </w:rPr>
        <w:t>.</w:t>
      </w:r>
      <w:r w:rsidR="00D6126B">
        <w:rPr>
          <w:rFonts w:cs="Arial"/>
          <w:sz w:val="22"/>
          <w:szCs w:val="22"/>
        </w:rPr>
        <w:t xml:space="preserve"> </w:t>
      </w:r>
      <w:r w:rsidRPr="7E894C7F">
        <w:rPr>
          <w:rFonts w:cs="Arial"/>
          <w:sz w:val="22"/>
          <w:szCs w:val="22"/>
        </w:rPr>
        <w:t xml:space="preserve">World Bank and DESNZ to </w:t>
      </w:r>
      <w:r>
        <w:rPr>
          <w:rFonts w:cs="Arial"/>
          <w:sz w:val="22"/>
          <w:szCs w:val="22"/>
        </w:rPr>
        <w:t xml:space="preserve">further </w:t>
      </w:r>
      <w:r w:rsidRPr="7E894C7F">
        <w:rPr>
          <w:rFonts w:cs="Arial"/>
          <w:sz w:val="22"/>
          <w:szCs w:val="22"/>
        </w:rPr>
        <w:t>ensure lessons from the ISFL programme</w:t>
      </w:r>
      <w:r w:rsidR="007E5E57">
        <w:rPr>
          <w:rFonts w:cs="Arial"/>
          <w:sz w:val="22"/>
          <w:szCs w:val="22"/>
        </w:rPr>
        <w:t>s</w:t>
      </w:r>
      <w:r w:rsidRPr="7E894C7F">
        <w:rPr>
          <w:rFonts w:cs="Arial"/>
          <w:sz w:val="22"/>
          <w:szCs w:val="22"/>
        </w:rPr>
        <w:t xml:space="preserve"> in Zambia</w:t>
      </w:r>
      <w:r>
        <w:rPr>
          <w:rFonts w:cs="Arial"/>
          <w:sz w:val="22"/>
          <w:szCs w:val="22"/>
        </w:rPr>
        <w:t xml:space="preserve"> and Ethiopia</w:t>
      </w:r>
      <w:r w:rsidRPr="7E894C7F">
        <w:rPr>
          <w:rFonts w:cs="Arial"/>
          <w:sz w:val="22"/>
          <w:szCs w:val="22"/>
        </w:rPr>
        <w:t xml:space="preserve"> are shared with and operationalised into the SCALE programme</w:t>
      </w:r>
      <w:r w:rsidR="007E5E57">
        <w:rPr>
          <w:rFonts w:cs="Arial"/>
          <w:sz w:val="22"/>
          <w:szCs w:val="22"/>
        </w:rPr>
        <w:t>s</w:t>
      </w:r>
      <w:r w:rsidRPr="7E894C7F">
        <w:rPr>
          <w:rFonts w:cs="Arial"/>
          <w:sz w:val="22"/>
          <w:szCs w:val="22"/>
        </w:rPr>
        <w:t xml:space="preserve"> in Zambia</w:t>
      </w:r>
      <w:r>
        <w:rPr>
          <w:rFonts w:cs="Arial"/>
          <w:sz w:val="22"/>
          <w:szCs w:val="22"/>
        </w:rPr>
        <w:t xml:space="preserve"> and Ethiopia</w:t>
      </w:r>
      <w:r w:rsidRPr="7E894C7F">
        <w:rPr>
          <w:rFonts w:cs="Arial"/>
          <w:sz w:val="22"/>
          <w:szCs w:val="22"/>
        </w:rPr>
        <w:t>.</w:t>
      </w:r>
      <w:r>
        <w:rPr>
          <w:rFonts w:cs="Arial"/>
          <w:sz w:val="22"/>
          <w:szCs w:val="22"/>
        </w:rPr>
        <w:t xml:space="preserve"> </w:t>
      </w:r>
    </w:p>
    <w:p w:rsidR="005E3076" w:rsidP="005E3076" w:rsidRDefault="005E3076" w14:paraId="4DD4C8D4" w14:textId="412E8467">
      <w:pPr>
        <w:jc w:val="both"/>
        <w:rPr>
          <w:rFonts w:eastAsia="Arial" w:cs="Arial"/>
          <w:color w:val="000000" w:themeColor="text1"/>
          <w:sz w:val="22"/>
          <w:szCs w:val="22"/>
        </w:rPr>
      </w:pPr>
    </w:p>
    <w:p w:rsidR="005E3076" w:rsidP="005E3076" w:rsidRDefault="005E3076" w14:paraId="5F44D890" w14:textId="7DCC92E3">
      <w:pPr>
        <w:jc w:val="both"/>
        <w:rPr>
          <w:rFonts w:eastAsia="Arial" w:cs="Arial"/>
          <w:i/>
          <w:iCs/>
          <w:color w:val="000000" w:themeColor="text1"/>
          <w:sz w:val="22"/>
          <w:szCs w:val="22"/>
        </w:rPr>
      </w:pPr>
      <w:r w:rsidRPr="76A2BC93">
        <w:rPr>
          <w:rFonts w:eastAsia="Arial" w:cs="Arial"/>
          <w:i/>
          <w:iCs/>
          <w:color w:val="000000" w:themeColor="text1"/>
          <w:sz w:val="22"/>
          <w:szCs w:val="22"/>
        </w:rPr>
        <w:t>Deadline: 30 June 2026</w:t>
      </w:r>
    </w:p>
    <w:p w:rsidR="005E3076" w:rsidP="005E3076" w:rsidRDefault="005E3076" w14:paraId="137BDB68" w14:textId="77777777">
      <w:pPr>
        <w:jc w:val="both"/>
        <w:rPr>
          <w:rFonts w:eastAsia="Arial" w:cs="Arial"/>
          <w:b/>
          <w:bCs/>
          <w:color w:val="000000" w:themeColor="text1"/>
          <w:sz w:val="22"/>
          <w:szCs w:val="22"/>
        </w:rPr>
      </w:pPr>
    </w:p>
    <w:p w:rsidR="005E3076" w:rsidP="005E3076" w:rsidRDefault="005E3076" w14:paraId="119CF302" w14:textId="77777777">
      <w:pPr>
        <w:jc w:val="both"/>
        <w:rPr>
          <w:rFonts w:eastAsia="Arial" w:cs="Arial"/>
          <w:sz w:val="22"/>
          <w:szCs w:val="22"/>
        </w:rPr>
      </w:pPr>
      <w:r w:rsidRPr="7E894C7F">
        <w:rPr>
          <w:rFonts w:eastAsia="Arial" w:cs="Arial"/>
          <w:b/>
          <w:bCs/>
          <w:color w:val="000000" w:themeColor="text1"/>
          <w:sz w:val="22"/>
          <w:szCs w:val="22"/>
        </w:rPr>
        <w:t>Recommendation [</w:t>
      </w:r>
      <w:r>
        <w:rPr>
          <w:rFonts w:eastAsia="Arial" w:cs="Arial"/>
          <w:b/>
          <w:bCs/>
          <w:color w:val="000000" w:themeColor="text1"/>
          <w:sz w:val="22"/>
          <w:szCs w:val="22"/>
        </w:rPr>
        <w:t>5</w:t>
      </w:r>
      <w:r w:rsidRPr="7E894C7F">
        <w:rPr>
          <w:rFonts w:eastAsia="Arial" w:cs="Arial"/>
          <w:b/>
          <w:bCs/>
          <w:color w:val="000000" w:themeColor="text1"/>
          <w:sz w:val="22"/>
          <w:szCs w:val="22"/>
        </w:rPr>
        <w:t xml:space="preserve">] </w:t>
      </w:r>
      <w:r w:rsidRPr="7E894C7F">
        <w:rPr>
          <w:rFonts w:cs="Arial"/>
          <w:b/>
          <w:bCs/>
          <w:i/>
          <w:iCs/>
          <w:sz w:val="22"/>
          <w:szCs w:val="22"/>
        </w:rPr>
        <w:t>(rolled over from FY24)</w:t>
      </w:r>
      <w:r w:rsidRPr="7E894C7F">
        <w:rPr>
          <w:rFonts w:cs="Arial"/>
          <w:b/>
          <w:bCs/>
          <w:sz w:val="22"/>
          <w:szCs w:val="22"/>
        </w:rPr>
        <w:t>:</w:t>
      </w:r>
      <w:r w:rsidRPr="7E894C7F">
        <w:rPr>
          <w:rFonts w:eastAsia="Arial" w:cs="Arial"/>
          <w:b/>
          <w:bCs/>
          <w:color w:val="000000" w:themeColor="text1"/>
          <w:sz w:val="22"/>
          <w:szCs w:val="22"/>
        </w:rPr>
        <w:t xml:space="preserve"> </w:t>
      </w:r>
      <w:r w:rsidRPr="7E894C7F">
        <w:rPr>
          <w:rFonts w:eastAsia="Arial" w:cs="Arial"/>
          <w:color w:val="000000" w:themeColor="text1"/>
          <w:sz w:val="22"/>
          <w:szCs w:val="22"/>
        </w:rPr>
        <w:t>World Bank to create a pathway for the future of the ISFL standard beyond the ISFL programme.</w:t>
      </w:r>
    </w:p>
    <w:p w:rsidR="005E3076" w:rsidP="005E3076" w:rsidRDefault="005E3076" w14:paraId="4D235F7B" w14:textId="77777777">
      <w:pPr>
        <w:jc w:val="both"/>
        <w:rPr>
          <w:rFonts w:eastAsia="Arial" w:cs="Arial"/>
          <w:i/>
          <w:iCs/>
          <w:color w:val="000000" w:themeColor="text1"/>
          <w:sz w:val="22"/>
          <w:szCs w:val="22"/>
        </w:rPr>
      </w:pPr>
    </w:p>
    <w:p w:rsidR="005E3076" w:rsidP="005E3076" w:rsidRDefault="005E3076" w14:paraId="6112BDA9" w14:textId="519A66C4">
      <w:pPr>
        <w:jc w:val="both"/>
        <w:rPr>
          <w:rFonts w:eastAsia="Arial" w:cs="Arial"/>
          <w:i/>
          <w:iCs/>
          <w:color w:val="000000" w:themeColor="text1"/>
          <w:sz w:val="22"/>
          <w:szCs w:val="22"/>
        </w:rPr>
      </w:pPr>
      <w:r w:rsidRPr="00277A70">
        <w:rPr>
          <w:rFonts w:eastAsia="Arial" w:cs="Arial"/>
          <w:i/>
          <w:iCs/>
          <w:color w:val="000000" w:themeColor="text1"/>
          <w:sz w:val="22"/>
          <w:szCs w:val="22"/>
        </w:rPr>
        <w:t xml:space="preserve">Deadline: </w:t>
      </w:r>
      <w:r w:rsidR="00C0662A">
        <w:rPr>
          <w:rFonts w:eastAsia="Arial" w:cs="Arial"/>
          <w:i/>
          <w:iCs/>
          <w:color w:val="000000" w:themeColor="text1"/>
          <w:sz w:val="22"/>
          <w:szCs w:val="22"/>
        </w:rPr>
        <w:t>30 June 2026</w:t>
      </w:r>
    </w:p>
    <w:p w:rsidR="005E3076" w:rsidP="005E3076" w:rsidRDefault="005E3076" w14:paraId="33EFC150" w14:textId="77777777">
      <w:pPr>
        <w:jc w:val="both"/>
        <w:rPr>
          <w:rFonts w:eastAsia="Arial" w:cs="Arial"/>
          <w:b/>
          <w:bCs/>
          <w:color w:val="000000" w:themeColor="text1"/>
          <w:sz w:val="22"/>
          <w:szCs w:val="22"/>
        </w:rPr>
      </w:pPr>
    </w:p>
    <w:p w:rsidR="005E3076" w:rsidP="005E3076" w:rsidRDefault="005E3076" w14:paraId="0FD7EFB5" w14:textId="3A7F9FE6">
      <w:pPr>
        <w:jc w:val="both"/>
        <w:rPr>
          <w:rFonts w:eastAsia="Arial" w:cs="Arial"/>
          <w:color w:val="000000" w:themeColor="text1"/>
          <w:sz w:val="22"/>
          <w:szCs w:val="22"/>
        </w:rPr>
      </w:pPr>
      <w:r w:rsidRPr="76A2BC93" w:rsidR="005E3076">
        <w:rPr>
          <w:rFonts w:eastAsia="Arial" w:cs="Arial"/>
          <w:b w:val="1"/>
          <w:bCs w:val="1"/>
          <w:color w:val="000000" w:themeColor="text1"/>
          <w:sz w:val="22"/>
          <w:szCs w:val="22"/>
        </w:rPr>
        <w:t>Recommendation [</w:t>
      </w:r>
      <w:r w:rsidR="005E3076">
        <w:rPr>
          <w:rFonts w:eastAsia="Arial" w:cs="Arial"/>
          <w:b w:val="1"/>
          <w:bCs w:val="1"/>
          <w:color w:val="000000" w:themeColor="text1"/>
          <w:sz w:val="22"/>
          <w:szCs w:val="22"/>
        </w:rPr>
        <w:t>6</w:t>
      </w:r>
      <w:r w:rsidRPr="76A2BC93" w:rsidR="005E3076">
        <w:rPr>
          <w:rFonts w:eastAsia="Arial" w:cs="Arial"/>
          <w:b w:val="1"/>
          <w:bCs w:val="1"/>
          <w:color w:val="000000" w:themeColor="text1"/>
          <w:sz w:val="22"/>
          <w:szCs w:val="22"/>
        </w:rPr>
        <w:t xml:space="preserve">] </w:t>
      </w:r>
      <w:r w:rsidRPr="63018341" w:rsidR="005E3076">
        <w:rPr>
          <w:rFonts w:eastAsia="Arial" w:cs="Arial"/>
          <w:b w:val="1"/>
          <w:bCs w:val="1"/>
          <w:i w:val="1"/>
          <w:iCs w:val="1"/>
          <w:color w:val="000000" w:themeColor="text1"/>
          <w:sz w:val="22"/>
          <w:szCs w:val="22"/>
        </w:rPr>
        <w:t>(rolled over from FY24)</w:t>
      </w:r>
      <w:r w:rsidRPr="76A2BC93" w:rsidR="005E3076">
        <w:rPr>
          <w:rFonts w:eastAsia="Arial" w:cs="Arial"/>
          <w:b w:val="1"/>
          <w:bCs w:val="1"/>
          <w:color w:val="000000" w:themeColor="text1"/>
          <w:sz w:val="22"/>
          <w:szCs w:val="22"/>
        </w:rPr>
        <w:t xml:space="preserve">: </w:t>
      </w:r>
      <w:r w:rsidRPr="00634681" w:rsidR="005E3076">
        <w:rPr>
          <w:rFonts w:eastAsia="Arial" w:cs="Arial"/>
          <w:color w:val="000000" w:themeColor="text1"/>
          <w:sz w:val="22"/>
          <w:szCs w:val="22"/>
        </w:rPr>
        <w:t xml:space="preserve">DESNZ and contributors </w:t>
      </w:r>
      <w:r w:rsidR="005E3076">
        <w:rPr>
          <w:rFonts w:eastAsia="Arial" w:cs="Arial"/>
          <w:color w:val="000000" w:themeColor="text1"/>
          <w:sz w:val="22"/>
          <w:szCs w:val="22"/>
        </w:rPr>
        <w:t>to</w:t>
      </w:r>
      <w:r w:rsidRPr="00634681" w:rsidR="005E3076">
        <w:rPr>
          <w:rFonts w:eastAsia="Arial" w:cs="Arial"/>
          <w:color w:val="000000" w:themeColor="text1"/>
          <w:sz w:val="22"/>
          <w:szCs w:val="22"/>
        </w:rPr>
        <w:t xml:space="preserve"> continue to </w:t>
      </w:r>
      <w:r w:rsidRPr="00634681" w:rsidR="005E3076">
        <w:rPr>
          <w:rFonts w:eastAsia="Arial" w:cs="Arial"/>
          <w:color w:val="000000" w:themeColor="text1"/>
          <w:sz w:val="22"/>
          <w:szCs w:val="22"/>
        </w:rPr>
        <w:t xml:space="preserve">maintain</w:t>
      </w:r>
      <w:r w:rsidRPr="00634681" w:rsidR="005E3076">
        <w:rPr>
          <w:rFonts w:eastAsia="Arial" w:cs="Arial"/>
          <w:color w:val="000000" w:themeColor="text1"/>
          <w:sz w:val="22"/>
          <w:szCs w:val="22"/>
        </w:rPr>
        <w:t xml:space="preserve"> regular communication with the World Bank to monitor ERPA progress and, where </w:t>
      </w:r>
      <w:r w:rsidRPr="00634681" w:rsidR="005E3076">
        <w:rPr>
          <w:rFonts w:eastAsia="Arial" w:cs="Arial"/>
          <w:color w:val="000000" w:themeColor="text1"/>
          <w:sz w:val="22"/>
          <w:szCs w:val="22"/>
        </w:rPr>
        <w:t xml:space="preserve">appropriate</w:t>
      </w:r>
      <w:r w:rsidRPr="00634681" w:rsidR="005E3076">
        <w:rPr>
          <w:rFonts w:eastAsia="Arial" w:cs="Arial"/>
          <w:color w:val="000000" w:themeColor="text1"/>
          <w:sz w:val="22"/>
          <w:szCs w:val="22"/>
        </w:rPr>
        <w:t xml:space="preserve">, use available levers to encourage the swift completion of ERPAs if delays persist. In addition, </w:t>
      </w:r>
      <w:r w:rsidRPr="00634681" w:rsidR="005E3076">
        <w:rPr>
          <w:rFonts w:eastAsia="Arial" w:cs="Arial"/>
          <w:color w:val="000000" w:themeColor="text1"/>
          <w:sz w:val="22"/>
          <w:szCs w:val="22"/>
        </w:rPr>
        <w:t xml:space="preserve">it is recommended that a dedicated </w:t>
      </w:r>
      <w:r w:rsidR="005E3076">
        <w:rPr>
          <w:rFonts w:eastAsia="Arial" w:cs="Arial"/>
          <w:color w:val="000000" w:themeColor="text1"/>
          <w:sz w:val="22"/>
          <w:szCs w:val="22"/>
        </w:rPr>
        <w:t>discussio</w:t>
      </w:r>
      <w:r w:rsidRPr="00634681" w:rsidR="005E3076">
        <w:rPr>
          <w:rFonts w:eastAsia="Arial" w:cs="Arial"/>
          <w:color w:val="000000" w:themeColor="text1"/>
          <w:sz w:val="22"/>
          <w:szCs w:val="22"/>
        </w:rPr>
        <w:t>n and lessons learned session</w:t>
      </w:r>
      <w:r w:rsidRPr="4873A3EF">
        <w:rPr>
          <w:rStyle w:val="FootnoteReference"/>
          <w:rFonts w:eastAsia="Arial" w:cs="Arial"/>
          <w:color w:val="000000" w:themeColor="text1"/>
          <w:sz w:val="22"/>
          <w:szCs w:val="22"/>
        </w:rPr>
        <w:footnoteReference w:id="9"/>
      </w:r>
      <w:r w:rsidRPr="00634681" w:rsidR="005E3076">
        <w:rPr>
          <w:rFonts w:eastAsia="Arial" w:cs="Arial"/>
          <w:color w:val="000000" w:themeColor="text1"/>
          <w:sz w:val="22"/>
          <w:szCs w:val="22"/>
        </w:rPr>
        <w:t xml:space="preserve"> be </w:t>
      </w:r>
      <w:r w:rsidRPr="00634681" w:rsidR="005E3076">
        <w:rPr>
          <w:rFonts w:eastAsia="Arial" w:cs="Arial"/>
          <w:color w:val="000000" w:themeColor="text1"/>
          <w:sz w:val="22"/>
          <w:szCs w:val="22"/>
        </w:rPr>
        <w:t xml:space="preserve">convened</w:t>
      </w:r>
      <w:r w:rsidRPr="00634681" w:rsidR="005E3076">
        <w:rPr>
          <w:rFonts w:eastAsia="Arial" w:cs="Arial"/>
          <w:color w:val="000000" w:themeColor="text1"/>
          <w:sz w:val="22"/>
          <w:szCs w:val="22"/>
        </w:rPr>
        <w:t xml:space="preserve"> to examine the reasons for the significant delays between ERPD completion and ERPA signing, with a view to </w:t>
      </w:r>
      <w:r w:rsidRPr="00634681" w:rsidR="005E3076">
        <w:rPr>
          <w:rFonts w:eastAsia="Arial" w:cs="Arial"/>
          <w:color w:val="000000" w:themeColor="text1"/>
          <w:sz w:val="22"/>
          <w:szCs w:val="22"/>
        </w:rPr>
        <w:t xml:space="preserve">identifying</w:t>
      </w:r>
      <w:r w:rsidRPr="00634681" w:rsidR="005E3076">
        <w:rPr>
          <w:rFonts w:eastAsia="Arial" w:cs="Arial"/>
          <w:color w:val="000000" w:themeColor="text1"/>
          <w:sz w:val="22"/>
          <w:szCs w:val="22"/>
        </w:rPr>
        <w:t xml:space="preserve"> practical solutions.</w:t>
      </w:r>
    </w:p>
    <w:p w:rsidR="005E3076" w:rsidP="005E3076" w:rsidRDefault="005E3076" w14:paraId="2313EA8B" w14:textId="5F87E492">
      <w:pPr>
        <w:jc w:val="both"/>
        <w:rPr>
          <w:rFonts w:eastAsia="Arial" w:cs="Arial"/>
          <w:color w:val="000000" w:themeColor="text1"/>
          <w:sz w:val="22"/>
          <w:szCs w:val="22"/>
        </w:rPr>
      </w:pPr>
    </w:p>
    <w:p w:rsidRPr="00901C8A" w:rsidR="005E3076" w:rsidP="005E3076" w:rsidRDefault="005E3076" w14:paraId="28C0C84C" w14:textId="13ED02F5">
      <w:pPr>
        <w:jc w:val="both"/>
        <w:rPr>
          <w:rFonts w:eastAsia="Arial" w:cs="Arial"/>
          <w:i/>
          <w:iCs/>
          <w:color w:val="000000" w:themeColor="text1"/>
          <w:sz w:val="22"/>
          <w:szCs w:val="22"/>
        </w:rPr>
      </w:pPr>
      <w:r w:rsidRPr="06418BCF">
        <w:rPr>
          <w:rFonts w:eastAsia="Arial" w:cs="Arial"/>
          <w:i/>
          <w:iCs/>
          <w:color w:val="000000" w:themeColor="text1"/>
          <w:sz w:val="22"/>
          <w:szCs w:val="22"/>
        </w:rPr>
        <w:t>Deadline: Ongoing until all ERPAs signed.</w:t>
      </w:r>
    </w:p>
    <w:p w:rsidR="005E3076" w:rsidP="005E3076" w:rsidRDefault="005E3076" w14:paraId="17F542A0" w14:textId="77777777">
      <w:pPr>
        <w:jc w:val="both"/>
        <w:rPr>
          <w:rFonts w:eastAsia="Arial" w:cs="Arial"/>
          <w:b/>
          <w:bCs/>
          <w:color w:val="000000" w:themeColor="text1"/>
          <w:sz w:val="22"/>
          <w:szCs w:val="22"/>
        </w:rPr>
      </w:pPr>
    </w:p>
    <w:p w:rsidR="005E3076" w:rsidP="005E3076" w:rsidRDefault="005E3076" w14:paraId="3709C32D" w14:textId="77777777">
      <w:pPr>
        <w:jc w:val="both"/>
        <w:rPr>
          <w:rFonts w:eastAsia="Arial" w:cs="Arial"/>
          <w:color w:val="000000" w:themeColor="text1"/>
          <w:sz w:val="22"/>
          <w:szCs w:val="22"/>
        </w:rPr>
      </w:pPr>
      <w:r w:rsidRPr="76A2BC93">
        <w:rPr>
          <w:rFonts w:eastAsia="Arial" w:cs="Arial"/>
          <w:b/>
          <w:bCs/>
          <w:color w:val="000000" w:themeColor="text1"/>
          <w:sz w:val="22"/>
          <w:szCs w:val="22"/>
        </w:rPr>
        <w:t>Recommendation [</w:t>
      </w:r>
      <w:r>
        <w:rPr>
          <w:rFonts w:eastAsia="Arial" w:cs="Arial"/>
          <w:b/>
          <w:bCs/>
          <w:color w:val="000000" w:themeColor="text1"/>
          <w:sz w:val="22"/>
          <w:szCs w:val="22"/>
        </w:rPr>
        <w:t>7</w:t>
      </w:r>
      <w:r w:rsidRPr="76A2BC93">
        <w:rPr>
          <w:rFonts w:eastAsia="Arial" w:cs="Arial"/>
          <w:b/>
          <w:bCs/>
          <w:color w:val="000000" w:themeColor="text1"/>
          <w:sz w:val="22"/>
          <w:szCs w:val="22"/>
        </w:rPr>
        <w:t xml:space="preserve">]: </w:t>
      </w:r>
      <w:r w:rsidRPr="76A2BC93">
        <w:rPr>
          <w:rFonts w:eastAsia="Arial" w:cs="Arial"/>
          <w:color w:val="000000" w:themeColor="text1"/>
          <w:sz w:val="22"/>
          <w:szCs w:val="22"/>
        </w:rPr>
        <w:t xml:space="preserve">World Bank and contributors to hold forward-looking discussions on benefit sharing, including learning from the FCPF Carbon Fund, in advance of the first emission reductions payments expected in FY26.  </w:t>
      </w:r>
    </w:p>
    <w:p w:rsidR="005E3076" w:rsidP="005E3076" w:rsidRDefault="005E3076" w14:paraId="0C916107" w14:textId="77777777">
      <w:pPr>
        <w:jc w:val="both"/>
        <w:rPr>
          <w:rFonts w:eastAsia="Arial" w:cs="Arial"/>
          <w:color w:val="000000" w:themeColor="text1"/>
          <w:sz w:val="22"/>
          <w:szCs w:val="22"/>
        </w:rPr>
      </w:pPr>
    </w:p>
    <w:p w:rsidR="005E3076" w:rsidP="005E3076" w:rsidRDefault="005E3076" w14:paraId="40440E8D" w14:textId="77777777">
      <w:pPr>
        <w:jc w:val="both"/>
        <w:rPr>
          <w:rFonts w:eastAsia="Arial" w:cs="Arial"/>
          <w:i/>
          <w:iCs/>
          <w:color w:val="000000" w:themeColor="text1"/>
          <w:sz w:val="22"/>
          <w:szCs w:val="22"/>
        </w:rPr>
      </w:pPr>
      <w:r w:rsidRPr="76A2BC93">
        <w:rPr>
          <w:rFonts w:eastAsia="Arial" w:cs="Arial"/>
          <w:i/>
          <w:iCs/>
          <w:color w:val="000000" w:themeColor="text1"/>
          <w:sz w:val="22"/>
          <w:szCs w:val="22"/>
        </w:rPr>
        <w:t>Deadline: 30 June 2026</w:t>
      </w:r>
    </w:p>
    <w:p w:rsidR="00942121" w:rsidP="005E3076" w:rsidRDefault="00942121" w14:paraId="219E2315" w14:textId="77777777">
      <w:pPr>
        <w:jc w:val="both"/>
        <w:rPr>
          <w:rFonts w:cs="Arial"/>
          <w:b/>
          <w:bCs/>
          <w:sz w:val="22"/>
          <w:szCs w:val="22"/>
        </w:rPr>
      </w:pPr>
    </w:p>
    <w:p w:rsidR="005E3076" w:rsidP="005E3076" w:rsidRDefault="005E3076" w14:paraId="000D6426" w14:textId="60DF9991">
      <w:pPr>
        <w:jc w:val="both"/>
        <w:rPr>
          <w:rFonts w:cs="Arial"/>
          <w:sz w:val="22"/>
          <w:szCs w:val="22"/>
        </w:rPr>
      </w:pPr>
      <w:r w:rsidRPr="63018341" w:rsidR="005E3076">
        <w:rPr>
          <w:rFonts w:cs="Arial"/>
          <w:b w:val="1"/>
          <w:bCs w:val="1"/>
          <w:sz w:val="22"/>
          <w:szCs w:val="22"/>
        </w:rPr>
        <w:t>Recommendation [</w:t>
      </w:r>
      <w:r w:rsidRPr="63018341" w:rsidR="005E3076">
        <w:rPr>
          <w:rFonts w:cs="Arial"/>
          <w:b w:val="1"/>
          <w:bCs w:val="1"/>
          <w:sz w:val="22"/>
          <w:szCs w:val="22"/>
        </w:rPr>
        <w:t>8</w:t>
      </w:r>
      <w:r w:rsidRPr="63018341" w:rsidR="005E3076">
        <w:rPr>
          <w:rFonts w:cs="Arial"/>
          <w:b w:val="1"/>
          <w:bCs w:val="1"/>
          <w:sz w:val="22"/>
          <w:szCs w:val="22"/>
        </w:rPr>
        <w:t xml:space="preserve">]: </w:t>
      </w:r>
      <w:r w:rsidRPr="63018341" w:rsidR="005E3076">
        <w:rPr>
          <w:rFonts w:cs="Arial"/>
          <w:sz w:val="22"/>
          <w:szCs w:val="22"/>
        </w:rPr>
        <w:t xml:space="preserve">World Bank </w:t>
      </w:r>
      <w:r w:rsidRPr="63018341" w:rsidR="005E3076">
        <w:rPr>
          <w:rFonts w:cs="Arial"/>
          <w:sz w:val="22"/>
          <w:szCs w:val="22"/>
        </w:rPr>
        <w:t xml:space="preserve">to </w:t>
      </w:r>
      <w:r w:rsidRPr="63018341" w:rsidR="005E3076">
        <w:rPr>
          <w:rFonts w:cs="Arial"/>
          <w:sz w:val="22"/>
          <w:szCs w:val="22"/>
        </w:rPr>
        <w:t>take action to ensure</w:t>
      </w:r>
      <w:r w:rsidRPr="63018341" w:rsidR="005E3076">
        <w:rPr>
          <w:rFonts w:cs="Arial"/>
          <w:sz w:val="22"/>
          <w:szCs w:val="22"/>
        </w:rPr>
        <w:t xml:space="preserve"> the progression of the Indonesia ERPA, keeping contributors abreast of the situation.</w:t>
      </w:r>
      <w:r w:rsidRPr="63018341" w:rsidR="150735E2">
        <w:rPr>
          <w:rFonts w:cs="Arial"/>
          <w:sz w:val="22"/>
          <w:szCs w:val="22"/>
        </w:rPr>
        <w:t xml:space="preserve"> World Bank to </w:t>
      </w:r>
      <w:r w:rsidRPr="63018341" w:rsidR="150735E2">
        <w:rPr>
          <w:rFonts w:cs="Arial"/>
          <w:sz w:val="22"/>
          <w:szCs w:val="22"/>
        </w:rPr>
        <w:t>monitor</w:t>
      </w:r>
      <w:r w:rsidRPr="63018341" w:rsidR="150735E2">
        <w:rPr>
          <w:rFonts w:cs="Arial"/>
          <w:sz w:val="22"/>
          <w:szCs w:val="22"/>
        </w:rPr>
        <w:t xml:space="preserve"> progression of Colombia and Mexico ERPAs additionally.</w:t>
      </w:r>
    </w:p>
    <w:p w:rsidR="005E3076" w:rsidP="005E3076" w:rsidRDefault="005E3076" w14:paraId="1CC7BF21" w14:textId="77777777">
      <w:pPr>
        <w:jc w:val="both"/>
        <w:rPr>
          <w:rFonts w:cs="Arial"/>
          <w:sz w:val="22"/>
          <w:szCs w:val="22"/>
        </w:rPr>
      </w:pPr>
    </w:p>
    <w:p w:rsidR="005E3076" w:rsidP="63018341" w:rsidRDefault="005E3076" w14:paraId="35FC06BE" w14:textId="4E3880B0">
      <w:pPr>
        <w:jc w:val="both"/>
        <w:rPr>
          <w:rFonts w:cs="Arial"/>
          <w:i w:val="1"/>
          <w:iCs w:val="1"/>
          <w:sz w:val="22"/>
          <w:szCs w:val="22"/>
        </w:rPr>
      </w:pPr>
      <w:r w:rsidRPr="63018341" w:rsidR="005E3076">
        <w:rPr>
          <w:rFonts w:cs="Arial"/>
          <w:i w:val="1"/>
          <w:iCs w:val="1"/>
          <w:sz w:val="22"/>
          <w:szCs w:val="22"/>
        </w:rPr>
        <w:t xml:space="preserve">Deadline: </w:t>
      </w:r>
      <w:r w:rsidRPr="63018341" w:rsidR="001A3E47">
        <w:rPr>
          <w:rFonts w:cs="Arial"/>
          <w:i w:val="1"/>
          <w:iCs w:val="1"/>
          <w:sz w:val="22"/>
          <w:szCs w:val="22"/>
        </w:rPr>
        <w:t xml:space="preserve">30 June </w:t>
      </w:r>
      <w:r w:rsidRPr="63018341" w:rsidR="001A3E47">
        <w:rPr>
          <w:rFonts w:cs="Arial"/>
          <w:i w:val="1"/>
          <w:iCs w:val="1"/>
          <w:sz w:val="22"/>
          <w:szCs w:val="22"/>
        </w:rPr>
        <w:t>202</w:t>
      </w:r>
      <w:r w:rsidRPr="63018341" w:rsidR="00955AFA">
        <w:rPr>
          <w:rFonts w:cs="Arial"/>
          <w:i w:val="1"/>
          <w:iCs w:val="1"/>
          <w:sz w:val="22"/>
          <w:szCs w:val="22"/>
        </w:rPr>
        <w:t>6</w:t>
      </w:r>
    </w:p>
    <w:p w:rsidR="00D0302B" w:rsidP="004D5FD5" w:rsidRDefault="00D0302B" w14:paraId="773A77CC" w14:textId="1912BB68">
      <w:pPr>
        <w:jc w:val="both"/>
        <w:rPr>
          <w:rFonts w:cs="Arial"/>
          <w:sz w:val="22"/>
          <w:szCs w:val="22"/>
        </w:rPr>
      </w:pPr>
    </w:p>
    <w:p w:rsidR="12CA073A" w:rsidRDefault="12CA073A" w14:paraId="12C8BB70" w14:textId="31AC8E83"/>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CB2873" w:rsidTr="376EB76A" w14:paraId="3D63871C" w14:textId="77777777">
        <w:tc>
          <w:tcPr>
            <w:tcW w:w="9016" w:type="dxa"/>
            <w:shd w:val="clear" w:color="auto" w:fill="DEEAF6" w:themeFill="accent5" w:themeFillTint="33"/>
            <w:tcMar/>
          </w:tcPr>
          <w:p w:rsidR="00CB2873" w:rsidP="007D1D2A" w:rsidRDefault="00CB2873" w14:paraId="3A432808" w14:textId="1F3173F0">
            <w:pPr>
              <w:rPr>
                <w:rStyle w:val="Heading1Char"/>
                <w:rFonts w:ascii="Arial" w:hAnsi="Arial" w:cs="Arial"/>
                <w:b w:val="1"/>
                <w:bCs w:val="1"/>
                <w:color w:val="auto"/>
              </w:rPr>
            </w:pPr>
            <w:bookmarkStart w:name="_Hlk110858960" w:id="70"/>
            <w:bookmarkStart w:name="_Toc247406074" w:id="1059184009"/>
            <w:bookmarkStart w:name="_Toc1637329442" w:id="2083285841"/>
            <w:r w:rsidRPr="376EB76A" w:rsidR="7263CD82">
              <w:rPr>
                <w:rStyle w:val="Heading1Char"/>
                <w:rFonts w:ascii="Arial" w:hAnsi="Arial" w:cs="Arial"/>
                <w:b w:val="1"/>
                <w:bCs w:val="1"/>
                <w:color w:val="auto"/>
              </w:rPr>
              <w:t xml:space="preserve">Section B: Theory of </w:t>
            </w:r>
            <w:r w:rsidRPr="376EB76A" w:rsidR="40D237B2">
              <w:rPr>
                <w:rStyle w:val="Heading1Char"/>
                <w:rFonts w:ascii="Arial" w:hAnsi="Arial" w:cs="Arial"/>
                <w:b w:val="1"/>
                <w:bCs w:val="1"/>
                <w:color w:val="auto"/>
              </w:rPr>
              <w:t>c</w:t>
            </w:r>
            <w:r w:rsidRPr="376EB76A" w:rsidR="7263CD82">
              <w:rPr>
                <w:rStyle w:val="Heading1Char"/>
                <w:rFonts w:ascii="Arial" w:hAnsi="Arial" w:cs="Arial"/>
                <w:b w:val="1"/>
                <w:bCs w:val="1"/>
                <w:color w:val="auto"/>
              </w:rPr>
              <w:t>hange and progress towards outcomes</w:t>
            </w:r>
            <w:bookmarkEnd w:id="1059184009"/>
            <w:bookmarkEnd w:id="2083285841"/>
          </w:p>
        </w:tc>
      </w:tr>
      <w:bookmarkEnd w:id="70"/>
    </w:tbl>
    <w:p w:rsidRPr="009E3F6E" w:rsidR="00CB2873" w:rsidP="004D5FD5" w:rsidRDefault="00CB2873" w14:paraId="799AF0D2" w14:textId="77777777">
      <w:pPr>
        <w:jc w:val="both"/>
      </w:pPr>
    </w:p>
    <w:p w:rsidRPr="00004515" w:rsidR="003D222C" w:rsidP="11614349" w:rsidRDefault="00AA718D" w14:paraId="25478844" w14:textId="0A750247">
      <w:pPr>
        <w:jc w:val="both"/>
        <w:rPr>
          <w:rStyle w:val="Heading2Char"/>
        </w:rPr>
      </w:pPr>
      <w:bookmarkStart w:name="_Toc277244955" w:id="2052110126"/>
      <w:r w:rsidRPr="376EB76A" w:rsidR="052404DF">
        <w:rPr>
          <w:rStyle w:val="Heading2Char"/>
        </w:rPr>
        <w:t>Summary of the</w:t>
      </w:r>
      <w:r w:rsidRPr="376EB76A" w:rsidR="4B1233C5">
        <w:rPr>
          <w:rStyle w:val="Heading2Char"/>
        </w:rPr>
        <w:t xml:space="preserve"> </w:t>
      </w:r>
      <w:r w:rsidRPr="376EB76A" w:rsidR="35EEEB8C">
        <w:rPr>
          <w:rStyle w:val="Heading2Char"/>
        </w:rPr>
        <w:t>programme’s theory of change, including any changes to outcome and impact indicators from the original business case</w:t>
      </w:r>
      <w:bookmarkEnd w:id="2052110126"/>
    </w:p>
    <w:p w:rsidRPr="00D80C6C" w:rsidR="003D222C" w:rsidP="37569DEC" w:rsidRDefault="003D222C" w14:paraId="44435565" w14:textId="5BFE2D50">
      <w:pPr>
        <w:jc w:val="both"/>
        <w:rPr>
          <w:rFonts w:cs="Arial"/>
          <w:b/>
          <w:bCs/>
          <w:sz w:val="22"/>
          <w:szCs w:val="22"/>
        </w:rPr>
      </w:pPr>
    </w:p>
    <w:p w:rsidR="059B4C60" w:rsidP="37569DEC" w:rsidRDefault="059B4C60" w14:paraId="4BA24DB7" w14:textId="221C393F">
      <w:pPr>
        <w:jc w:val="both"/>
        <w:rPr>
          <w:rFonts w:eastAsia="Arial" w:cs="Arial"/>
          <w:color w:val="000000" w:themeColor="text1"/>
          <w:sz w:val="22"/>
          <w:szCs w:val="22"/>
        </w:rPr>
      </w:pPr>
      <w:r w:rsidRPr="37569DEC">
        <w:rPr>
          <w:rFonts w:eastAsia="Arial" w:cs="Arial"/>
          <w:color w:val="000000" w:themeColor="text1"/>
          <w:sz w:val="22"/>
          <w:szCs w:val="22"/>
        </w:rPr>
        <w:t xml:space="preserve">The ISFL </w:t>
      </w:r>
      <w:hyperlink r:id="rId24">
        <w:r w:rsidRPr="37569DEC">
          <w:rPr>
            <w:rStyle w:val="Hyperlink"/>
            <w:rFonts w:eastAsia="Arial" w:cs="Arial"/>
            <w:sz w:val="22"/>
            <w:szCs w:val="22"/>
          </w:rPr>
          <w:t>Theory of Change</w:t>
        </w:r>
      </w:hyperlink>
      <w:r w:rsidRPr="37569DEC">
        <w:rPr>
          <w:rFonts w:eastAsia="Arial" w:cs="Arial"/>
          <w:color w:val="000000" w:themeColor="text1"/>
          <w:sz w:val="22"/>
          <w:szCs w:val="22"/>
        </w:rPr>
        <w:t xml:space="preserve"> (</w:t>
      </w:r>
      <w:proofErr w:type="spellStart"/>
      <w:r w:rsidRPr="37569DEC">
        <w:rPr>
          <w:rFonts w:eastAsia="Arial" w:cs="Arial"/>
          <w:color w:val="000000" w:themeColor="text1"/>
          <w:sz w:val="22"/>
          <w:szCs w:val="22"/>
        </w:rPr>
        <w:t>ToC</w:t>
      </w:r>
      <w:proofErr w:type="spellEnd"/>
      <w:r w:rsidRPr="37569DEC">
        <w:rPr>
          <w:rFonts w:eastAsia="Arial" w:cs="Arial"/>
          <w:color w:val="000000" w:themeColor="text1"/>
          <w:sz w:val="22"/>
          <w:szCs w:val="22"/>
        </w:rPr>
        <w:t xml:space="preserve">) is presented in the </w:t>
      </w:r>
      <w:hyperlink r:id="rId25">
        <w:r w:rsidRPr="37569DEC">
          <w:rPr>
            <w:rStyle w:val="Hyperlink"/>
            <w:rFonts w:eastAsia="Arial" w:cs="Arial"/>
            <w:sz w:val="22"/>
            <w:szCs w:val="22"/>
          </w:rPr>
          <w:t>Monitoring, Evaluation and Learning Framework</w:t>
        </w:r>
      </w:hyperlink>
      <w:r w:rsidRPr="37569DEC">
        <w:rPr>
          <w:rFonts w:eastAsia="Arial" w:cs="Arial"/>
          <w:color w:val="000000" w:themeColor="text1"/>
          <w:sz w:val="22"/>
          <w:szCs w:val="22"/>
        </w:rPr>
        <w:t xml:space="preserve">. Each country programme has its own tailored </w:t>
      </w:r>
      <w:proofErr w:type="spellStart"/>
      <w:r w:rsidRPr="37569DEC">
        <w:rPr>
          <w:rFonts w:eastAsia="Arial" w:cs="Arial"/>
          <w:color w:val="000000" w:themeColor="text1"/>
          <w:sz w:val="22"/>
          <w:szCs w:val="22"/>
        </w:rPr>
        <w:t>ToC</w:t>
      </w:r>
      <w:proofErr w:type="spellEnd"/>
      <w:r w:rsidRPr="37569DEC">
        <w:rPr>
          <w:rFonts w:eastAsia="Arial" w:cs="Arial"/>
          <w:color w:val="000000" w:themeColor="text1"/>
          <w:sz w:val="22"/>
          <w:szCs w:val="22"/>
        </w:rPr>
        <w:t xml:space="preserve"> and results framework, with overall results integrated and aligned to the programmatic </w:t>
      </w:r>
      <w:proofErr w:type="spellStart"/>
      <w:r w:rsidRPr="37569DEC">
        <w:rPr>
          <w:rFonts w:eastAsia="Arial" w:cs="Arial"/>
          <w:color w:val="000000" w:themeColor="text1"/>
          <w:sz w:val="22"/>
          <w:szCs w:val="22"/>
        </w:rPr>
        <w:t>ToC</w:t>
      </w:r>
      <w:proofErr w:type="spellEnd"/>
      <w:r w:rsidRPr="37569DEC">
        <w:rPr>
          <w:rFonts w:eastAsia="Arial" w:cs="Arial"/>
          <w:color w:val="000000" w:themeColor="text1"/>
          <w:sz w:val="22"/>
          <w:szCs w:val="22"/>
        </w:rPr>
        <w:t xml:space="preserve">. The programmatic </w:t>
      </w:r>
      <w:proofErr w:type="spellStart"/>
      <w:r w:rsidRPr="37569DEC">
        <w:rPr>
          <w:rFonts w:eastAsia="Arial" w:cs="Arial"/>
          <w:color w:val="000000" w:themeColor="text1"/>
          <w:sz w:val="22"/>
          <w:szCs w:val="22"/>
        </w:rPr>
        <w:t>ToC</w:t>
      </w:r>
      <w:proofErr w:type="spellEnd"/>
      <w:r w:rsidRPr="37569DEC">
        <w:rPr>
          <w:rFonts w:eastAsia="Arial" w:cs="Arial"/>
          <w:color w:val="000000" w:themeColor="text1"/>
          <w:sz w:val="22"/>
          <w:szCs w:val="22"/>
        </w:rPr>
        <w:t xml:space="preserve"> is intended to be updated continuously throughout the lifetime of the programme to improve its effectiveness in measuring results and to enable understanding of how the programme is delivering and its overall pathways of change.  </w:t>
      </w:r>
    </w:p>
    <w:p w:rsidR="059B4C60" w:rsidP="37569DEC" w:rsidRDefault="059B4C60" w14:paraId="75839652" w14:textId="0AE09396">
      <w:pPr>
        <w:jc w:val="both"/>
        <w:rPr>
          <w:rFonts w:eastAsia="Arial" w:cs="Arial"/>
          <w:color w:val="000000" w:themeColor="text1"/>
          <w:sz w:val="22"/>
          <w:szCs w:val="22"/>
        </w:rPr>
      </w:pPr>
      <w:r w:rsidRPr="37569DEC">
        <w:rPr>
          <w:rFonts w:eastAsia="Arial" w:cs="Arial"/>
          <w:color w:val="000000" w:themeColor="text1"/>
          <w:sz w:val="22"/>
          <w:szCs w:val="22"/>
        </w:rPr>
        <w:t> </w:t>
      </w:r>
    </w:p>
    <w:p w:rsidR="059B4C60" w:rsidP="37569DEC" w:rsidRDefault="059B4C60" w14:paraId="38D40720" w14:textId="66A96C5F">
      <w:pPr>
        <w:jc w:val="both"/>
        <w:rPr>
          <w:rFonts w:eastAsia="Arial" w:cs="Arial"/>
          <w:color w:val="000000" w:themeColor="text1"/>
          <w:sz w:val="22"/>
          <w:szCs w:val="22"/>
        </w:rPr>
      </w:pPr>
      <w:r w:rsidRPr="37569DEC">
        <w:rPr>
          <w:rFonts w:eastAsia="Arial" w:cs="Arial"/>
          <w:color w:val="000000" w:themeColor="text1"/>
          <w:sz w:val="22"/>
          <w:szCs w:val="22"/>
        </w:rPr>
        <w:t xml:space="preserve">The main impacts in the ISFL </w:t>
      </w:r>
      <w:proofErr w:type="spellStart"/>
      <w:r w:rsidRPr="37569DEC">
        <w:rPr>
          <w:rFonts w:eastAsia="Arial" w:cs="Arial"/>
          <w:color w:val="000000" w:themeColor="text1"/>
          <w:sz w:val="22"/>
          <w:szCs w:val="22"/>
        </w:rPr>
        <w:t>ToC</w:t>
      </w:r>
      <w:proofErr w:type="spellEnd"/>
      <w:r w:rsidRPr="37569DEC">
        <w:rPr>
          <w:rFonts w:eastAsia="Arial" w:cs="Arial"/>
          <w:color w:val="000000" w:themeColor="text1"/>
          <w:sz w:val="22"/>
          <w:szCs w:val="22"/>
        </w:rPr>
        <w:t xml:space="preserve"> are: </w:t>
      </w:r>
    </w:p>
    <w:p w:rsidR="059B4C60" w:rsidP="00756B4F" w:rsidRDefault="059B4C60" w14:paraId="19F72114" w14:textId="0C79B93B">
      <w:pPr>
        <w:pStyle w:val="ListParagraph"/>
        <w:numPr>
          <w:ilvl w:val="0"/>
          <w:numId w:val="23"/>
        </w:numPr>
        <w:spacing w:after="0"/>
        <w:jc w:val="both"/>
        <w:rPr>
          <w:rFonts w:eastAsia="Arial" w:cs="Arial"/>
          <w:color w:val="000000" w:themeColor="text1"/>
          <w:sz w:val="22"/>
          <w:szCs w:val="22"/>
        </w:rPr>
      </w:pPr>
      <w:r w:rsidRPr="37569DEC">
        <w:rPr>
          <w:rFonts w:eastAsia="Arial" w:cs="Arial"/>
          <w:color w:val="000000" w:themeColor="text1"/>
          <w:sz w:val="22"/>
          <w:szCs w:val="22"/>
        </w:rPr>
        <w:t>Contributing to low carbon development by delivering benefits to communities and reducing greenhouse gas emissions in programme areas; and </w:t>
      </w:r>
    </w:p>
    <w:p w:rsidR="059B4C60" w:rsidP="00756B4F" w:rsidRDefault="059B4C60" w14:paraId="4E4DA2E9" w14:textId="010DA7C0">
      <w:pPr>
        <w:pStyle w:val="ListParagraph"/>
        <w:numPr>
          <w:ilvl w:val="0"/>
          <w:numId w:val="22"/>
        </w:numPr>
        <w:spacing w:after="0"/>
        <w:jc w:val="both"/>
        <w:rPr>
          <w:rFonts w:eastAsia="Arial" w:cs="Arial"/>
          <w:color w:val="000000" w:themeColor="text1"/>
          <w:sz w:val="22"/>
          <w:szCs w:val="22"/>
        </w:rPr>
      </w:pPr>
      <w:r w:rsidRPr="37569DEC">
        <w:rPr>
          <w:rFonts w:eastAsia="Arial" w:cs="Arial"/>
          <w:color w:val="000000" w:themeColor="text1"/>
          <w:sz w:val="22"/>
          <w:szCs w:val="22"/>
        </w:rPr>
        <w:t>Supporting the achievement of global goals, including Sustainable Development Goals (SDGs) and the Paris Agreement.   </w:t>
      </w:r>
    </w:p>
    <w:p w:rsidR="37569DEC" w:rsidP="37569DEC" w:rsidRDefault="37569DEC" w14:paraId="7E390E1D" w14:textId="387F1BF2">
      <w:pPr>
        <w:jc w:val="both"/>
        <w:rPr>
          <w:rFonts w:eastAsia="Arial" w:cs="Arial"/>
          <w:color w:val="000000" w:themeColor="text1"/>
          <w:sz w:val="22"/>
          <w:szCs w:val="22"/>
        </w:rPr>
      </w:pPr>
    </w:p>
    <w:p w:rsidR="059B4C60" w:rsidP="37569DEC" w:rsidRDefault="059B4C60" w14:paraId="6AA7B583" w14:textId="7FEA9D95">
      <w:pPr>
        <w:jc w:val="both"/>
        <w:rPr>
          <w:rFonts w:eastAsia="Arial" w:cs="Arial"/>
          <w:color w:val="000000" w:themeColor="text1"/>
          <w:sz w:val="22"/>
          <w:szCs w:val="22"/>
        </w:rPr>
      </w:pPr>
      <w:r w:rsidRPr="63018341" w:rsidR="059B4C60">
        <w:rPr>
          <w:rFonts w:eastAsia="Arial" w:cs="Arial"/>
          <w:color w:val="000000" w:themeColor="text1" w:themeTint="FF" w:themeShade="FF"/>
          <w:sz w:val="22"/>
          <w:szCs w:val="22"/>
        </w:rPr>
        <w:t xml:space="preserve">ISFL </w:t>
      </w:r>
      <w:r w:rsidRPr="63018341" w:rsidR="0E22AF07">
        <w:rPr>
          <w:rFonts w:eastAsia="Arial" w:cs="Arial"/>
          <w:color w:val="000000" w:themeColor="text1" w:themeTint="FF" w:themeShade="FF"/>
          <w:sz w:val="22"/>
          <w:szCs w:val="22"/>
        </w:rPr>
        <w:t>process</w:t>
      </w:r>
      <w:r w:rsidRPr="63018341" w:rsidR="059B4C60">
        <w:rPr>
          <w:rFonts w:eastAsia="Arial" w:cs="Arial"/>
          <w:color w:val="000000" w:themeColor="text1" w:themeTint="FF" w:themeShade="FF"/>
          <w:sz w:val="22"/>
          <w:szCs w:val="22"/>
        </w:rPr>
        <w:t>es</w:t>
      </w:r>
      <w:r w:rsidRPr="63018341" w:rsidR="059B4C60">
        <w:rPr>
          <w:rFonts w:eastAsia="Arial" w:cs="Arial"/>
          <w:color w:val="000000" w:themeColor="text1" w:themeTint="FF" w:themeShade="FF"/>
          <w:sz w:val="22"/>
          <w:szCs w:val="22"/>
        </w:rPr>
        <w:t xml:space="preserve"> to enable this relate to:  </w:t>
      </w:r>
    </w:p>
    <w:p w:rsidR="059B4C60" w:rsidP="00756B4F" w:rsidRDefault="059B4C60" w14:paraId="57AA65C8" w14:textId="78DE011D">
      <w:pPr>
        <w:pStyle w:val="ListParagraph"/>
        <w:numPr>
          <w:ilvl w:val="0"/>
          <w:numId w:val="21"/>
        </w:numPr>
        <w:spacing w:after="0"/>
        <w:jc w:val="both"/>
        <w:rPr>
          <w:rFonts w:eastAsia="Arial" w:cs="Arial"/>
          <w:color w:val="000000" w:themeColor="text1"/>
          <w:sz w:val="22"/>
          <w:szCs w:val="22"/>
        </w:rPr>
      </w:pPr>
      <w:r w:rsidRPr="37569DEC">
        <w:rPr>
          <w:rFonts w:eastAsia="Arial" w:cs="Arial"/>
          <w:color w:val="000000" w:themeColor="text1"/>
          <w:sz w:val="22"/>
          <w:szCs w:val="22"/>
        </w:rPr>
        <w:t>Improving land management;  </w:t>
      </w:r>
    </w:p>
    <w:p w:rsidR="059B4C60" w:rsidP="00756B4F" w:rsidRDefault="059B4C60" w14:paraId="1B5C2CD7" w14:textId="611F60E7">
      <w:pPr>
        <w:pStyle w:val="ListParagraph"/>
        <w:numPr>
          <w:ilvl w:val="0"/>
          <w:numId w:val="20"/>
        </w:numPr>
        <w:spacing w:after="0"/>
        <w:jc w:val="both"/>
        <w:rPr>
          <w:rFonts w:eastAsia="Arial" w:cs="Arial"/>
          <w:color w:val="000000" w:themeColor="text1"/>
          <w:sz w:val="22"/>
          <w:szCs w:val="22"/>
        </w:rPr>
      </w:pPr>
      <w:r w:rsidRPr="37569DEC">
        <w:rPr>
          <w:rFonts w:eastAsia="Arial" w:cs="Arial"/>
          <w:color w:val="000000" w:themeColor="text1"/>
          <w:sz w:val="22"/>
          <w:szCs w:val="22"/>
        </w:rPr>
        <w:t>Delivering benefits to land users; and </w:t>
      </w:r>
    </w:p>
    <w:p w:rsidR="059B4C60" w:rsidP="00756B4F" w:rsidRDefault="059B4C60" w14:paraId="0ED19931" w14:textId="24722091">
      <w:pPr>
        <w:pStyle w:val="ListParagraph"/>
        <w:numPr>
          <w:ilvl w:val="0"/>
          <w:numId w:val="19"/>
        </w:numPr>
        <w:spacing w:after="0"/>
        <w:jc w:val="both"/>
        <w:rPr>
          <w:rFonts w:eastAsia="Arial" w:cs="Arial"/>
          <w:color w:val="000000" w:themeColor="text1"/>
          <w:sz w:val="22"/>
          <w:szCs w:val="22"/>
        </w:rPr>
      </w:pPr>
      <w:r w:rsidRPr="37569DEC">
        <w:rPr>
          <w:rFonts w:eastAsia="Arial" w:cs="Arial"/>
          <w:color w:val="000000" w:themeColor="text1"/>
          <w:sz w:val="22"/>
          <w:szCs w:val="22"/>
        </w:rPr>
        <w:t>Leveraging public and private sector partnerships.   </w:t>
      </w:r>
    </w:p>
    <w:p w:rsidR="37569DEC" w:rsidP="37569DEC" w:rsidRDefault="37569DEC" w14:paraId="39DE0B01" w14:textId="09A81EA2">
      <w:pPr>
        <w:jc w:val="both"/>
        <w:rPr>
          <w:rFonts w:eastAsia="Arial" w:cs="Arial"/>
          <w:color w:val="000000" w:themeColor="text1"/>
          <w:sz w:val="22"/>
          <w:szCs w:val="22"/>
        </w:rPr>
      </w:pPr>
    </w:p>
    <w:p w:rsidR="059B4C60" w:rsidP="37569DEC" w:rsidRDefault="059B4C60" w14:paraId="0B486CFC" w14:textId="151C4F85">
      <w:pPr>
        <w:jc w:val="both"/>
        <w:rPr>
          <w:rFonts w:eastAsia="Arial" w:cs="Arial"/>
          <w:color w:val="000000" w:themeColor="text1"/>
          <w:sz w:val="22"/>
          <w:szCs w:val="22"/>
        </w:rPr>
      </w:pPr>
      <w:r w:rsidRPr="63018341" w:rsidR="059B4C60">
        <w:rPr>
          <w:rFonts w:eastAsia="Arial" w:cs="Arial"/>
          <w:color w:val="000000" w:themeColor="text1" w:themeTint="FF" w:themeShade="FF"/>
          <w:sz w:val="22"/>
          <w:szCs w:val="22"/>
        </w:rPr>
        <w:t xml:space="preserve">ISFL </w:t>
      </w:r>
      <w:r w:rsidRPr="63018341" w:rsidR="2F4FA26D">
        <w:rPr>
          <w:rFonts w:eastAsia="Arial" w:cs="Arial"/>
          <w:color w:val="000000" w:themeColor="text1" w:themeTint="FF" w:themeShade="FF"/>
          <w:sz w:val="22"/>
          <w:szCs w:val="22"/>
        </w:rPr>
        <w:t>proces</w:t>
      </w:r>
      <w:r w:rsidRPr="63018341" w:rsidR="059B4C60">
        <w:rPr>
          <w:rFonts w:eastAsia="Arial" w:cs="Arial"/>
          <w:color w:val="000000" w:themeColor="text1" w:themeTint="FF" w:themeShade="FF"/>
          <w:sz w:val="22"/>
          <w:szCs w:val="22"/>
        </w:rPr>
        <w:t>s</w:t>
      </w:r>
      <w:r w:rsidRPr="63018341" w:rsidR="2F4FA26D">
        <w:rPr>
          <w:rFonts w:eastAsia="Arial" w:cs="Arial"/>
          <w:color w:val="000000" w:themeColor="text1" w:themeTint="FF" w:themeShade="FF"/>
          <w:sz w:val="22"/>
          <w:szCs w:val="22"/>
        </w:rPr>
        <w:t>es</w:t>
      </w:r>
      <w:r w:rsidRPr="63018341" w:rsidR="059B4C60">
        <w:rPr>
          <w:rFonts w:eastAsia="Arial" w:cs="Arial"/>
          <w:color w:val="000000" w:themeColor="text1" w:themeTint="FF" w:themeShade="FF"/>
          <w:sz w:val="22"/>
          <w:szCs w:val="22"/>
        </w:rPr>
        <w:t xml:space="preserve"> include building an enabling environment through capacity building; stakeholder management; policy reforms; land management planning; and developing partnerships. </w:t>
      </w:r>
    </w:p>
    <w:p w:rsidR="059B4C60" w:rsidP="37569DEC" w:rsidRDefault="059B4C60" w14:paraId="35BBD4A8" w14:textId="73B350AF">
      <w:pPr>
        <w:jc w:val="both"/>
        <w:rPr>
          <w:rFonts w:eastAsia="Arial" w:cs="Arial"/>
          <w:color w:val="000000" w:themeColor="text1"/>
          <w:sz w:val="22"/>
          <w:szCs w:val="22"/>
        </w:rPr>
      </w:pPr>
      <w:r w:rsidRPr="37569DEC">
        <w:rPr>
          <w:rFonts w:eastAsia="Arial" w:cs="Arial"/>
          <w:color w:val="000000" w:themeColor="text1"/>
          <w:sz w:val="22"/>
          <w:szCs w:val="22"/>
        </w:rPr>
        <w:t> </w:t>
      </w:r>
    </w:p>
    <w:p w:rsidR="059B4C60" w:rsidP="37569DEC" w:rsidRDefault="059B4C60" w14:paraId="52525832" w14:textId="36958D51">
      <w:pPr>
        <w:jc w:val="both"/>
        <w:rPr>
          <w:rFonts w:eastAsia="Arial" w:cs="Arial"/>
          <w:color w:val="000000" w:themeColor="text1"/>
          <w:sz w:val="22"/>
          <w:szCs w:val="22"/>
        </w:rPr>
      </w:pPr>
      <w:r w:rsidRPr="37569DEC">
        <w:rPr>
          <w:rFonts w:eastAsia="Arial" w:cs="Arial"/>
          <w:color w:val="000000" w:themeColor="text1"/>
          <w:sz w:val="22"/>
          <w:szCs w:val="22"/>
        </w:rPr>
        <w:t>These results are backed by high quality tools and approaches, such as technical studies, monitoring, reporting and verification of ERs, results-based payments and grants and governance and due diligence. </w:t>
      </w:r>
    </w:p>
    <w:p w:rsidR="059B4C60" w:rsidP="37569DEC" w:rsidRDefault="059B4C60" w14:paraId="13C5997D" w14:textId="56F29A8A">
      <w:pPr>
        <w:jc w:val="both"/>
        <w:rPr>
          <w:rFonts w:eastAsia="Arial" w:cs="Arial"/>
          <w:color w:val="000000" w:themeColor="text1"/>
          <w:sz w:val="22"/>
          <w:szCs w:val="22"/>
        </w:rPr>
      </w:pPr>
      <w:r w:rsidRPr="37569DEC">
        <w:rPr>
          <w:rFonts w:eastAsia="Arial" w:cs="Arial"/>
          <w:color w:val="000000" w:themeColor="text1"/>
          <w:sz w:val="22"/>
          <w:szCs w:val="22"/>
        </w:rPr>
        <w:t> </w:t>
      </w:r>
    </w:p>
    <w:p w:rsidR="059B4C60" w:rsidP="37569DEC" w:rsidRDefault="059B4C60" w14:paraId="6D71B1A9" w14:textId="0CF65DA3">
      <w:pPr>
        <w:jc w:val="both"/>
        <w:rPr>
          <w:rFonts w:eastAsia="Arial" w:cs="Arial"/>
          <w:color w:val="000000" w:themeColor="text1"/>
          <w:sz w:val="22"/>
          <w:szCs w:val="22"/>
        </w:rPr>
      </w:pPr>
      <w:r w:rsidRPr="37569DEC">
        <w:rPr>
          <w:rFonts w:eastAsia="Arial" w:cs="Arial"/>
          <w:color w:val="000000" w:themeColor="text1"/>
          <w:sz w:val="22"/>
          <w:szCs w:val="22"/>
        </w:rPr>
        <w:t>The majority of UK funding is invested in BioCFT3, and thus a significant share of anticipated benefits relies upon operational Emission reductions programmes.  </w:t>
      </w:r>
    </w:p>
    <w:p w:rsidR="059B4C60" w:rsidP="37569DEC" w:rsidRDefault="059B4C60" w14:paraId="19D2E18C" w14:textId="75DB8A0A">
      <w:pPr>
        <w:jc w:val="both"/>
        <w:rPr>
          <w:rFonts w:eastAsia="Arial" w:cs="Arial"/>
          <w:color w:val="000000" w:themeColor="text1"/>
          <w:sz w:val="22"/>
          <w:szCs w:val="22"/>
        </w:rPr>
      </w:pPr>
      <w:r w:rsidRPr="37569DEC">
        <w:rPr>
          <w:rFonts w:eastAsia="Arial" w:cs="Arial"/>
          <w:color w:val="000000" w:themeColor="text1"/>
          <w:sz w:val="22"/>
          <w:szCs w:val="22"/>
        </w:rPr>
        <w:t> </w:t>
      </w:r>
    </w:p>
    <w:p w:rsidR="059B4C60" w:rsidP="37569DEC" w:rsidRDefault="059B4C60" w14:paraId="4EC023AE" w14:textId="6702EBF5">
      <w:pPr>
        <w:jc w:val="both"/>
        <w:rPr>
          <w:rFonts w:eastAsia="Arial" w:cs="Arial"/>
          <w:color w:val="000000" w:themeColor="text1"/>
          <w:sz w:val="22"/>
          <w:szCs w:val="22"/>
        </w:rPr>
      </w:pPr>
      <w:r w:rsidRPr="37569DEC">
        <w:rPr>
          <w:rFonts w:eastAsia="Arial" w:cs="Arial"/>
          <w:color w:val="000000" w:themeColor="text1"/>
          <w:sz w:val="22"/>
          <w:szCs w:val="22"/>
        </w:rPr>
        <w:t>The UK programme logframe has been adjusted since the original business case to better reflect current ambition and reasonable progress of the ISFL programme. The rationale for these changes includes more realistic timings considering the overly ambitious initial milestones, the knock-on impact of COVID-19, adding interim milestones and milestone indicators where the World Bank had not defined any, and adding new milestones to reflect new workstreams.  </w:t>
      </w:r>
    </w:p>
    <w:p w:rsidR="37569DEC" w:rsidP="37569DEC" w:rsidRDefault="37569DEC" w14:paraId="7F065511" w14:textId="7A126840">
      <w:pPr>
        <w:jc w:val="both"/>
        <w:rPr>
          <w:rFonts w:cs="Arial"/>
          <w:sz w:val="22"/>
          <w:szCs w:val="22"/>
        </w:rPr>
      </w:pPr>
    </w:p>
    <w:p w:rsidR="28430F59" w:rsidP="28430F59" w:rsidRDefault="28430F59" w14:paraId="6E7A33C9" w14:textId="497FE4B2">
      <w:pPr>
        <w:jc w:val="both"/>
        <w:rPr>
          <w:rFonts w:cs="Arial"/>
          <w:sz w:val="22"/>
          <w:szCs w:val="22"/>
        </w:rPr>
      </w:pPr>
    </w:p>
    <w:p w:rsidRPr="00D80C6C" w:rsidR="003D222C" w:rsidP="527A8EFF" w:rsidRDefault="007D6095" w14:paraId="6744E67C" w14:textId="4693D6AA">
      <w:pPr>
        <w:jc w:val="both"/>
        <w:rPr>
          <w:rFonts w:cs="Arial"/>
          <w:sz w:val="22"/>
          <w:szCs w:val="22"/>
        </w:rPr>
      </w:pPr>
      <w:bookmarkStart w:name="_Toc986934688" w:id="1207443983"/>
      <w:r w:rsidRPr="376EB76A" w:rsidR="4B1233C5">
        <w:rPr>
          <w:rStyle w:val="Heading2Char"/>
        </w:rPr>
        <w:t>Progress against</w:t>
      </w:r>
      <w:r w:rsidRPr="376EB76A" w:rsidR="35EEEB8C">
        <w:rPr>
          <w:rStyle w:val="Heading2Char"/>
        </w:rPr>
        <w:t xml:space="preserve"> the expected outcomes and </w:t>
      </w:r>
      <w:r w:rsidRPr="376EB76A" w:rsidR="4B1233C5">
        <w:rPr>
          <w:rStyle w:val="Heading2Char"/>
        </w:rPr>
        <w:t>impact, and</w:t>
      </w:r>
      <w:r w:rsidRPr="376EB76A" w:rsidR="35EEEB8C">
        <w:rPr>
          <w:rStyle w:val="Heading2Char"/>
        </w:rPr>
        <w:t xml:space="preserve"> action</w:t>
      </w:r>
      <w:r w:rsidRPr="376EB76A" w:rsidR="4B1233C5">
        <w:rPr>
          <w:rStyle w:val="Heading2Char"/>
        </w:rPr>
        <w:t>s</w:t>
      </w:r>
      <w:r w:rsidRPr="376EB76A" w:rsidR="35EEEB8C">
        <w:rPr>
          <w:rStyle w:val="Heading2Char"/>
        </w:rPr>
        <w:t xml:space="preserve"> planned </w:t>
      </w:r>
      <w:r w:rsidRPr="376EB76A" w:rsidR="46635FD1">
        <w:rPr>
          <w:rStyle w:val="Heading2Char"/>
        </w:rPr>
        <w:t>for</w:t>
      </w:r>
      <w:r w:rsidRPr="376EB76A" w:rsidR="35EEEB8C">
        <w:rPr>
          <w:rStyle w:val="Heading2Char"/>
        </w:rPr>
        <w:t xml:space="preserve"> the year ahead</w:t>
      </w:r>
      <w:bookmarkEnd w:id="1207443983"/>
    </w:p>
    <w:p w:rsidRPr="00D80C6C" w:rsidR="003D222C" w:rsidP="6A5FB512" w:rsidRDefault="003D222C" w14:paraId="594B159C" w14:textId="4B8305DF">
      <w:pPr>
        <w:jc w:val="both"/>
        <w:rPr>
          <w:rFonts w:cs="Arial"/>
          <w:b/>
          <w:bCs/>
          <w:sz w:val="22"/>
          <w:szCs w:val="22"/>
        </w:rPr>
      </w:pPr>
    </w:p>
    <w:p w:rsidR="588C8CA6" w:rsidP="6A5FB512" w:rsidRDefault="588C8CA6" w14:paraId="0C35617F" w14:textId="70688FEB">
      <w:pPr>
        <w:jc w:val="both"/>
        <w:rPr>
          <w:rFonts w:eastAsia="Arial" w:cs="Arial"/>
          <w:color w:val="000000" w:themeColor="text1"/>
          <w:sz w:val="22"/>
          <w:szCs w:val="22"/>
        </w:rPr>
      </w:pPr>
      <w:r w:rsidRPr="6A5FB512">
        <w:rPr>
          <w:rFonts w:eastAsia="Arial" w:cs="Arial"/>
          <w:color w:val="000000" w:themeColor="text1"/>
          <w:sz w:val="22"/>
          <w:szCs w:val="22"/>
        </w:rPr>
        <w:t xml:space="preserve">The ISFL programme’s ultimate success will be measured in terms of its progress against its intended outcome statement: “The </w:t>
      </w:r>
      <w:proofErr w:type="spellStart"/>
      <w:r w:rsidRPr="6A5FB512">
        <w:rPr>
          <w:rFonts w:eastAsia="Arial" w:cs="Arial"/>
          <w:color w:val="000000" w:themeColor="text1"/>
          <w:sz w:val="22"/>
          <w:szCs w:val="22"/>
        </w:rPr>
        <w:t>BioCF</w:t>
      </w:r>
      <w:proofErr w:type="spellEnd"/>
      <w:r w:rsidRPr="6A5FB512">
        <w:rPr>
          <w:rFonts w:eastAsia="Arial" w:cs="Arial"/>
          <w:color w:val="000000" w:themeColor="text1"/>
          <w:sz w:val="22"/>
          <w:szCs w:val="22"/>
        </w:rPr>
        <w:t xml:space="preserve"> ISFL has improved forest and agricultural land management and land use, contributed to reduced emissions from forest and agricultural ecosystems (including REDD+) and protected biodiversity through integrated low carbon jurisdictional development pathways, equitable distribution of benefits and mobilisation of investment through partnerships between public and private sectors”.</w:t>
      </w:r>
    </w:p>
    <w:p w:rsidR="588C8CA6" w:rsidP="6A5FB512" w:rsidRDefault="588C8CA6" w14:paraId="6FDE2527" w14:textId="237F8238">
      <w:pPr>
        <w:jc w:val="both"/>
        <w:rPr>
          <w:rFonts w:eastAsia="Arial" w:cs="Arial"/>
          <w:color w:val="000000" w:themeColor="text1"/>
          <w:sz w:val="22"/>
          <w:szCs w:val="22"/>
        </w:rPr>
      </w:pPr>
      <w:r w:rsidRPr="6A5FB512">
        <w:rPr>
          <w:rFonts w:eastAsia="Arial" w:cs="Arial"/>
          <w:color w:val="000000" w:themeColor="text1"/>
          <w:sz w:val="22"/>
          <w:szCs w:val="22"/>
        </w:rPr>
        <w:t> </w:t>
      </w:r>
    </w:p>
    <w:p w:rsidR="588C8CA6" w:rsidP="76A2BC93" w:rsidRDefault="588C8CA6" w14:paraId="0DA6EE88" w14:textId="37A80D43">
      <w:pPr>
        <w:jc w:val="both"/>
        <w:rPr>
          <w:rFonts w:eastAsia="Arial" w:cs="Arial"/>
          <w:color w:val="000000" w:themeColor="text1"/>
          <w:sz w:val="22"/>
          <w:szCs w:val="22"/>
        </w:rPr>
      </w:pPr>
      <w:r w:rsidRPr="76A2BC93">
        <w:rPr>
          <w:rFonts w:eastAsia="Arial" w:cs="Arial"/>
          <w:color w:val="000000" w:themeColor="text1"/>
          <w:sz w:val="22"/>
          <w:szCs w:val="22"/>
        </w:rPr>
        <w:t>This outcome is dependent upon jurisdictions completing robust and comprehensive ERPDs and benefit-sharing plans (BSPs) and implementing the activities and processes therein. Outcome Indicator 1.1, “Net change in greenhouse gas emissions (tCO2e) tonnes of greenhouse gas emissions reduced or avoided as a result of ISFL”, and Outcome Indicator 1.2., “Area (ha) of avoided deforestation compared to a reference level in ISFL programme areas”, are similarly dependent on the implementation of activities underneath the ERPDs. </w:t>
      </w:r>
    </w:p>
    <w:p w:rsidR="6A5FB512" w:rsidP="6A5FB512" w:rsidRDefault="6A5FB512" w14:paraId="7F3474DD" w14:textId="7731A80E">
      <w:pPr>
        <w:jc w:val="both"/>
        <w:rPr>
          <w:rFonts w:cs="Arial"/>
          <w:sz w:val="22"/>
          <w:szCs w:val="22"/>
        </w:rPr>
      </w:pPr>
    </w:p>
    <w:p w:rsidRPr="00F61001" w:rsidR="588C8CA6" w:rsidP="40649311" w:rsidRDefault="003C0AFA" w14:paraId="6E02D897" w14:textId="392A8FDF">
      <w:pPr>
        <w:jc w:val="both"/>
        <w:rPr>
          <w:rFonts w:eastAsia="Arial" w:cs="Arial"/>
          <w:sz w:val="22"/>
          <w:szCs w:val="22"/>
        </w:rPr>
      </w:pPr>
      <w:r w:rsidRPr="63018341" w:rsidR="003C0AFA">
        <w:rPr>
          <w:rFonts w:eastAsia="Arial" w:cs="Arial"/>
          <w:color w:val="000000" w:themeColor="text1" w:themeTint="FF" w:themeShade="FF"/>
          <w:sz w:val="22"/>
          <w:szCs w:val="22"/>
        </w:rPr>
        <w:t>All</w:t>
      </w:r>
      <w:r w:rsidRPr="63018341" w:rsidR="588C8CA6">
        <w:rPr>
          <w:rFonts w:eastAsia="Arial" w:cs="Arial"/>
          <w:color w:val="000000" w:themeColor="text1" w:themeTint="FF" w:themeShade="FF"/>
          <w:sz w:val="22"/>
          <w:szCs w:val="22"/>
        </w:rPr>
        <w:t xml:space="preserve"> ERPDs </w:t>
      </w:r>
      <w:r w:rsidRPr="63018341" w:rsidR="003C0AFA">
        <w:rPr>
          <w:rFonts w:eastAsia="Arial" w:cs="Arial"/>
          <w:color w:val="000000" w:themeColor="text1" w:themeTint="FF" w:themeShade="FF"/>
          <w:sz w:val="22"/>
          <w:szCs w:val="22"/>
        </w:rPr>
        <w:t>under the ISFL programme</w:t>
      </w:r>
      <w:r w:rsidRPr="63018341" w:rsidR="588C8CA6">
        <w:rPr>
          <w:rFonts w:eastAsia="Arial" w:cs="Arial"/>
          <w:color w:val="000000" w:themeColor="text1" w:themeTint="FF" w:themeShade="FF"/>
          <w:sz w:val="22"/>
          <w:szCs w:val="22"/>
        </w:rPr>
        <w:t xml:space="preserve"> have now been completed. However, only two ERPAs have been signed. Monthly Portfolio Reports show the trend of significant delays over time for all programmes since programme </w:t>
      </w:r>
      <w:r w:rsidRPr="63018341" w:rsidR="588C8CA6">
        <w:rPr>
          <w:rFonts w:eastAsia="Arial" w:cs="Arial"/>
          <w:color w:val="000000" w:themeColor="text1" w:themeTint="FF" w:themeShade="FF"/>
          <w:sz w:val="22"/>
          <w:szCs w:val="22"/>
        </w:rPr>
        <w:t>inception</w:t>
      </w:r>
      <w:r w:rsidRPr="63018341" w:rsidR="588C8CA6">
        <w:rPr>
          <w:rFonts w:eastAsia="Arial" w:cs="Arial"/>
          <w:color w:val="000000" w:themeColor="text1" w:themeTint="FF" w:themeShade="FF"/>
          <w:sz w:val="22"/>
          <w:szCs w:val="22"/>
        </w:rPr>
        <w:t xml:space="preserve">. This can be seen in projected ERPA signatures (Table 1) below. </w:t>
      </w:r>
      <w:r w:rsidRPr="63018341" w:rsidR="00691FCF">
        <w:rPr>
          <w:rFonts w:eastAsia="Arial" w:cs="Arial"/>
          <w:color w:val="000000" w:themeColor="text1" w:themeTint="FF" w:themeShade="FF"/>
          <w:sz w:val="22"/>
          <w:szCs w:val="22"/>
        </w:rPr>
        <w:t>For further information on delays, refer to</w:t>
      </w:r>
      <w:r w:rsidRPr="63018341" w:rsidR="002232EB">
        <w:rPr>
          <w:rFonts w:eastAsia="Arial" w:cs="Arial"/>
          <w:color w:val="000000" w:themeColor="text1" w:themeTint="FF" w:themeShade="FF"/>
          <w:sz w:val="22"/>
          <w:szCs w:val="22"/>
        </w:rPr>
        <w:t xml:space="preserve"> the supporting narrative in Output 1.4.</w:t>
      </w:r>
      <w:r w:rsidRPr="63018341" w:rsidR="588C8CA6">
        <w:rPr>
          <w:rFonts w:eastAsia="Arial" w:cs="Arial"/>
          <w:sz w:val="22"/>
          <w:szCs w:val="22"/>
        </w:rPr>
        <w:t xml:space="preserve"> </w:t>
      </w:r>
    </w:p>
    <w:p w:rsidR="6A5FB512" w:rsidP="77E9A727" w:rsidRDefault="6A5FB512" w14:paraId="3A8F1D52" w14:textId="38A1E68B">
      <w:pPr>
        <w:jc w:val="both"/>
        <w:rPr>
          <w:rFonts w:eastAsia="Arial" w:cs="Arial"/>
          <w:i/>
          <w:iCs/>
          <w:sz w:val="22"/>
          <w:szCs w:val="22"/>
        </w:rPr>
      </w:pPr>
    </w:p>
    <w:p w:rsidR="6A5FB512" w:rsidP="77E9A727" w:rsidRDefault="7341A7FC" w14:paraId="207D055B" w14:textId="02AF59A6">
      <w:pPr>
        <w:jc w:val="both"/>
        <w:rPr>
          <w:rFonts w:eastAsia="Arial" w:cs="Arial"/>
          <w:sz w:val="22"/>
          <w:szCs w:val="22"/>
        </w:rPr>
      </w:pPr>
      <w:r w:rsidRPr="77E9A727">
        <w:rPr>
          <w:rFonts w:eastAsia="Arial" w:cs="Arial"/>
          <w:b/>
          <w:bCs/>
          <w:color w:val="000000" w:themeColor="text1"/>
          <w:sz w:val="18"/>
          <w:szCs w:val="18"/>
        </w:rPr>
        <w:t>Table 1: Projections for ERPA signature according to World Bank Portfolio Reports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30"/>
        <w:gridCol w:w="1395"/>
        <w:gridCol w:w="1395"/>
        <w:gridCol w:w="1395"/>
        <w:gridCol w:w="1395"/>
        <w:gridCol w:w="1395"/>
      </w:tblGrid>
      <w:tr w:rsidR="77E9A727" w:rsidTr="63018341" w14:paraId="71FEDA34"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77E9A727" w:rsidP="77E9A727" w:rsidRDefault="77E9A727" w14:paraId="6234C2A4" w14:textId="265D3109">
            <w:pPr>
              <w:jc w:val="both"/>
              <w:rPr>
                <w:rFonts w:eastAsia="Arial" w:cs="Arial"/>
                <w:color w:val="000000" w:themeColor="text1"/>
                <w:sz w:val="20"/>
                <w:szCs w:val="20"/>
              </w:rPr>
            </w:pPr>
            <w:r w:rsidRPr="77E9A727">
              <w:rPr>
                <w:rFonts w:eastAsia="Arial" w:cs="Arial"/>
                <w:b/>
                <w:bCs/>
                <w:color w:val="000000" w:themeColor="text1"/>
                <w:sz w:val="20"/>
                <w:szCs w:val="20"/>
              </w:rPr>
              <w:t>Portfolio report </w:t>
            </w:r>
            <w:r w:rsidRPr="77E9A727">
              <w:rPr>
                <w:rFonts w:eastAsia="Arial" w:cs="Arial"/>
                <w:color w:val="000000" w:themeColor="text1"/>
                <w:sz w:val="20"/>
                <w:szCs w:val="20"/>
              </w:rPr>
              <w:t> </w:t>
            </w:r>
          </w:p>
        </w:tc>
        <w:tc>
          <w:tcPr>
            <w:tcW w:w="139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77E9A727" w:rsidP="77E9A727" w:rsidRDefault="77E9A727" w14:paraId="0C590E52" w14:textId="5048D38B">
            <w:pPr>
              <w:jc w:val="both"/>
              <w:rPr>
                <w:rFonts w:eastAsia="Arial" w:cs="Arial"/>
                <w:color w:val="000000" w:themeColor="text1"/>
                <w:sz w:val="20"/>
                <w:szCs w:val="20"/>
              </w:rPr>
            </w:pPr>
            <w:r w:rsidRPr="77E9A727">
              <w:rPr>
                <w:rFonts w:eastAsia="Arial" w:cs="Arial"/>
                <w:b/>
                <w:bCs/>
                <w:color w:val="000000" w:themeColor="text1"/>
                <w:sz w:val="20"/>
                <w:szCs w:val="20"/>
              </w:rPr>
              <w:t>Colombia </w:t>
            </w:r>
            <w:r w:rsidRPr="77E9A727">
              <w:rPr>
                <w:rFonts w:eastAsia="Arial" w:cs="Arial"/>
                <w:color w:val="000000" w:themeColor="text1"/>
                <w:sz w:val="20"/>
                <w:szCs w:val="20"/>
              </w:rPr>
              <w:t> </w:t>
            </w:r>
          </w:p>
        </w:tc>
        <w:tc>
          <w:tcPr>
            <w:tcW w:w="139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77E9A727" w:rsidP="77E9A727" w:rsidRDefault="77E9A727" w14:paraId="740F34F7" w14:textId="7671648C">
            <w:pPr>
              <w:jc w:val="both"/>
              <w:rPr>
                <w:rFonts w:eastAsia="Arial" w:cs="Arial"/>
                <w:color w:val="000000" w:themeColor="text1"/>
                <w:sz w:val="20"/>
                <w:szCs w:val="20"/>
              </w:rPr>
            </w:pPr>
            <w:r w:rsidRPr="77E9A727">
              <w:rPr>
                <w:rFonts w:eastAsia="Arial" w:cs="Arial"/>
                <w:b/>
                <w:bCs/>
                <w:color w:val="000000" w:themeColor="text1"/>
                <w:sz w:val="20"/>
                <w:szCs w:val="20"/>
              </w:rPr>
              <w:t>Ethiopia </w:t>
            </w:r>
            <w:r w:rsidRPr="77E9A727">
              <w:rPr>
                <w:rFonts w:eastAsia="Arial" w:cs="Arial"/>
                <w:color w:val="000000" w:themeColor="text1"/>
                <w:sz w:val="20"/>
                <w:szCs w:val="20"/>
              </w:rPr>
              <w:t> </w:t>
            </w:r>
          </w:p>
        </w:tc>
        <w:tc>
          <w:tcPr>
            <w:tcW w:w="139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77E9A727" w:rsidP="77E9A727" w:rsidRDefault="77E9A727" w14:paraId="500F0BFE" w14:textId="58A1523C">
            <w:pPr>
              <w:jc w:val="both"/>
              <w:rPr>
                <w:rFonts w:eastAsia="Arial" w:cs="Arial"/>
                <w:color w:val="000000" w:themeColor="text1"/>
                <w:sz w:val="20"/>
                <w:szCs w:val="20"/>
              </w:rPr>
            </w:pPr>
            <w:r w:rsidRPr="77E9A727">
              <w:rPr>
                <w:rFonts w:eastAsia="Arial" w:cs="Arial"/>
                <w:b/>
                <w:bCs/>
                <w:color w:val="000000" w:themeColor="text1"/>
                <w:sz w:val="20"/>
                <w:szCs w:val="20"/>
              </w:rPr>
              <w:t>Indonesia </w:t>
            </w:r>
            <w:r w:rsidRPr="77E9A727">
              <w:rPr>
                <w:rFonts w:eastAsia="Arial" w:cs="Arial"/>
                <w:color w:val="000000" w:themeColor="text1"/>
                <w:sz w:val="20"/>
                <w:szCs w:val="20"/>
              </w:rPr>
              <w:t> </w:t>
            </w:r>
          </w:p>
        </w:tc>
        <w:tc>
          <w:tcPr>
            <w:tcW w:w="139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77E9A727" w:rsidP="77E9A727" w:rsidRDefault="77E9A727" w14:paraId="25C5C281" w14:textId="2ABB3DDD">
            <w:pPr>
              <w:jc w:val="both"/>
              <w:rPr>
                <w:rFonts w:eastAsia="Arial" w:cs="Arial"/>
                <w:color w:val="000000" w:themeColor="text1"/>
                <w:sz w:val="20"/>
                <w:szCs w:val="20"/>
              </w:rPr>
            </w:pPr>
            <w:r w:rsidRPr="77E9A727">
              <w:rPr>
                <w:rFonts w:eastAsia="Arial" w:cs="Arial"/>
                <w:b/>
                <w:bCs/>
                <w:color w:val="000000" w:themeColor="text1"/>
                <w:sz w:val="20"/>
                <w:szCs w:val="20"/>
              </w:rPr>
              <w:t>Mexico </w:t>
            </w:r>
            <w:r w:rsidRPr="77E9A727">
              <w:rPr>
                <w:rFonts w:eastAsia="Arial" w:cs="Arial"/>
                <w:color w:val="000000" w:themeColor="text1"/>
                <w:sz w:val="20"/>
                <w:szCs w:val="20"/>
              </w:rPr>
              <w:t> </w:t>
            </w:r>
          </w:p>
        </w:tc>
        <w:tc>
          <w:tcPr>
            <w:tcW w:w="139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77E9A727" w:rsidP="77E9A727" w:rsidRDefault="77E9A727" w14:paraId="6C642178" w14:textId="7CB153D0">
            <w:pPr>
              <w:jc w:val="both"/>
              <w:rPr>
                <w:rFonts w:eastAsia="Arial" w:cs="Arial"/>
                <w:color w:val="000000" w:themeColor="text1"/>
                <w:sz w:val="20"/>
                <w:szCs w:val="20"/>
              </w:rPr>
            </w:pPr>
            <w:r w:rsidRPr="77E9A727">
              <w:rPr>
                <w:rFonts w:eastAsia="Arial" w:cs="Arial"/>
                <w:b/>
                <w:bCs/>
                <w:color w:val="000000" w:themeColor="text1"/>
                <w:sz w:val="20"/>
                <w:szCs w:val="20"/>
              </w:rPr>
              <w:t>Zambia </w:t>
            </w:r>
            <w:r w:rsidRPr="77E9A727">
              <w:rPr>
                <w:rFonts w:eastAsia="Arial" w:cs="Arial"/>
                <w:color w:val="000000" w:themeColor="text1"/>
                <w:sz w:val="20"/>
                <w:szCs w:val="20"/>
              </w:rPr>
              <w:t> </w:t>
            </w:r>
          </w:p>
        </w:tc>
      </w:tr>
      <w:tr w:rsidR="77E9A727" w:rsidTr="63018341" w14:paraId="1CF43CE0"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7CCDDF93" w:rsidRDefault="77E9A727" w14:paraId="3CA5C2A6" w14:textId="04583217">
            <w:pPr>
              <w:rPr>
                <w:rFonts w:eastAsia="Arial" w:cs="Arial"/>
                <w:color w:val="000000" w:themeColor="text1"/>
                <w:sz w:val="20"/>
                <w:szCs w:val="20"/>
              </w:rPr>
            </w:pPr>
            <w:r w:rsidRPr="7CCDDF93">
              <w:rPr>
                <w:rFonts w:eastAsia="Arial" w:cs="Arial"/>
                <w:color w:val="000000" w:themeColor="text1"/>
                <w:sz w:val="20"/>
                <w:szCs w:val="20"/>
              </w:rPr>
              <w:t>July 2018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53C3F3E" w14:textId="752079AE">
            <w:pPr>
              <w:rPr>
                <w:rFonts w:eastAsia="Arial" w:cs="Arial"/>
                <w:color w:val="000000" w:themeColor="text1"/>
                <w:sz w:val="20"/>
                <w:szCs w:val="20"/>
              </w:rPr>
            </w:pPr>
            <w:r w:rsidRPr="7CCDDF93">
              <w:rPr>
                <w:rFonts w:eastAsia="Arial" w:cs="Arial"/>
                <w:color w:val="000000" w:themeColor="text1"/>
                <w:sz w:val="20"/>
                <w:szCs w:val="20"/>
              </w:rPr>
              <w:t>Sep 19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43AAF78" w14:textId="035549A6">
            <w:pPr>
              <w:rPr>
                <w:rFonts w:eastAsia="Arial" w:cs="Arial"/>
                <w:color w:val="000000" w:themeColor="text1"/>
                <w:sz w:val="20"/>
                <w:szCs w:val="20"/>
              </w:rPr>
            </w:pPr>
            <w:r w:rsidRPr="7CCDDF93">
              <w:rPr>
                <w:rFonts w:eastAsia="Arial" w:cs="Arial"/>
                <w:color w:val="000000" w:themeColor="text1"/>
                <w:sz w:val="20"/>
                <w:szCs w:val="20"/>
              </w:rPr>
              <w:t>Feb 19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6C96FD49" w14:textId="6807877E">
            <w:pPr>
              <w:rPr>
                <w:rFonts w:eastAsia="Arial" w:cs="Arial"/>
                <w:color w:val="000000" w:themeColor="text1"/>
                <w:sz w:val="20"/>
                <w:szCs w:val="20"/>
              </w:rPr>
            </w:pPr>
            <w:r w:rsidRPr="7CCDDF93">
              <w:rPr>
                <w:rFonts w:eastAsia="Arial" w:cs="Arial"/>
                <w:color w:val="000000" w:themeColor="text1"/>
                <w:sz w:val="20"/>
                <w:szCs w:val="20"/>
              </w:rPr>
              <w:t>Jan 21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3A84D862" w14:textId="3E9B0379">
            <w:pPr>
              <w:rPr>
                <w:rFonts w:eastAsia="Arial" w:cs="Arial"/>
                <w:color w:val="000000" w:themeColor="text1"/>
                <w:sz w:val="20"/>
                <w:szCs w:val="20"/>
              </w:rPr>
            </w:pPr>
            <w:r w:rsidRPr="7CCDDF93">
              <w:rPr>
                <w:rFonts w:eastAsia="Arial" w:cs="Arial"/>
                <w:color w:val="000000" w:themeColor="text1"/>
                <w:sz w:val="20"/>
                <w:szCs w:val="20"/>
              </w:rPr>
              <w:t>May 20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2A7675C8" w14:textId="23E643D5">
            <w:pPr>
              <w:rPr>
                <w:rFonts w:eastAsia="Arial" w:cs="Arial"/>
                <w:color w:val="000000" w:themeColor="text1"/>
                <w:sz w:val="20"/>
                <w:szCs w:val="20"/>
              </w:rPr>
            </w:pPr>
            <w:r w:rsidRPr="7CCDDF93">
              <w:rPr>
                <w:rFonts w:eastAsia="Arial" w:cs="Arial"/>
                <w:color w:val="000000" w:themeColor="text1"/>
                <w:sz w:val="20"/>
                <w:szCs w:val="20"/>
              </w:rPr>
              <w:t>Dec 20  </w:t>
            </w:r>
          </w:p>
        </w:tc>
      </w:tr>
      <w:tr w:rsidR="77E9A727" w:rsidTr="63018341" w14:paraId="4D5C5241"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7CCDDF93" w:rsidRDefault="77E9A727" w14:paraId="44A52524" w14:textId="1ACC15DF">
            <w:pPr>
              <w:rPr>
                <w:rFonts w:eastAsia="Arial" w:cs="Arial"/>
                <w:color w:val="000000" w:themeColor="text1"/>
                <w:sz w:val="20"/>
                <w:szCs w:val="20"/>
              </w:rPr>
            </w:pPr>
            <w:r w:rsidRPr="7CCDDF93">
              <w:rPr>
                <w:rFonts w:eastAsia="Arial" w:cs="Arial"/>
                <w:color w:val="000000" w:themeColor="text1"/>
                <w:sz w:val="20"/>
                <w:szCs w:val="20"/>
              </w:rPr>
              <w:t>July 2019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005BB08E" w14:textId="767EA10F">
            <w:pPr>
              <w:rPr>
                <w:rFonts w:eastAsia="Arial" w:cs="Arial"/>
                <w:color w:val="000000" w:themeColor="text1"/>
                <w:sz w:val="20"/>
                <w:szCs w:val="20"/>
              </w:rPr>
            </w:pPr>
            <w:r w:rsidRPr="7CCDDF93">
              <w:rPr>
                <w:rFonts w:eastAsia="Arial" w:cs="Arial"/>
                <w:color w:val="000000" w:themeColor="text1"/>
                <w:sz w:val="20"/>
                <w:szCs w:val="20"/>
              </w:rPr>
              <w:t>July 20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2E502623" w14:textId="7A957C9F">
            <w:pPr>
              <w:rPr>
                <w:rFonts w:eastAsia="Arial" w:cs="Arial"/>
                <w:color w:val="000000" w:themeColor="text1"/>
                <w:sz w:val="20"/>
                <w:szCs w:val="20"/>
              </w:rPr>
            </w:pPr>
            <w:r w:rsidRPr="7CCDDF93">
              <w:rPr>
                <w:rFonts w:eastAsia="Arial" w:cs="Arial"/>
                <w:color w:val="000000" w:themeColor="text1"/>
                <w:sz w:val="20"/>
                <w:szCs w:val="20"/>
              </w:rPr>
              <w:t>Sep 20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4183CD7" w14:textId="4A2B1A6A">
            <w:pPr>
              <w:rPr>
                <w:rFonts w:eastAsia="Arial" w:cs="Arial"/>
                <w:color w:val="000000" w:themeColor="text1"/>
                <w:sz w:val="20"/>
                <w:szCs w:val="20"/>
              </w:rPr>
            </w:pPr>
            <w:r w:rsidRPr="7CCDDF93">
              <w:rPr>
                <w:rFonts w:eastAsia="Arial" w:cs="Arial"/>
                <w:color w:val="000000" w:themeColor="text1"/>
                <w:sz w:val="20"/>
                <w:szCs w:val="20"/>
              </w:rPr>
              <w:t>Nov 20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0AA968E9" w14:textId="139E9BA3">
            <w:pPr>
              <w:rPr>
                <w:rFonts w:eastAsia="Arial" w:cs="Arial"/>
                <w:color w:val="000000" w:themeColor="text1"/>
                <w:sz w:val="20"/>
                <w:szCs w:val="20"/>
              </w:rPr>
            </w:pPr>
            <w:r w:rsidRPr="7CCDDF93">
              <w:rPr>
                <w:rFonts w:eastAsia="Arial" w:cs="Arial"/>
                <w:color w:val="000000" w:themeColor="text1"/>
                <w:sz w:val="20"/>
                <w:szCs w:val="20"/>
              </w:rPr>
              <w:t>May 21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247252CA" w14:textId="3B07D611">
            <w:pPr>
              <w:rPr>
                <w:rFonts w:eastAsia="Arial" w:cs="Arial"/>
                <w:color w:val="000000" w:themeColor="text1"/>
                <w:sz w:val="20"/>
                <w:szCs w:val="20"/>
              </w:rPr>
            </w:pPr>
            <w:r w:rsidRPr="7CCDDF93">
              <w:rPr>
                <w:rFonts w:eastAsia="Arial" w:cs="Arial"/>
                <w:color w:val="000000" w:themeColor="text1"/>
                <w:sz w:val="20"/>
                <w:szCs w:val="20"/>
              </w:rPr>
              <w:t>Dec 20  </w:t>
            </w:r>
          </w:p>
        </w:tc>
      </w:tr>
      <w:tr w:rsidR="77E9A727" w:rsidTr="63018341" w14:paraId="69E05070"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7CCDDF93" w:rsidRDefault="77E9A727" w14:paraId="340FC4E7" w14:textId="0F6E1842">
            <w:pPr>
              <w:rPr>
                <w:rFonts w:eastAsia="Arial" w:cs="Arial"/>
                <w:color w:val="000000" w:themeColor="text1"/>
                <w:sz w:val="20"/>
                <w:szCs w:val="20"/>
              </w:rPr>
            </w:pPr>
            <w:r w:rsidRPr="7CCDDF93">
              <w:rPr>
                <w:rFonts w:eastAsia="Arial" w:cs="Arial"/>
                <w:color w:val="000000" w:themeColor="text1"/>
                <w:sz w:val="20"/>
                <w:szCs w:val="20"/>
              </w:rPr>
              <w:t>July 2020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100CC32" w14:textId="49E62001">
            <w:pPr>
              <w:rPr>
                <w:rFonts w:eastAsia="Arial" w:cs="Arial"/>
                <w:color w:val="000000" w:themeColor="text1"/>
                <w:sz w:val="20"/>
                <w:szCs w:val="20"/>
              </w:rPr>
            </w:pPr>
            <w:r w:rsidRPr="7CCDDF93">
              <w:rPr>
                <w:rFonts w:eastAsia="Arial" w:cs="Arial"/>
                <w:color w:val="000000" w:themeColor="text1"/>
                <w:sz w:val="20"/>
                <w:szCs w:val="20"/>
              </w:rPr>
              <w:t>Aug 22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8880083" w14:textId="6DD797AE">
            <w:pPr>
              <w:rPr>
                <w:rFonts w:eastAsia="Arial" w:cs="Arial"/>
                <w:color w:val="000000" w:themeColor="text1"/>
                <w:sz w:val="20"/>
                <w:szCs w:val="20"/>
              </w:rPr>
            </w:pPr>
            <w:r w:rsidRPr="7CCDDF93">
              <w:rPr>
                <w:rFonts w:eastAsia="Arial" w:cs="Arial"/>
                <w:color w:val="000000" w:themeColor="text1"/>
                <w:sz w:val="20"/>
                <w:szCs w:val="20"/>
              </w:rPr>
              <w:t>July 21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472C6C8C" w14:textId="7149DF01">
            <w:pPr>
              <w:rPr>
                <w:rFonts w:eastAsia="Arial" w:cs="Arial"/>
                <w:color w:val="000000" w:themeColor="text1"/>
                <w:sz w:val="20"/>
                <w:szCs w:val="20"/>
              </w:rPr>
            </w:pPr>
            <w:r w:rsidRPr="7CCDDF93">
              <w:rPr>
                <w:rFonts w:eastAsia="Arial" w:cs="Arial"/>
                <w:color w:val="000000" w:themeColor="text1"/>
                <w:sz w:val="20"/>
                <w:szCs w:val="20"/>
              </w:rPr>
              <w:t>Dec 21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139C2FDD" w14:textId="58BBCEFA">
            <w:pPr>
              <w:rPr>
                <w:rFonts w:eastAsia="Arial" w:cs="Arial"/>
                <w:color w:val="000000" w:themeColor="text1"/>
                <w:sz w:val="20"/>
                <w:szCs w:val="20"/>
              </w:rPr>
            </w:pPr>
            <w:r w:rsidRPr="7CCDDF93">
              <w:rPr>
                <w:rFonts w:eastAsia="Arial" w:cs="Arial"/>
                <w:color w:val="000000" w:themeColor="text1"/>
                <w:sz w:val="20"/>
                <w:szCs w:val="20"/>
              </w:rPr>
              <w:t>Dec 22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0B91614A" w14:textId="707639FF">
            <w:pPr>
              <w:rPr>
                <w:rFonts w:eastAsia="Arial" w:cs="Arial"/>
                <w:color w:val="000000" w:themeColor="text1"/>
                <w:sz w:val="20"/>
                <w:szCs w:val="20"/>
              </w:rPr>
            </w:pPr>
            <w:r w:rsidRPr="7CCDDF93">
              <w:rPr>
                <w:rFonts w:eastAsia="Arial" w:cs="Arial"/>
                <w:color w:val="000000" w:themeColor="text1"/>
                <w:sz w:val="20"/>
                <w:szCs w:val="20"/>
              </w:rPr>
              <w:t>Oct 21  </w:t>
            </w:r>
          </w:p>
        </w:tc>
      </w:tr>
      <w:tr w:rsidR="77E9A727" w:rsidTr="63018341" w14:paraId="10E53369"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7CCDDF93" w:rsidRDefault="77E9A727" w14:paraId="28E699C1" w14:textId="12DC5E69">
            <w:pPr>
              <w:rPr>
                <w:rFonts w:eastAsia="Arial" w:cs="Arial"/>
                <w:color w:val="000000" w:themeColor="text1"/>
                <w:sz w:val="20"/>
                <w:szCs w:val="20"/>
              </w:rPr>
            </w:pPr>
            <w:r w:rsidRPr="7CCDDF93">
              <w:rPr>
                <w:rFonts w:eastAsia="Arial" w:cs="Arial"/>
                <w:color w:val="000000" w:themeColor="text1"/>
                <w:sz w:val="20"/>
                <w:szCs w:val="20"/>
              </w:rPr>
              <w:t>June 2021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20DE123F" w14:textId="0F62AB12">
            <w:pPr>
              <w:rPr>
                <w:rFonts w:eastAsia="Arial" w:cs="Arial"/>
                <w:color w:val="000000" w:themeColor="text1"/>
                <w:sz w:val="20"/>
                <w:szCs w:val="20"/>
              </w:rPr>
            </w:pPr>
            <w:r w:rsidRPr="7CCDDF93">
              <w:rPr>
                <w:rFonts w:eastAsia="Arial" w:cs="Arial"/>
                <w:color w:val="000000" w:themeColor="text1"/>
                <w:sz w:val="20"/>
                <w:szCs w:val="20"/>
              </w:rPr>
              <w:t>Dec 22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1F0686EA" w14:textId="61496E1C">
            <w:pPr>
              <w:rPr>
                <w:rFonts w:eastAsia="Arial" w:cs="Arial"/>
                <w:color w:val="000000" w:themeColor="text1"/>
                <w:sz w:val="20"/>
                <w:szCs w:val="20"/>
              </w:rPr>
            </w:pPr>
            <w:r w:rsidRPr="7CCDDF93">
              <w:rPr>
                <w:rFonts w:eastAsia="Arial" w:cs="Arial"/>
                <w:color w:val="000000" w:themeColor="text1"/>
                <w:sz w:val="20"/>
                <w:szCs w:val="20"/>
              </w:rPr>
              <w:t>Nov 21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11B5AF6A" w14:textId="2A868026">
            <w:pPr>
              <w:rPr>
                <w:rFonts w:eastAsia="Arial" w:cs="Arial"/>
                <w:color w:val="000000" w:themeColor="text1"/>
                <w:sz w:val="20"/>
                <w:szCs w:val="20"/>
              </w:rPr>
            </w:pPr>
            <w:r w:rsidRPr="7CCDDF93">
              <w:rPr>
                <w:rFonts w:eastAsia="Arial" w:cs="Arial"/>
                <w:color w:val="000000" w:themeColor="text1"/>
                <w:sz w:val="20"/>
                <w:szCs w:val="20"/>
              </w:rPr>
              <w:t>Aug 22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35CBE26D" w14:textId="6E814279">
            <w:pPr>
              <w:rPr>
                <w:rFonts w:eastAsia="Arial" w:cs="Arial"/>
                <w:color w:val="000000" w:themeColor="text1"/>
                <w:sz w:val="20"/>
                <w:szCs w:val="20"/>
              </w:rPr>
            </w:pPr>
            <w:r w:rsidRPr="7CCDDF93">
              <w:rPr>
                <w:rFonts w:eastAsia="Arial" w:cs="Arial"/>
                <w:color w:val="000000" w:themeColor="text1"/>
                <w:sz w:val="20"/>
                <w:szCs w:val="20"/>
              </w:rPr>
              <w:t>Mar 23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3C761BB9" w14:textId="5B2E863B">
            <w:pPr>
              <w:rPr>
                <w:rFonts w:eastAsia="Arial" w:cs="Arial"/>
                <w:color w:val="000000" w:themeColor="text1"/>
                <w:sz w:val="20"/>
                <w:szCs w:val="20"/>
              </w:rPr>
            </w:pPr>
            <w:r w:rsidRPr="7CCDDF93">
              <w:rPr>
                <w:rFonts w:eastAsia="Arial" w:cs="Arial"/>
                <w:color w:val="000000" w:themeColor="text1"/>
                <w:sz w:val="20"/>
                <w:szCs w:val="20"/>
              </w:rPr>
              <w:t>May 22 </w:t>
            </w:r>
          </w:p>
        </w:tc>
      </w:tr>
      <w:tr w:rsidR="77E9A727" w:rsidTr="63018341" w14:paraId="4C334B6A"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7CCDDF93" w:rsidRDefault="77E9A727" w14:paraId="764B9177" w14:textId="6278F71C">
            <w:pPr>
              <w:rPr>
                <w:rFonts w:eastAsia="Arial" w:cs="Arial"/>
                <w:color w:val="000000" w:themeColor="text1"/>
                <w:sz w:val="20"/>
                <w:szCs w:val="20"/>
              </w:rPr>
            </w:pPr>
            <w:r w:rsidRPr="7CCDDF93">
              <w:rPr>
                <w:rFonts w:eastAsia="Arial" w:cs="Arial"/>
                <w:color w:val="000000" w:themeColor="text1"/>
                <w:sz w:val="20"/>
                <w:szCs w:val="20"/>
              </w:rPr>
              <w:t>June 2022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070E43C9" w14:textId="4D94FECB">
            <w:pPr>
              <w:rPr>
                <w:rFonts w:eastAsia="Arial" w:cs="Arial"/>
                <w:color w:val="000000" w:themeColor="text1"/>
                <w:sz w:val="20"/>
                <w:szCs w:val="20"/>
              </w:rPr>
            </w:pPr>
            <w:r w:rsidRPr="7CCDDF93">
              <w:rPr>
                <w:rFonts w:eastAsia="Arial" w:cs="Arial"/>
                <w:color w:val="000000" w:themeColor="text1"/>
                <w:sz w:val="20"/>
                <w:szCs w:val="20"/>
              </w:rPr>
              <w:t>Mar 23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0EDA92AD" w14:textId="4694FCA0">
            <w:pPr>
              <w:rPr>
                <w:rFonts w:eastAsia="Arial" w:cs="Arial"/>
                <w:color w:val="000000" w:themeColor="text1"/>
                <w:sz w:val="20"/>
                <w:szCs w:val="20"/>
              </w:rPr>
            </w:pPr>
            <w:r w:rsidRPr="7CCDDF93">
              <w:rPr>
                <w:rFonts w:eastAsia="Arial" w:cs="Arial"/>
                <w:color w:val="000000" w:themeColor="text1"/>
                <w:sz w:val="20"/>
                <w:szCs w:val="20"/>
              </w:rPr>
              <w:t>Sept 22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753E4D5" w14:textId="5341C0EE">
            <w:pPr>
              <w:rPr>
                <w:rFonts w:eastAsia="Arial" w:cs="Arial"/>
                <w:color w:val="000000" w:themeColor="text1"/>
                <w:sz w:val="20"/>
                <w:szCs w:val="20"/>
              </w:rPr>
            </w:pPr>
            <w:r w:rsidRPr="7CCDDF93">
              <w:rPr>
                <w:rFonts w:eastAsia="Arial" w:cs="Arial"/>
                <w:color w:val="000000" w:themeColor="text1"/>
                <w:sz w:val="20"/>
                <w:szCs w:val="20"/>
              </w:rPr>
              <w:t>Mar 23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65BAD636" w14:textId="1E344B76">
            <w:pPr>
              <w:rPr>
                <w:rFonts w:eastAsia="Arial" w:cs="Arial"/>
                <w:color w:val="000000" w:themeColor="text1"/>
                <w:sz w:val="20"/>
                <w:szCs w:val="20"/>
              </w:rPr>
            </w:pPr>
            <w:r w:rsidRPr="7CCDDF93">
              <w:rPr>
                <w:rFonts w:eastAsia="Arial" w:cs="Arial"/>
                <w:color w:val="000000" w:themeColor="text1"/>
                <w:sz w:val="20"/>
                <w:szCs w:val="20"/>
              </w:rPr>
              <w:t>Mar 23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248B131A" w14:textId="0D9A0CD4">
            <w:pPr>
              <w:rPr>
                <w:rFonts w:eastAsia="Arial" w:cs="Arial"/>
                <w:color w:val="000000" w:themeColor="text1"/>
                <w:sz w:val="20"/>
                <w:szCs w:val="20"/>
              </w:rPr>
            </w:pPr>
            <w:r w:rsidRPr="7CCDDF93">
              <w:rPr>
                <w:rFonts w:eastAsia="Arial" w:cs="Arial"/>
                <w:color w:val="000000" w:themeColor="text1"/>
                <w:sz w:val="20"/>
                <w:szCs w:val="20"/>
              </w:rPr>
              <w:t>Mar 23 </w:t>
            </w:r>
          </w:p>
        </w:tc>
      </w:tr>
      <w:tr w:rsidR="77E9A727" w:rsidTr="63018341" w14:paraId="7C2F9641"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7CCDDF93" w:rsidRDefault="77E9A727" w14:paraId="64630850" w14:textId="5777248F">
            <w:pPr>
              <w:rPr>
                <w:rFonts w:eastAsia="Arial" w:cs="Arial"/>
                <w:color w:val="000000" w:themeColor="text1"/>
                <w:sz w:val="20"/>
                <w:szCs w:val="20"/>
              </w:rPr>
            </w:pPr>
            <w:r w:rsidRPr="7CCDDF93">
              <w:rPr>
                <w:rFonts w:eastAsia="Arial" w:cs="Arial"/>
                <w:color w:val="000000" w:themeColor="text1"/>
                <w:sz w:val="20"/>
                <w:szCs w:val="20"/>
              </w:rPr>
              <w:t>June 2023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4C8CA198" w14:textId="2BD8EC57">
            <w:pPr>
              <w:rPr>
                <w:rFonts w:eastAsia="Arial" w:cs="Arial"/>
                <w:color w:val="000000" w:themeColor="text1"/>
                <w:sz w:val="20"/>
                <w:szCs w:val="20"/>
              </w:rPr>
            </w:pPr>
            <w:r w:rsidRPr="7CCDDF93">
              <w:rPr>
                <w:rFonts w:eastAsia="Arial" w:cs="Arial"/>
                <w:color w:val="000000" w:themeColor="text1"/>
                <w:sz w:val="20"/>
                <w:szCs w:val="20"/>
              </w:rPr>
              <w:t>Dec 23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2C9F410D" w14:textId="6148418A">
            <w:pPr>
              <w:rPr>
                <w:rFonts w:eastAsia="Arial" w:cs="Arial"/>
                <w:color w:val="000000" w:themeColor="text1"/>
                <w:sz w:val="20"/>
                <w:szCs w:val="20"/>
              </w:rPr>
            </w:pPr>
            <w:r w:rsidRPr="7CCDDF93">
              <w:rPr>
                <w:rFonts w:eastAsia="Arial" w:cs="Arial"/>
                <w:color w:val="000000" w:themeColor="text1"/>
                <w:sz w:val="20"/>
                <w:szCs w:val="20"/>
              </w:rPr>
              <w:t>Feb 23 (achieved)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7D5EEF02" w14:textId="440F464E">
            <w:pPr>
              <w:rPr>
                <w:rFonts w:eastAsia="Arial" w:cs="Arial"/>
                <w:color w:val="000000" w:themeColor="text1"/>
                <w:sz w:val="20"/>
                <w:szCs w:val="20"/>
              </w:rPr>
            </w:pPr>
            <w:r w:rsidRPr="7CCDDF93">
              <w:rPr>
                <w:rFonts w:eastAsia="Arial" w:cs="Arial"/>
                <w:color w:val="000000" w:themeColor="text1"/>
                <w:sz w:val="20"/>
                <w:szCs w:val="20"/>
              </w:rPr>
              <w:t>Feb 24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696D9FAF" w14:textId="0B6593AE">
            <w:pPr>
              <w:rPr>
                <w:rFonts w:eastAsia="Arial" w:cs="Arial"/>
                <w:color w:val="000000" w:themeColor="text1"/>
                <w:sz w:val="20"/>
                <w:szCs w:val="20"/>
              </w:rPr>
            </w:pPr>
            <w:r w:rsidRPr="7CCDDF93">
              <w:rPr>
                <w:rFonts w:eastAsia="Arial" w:cs="Arial"/>
                <w:color w:val="000000" w:themeColor="text1"/>
                <w:sz w:val="20"/>
                <w:szCs w:val="20"/>
              </w:rPr>
              <w:t>Mar 24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65796304" w14:textId="5E888D98">
            <w:pPr>
              <w:rPr>
                <w:rFonts w:eastAsia="Arial" w:cs="Arial"/>
                <w:color w:val="000000" w:themeColor="text1"/>
                <w:sz w:val="20"/>
                <w:szCs w:val="20"/>
              </w:rPr>
            </w:pPr>
            <w:r w:rsidRPr="7CCDDF93">
              <w:rPr>
                <w:rFonts w:eastAsia="Arial" w:cs="Arial"/>
                <w:color w:val="000000" w:themeColor="text1"/>
                <w:sz w:val="20"/>
                <w:szCs w:val="20"/>
              </w:rPr>
              <w:t>Nov 23 </w:t>
            </w:r>
          </w:p>
        </w:tc>
      </w:tr>
      <w:tr w:rsidR="77E9A727" w:rsidTr="63018341" w14:paraId="704BCD80"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7CCDDF93" w:rsidRDefault="77E9A727" w14:paraId="7D402DC7" w14:textId="4639344E">
            <w:pPr>
              <w:rPr>
                <w:rFonts w:eastAsia="Arial" w:cs="Arial"/>
                <w:color w:val="000000" w:themeColor="text1"/>
                <w:sz w:val="20"/>
                <w:szCs w:val="20"/>
              </w:rPr>
            </w:pPr>
            <w:r w:rsidRPr="7CCDDF93">
              <w:rPr>
                <w:rFonts w:eastAsia="Arial" w:cs="Arial"/>
                <w:color w:val="000000" w:themeColor="text1"/>
                <w:sz w:val="20"/>
                <w:szCs w:val="20"/>
              </w:rPr>
              <w:t>May 2024</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775816D8" w14:textId="5B8A09A3">
            <w:pPr>
              <w:rPr>
                <w:rFonts w:eastAsia="Arial" w:cs="Arial"/>
                <w:color w:val="000000" w:themeColor="text1"/>
                <w:sz w:val="20"/>
                <w:szCs w:val="20"/>
              </w:rPr>
            </w:pPr>
            <w:r w:rsidRPr="7CCDDF93">
              <w:rPr>
                <w:rFonts w:eastAsia="Arial" w:cs="Arial"/>
                <w:color w:val="000000" w:themeColor="text1"/>
                <w:sz w:val="20"/>
                <w:szCs w:val="20"/>
              </w:rPr>
              <w:t>Oct 24</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69F053BA" w14:textId="62F47C58">
            <w:pPr>
              <w:rPr>
                <w:rFonts w:eastAsia="Arial" w:cs="Arial"/>
                <w:color w:val="000000" w:themeColor="text1"/>
                <w:sz w:val="20"/>
                <w:szCs w:val="20"/>
              </w:rPr>
            </w:pPr>
            <w:r w:rsidRPr="7CCDDF93">
              <w:rPr>
                <w:rFonts w:eastAsia="Arial" w:cs="Arial"/>
                <w:color w:val="000000" w:themeColor="text1"/>
                <w:sz w:val="20"/>
                <w:szCs w:val="20"/>
              </w:rPr>
              <w:t>Feb 23 (achieved)</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2EF00CE" w14:textId="68288922">
            <w:pPr>
              <w:rPr>
                <w:rFonts w:eastAsia="Arial" w:cs="Arial"/>
                <w:color w:val="000000" w:themeColor="text1"/>
                <w:sz w:val="20"/>
                <w:szCs w:val="20"/>
              </w:rPr>
            </w:pPr>
            <w:r w:rsidRPr="7CCDDF93">
              <w:rPr>
                <w:rFonts w:eastAsia="Arial" w:cs="Arial"/>
                <w:color w:val="000000" w:themeColor="text1"/>
                <w:sz w:val="20"/>
                <w:szCs w:val="20"/>
              </w:rPr>
              <w:t>Oct 24</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27EBD914" w14:textId="376E4D1A">
            <w:pPr>
              <w:rPr>
                <w:rFonts w:eastAsia="Arial" w:cs="Arial"/>
                <w:color w:val="000000" w:themeColor="text1"/>
                <w:sz w:val="20"/>
                <w:szCs w:val="20"/>
              </w:rPr>
            </w:pPr>
            <w:r w:rsidRPr="7CCDDF93">
              <w:rPr>
                <w:rFonts w:eastAsia="Arial" w:cs="Arial"/>
                <w:color w:val="000000" w:themeColor="text1"/>
                <w:sz w:val="20"/>
                <w:szCs w:val="20"/>
              </w:rPr>
              <w:t>Nov 24</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093C650B" w14:textId="2097E830">
            <w:pPr>
              <w:rPr>
                <w:rFonts w:eastAsia="Arial" w:cs="Arial"/>
                <w:color w:val="000000" w:themeColor="text1"/>
                <w:sz w:val="20"/>
                <w:szCs w:val="20"/>
              </w:rPr>
            </w:pPr>
            <w:r w:rsidRPr="7CCDDF93">
              <w:rPr>
                <w:rFonts w:eastAsia="Arial" w:cs="Arial"/>
                <w:color w:val="000000" w:themeColor="text1"/>
                <w:sz w:val="20"/>
                <w:szCs w:val="20"/>
              </w:rPr>
              <w:t>Jun 24</w:t>
            </w:r>
          </w:p>
        </w:tc>
      </w:tr>
      <w:tr w:rsidR="77E9A727" w:rsidTr="63018341" w14:paraId="0F45B707"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7E9A727" w:rsidP="17DB72FC" w:rsidRDefault="77E9A727" w14:paraId="57A849AF" w14:textId="6F3BE80C">
            <w:pPr>
              <w:rPr>
                <w:rFonts w:eastAsia="Arial" w:cs="Arial"/>
                <w:color w:val="000000" w:themeColor="text1"/>
                <w:sz w:val="20"/>
                <w:szCs w:val="20"/>
              </w:rPr>
            </w:pPr>
            <w:r w:rsidRPr="17DB72FC">
              <w:rPr>
                <w:rFonts w:eastAsia="Arial" w:cs="Arial"/>
                <w:color w:val="000000" w:themeColor="text1"/>
                <w:sz w:val="20"/>
                <w:szCs w:val="20"/>
              </w:rPr>
              <w:t>October 2024</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024E1019" w14:textId="6C200E29">
            <w:pPr>
              <w:rPr>
                <w:rFonts w:eastAsia="Arial" w:cs="Arial"/>
                <w:color w:val="000000" w:themeColor="text1"/>
                <w:sz w:val="20"/>
                <w:szCs w:val="20"/>
              </w:rPr>
            </w:pPr>
            <w:r w:rsidRPr="7CCDDF93">
              <w:rPr>
                <w:rFonts w:eastAsia="Arial" w:cs="Arial"/>
                <w:color w:val="000000" w:themeColor="text1"/>
                <w:sz w:val="20"/>
                <w:szCs w:val="20"/>
              </w:rPr>
              <w:t>Mar 25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6C3D1127" w14:textId="555161F3">
            <w:pPr>
              <w:rPr>
                <w:rFonts w:eastAsia="Arial" w:cs="Arial"/>
                <w:color w:val="000000" w:themeColor="text1"/>
                <w:sz w:val="20"/>
                <w:szCs w:val="20"/>
              </w:rPr>
            </w:pPr>
            <w:r w:rsidRPr="7CCDDF93">
              <w:rPr>
                <w:rFonts w:eastAsia="Arial" w:cs="Arial"/>
                <w:color w:val="000000" w:themeColor="text1"/>
                <w:sz w:val="20"/>
                <w:szCs w:val="20"/>
              </w:rPr>
              <w:t>Feb 23 (achieved)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3799E6DA" w14:textId="23DD7238">
            <w:pPr>
              <w:rPr>
                <w:rFonts w:eastAsia="Arial" w:cs="Arial"/>
                <w:color w:val="000000" w:themeColor="text1"/>
                <w:sz w:val="20"/>
                <w:szCs w:val="20"/>
              </w:rPr>
            </w:pPr>
            <w:r w:rsidRPr="7CCDDF93">
              <w:rPr>
                <w:rFonts w:eastAsia="Arial" w:cs="Arial"/>
                <w:color w:val="000000" w:themeColor="text1"/>
                <w:sz w:val="20"/>
                <w:szCs w:val="20"/>
              </w:rPr>
              <w:t>May 25 </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58BE0528" w14:textId="41D71A06">
            <w:pPr>
              <w:rPr>
                <w:rFonts w:eastAsia="Arial" w:cs="Arial"/>
                <w:color w:val="000000" w:themeColor="text1"/>
                <w:sz w:val="20"/>
                <w:szCs w:val="20"/>
              </w:rPr>
            </w:pPr>
            <w:r w:rsidRPr="7CCDDF93">
              <w:rPr>
                <w:rFonts w:eastAsia="Arial" w:cs="Arial"/>
                <w:color w:val="000000" w:themeColor="text1"/>
                <w:sz w:val="20"/>
                <w:szCs w:val="20"/>
              </w:rPr>
              <w:t>Mar 25</w:t>
            </w:r>
          </w:p>
        </w:tc>
        <w:tc>
          <w:tcPr>
            <w:tcW w:w="1395" w:type="dxa"/>
            <w:tcBorders>
              <w:top w:val="single" w:color="auto" w:sz="6" w:space="0"/>
              <w:left w:val="single" w:color="auto" w:sz="6" w:space="0"/>
              <w:bottom w:val="single" w:color="auto" w:sz="6" w:space="0"/>
              <w:right w:val="single" w:color="auto" w:sz="6" w:space="0"/>
            </w:tcBorders>
            <w:tcMar/>
            <w:vAlign w:val="center"/>
          </w:tcPr>
          <w:p w:rsidR="77E9A727" w:rsidP="7CCDDF93" w:rsidRDefault="77E9A727" w14:paraId="39B87679" w14:textId="2C6B3191">
            <w:pPr>
              <w:rPr>
                <w:rFonts w:eastAsia="Arial" w:cs="Arial"/>
                <w:color w:val="000000" w:themeColor="text1"/>
                <w:sz w:val="20"/>
                <w:szCs w:val="20"/>
              </w:rPr>
            </w:pPr>
            <w:r w:rsidRPr="7CCDDF93">
              <w:rPr>
                <w:rFonts w:eastAsia="Arial" w:cs="Arial"/>
                <w:color w:val="000000" w:themeColor="text1"/>
                <w:sz w:val="20"/>
                <w:szCs w:val="20"/>
              </w:rPr>
              <w:t>Jun 24 (achieved)</w:t>
            </w:r>
          </w:p>
        </w:tc>
      </w:tr>
      <w:tr w:rsidR="17DB72FC" w:rsidTr="63018341" w14:paraId="7D77C332"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4CE42864" w:rsidP="424BF2B1" w:rsidRDefault="00715E77" w14:paraId="2C1B142B" w14:textId="19ED0941">
            <w:pPr>
              <w:rPr>
                <w:rFonts w:eastAsia="Arial" w:cs="Arial"/>
                <w:color w:val="000000" w:themeColor="text1"/>
                <w:sz w:val="20"/>
                <w:szCs w:val="20"/>
              </w:rPr>
            </w:pPr>
            <w:r w:rsidR="00715E77">
              <w:rPr>
                <w:rFonts w:eastAsia="Arial" w:cs="Arial"/>
                <w:color w:val="000000" w:themeColor="text1"/>
                <w:sz w:val="20"/>
                <w:szCs w:val="20"/>
              </w:rPr>
              <w:t>September</w:t>
            </w:r>
            <w:r w:rsidRPr="332B2EED" w:rsidR="00715E77">
              <w:rPr>
                <w:rFonts w:eastAsia="Arial" w:cs="Arial"/>
                <w:color w:val="000000" w:themeColor="text1"/>
                <w:sz w:val="20"/>
                <w:szCs w:val="20"/>
              </w:rPr>
              <w:t xml:space="preserve"> </w:t>
            </w:r>
            <w:r w:rsidRPr="332B2EED" w:rsidR="4CE42864">
              <w:rPr>
                <w:rFonts w:eastAsia="Arial" w:cs="Arial"/>
                <w:color w:val="000000" w:themeColor="text1"/>
                <w:sz w:val="20"/>
                <w:szCs w:val="20"/>
              </w:rPr>
              <w:t>2025</w:t>
            </w:r>
            <w:r w:rsidRPr="332B2EED" w:rsidR="4CE42864">
              <w:rPr>
                <w:rStyle w:val="FootnoteReference"/>
                <w:rFonts w:eastAsia="Arial" w:cs="Arial"/>
                <w:color w:val="000000" w:themeColor="text1"/>
                <w:sz w:val="20"/>
                <w:szCs w:val="20"/>
              </w:rPr>
              <w:footnoteReference w:id="10"/>
            </w:r>
            <w:r w:rsidRPr="332B2EED" w:rsidR="4CE42864">
              <w:rPr>
                <w:rFonts w:eastAsia="Arial" w:cs="Arial"/>
                <w:color w:val="000000" w:themeColor="text1"/>
                <w:sz w:val="20"/>
                <w:szCs w:val="20"/>
              </w:rPr>
              <w:t> </w:t>
            </w:r>
          </w:p>
        </w:tc>
        <w:tc>
          <w:tcPr>
            <w:tcW w:w="1395" w:type="dxa"/>
            <w:tcBorders>
              <w:top w:val="single" w:color="auto" w:sz="6" w:space="0"/>
              <w:left w:val="single" w:color="auto" w:sz="6" w:space="0"/>
              <w:bottom w:val="single" w:color="auto" w:sz="6" w:space="0"/>
              <w:right w:val="single" w:color="auto" w:sz="6" w:space="0"/>
            </w:tcBorders>
            <w:tcMar/>
            <w:vAlign w:val="center"/>
          </w:tcPr>
          <w:p w:rsidR="4CE42864" w:rsidP="074E0C6B" w:rsidRDefault="799B22DF" w14:paraId="592290E2" w14:textId="20F30F2A">
            <w:r w:rsidRPr="4A8EF56A">
              <w:rPr>
                <w:rFonts w:eastAsia="Arial" w:cs="Arial"/>
                <w:color w:val="000000" w:themeColor="text1"/>
                <w:sz w:val="20"/>
                <w:szCs w:val="20"/>
              </w:rPr>
              <w:t>Jan</w:t>
            </w:r>
            <w:r w:rsidRPr="4A8EF56A" w:rsidR="5FBC8EF9">
              <w:rPr>
                <w:rFonts w:eastAsia="Arial" w:cs="Arial"/>
                <w:color w:val="000000" w:themeColor="text1"/>
                <w:sz w:val="20"/>
                <w:szCs w:val="20"/>
              </w:rPr>
              <w:t xml:space="preserve"> 2</w:t>
            </w:r>
            <w:r w:rsidRPr="4A8EF56A" w:rsidR="4900C8C7">
              <w:rPr>
                <w:rFonts w:eastAsia="Arial" w:cs="Arial"/>
                <w:color w:val="000000" w:themeColor="text1"/>
                <w:sz w:val="20"/>
                <w:szCs w:val="20"/>
              </w:rPr>
              <w:t>6</w:t>
            </w:r>
          </w:p>
        </w:tc>
        <w:tc>
          <w:tcPr>
            <w:tcW w:w="1395" w:type="dxa"/>
            <w:tcBorders>
              <w:top w:val="single" w:color="auto" w:sz="6" w:space="0"/>
              <w:left w:val="single" w:color="auto" w:sz="6" w:space="0"/>
              <w:bottom w:val="single" w:color="auto" w:sz="6" w:space="0"/>
              <w:right w:val="single" w:color="auto" w:sz="6" w:space="0"/>
            </w:tcBorders>
            <w:tcMar/>
            <w:vAlign w:val="center"/>
          </w:tcPr>
          <w:p w:rsidR="4CE42864" w:rsidP="5F0A4A98" w:rsidRDefault="525BA364" w14:paraId="1292CC8A" w14:textId="78C4622E">
            <w:pPr>
              <w:rPr>
                <w:rFonts w:eastAsia="Arial" w:cs="Arial"/>
                <w:color w:val="000000" w:themeColor="text1"/>
                <w:sz w:val="20"/>
                <w:szCs w:val="20"/>
              </w:rPr>
            </w:pPr>
            <w:r w:rsidRPr="5F0A4A98">
              <w:rPr>
                <w:rFonts w:eastAsia="Arial" w:cs="Arial"/>
                <w:color w:val="000000" w:themeColor="text1"/>
                <w:sz w:val="20"/>
                <w:szCs w:val="20"/>
              </w:rPr>
              <w:t>Feb 23 (achieved) </w:t>
            </w:r>
          </w:p>
          <w:p w:rsidR="4CE42864" w:rsidP="5F0A4A98" w:rsidRDefault="4CE42864" w14:paraId="2E92F650" w14:textId="02AF75B1">
            <w:pPr>
              <w:rPr>
                <w:rFonts w:eastAsia="Arial" w:cs="Arial"/>
                <w:color w:val="000000" w:themeColor="text1"/>
                <w:sz w:val="20"/>
                <w:szCs w:val="20"/>
              </w:rPr>
            </w:pPr>
          </w:p>
          <w:p w:rsidR="4CE42864" w:rsidP="5F0A4A98" w:rsidRDefault="43675E72" w14:paraId="24DD6976" w14:textId="624E40DC">
            <w:pPr>
              <w:rPr>
                <w:rFonts w:eastAsia="Arial" w:cs="Arial"/>
                <w:color w:val="000000" w:themeColor="text1"/>
                <w:sz w:val="20"/>
                <w:szCs w:val="20"/>
              </w:rPr>
            </w:pPr>
            <w:r w:rsidRPr="5F0A4A98">
              <w:rPr>
                <w:rFonts w:eastAsia="Arial" w:cs="Arial"/>
                <w:color w:val="000000" w:themeColor="text1"/>
                <w:sz w:val="20"/>
                <w:szCs w:val="20"/>
              </w:rPr>
              <w:t>Phase II Signature: Dec 25</w:t>
            </w:r>
          </w:p>
        </w:tc>
        <w:tc>
          <w:tcPr>
            <w:tcW w:w="1395" w:type="dxa"/>
            <w:tcBorders>
              <w:top w:val="single" w:color="auto" w:sz="6" w:space="0"/>
              <w:left w:val="single" w:color="auto" w:sz="6" w:space="0"/>
              <w:bottom w:val="single" w:color="auto" w:sz="6" w:space="0"/>
              <w:right w:val="single" w:color="auto" w:sz="6" w:space="0"/>
            </w:tcBorders>
            <w:tcMar/>
            <w:vAlign w:val="center"/>
          </w:tcPr>
          <w:p w:rsidR="4CE42864" w:rsidP="074E0C6B" w:rsidRDefault="525BA364" w14:paraId="4160293E" w14:textId="4A51A6F1">
            <w:r w:rsidRPr="6B31F5B8">
              <w:rPr>
                <w:rFonts w:eastAsia="Arial" w:cs="Arial"/>
                <w:color w:val="000000" w:themeColor="text1"/>
                <w:sz w:val="20"/>
                <w:szCs w:val="20"/>
              </w:rPr>
              <w:t>Jun 26</w:t>
            </w:r>
          </w:p>
        </w:tc>
        <w:tc>
          <w:tcPr>
            <w:tcW w:w="1395" w:type="dxa"/>
            <w:tcBorders>
              <w:top w:val="single" w:color="auto" w:sz="6" w:space="0"/>
              <w:left w:val="single" w:color="auto" w:sz="6" w:space="0"/>
              <w:bottom w:val="single" w:color="auto" w:sz="6" w:space="0"/>
              <w:right w:val="single" w:color="auto" w:sz="6" w:space="0"/>
            </w:tcBorders>
            <w:tcMar/>
            <w:vAlign w:val="center"/>
          </w:tcPr>
          <w:p w:rsidR="4CE42864" w:rsidP="6B31F5B8" w:rsidRDefault="525BA364" w14:paraId="481654C7" w14:textId="62C25648">
            <w:pPr>
              <w:rPr>
                <w:rFonts w:eastAsia="Arial" w:cs="Arial"/>
                <w:color w:val="000000" w:themeColor="text1"/>
                <w:sz w:val="20"/>
                <w:szCs w:val="20"/>
              </w:rPr>
            </w:pPr>
            <w:r w:rsidRPr="6B31F5B8">
              <w:rPr>
                <w:rFonts w:eastAsia="Arial" w:cs="Arial"/>
                <w:color w:val="000000" w:themeColor="text1"/>
                <w:sz w:val="20"/>
                <w:szCs w:val="20"/>
              </w:rPr>
              <w:t>Dec 25</w:t>
            </w:r>
          </w:p>
        </w:tc>
        <w:tc>
          <w:tcPr>
            <w:tcW w:w="1395" w:type="dxa"/>
            <w:tcBorders>
              <w:top w:val="single" w:color="auto" w:sz="6" w:space="0"/>
              <w:left w:val="single" w:color="auto" w:sz="6" w:space="0"/>
              <w:bottom w:val="single" w:color="auto" w:sz="6" w:space="0"/>
              <w:right w:val="single" w:color="auto" w:sz="6" w:space="0"/>
            </w:tcBorders>
            <w:tcMar/>
            <w:vAlign w:val="center"/>
          </w:tcPr>
          <w:p w:rsidR="4CE42864" w:rsidP="6B31F5B8" w:rsidRDefault="525BA364" w14:paraId="070E3E2B" w14:textId="7412A430">
            <w:pPr>
              <w:rPr>
                <w:rFonts w:eastAsia="Arial" w:cs="Arial"/>
                <w:color w:val="000000" w:themeColor="text1"/>
                <w:sz w:val="20"/>
                <w:szCs w:val="20"/>
              </w:rPr>
            </w:pPr>
            <w:r w:rsidRPr="63018341" w:rsidR="525BA364">
              <w:rPr>
                <w:rFonts w:eastAsia="Arial" w:cs="Arial"/>
                <w:color w:val="000000" w:themeColor="text1" w:themeTint="FF" w:themeShade="FF"/>
                <w:sz w:val="20"/>
                <w:szCs w:val="20"/>
              </w:rPr>
              <w:t>Jun 24 (achieved)</w:t>
            </w:r>
          </w:p>
        </w:tc>
      </w:tr>
    </w:tbl>
    <w:p w:rsidR="77E9A727" w:rsidP="77E9A727" w:rsidRDefault="00EF403E" w14:paraId="66C7D58F" w14:textId="3A4DCAA0">
      <w:pPr>
        <w:jc w:val="both"/>
        <w:rPr>
          <w:rFonts w:cs="Arial"/>
          <w:sz w:val="22"/>
          <w:szCs w:val="22"/>
        </w:rPr>
      </w:pPr>
    </w:p>
    <w:p w:rsidRPr="00872520" w:rsidR="00872520" w:rsidP="00373BD8" w:rsidRDefault="00872520" w14:paraId="270B4034" w14:textId="1068294C">
      <w:pPr>
        <w:jc w:val="both"/>
        <w:rPr>
          <w:rFonts w:eastAsia="Arial" w:cs="Arial"/>
          <w:color w:val="000000" w:themeColor="text1"/>
          <w:sz w:val="22"/>
          <w:szCs w:val="22"/>
        </w:rPr>
      </w:pPr>
      <w:r w:rsidRPr="00872520">
        <w:rPr>
          <w:rFonts w:eastAsia="Arial" w:cs="Arial"/>
          <w:color w:val="000000" w:themeColor="text1"/>
          <w:sz w:val="22"/>
          <w:szCs w:val="22"/>
        </w:rPr>
        <w:t xml:space="preserve">Following significant progress during the FY24 and FY25 reporting periods, targets have now been established for the majority of Outcome Indicators in the updated logframe. The programme is performing well against </w:t>
      </w:r>
      <w:r w:rsidR="008513E3">
        <w:rPr>
          <w:rFonts w:eastAsia="Arial" w:cs="Arial"/>
          <w:color w:val="000000" w:themeColor="text1"/>
          <w:sz w:val="22"/>
          <w:szCs w:val="22"/>
        </w:rPr>
        <w:t>most</w:t>
      </w:r>
      <w:r w:rsidRPr="00872520">
        <w:rPr>
          <w:rFonts w:eastAsia="Arial" w:cs="Arial"/>
          <w:color w:val="000000" w:themeColor="text1"/>
          <w:sz w:val="22"/>
          <w:szCs w:val="22"/>
        </w:rPr>
        <w:t xml:space="preserve"> expectations, and it is anticipated to </w:t>
      </w:r>
      <w:r w:rsidR="00373BD8">
        <w:rPr>
          <w:rFonts w:eastAsia="Arial" w:cs="Arial"/>
          <w:color w:val="000000" w:themeColor="text1"/>
          <w:sz w:val="22"/>
          <w:szCs w:val="22"/>
        </w:rPr>
        <w:t xml:space="preserve">mostly </w:t>
      </w:r>
      <w:r w:rsidRPr="00872520">
        <w:rPr>
          <w:rFonts w:eastAsia="Arial" w:cs="Arial"/>
          <w:color w:val="000000" w:themeColor="text1"/>
          <w:sz w:val="22"/>
          <w:szCs w:val="22"/>
        </w:rPr>
        <w:t>achieve its intended outcomes over the course of its implementation</w:t>
      </w:r>
      <w:r w:rsidR="00667FB2">
        <w:rPr>
          <w:rFonts w:eastAsia="Arial" w:cs="Arial"/>
          <w:color w:val="000000" w:themeColor="text1"/>
          <w:sz w:val="22"/>
          <w:szCs w:val="22"/>
        </w:rPr>
        <w:t>, with some indicators falling moderately below trajectory</w:t>
      </w:r>
      <w:r w:rsidRPr="00872520">
        <w:rPr>
          <w:rFonts w:eastAsia="Arial" w:cs="Arial"/>
          <w:color w:val="000000" w:themeColor="text1"/>
          <w:sz w:val="22"/>
          <w:szCs w:val="22"/>
        </w:rPr>
        <w:t xml:space="preserve">. A detailed assessment of progress against individual </w:t>
      </w:r>
      <w:r w:rsidR="008428D9">
        <w:rPr>
          <w:rFonts w:eastAsia="Arial" w:cs="Arial"/>
          <w:color w:val="000000" w:themeColor="text1"/>
          <w:sz w:val="22"/>
          <w:szCs w:val="22"/>
        </w:rPr>
        <w:t>O</w:t>
      </w:r>
      <w:r w:rsidRPr="00872520">
        <w:rPr>
          <w:rFonts w:eastAsia="Arial" w:cs="Arial"/>
          <w:color w:val="000000" w:themeColor="text1"/>
          <w:sz w:val="22"/>
          <w:szCs w:val="22"/>
        </w:rPr>
        <w:t xml:space="preserve">utcome-level </w:t>
      </w:r>
      <w:r w:rsidR="008428D9">
        <w:rPr>
          <w:rFonts w:eastAsia="Arial" w:cs="Arial"/>
          <w:color w:val="000000" w:themeColor="text1"/>
          <w:sz w:val="22"/>
          <w:szCs w:val="22"/>
        </w:rPr>
        <w:t>I</w:t>
      </w:r>
      <w:r w:rsidRPr="00872520">
        <w:rPr>
          <w:rFonts w:eastAsia="Arial" w:cs="Arial"/>
          <w:color w:val="000000" w:themeColor="text1"/>
          <w:sz w:val="22"/>
          <w:szCs w:val="22"/>
        </w:rPr>
        <w:t>ndicators is provided below.</w:t>
      </w:r>
    </w:p>
    <w:p w:rsidR="00F436FB" w:rsidP="0A4B2F9A" w:rsidRDefault="00F436FB" w14:paraId="51B4664D" w14:textId="77777777">
      <w:pPr>
        <w:jc w:val="both"/>
        <w:rPr>
          <w:rFonts w:eastAsia="Arial" w:cs="Arial"/>
          <w:b/>
          <w:bCs/>
          <w:color w:val="000000" w:themeColor="text1"/>
          <w:sz w:val="22"/>
          <w:szCs w:val="22"/>
        </w:rPr>
      </w:pPr>
    </w:p>
    <w:p w:rsidR="4CE42864" w:rsidP="0A4B2F9A" w:rsidRDefault="4CE42864" w14:paraId="0F7AC3C3" w14:textId="5FBC1B8D">
      <w:pPr>
        <w:jc w:val="both"/>
        <w:rPr>
          <w:rFonts w:eastAsia="Arial" w:cs="Arial"/>
          <w:color w:val="000000" w:themeColor="text1"/>
          <w:sz w:val="22"/>
          <w:szCs w:val="22"/>
        </w:rPr>
      </w:pPr>
      <w:r w:rsidRPr="0A4B2F9A">
        <w:rPr>
          <w:rFonts w:eastAsia="Arial" w:cs="Arial"/>
          <w:b/>
          <w:bCs/>
          <w:color w:val="000000" w:themeColor="text1"/>
          <w:sz w:val="22"/>
          <w:szCs w:val="22"/>
        </w:rPr>
        <w:t>Outcome Indicator 1.1: Net change in greenhouse gas emissions (tCO</w:t>
      </w:r>
      <w:r w:rsidRPr="0A4B2F9A">
        <w:rPr>
          <w:rFonts w:eastAsia="Arial" w:cs="Arial"/>
          <w:b/>
          <w:bCs/>
          <w:color w:val="000000" w:themeColor="text1"/>
          <w:sz w:val="22"/>
          <w:szCs w:val="22"/>
          <w:vertAlign w:val="subscript"/>
        </w:rPr>
        <w:t>2</w:t>
      </w:r>
      <w:r w:rsidRPr="0A4B2F9A">
        <w:rPr>
          <w:rFonts w:eastAsia="Arial" w:cs="Arial"/>
          <w:b/>
          <w:bCs/>
          <w:color w:val="000000" w:themeColor="text1"/>
          <w:sz w:val="22"/>
          <w:szCs w:val="22"/>
        </w:rPr>
        <w:t>e) reduced or avoided as a result of ISFL</w:t>
      </w:r>
      <w:r w:rsidRPr="0A4B2F9A">
        <w:rPr>
          <w:rFonts w:eastAsia="Arial" w:cs="Arial"/>
          <w:color w:val="000000" w:themeColor="text1"/>
          <w:sz w:val="22"/>
          <w:szCs w:val="22"/>
        </w:rPr>
        <w:t> </w:t>
      </w:r>
    </w:p>
    <w:p w:rsidR="000C31CB" w:rsidP="0A4B2F9A" w:rsidRDefault="000C31CB" w14:paraId="2B2905BD" w14:textId="77777777">
      <w:pPr>
        <w:jc w:val="both"/>
        <w:rPr>
          <w:rFonts w:eastAsia="Arial" w:cs="Arial"/>
          <w:color w:val="000000" w:themeColor="text1"/>
          <w:sz w:val="22"/>
          <w:szCs w:val="22"/>
        </w:rPr>
      </w:pPr>
    </w:p>
    <w:p w:rsidRPr="00E507B6" w:rsidR="00E507B6" w:rsidP="00E507B6" w:rsidRDefault="00E81A95" w14:paraId="1DB649E0" w14:textId="66A53C6A">
      <w:pPr>
        <w:jc w:val="both"/>
        <w:rPr>
          <w:rFonts w:eastAsia="Arial" w:cs="Arial"/>
          <w:color w:val="000000" w:themeColor="text1"/>
          <w:sz w:val="22"/>
          <w:szCs w:val="22"/>
        </w:rPr>
      </w:pPr>
      <w:r w:rsidRPr="63018341" w:rsidR="00E81A95">
        <w:rPr>
          <w:rFonts w:eastAsia="Arial" w:cs="Arial"/>
          <w:color w:val="000000" w:themeColor="text1" w:themeTint="FF" w:themeShade="FF"/>
          <w:sz w:val="22"/>
          <w:szCs w:val="22"/>
        </w:rPr>
        <w:t xml:space="preserve">Under this outcome, a total of 15.08 million </w:t>
      </w:r>
      <w:r w:rsidRPr="63018341" w:rsidR="00E81A95">
        <w:rPr>
          <w:rFonts w:eastAsia="Arial" w:cs="Arial"/>
          <w:color w:val="000000" w:themeColor="text1" w:themeTint="FF" w:themeShade="FF"/>
          <w:sz w:val="22"/>
          <w:szCs w:val="22"/>
        </w:rPr>
        <w:t>tCO</w:t>
      </w:r>
      <w:r w:rsidRPr="63018341" w:rsidR="00E81A95">
        <w:rPr>
          <w:rFonts w:ascii="Cambria Math" w:hAnsi="Cambria Math" w:eastAsia="Arial" w:cs="Cambria Math"/>
          <w:color w:val="000000" w:themeColor="text1" w:themeTint="FF" w:themeShade="FF"/>
          <w:sz w:val="22"/>
          <w:szCs w:val="22"/>
        </w:rPr>
        <w:t>₂</w:t>
      </w:r>
      <w:r w:rsidRPr="63018341" w:rsidR="00E81A95">
        <w:rPr>
          <w:rFonts w:eastAsia="Arial" w:cs="Arial"/>
          <w:color w:val="000000" w:themeColor="text1" w:themeTint="FF" w:themeShade="FF"/>
          <w:sz w:val="22"/>
          <w:szCs w:val="22"/>
        </w:rPr>
        <w:t>e</w:t>
      </w:r>
      <w:r w:rsidRPr="63018341" w:rsidR="00E81A95">
        <w:rPr>
          <w:rFonts w:eastAsia="Arial" w:cs="Arial"/>
          <w:color w:val="000000" w:themeColor="text1" w:themeTint="FF" w:themeShade="FF"/>
          <w:sz w:val="22"/>
          <w:szCs w:val="22"/>
        </w:rPr>
        <w:t xml:space="preserve"> in reduced or avoided emissions has been reported to date. This </w:t>
      </w:r>
      <w:r w:rsidRPr="63018341" w:rsidR="00E81A95">
        <w:rPr>
          <w:rFonts w:eastAsia="Arial" w:cs="Arial"/>
          <w:color w:val="000000" w:themeColor="text1" w:themeTint="FF" w:themeShade="FF"/>
          <w:sz w:val="22"/>
          <w:szCs w:val="22"/>
        </w:rPr>
        <w:t>represents</w:t>
      </w:r>
      <w:r w:rsidRPr="63018341" w:rsidR="00E81A95">
        <w:rPr>
          <w:rFonts w:eastAsia="Arial" w:cs="Arial"/>
          <w:color w:val="000000" w:themeColor="text1" w:themeTint="FF" w:themeShade="FF"/>
          <w:sz w:val="22"/>
          <w:szCs w:val="22"/>
        </w:rPr>
        <w:t xml:space="preserve"> approximately 43% of the FY25 milestone of 34.67 million </w:t>
      </w:r>
      <w:r w:rsidRPr="63018341" w:rsidR="00E81A95">
        <w:rPr>
          <w:rFonts w:eastAsia="Arial" w:cs="Arial"/>
          <w:color w:val="000000" w:themeColor="text1" w:themeTint="FF" w:themeShade="FF"/>
          <w:sz w:val="22"/>
          <w:szCs w:val="22"/>
        </w:rPr>
        <w:t>tCO</w:t>
      </w:r>
      <w:r w:rsidRPr="63018341" w:rsidR="00E81A95">
        <w:rPr>
          <w:rFonts w:ascii="Cambria Math" w:hAnsi="Cambria Math" w:eastAsia="Arial" w:cs="Cambria Math"/>
          <w:color w:val="000000" w:themeColor="text1" w:themeTint="FF" w:themeShade="FF"/>
          <w:sz w:val="22"/>
          <w:szCs w:val="22"/>
        </w:rPr>
        <w:t>₂</w:t>
      </w:r>
      <w:r w:rsidRPr="63018341" w:rsidR="00E81A95">
        <w:rPr>
          <w:rFonts w:eastAsia="Arial" w:cs="Arial"/>
          <w:color w:val="000000" w:themeColor="text1" w:themeTint="FF" w:themeShade="FF"/>
          <w:sz w:val="22"/>
          <w:szCs w:val="22"/>
        </w:rPr>
        <w:t>e</w:t>
      </w:r>
      <w:r w:rsidRPr="63018341" w:rsidR="00E81A95">
        <w:rPr>
          <w:rFonts w:eastAsia="Arial" w:cs="Arial"/>
          <w:color w:val="000000" w:themeColor="text1" w:themeTint="FF" w:themeShade="FF"/>
          <w:sz w:val="22"/>
          <w:szCs w:val="22"/>
        </w:rPr>
        <w:t xml:space="preserve">, </w:t>
      </w:r>
      <w:r w:rsidRPr="63018341" w:rsidR="00E81A95">
        <w:rPr>
          <w:rFonts w:eastAsia="Arial" w:cs="Arial"/>
          <w:color w:val="000000" w:themeColor="text1" w:themeTint="FF" w:themeShade="FF"/>
          <w:sz w:val="22"/>
          <w:szCs w:val="22"/>
        </w:rPr>
        <w:t>indicating</w:t>
      </w:r>
      <w:r w:rsidRPr="63018341" w:rsidR="00E81A95">
        <w:rPr>
          <w:rFonts w:eastAsia="Arial" w:cs="Arial"/>
          <w:color w:val="000000" w:themeColor="text1" w:themeTint="FF" w:themeShade="FF"/>
          <w:sz w:val="22"/>
          <w:szCs w:val="22"/>
        </w:rPr>
        <w:t xml:space="preserve"> that progress is </w:t>
      </w:r>
      <w:r w:rsidRPr="63018341" w:rsidR="00E81A95">
        <w:rPr>
          <w:rFonts w:eastAsia="Arial" w:cs="Arial"/>
          <w:b w:val="1"/>
          <w:bCs w:val="1"/>
          <w:color w:val="000000" w:themeColor="text1" w:themeTint="FF" w:themeShade="FF"/>
          <w:sz w:val="22"/>
          <w:szCs w:val="22"/>
        </w:rPr>
        <w:t>moderately below target</w:t>
      </w:r>
      <w:r w:rsidRPr="63018341" w:rsidR="00E81A95">
        <w:rPr>
          <w:rFonts w:eastAsia="Arial" w:cs="Arial"/>
          <w:color w:val="000000" w:themeColor="text1" w:themeTint="FF" w:themeShade="FF"/>
          <w:sz w:val="22"/>
          <w:szCs w:val="22"/>
        </w:rPr>
        <w:t xml:space="preserve">. To achieve the FY26 milestone of 52.71 million </w:t>
      </w:r>
      <w:r w:rsidRPr="63018341" w:rsidR="00E81A95">
        <w:rPr>
          <w:rFonts w:eastAsia="Arial" w:cs="Arial"/>
          <w:color w:val="000000" w:themeColor="text1" w:themeTint="FF" w:themeShade="FF"/>
          <w:sz w:val="22"/>
          <w:szCs w:val="22"/>
        </w:rPr>
        <w:t>tCO</w:t>
      </w:r>
      <w:r w:rsidRPr="63018341" w:rsidR="00E81A95">
        <w:rPr>
          <w:rFonts w:ascii="Cambria Math" w:hAnsi="Cambria Math" w:eastAsia="Arial" w:cs="Cambria Math"/>
          <w:color w:val="000000" w:themeColor="text1" w:themeTint="FF" w:themeShade="FF"/>
          <w:sz w:val="22"/>
          <w:szCs w:val="22"/>
        </w:rPr>
        <w:t>₂</w:t>
      </w:r>
      <w:r w:rsidRPr="63018341" w:rsidR="00E81A95">
        <w:rPr>
          <w:rFonts w:eastAsia="Arial" w:cs="Arial"/>
          <w:color w:val="000000" w:themeColor="text1" w:themeTint="FF" w:themeShade="FF"/>
          <w:sz w:val="22"/>
          <w:szCs w:val="22"/>
        </w:rPr>
        <w:t>e</w:t>
      </w:r>
      <w:r w:rsidRPr="63018341" w:rsidR="00E81A95">
        <w:rPr>
          <w:rFonts w:eastAsia="Arial" w:cs="Arial"/>
          <w:color w:val="000000" w:themeColor="text1" w:themeTint="FF" w:themeShade="FF"/>
          <w:sz w:val="22"/>
          <w:szCs w:val="22"/>
        </w:rPr>
        <w:t>, the programm</w:t>
      </w:r>
      <w:r w:rsidRPr="63018341" w:rsidR="00E81A95">
        <w:rPr>
          <w:rFonts w:eastAsia="Arial" w:cs="Arial"/>
          <w:color w:val="000000" w:themeColor="text1" w:themeTint="FF" w:themeShade="FF"/>
          <w:sz w:val="22"/>
          <w:szCs w:val="22"/>
        </w:rPr>
        <w:t xml:space="preserve">e </w:t>
      </w:r>
      <w:r w:rsidRPr="63018341" w:rsidR="00E81A95">
        <w:rPr>
          <w:rFonts w:eastAsia="Arial" w:cs="Arial"/>
          <w:color w:val="000000" w:themeColor="text1" w:themeTint="FF" w:themeShade="FF"/>
          <w:sz w:val="22"/>
          <w:szCs w:val="22"/>
        </w:rPr>
        <w:t xml:space="preserve">will need to deliver an </w:t>
      </w:r>
      <w:r w:rsidRPr="63018341" w:rsidR="00E81A95">
        <w:rPr>
          <w:rFonts w:eastAsia="Arial" w:cs="Arial"/>
          <w:color w:val="000000" w:themeColor="text1" w:themeTint="FF" w:themeShade="FF"/>
          <w:sz w:val="22"/>
          <w:szCs w:val="22"/>
        </w:rPr>
        <w:t>additional</w:t>
      </w:r>
      <w:r w:rsidRPr="63018341" w:rsidR="00E81A95">
        <w:rPr>
          <w:rFonts w:eastAsia="Arial" w:cs="Arial"/>
          <w:color w:val="000000" w:themeColor="text1" w:themeTint="FF" w:themeShade="FF"/>
          <w:sz w:val="22"/>
          <w:szCs w:val="22"/>
        </w:rPr>
        <w:t xml:space="preserve"> 37.63 million </w:t>
      </w:r>
      <w:r w:rsidRPr="63018341" w:rsidR="00E81A95">
        <w:rPr>
          <w:rFonts w:eastAsia="Arial" w:cs="Arial"/>
          <w:color w:val="000000" w:themeColor="text1" w:themeTint="FF" w:themeShade="FF"/>
          <w:sz w:val="22"/>
          <w:szCs w:val="22"/>
        </w:rPr>
        <w:t>tCO</w:t>
      </w:r>
      <w:r w:rsidRPr="63018341" w:rsidR="00E81A95">
        <w:rPr>
          <w:rFonts w:ascii="Cambria Math" w:hAnsi="Cambria Math" w:eastAsia="Arial" w:cs="Cambria Math"/>
          <w:color w:val="000000" w:themeColor="text1" w:themeTint="FF" w:themeShade="FF"/>
          <w:sz w:val="22"/>
          <w:szCs w:val="22"/>
        </w:rPr>
        <w:t>₂</w:t>
      </w:r>
      <w:r w:rsidRPr="63018341" w:rsidR="00E81A95">
        <w:rPr>
          <w:rFonts w:eastAsia="Arial" w:cs="Arial"/>
          <w:color w:val="000000" w:themeColor="text1" w:themeTint="FF" w:themeShade="FF"/>
          <w:sz w:val="22"/>
          <w:szCs w:val="22"/>
        </w:rPr>
        <w:t>e</w:t>
      </w:r>
      <w:r w:rsidRPr="63018341" w:rsidR="00E81A95">
        <w:rPr>
          <w:rFonts w:eastAsia="Arial" w:cs="Arial"/>
          <w:color w:val="000000" w:themeColor="text1" w:themeTint="FF" w:themeShade="FF"/>
          <w:sz w:val="22"/>
          <w:szCs w:val="22"/>
        </w:rPr>
        <w:t xml:space="preserve"> in emissions reductions during the </w:t>
      </w:r>
      <w:r w:rsidRPr="63018341" w:rsidR="00476D5B">
        <w:rPr>
          <w:rFonts w:eastAsia="Arial" w:cs="Arial"/>
          <w:color w:val="000000" w:themeColor="text1" w:themeTint="FF" w:themeShade="FF"/>
          <w:sz w:val="22"/>
          <w:szCs w:val="22"/>
        </w:rPr>
        <w:t>next</w:t>
      </w:r>
      <w:r w:rsidRPr="63018341" w:rsidR="00E81A95">
        <w:rPr>
          <w:rFonts w:eastAsia="Arial" w:cs="Arial"/>
          <w:color w:val="000000" w:themeColor="text1" w:themeTint="FF" w:themeShade="FF"/>
          <w:sz w:val="22"/>
          <w:szCs w:val="22"/>
        </w:rPr>
        <w:t xml:space="preserve"> reporting period.</w:t>
      </w:r>
      <w:r w:rsidRPr="63018341" w:rsidR="00C02189">
        <w:rPr>
          <w:rFonts w:eastAsia="Arial" w:cs="Arial"/>
          <w:color w:val="000000" w:themeColor="text1" w:themeTint="FF" w:themeShade="FF"/>
          <w:sz w:val="22"/>
          <w:szCs w:val="22"/>
        </w:rPr>
        <w:t xml:space="preserve"> </w:t>
      </w:r>
      <w:r w:rsidRPr="63018341" w:rsidR="00E507B6">
        <w:rPr>
          <w:rFonts w:eastAsia="Arial" w:cs="Arial"/>
          <w:color w:val="000000" w:themeColor="text1" w:themeTint="FF" w:themeShade="FF"/>
          <w:sz w:val="22"/>
          <w:szCs w:val="22"/>
        </w:rPr>
        <w:t xml:space="preserve">Importantly, this shortfall does not reflect a lack of </w:t>
      </w:r>
      <w:r w:rsidRPr="63018341" w:rsidR="00B352A6">
        <w:rPr>
          <w:rFonts w:eastAsia="Arial" w:cs="Arial"/>
          <w:color w:val="000000" w:themeColor="text1" w:themeTint="FF" w:themeShade="FF"/>
          <w:sz w:val="22"/>
          <w:szCs w:val="22"/>
        </w:rPr>
        <w:t>ERs</w:t>
      </w:r>
      <w:r w:rsidRPr="63018341" w:rsidR="00E507B6">
        <w:rPr>
          <w:rFonts w:eastAsia="Arial" w:cs="Arial"/>
          <w:color w:val="000000" w:themeColor="text1" w:themeTint="FF" w:themeShade="FF"/>
          <w:sz w:val="22"/>
          <w:szCs w:val="22"/>
        </w:rPr>
        <w:t xml:space="preserve"> being generated on the ground. Rather, it</w:t>
      </w:r>
      <w:r w:rsidRPr="63018341" w:rsidR="00E507B6">
        <w:rPr>
          <w:rFonts w:eastAsia="Arial" w:cs="Arial"/>
          <w:color w:val="000000" w:themeColor="text1" w:themeTint="FF" w:themeShade="FF"/>
          <w:sz w:val="22"/>
          <w:szCs w:val="22"/>
        </w:rPr>
        <w:t xml:space="preserve"> stems from delays in the reporting and third-party verification processes </w:t>
      </w:r>
      <w:r w:rsidRPr="63018341" w:rsidR="00E507B6">
        <w:rPr>
          <w:rFonts w:eastAsia="Arial" w:cs="Arial"/>
          <w:color w:val="000000" w:themeColor="text1" w:themeTint="FF" w:themeShade="FF"/>
          <w:sz w:val="22"/>
          <w:szCs w:val="22"/>
        </w:rPr>
        <w:t>required</w:t>
      </w:r>
      <w:r w:rsidRPr="63018341" w:rsidR="00E507B6">
        <w:rPr>
          <w:rFonts w:eastAsia="Arial" w:cs="Arial"/>
          <w:color w:val="000000" w:themeColor="text1" w:themeTint="FF" w:themeShade="FF"/>
          <w:sz w:val="22"/>
          <w:szCs w:val="22"/>
        </w:rPr>
        <w:t xml:space="preserve"> to formally account for these reductions. </w:t>
      </w:r>
      <w:r w:rsidRPr="63018341" w:rsidR="00837B2B">
        <w:rPr>
          <w:rFonts w:eastAsia="Arial" w:cs="Arial"/>
          <w:color w:val="000000" w:themeColor="text1" w:themeTint="FF" w:themeShade="FF"/>
          <w:sz w:val="22"/>
          <w:szCs w:val="22"/>
        </w:rPr>
        <w:t>Furthermore, t</w:t>
      </w:r>
      <w:r w:rsidRPr="63018341" w:rsidR="00E507B6">
        <w:rPr>
          <w:rFonts w:eastAsia="Arial" w:cs="Arial"/>
          <w:color w:val="000000" w:themeColor="text1" w:themeTint="FF" w:themeShade="FF"/>
          <w:sz w:val="22"/>
          <w:szCs w:val="22"/>
        </w:rPr>
        <w:t>hese delays are</w:t>
      </w:r>
      <w:r w:rsidRPr="63018341" w:rsidR="007F2F96">
        <w:rPr>
          <w:rFonts w:eastAsia="Arial" w:cs="Arial"/>
          <w:color w:val="000000" w:themeColor="text1" w:themeTint="FF" w:themeShade="FF"/>
          <w:sz w:val="22"/>
          <w:szCs w:val="22"/>
        </w:rPr>
        <w:t xml:space="preserve"> a knock-on effect from delays in </w:t>
      </w:r>
      <w:r w:rsidRPr="63018341" w:rsidR="00067FB8">
        <w:rPr>
          <w:rFonts w:eastAsia="Arial" w:cs="Arial"/>
          <w:color w:val="000000" w:themeColor="text1" w:themeTint="FF" w:themeShade="FF"/>
          <w:sz w:val="22"/>
          <w:szCs w:val="22"/>
        </w:rPr>
        <w:t xml:space="preserve">ERPA signatures, </w:t>
      </w:r>
      <w:r w:rsidRPr="63018341" w:rsidR="00E507B6">
        <w:rPr>
          <w:rFonts w:eastAsia="Arial" w:cs="Arial"/>
          <w:color w:val="000000" w:themeColor="text1" w:themeTint="FF" w:themeShade="FF"/>
          <w:sz w:val="22"/>
          <w:szCs w:val="22"/>
        </w:rPr>
        <w:t xml:space="preserve">which are a prerequisite for </w:t>
      </w:r>
      <w:r w:rsidRPr="63018341" w:rsidR="00E507B6">
        <w:rPr>
          <w:rFonts w:eastAsia="Arial" w:cs="Arial"/>
          <w:color w:val="000000" w:themeColor="text1" w:themeTint="FF" w:themeShade="FF"/>
          <w:sz w:val="22"/>
          <w:szCs w:val="22"/>
        </w:rPr>
        <w:t>initiating</w:t>
      </w:r>
      <w:r w:rsidRPr="63018341" w:rsidR="00E507B6">
        <w:rPr>
          <w:rFonts w:eastAsia="Arial" w:cs="Arial"/>
          <w:color w:val="000000" w:themeColor="text1" w:themeTint="FF" w:themeShade="FF"/>
          <w:sz w:val="22"/>
          <w:szCs w:val="22"/>
        </w:rPr>
        <w:t xml:space="preserve"> </w:t>
      </w:r>
      <w:r w:rsidRPr="63018341" w:rsidR="00067FB8">
        <w:rPr>
          <w:rFonts w:eastAsia="Arial" w:cs="Arial"/>
          <w:color w:val="000000" w:themeColor="text1" w:themeTint="FF" w:themeShade="FF"/>
          <w:sz w:val="22"/>
          <w:szCs w:val="22"/>
        </w:rPr>
        <w:t>emission reduction payments</w:t>
      </w:r>
      <w:r w:rsidRPr="63018341" w:rsidR="00E507B6">
        <w:rPr>
          <w:rFonts w:eastAsia="Arial" w:cs="Arial"/>
          <w:color w:val="000000" w:themeColor="text1" w:themeTint="FF" w:themeShade="FF"/>
          <w:sz w:val="22"/>
          <w:szCs w:val="22"/>
        </w:rPr>
        <w:t xml:space="preserve">. As countries move closer to finalising ERPAs, it is expected that </w:t>
      </w:r>
      <w:r w:rsidRPr="63018341" w:rsidR="00113267">
        <w:rPr>
          <w:rFonts w:eastAsia="Arial" w:cs="Arial"/>
          <w:color w:val="000000" w:themeColor="text1" w:themeTint="FF" w:themeShade="FF"/>
          <w:sz w:val="22"/>
          <w:szCs w:val="22"/>
        </w:rPr>
        <w:t>progress</w:t>
      </w:r>
      <w:r w:rsidRPr="63018341" w:rsidR="00E507B6">
        <w:rPr>
          <w:rFonts w:eastAsia="Arial" w:cs="Arial"/>
          <w:color w:val="000000" w:themeColor="text1" w:themeTint="FF" w:themeShade="FF"/>
          <w:sz w:val="22"/>
          <w:szCs w:val="22"/>
        </w:rPr>
        <w:t xml:space="preserve"> will accelerate, </w:t>
      </w:r>
      <w:r w:rsidRPr="63018341" w:rsidR="00113267">
        <w:rPr>
          <w:rFonts w:eastAsia="Arial" w:cs="Arial"/>
          <w:color w:val="000000" w:themeColor="text1" w:themeTint="FF" w:themeShade="FF"/>
          <w:sz w:val="22"/>
          <w:szCs w:val="22"/>
        </w:rPr>
        <w:t>with milestones being met.</w:t>
      </w:r>
    </w:p>
    <w:p w:rsidR="0A4B2F9A" w:rsidP="0A4B2F9A" w:rsidRDefault="0A4B2F9A" w14:paraId="1711F6BD" w14:textId="1F8B34A7">
      <w:pPr>
        <w:jc w:val="both"/>
        <w:rPr>
          <w:rFonts w:eastAsia="Arial" w:cs="Arial"/>
          <w:color w:val="000000" w:themeColor="text1"/>
          <w:sz w:val="22"/>
          <w:szCs w:val="22"/>
        </w:rPr>
      </w:pPr>
    </w:p>
    <w:p w:rsidR="00113267" w:rsidP="0A4B2F9A" w:rsidRDefault="00113267" w14:paraId="28C89C7D" w14:textId="77777777">
      <w:pPr>
        <w:jc w:val="both"/>
        <w:rPr>
          <w:rFonts w:cs="Arial"/>
          <w:sz w:val="22"/>
          <w:szCs w:val="22"/>
        </w:rPr>
      </w:pPr>
    </w:p>
    <w:p w:rsidR="4CE42864" w:rsidP="0A4B2F9A" w:rsidRDefault="4CE42864" w14:paraId="5180260A" w14:textId="42584123">
      <w:pPr>
        <w:jc w:val="both"/>
        <w:rPr>
          <w:rFonts w:eastAsia="Arial" w:cs="Arial"/>
          <w:b/>
          <w:bCs/>
          <w:color w:val="000000" w:themeColor="text1"/>
          <w:sz w:val="22"/>
          <w:szCs w:val="22"/>
        </w:rPr>
      </w:pPr>
      <w:r w:rsidRPr="0A4B2F9A">
        <w:rPr>
          <w:rFonts w:eastAsia="Arial" w:cs="Arial"/>
          <w:b/>
          <w:bCs/>
          <w:color w:val="000000" w:themeColor="text1"/>
          <w:sz w:val="22"/>
          <w:szCs w:val="22"/>
        </w:rPr>
        <w:t xml:space="preserve">Outcome Indicator 1.2: </w:t>
      </w:r>
      <w:r w:rsidRPr="00F809E9" w:rsidR="00F809E9">
        <w:rPr>
          <w:rFonts w:eastAsia="Arial" w:cs="Arial"/>
          <w:b/>
          <w:bCs/>
          <w:color w:val="000000" w:themeColor="text1"/>
          <w:sz w:val="22"/>
          <w:szCs w:val="22"/>
        </w:rPr>
        <w:t>a) Decrease in area (ha) of conversions from forest to other land uses in ISFL programme areas and b) area (ha) of land use converted to forest in ISFL programme areas</w:t>
      </w:r>
    </w:p>
    <w:p w:rsidR="006C66CE" w:rsidP="006C66CE" w:rsidRDefault="006C66CE" w14:paraId="39E94BE5" w14:textId="77777777">
      <w:pPr>
        <w:rPr>
          <w:rFonts w:eastAsia="Arial" w:cs="Arial"/>
          <w:color w:val="000000" w:themeColor="text1"/>
          <w:sz w:val="22"/>
          <w:szCs w:val="22"/>
        </w:rPr>
      </w:pPr>
    </w:p>
    <w:p w:rsidRPr="006C66CE" w:rsidR="006C66CE" w:rsidP="006C66CE" w:rsidRDefault="006C66CE" w14:paraId="12E45835" w14:textId="21EC6D22">
      <w:pPr>
        <w:jc w:val="both"/>
        <w:rPr>
          <w:rFonts w:eastAsia="Arial" w:cs="Arial"/>
          <w:color w:val="000000" w:themeColor="text1"/>
          <w:sz w:val="22"/>
          <w:szCs w:val="22"/>
        </w:rPr>
      </w:pPr>
      <w:r w:rsidRPr="63018341" w:rsidR="006C66CE">
        <w:rPr>
          <w:rFonts w:eastAsia="Arial" w:cs="Arial"/>
          <w:color w:val="000000" w:themeColor="text1" w:themeTint="FF" w:themeShade="FF"/>
          <w:sz w:val="22"/>
          <w:szCs w:val="22"/>
        </w:rPr>
        <w:t xml:space="preserve">During this reporting period, Outcome Indicator 1.2 was revised. Its definition changed from “Area (ha) of avoided deforestation compared to a reference level in ISFL programme areas” to a dual metric: a) the decrease in area (ha) of conversions from forest to other land uses, and b) the area (ha) of land converted to forest within ISFL programme areas. </w:t>
      </w:r>
      <w:r w:rsidRPr="63018341" w:rsidR="00800C99">
        <w:rPr>
          <w:rFonts w:eastAsia="Arial" w:cs="Arial"/>
          <w:color w:val="000000" w:themeColor="text1" w:themeTint="FF" w:themeShade="FF"/>
          <w:sz w:val="22"/>
          <w:szCs w:val="22"/>
        </w:rPr>
        <w:t xml:space="preserve">In the FY25 reporting period, Ethiopia and Zambia (the only countries currently reporting on this) reported 16,012 hectares converted from forest to other land uses, and 29,056 hectares converted from other land uses to forests in ISFL programme areas. </w:t>
      </w:r>
      <w:r w:rsidRPr="63018341" w:rsidR="006C66CE">
        <w:rPr>
          <w:rFonts w:eastAsia="Arial" w:cs="Arial"/>
          <w:color w:val="000000" w:themeColor="text1" w:themeTint="FF" w:themeShade="FF"/>
          <w:sz w:val="22"/>
          <w:szCs w:val="22"/>
        </w:rPr>
        <w:t xml:space="preserve">As a result of this revision, milestones for FY25 and </w:t>
      </w:r>
      <w:r w:rsidRPr="63018341" w:rsidR="006C66CE">
        <w:rPr>
          <w:rFonts w:eastAsia="Arial" w:cs="Arial"/>
          <w:color w:val="000000" w:themeColor="text1" w:themeTint="FF" w:themeShade="FF"/>
          <w:sz w:val="22"/>
          <w:szCs w:val="22"/>
        </w:rPr>
        <w:t>subsequent</w:t>
      </w:r>
      <w:r w:rsidRPr="63018341" w:rsidR="006C66CE">
        <w:rPr>
          <w:rFonts w:eastAsia="Arial" w:cs="Arial"/>
          <w:color w:val="000000" w:themeColor="text1" w:themeTint="FF" w:themeShade="FF"/>
          <w:sz w:val="22"/>
          <w:szCs w:val="22"/>
        </w:rPr>
        <w:t xml:space="preserve"> reporting periods have not yet been </w:t>
      </w:r>
      <w:r w:rsidRPr="63018341" w:rsidR="006C66CE">
        <w:rPr>
          <w:rFonts w:eastAsia="Arial" w:cs="Arial"/>
          <w:color w:val="000000" w:themeColor="text1" w:themeTint="FF" w:themeShade="FF"/>
          <w:sz w:val="22"/>
          <w:szCs w:val="22"/>
        </w:rPr>
        <w:t>established</w:t>
      </w:r>
      <w:r w:rsidRPr="63018341" w:rsidR="006C66CE">
        <w:rPr>
          <w:rFonts w:eastAsia="Arial" w:cs="Arial"/>
          <w:color w:val="000000" w:themeColor="text1" w:themeTint="FF" w:themeShade="FF"/>
          <w:sz w:val="22"/>
          <w:szCs w:val="22"/>
        </w:rPr>
        <w:t xml:space="preserve">. </w:t>
      </w:r>
      <w:r w:rsidRPr="63018341" w:rsidR="006C66CE">
        <w:rPr>
          <w:rFonts w:eastAsia="Arial" w:cs="Arial"/>
          <w:b w:val="1"/>
          <w:bCs w:val="1"/>
          <w:color w:val="000000" w:themeColor="text1" w:themeTint="FF" w:themeShade="FF"/>
          <w:sz w:val="22"/>
          <w:szCs w:val="22"/>
        </w:rPr>
        <w:t>Recommendation [1a</w:t>
      </w:r>
      <w:r w:rsidRPr="63018341" w:rsidR="001829ED">
        <w:rPr>
          <w:rFonts w:eastAsia="Arial" w:cs="Arial"/>
          <w:b w:val="1"/>
          <w:bCs w:val="1"/>
          <w:color w:val="000000" w:themeColor="text1" w:themeTint="FF" w:themeShade="FF"/>
          <w:sz w:val="22"/>
          <w:szCs w:val="22"/>
        </w:rPr>
        <w:t>]</w:t>
      </w:r>
      <w:r w:rsidRPr="63018341" w:rsidR="006C66CE">
        <w:rPr>
          <w:rFonts w:eastAsia="Arial" w:cs="Arial"/>
          <w:color w:val="000000" w:themeColor="text1" w:themeTint="FF" w:themeShade="FF"/>
          <w:sz w:val="22"/>
          <w:szCs w:val="22"/>
        </w:rPr>
        <w:t xml:space="preserve"> </w:t>
      </w:r>
      <w:r w:rsidRPr="63018341" w:rsidR="000376F4">
        <w:rPr>
          <w:rFonts w:eastAsia="Arial" w:cs="Arial"/>
          <w:color w:val="000000" w:themeColor="text1" w:themeTint="FF" w:themeShade="FF"/>
          <w:sz w:val="22"/>
          <w:szCs w:val="22"/>
        </w:rPr>
        <w:t xml:space="preserve">in this Annual Review </w:t>
      </w:r>
      <w:r w:rsidRPr="63018341" w:rsidR="006C66CE">
        <w:rPr>
          <w:rFonts w:eastAsia="Arial" w:cs="Arial"/>
          <w:color w:val="000000" w:themeColor="text1" w:themeTint="FF" w:themeShade="FF"/>
          <w:sz w:val="22"/>
          <w:szCs w:val="22"/>
        </w:rPr>
        <w:t>sets out the intention to define an approach for calculating interim milestones for Outcome Indicator 1.2 going forward.</w:t>
      </w:r>
    </w:p>
    <w:p w:rsidR="0A4B2F9A" w:rsidP="0A4B2F9A" w:rsidRDefault="0A4B2F9A" w14:paraId="23935BBD" w14:textId="7E7E5A70">
      <w:pPr>
        <w:jc w:val="both"/>
        <w:rPr>
          <w:rFonts w:eastAsia="Arial" w:cs="Arial"/>
          <w:color w:val="000000" w:themeColor="text1"/>
          <w:sz w:val="22"/>
          <w:szCs w:val="22"/>
        </w:rPr>
      </w:pPr>
    </w:p>
    <w:p w:rsidR="00771856" w:rsidP="0A4B2F9A" w:rsidRDefault="00771856" w14:paraId="7D529F00" w14:textId="77777777">
      <w:pPr>
        <w:jc w:val="both"/>
        <w:rPr>
          <w:rFonts w:cs="Arial"/>
          <w:sz w:val="22"/>
          <w:szCs w:val="22"/>
        </w:rPr>
      </w:pPr>
    </w:p>
    <w:p w:rsidR="4CE42864" w:rsidP="0A4B2F9A" w:rsidRDefault="4CE42864" w14:paraId="544B922C" w14:textId="001B1FCE">
      <w:pPr>
        <w:jc w:val="both"/>
        <w:rPr>
          <w:rFonts w:eastAsia="Arial" w:cs="Arial"/>
          <w:b w:val="1"/>
          <w:bCs w:val="1"/>
          <w:color w:val="000000" w:themeColor="text1"/>
          <w:sz w:val="22"/>
          <w:szCs w:val="22"/>
        </w:rPr>
      </w:pPr>
      <w:r w:rsidRPr="63018341" w:rsidR="4CE42864">
        <w:rPr>
          <w:rFonts w:eastAsia="Arial" w:cs="Arial"/>
          <w:b w:val="1"/>
          <w:bCs w:val="1"/>
          <w:color w:val="000000" w:themeColor="text1" w:themeTint="FF" w:themeShade="FF"/>
          <w:sz w:val="22"/>
          <w:szCs w:val="22"/>
        </w:rPr>
        <w:t xml:space="preserve">Outcome Indicator 1.3: </w:t>
      </w:r>
      <w:r w:rsidRPr="63018341" w:rsidR="00525B83">
        <w:rPr>
          <w:rFonts w:eastAsia="Arial" w:cs="Arial"/>
          <w:b w:val="1"/>
          <w:bCs w:val="1"/>
          <w:color w:val="000000" w:themeColor="text1" w:themeTint="FF" w:themeShade="FF"/>
          <w:sz w:val="22"/>
          <w:szCs w:val="22"/>
        </w:rPr>
        <w:t xml:space="preserve">Volume of finance mobilised for climate change purposes </w:t>
      </w:r>
      <w:r w:rsidRPr="63018341" w:rsidR="00525B83">
        <w:rPr>
          <w:rFonts w:eastAsia="Arial" w:cs="Arial"/>
          <w:b w:val="1"/>
          <w:bCs w:val="1"/>
          <w:color w:val="000000" w:themeColor="text1" w:themeTint="FF" w:themeShade="FF"/>
          <w:sz w:val="22"/>
          <w:szCs w:val="22"/>
        </w:rPr>
        <w:t>as a result of</w:t>
      </w:r>
      <w:r w:rsidRPr="63018341" w:rsidR="00525B83">
        <w:rPr>
          <w:rFonts w:eastAsia="Arial" w:cs="Arial"/>
          <w:b w:val="1"/>
          <w:bCs w:val="1"/>
          <w:color w:val="000000" w:themeColor="text1" w:themeTint="FF" w:themeShade="FF"/>
          <w:sz w:val="22"/>
          <w:szCs w:val="22"/>
        </w:rPr>
        <w:t xml:space="preserve"> ISFL (disaggregated for non-ODA public finance and private financ</w:t>
      </w:r>
      <w:r w:rsidRPr="63018341" w:rsidR="00525B83">
        <w:rPr>
          <w:rFonts w:eastAsia="Arial" w:cs="Arial"/>
          <w:b w:val="1"/>
          <w:bCs w:val="1"/>
          <w:color w:val="000000" w:themeColor="text1" w:themeTint="FF" w:themeShade="FF"/>
          <w:sz w:val="22"/>
          <w:szCs w:val="22"/>
        </w:rPr>
        <w:t>e</w:t>
      </w:r>
      <w:r w:rsidRPr="63018341" w:rsidR="006C27B8">
        <w:rPr>
          <w:rFonts w:eastAsia="Arial" w:cs="Arial"/>
          <w:b w:val="1"/>
          <w:bCs w:val="1"/>
          <w:color w:val="000000" w:themeColor="text1" w:themeTint="FF" w:themeShade="FF"/>
          <w:sz w:val="22"/>
          <w:szCs w:val="22"/>
        </w:rPr>
        <w:t>)</w:t>
      </w:r>
      <w:r w:rsidRPr="63018341" w:rsidR="00525B83">
        <w:rPr>
          <w:rFonts w:eastAsia="Arial" w:cs="Arial"/>
          <w:b w:val="1"/>
          <w:bCs w:val="1"/>
          <w:color w:val="000000" w:themeColor="text1" w:themeTint="FF" w:themeShade="FF"/>
          <w:sz w:val="22"/>
          <w:szCs w:val="22"/>
        </w:rPr>
        <w:t>.</w:t>
      </w:r>
    </w:p>
    <w:p w:rsidR="00E81CE5" w:rsidP="0A4B2F9A" w:rsidRDefault="00E81CE5" w14:paraId="217E4711" w14:textId="77777777">
      <w:pPr>
        <w:jc w:val="both"/>
        <w:rPr>
          <w:rFonts w:eastAsia="Arial" w:cs="Arial"/>
          <w:sz w:val="22"/>
          <w:szCs w:val="22"/>
        </w:rPr>
      </w:pPr>
    </w:p>
    <w:p w:rsidR="00454B24" w:rsidP="0A4B2F9A" w:rsidRDefault="009D6019" w14:paraId="5C6BC26C" w14:textId="1C7153FE">
      <w:pPr>
        <w:jc w:val="both"/>
        <w:rPr>
          <w:rFonts w:cs="Arial"/>
          <w:sz w:val="22"/>
          <w:szCs w:val="22"/>
        </w:rPr>
      </w:pPr>
      <w:r w:rsidRPr="334BBF58" w:rsidR="009D6019">
        <w:rPr>
          <w:rFonts w:cs="Arial"/>
          <w:sz w:val="22"/>
          <w:szCs w:val="22"/>
        </w:rPr>
        <w:t xml:space="preserve">In the FY25 reporting period, $9.5 million in for-profit private sector finance was mobilised in support of ISFL objectives, </w:t>
      </w:r>
      <w:r w:rsidRPr="334BBF58" w:rsidR="009D6019">
        <w:rPr>
          <w:rFonts w:cs="Arial"/>
          <w:b w:val="1"/>
          <w:bCs w:val="1"/>
          <w:sz w:val="22"/>
          <w:szCs w:val="22"/>
        </w:rPr>
        <w:t>falling slightly short</w:t>
      </w:r>
      <w:r w:rsidRPr="334BBF58" w:rsidR="009D6019">
        <w:rPr>
          <w:rFonts w:cs="Arial"/>
          <w:sz w:val="22"/>
          <w:szCs w:val="22"/>
        </w:rPr>
        <w:t xml:space="preserve"> of the FY25 milestone of $10.75 million. </w:t>
      </w:r>
      <w:r w:rsidRPr="334BBF58" w:rsidR="2FB0EAFA">
        <w:rPr>
          <w:rFonts w:cs="Arial"/>
          <w:sz w:val="22"/>
          <w:szCs w:val="22"/>
        </w:rPr>
        <w:t>For-profit private finance varied by country, with Colombia mobilising $6.5m, and Ethiopia mobilising $3m.</w:t>
      </w:r>
      <w:r w:rsidRPr="334BBF58" w:rsidR="008B4D11">
        <w:rPr>
          <w:rFonts w:cs="Arial"/>
          <w:sz w:val="22"/>
          <w:szCs w:val="22"/>
        </w:rPr>
        <w:t xml:space="preserve"> This </w:t>
      </w:r>
      <w:r w:rsidRPr="334BBF58" w:rsidR="007D69EE">
        <w:rPr>
          <w:rFonts w:cs="Arial"/>
          <w:sz w:val="22"/>
          <w:szCs w:val="22"/>
        </w:rPr>
        <w:t xml:space="preserve">figure </w:t>
      </w:r>
      <w:r w:rsidRPr="334BBF58" w:rsidR="007D69EE">
        <w:rPr>
          <w:rFonts w:cs="Arial"/>
          <w:sz w:val="22"/>
          <w:szCs w:val="22"/>
        </w:rPr>
        <w:t>remains</w:t>
      </w:r>
      <w:r w:rsidRPr="334BBF58" w:rsidR="007D69EE">
        <w:rPr>
          <w:rFonts w:cs="Arial"/>
          <w:sz w:val="22"/>
          <w:szCs w:val="22"/>
        </w:rPr>
        <w:t xml:space="preserve"> unchanged from FY24, which also </w:t>
      </w:r>
      <w:r w:rsidRPr="334BBF58" w:rsidR="007D69EE">
        <w:rPr>
          <w:rFonts w:cs="Arial"/>
          <w:sz w:val="22"/>
          <w:szCs w:val="22"/>
        </w:rPr>
        <w:t>reported $9.5m</w:t>
      </w:r>
      <w:r w:rsidRPr="334BBF58" w:rsidR="007D69EE">
        <w:rPr>
          <w:rFonts w:cs="Arial"/>
          <w:sz w:val="22"/>
          <w:szCs w:val="22"/>
        </w:rPr>
        <w:t>.</w:t>
      </w:r>
      <w:r w:rsidRPr="334BBF58" w:rsidR="2FB0EAFA">
        <w:rPr>
          <w:rFonts w:cs="Arial"/>
          <w:sz w:val="22"/>
          <w:szCs w:val="22"/>
        </w:rPr>
        <w:t xml:space="preserve"> </w:t>
      </w:r>
      <w:r w:rsidRPr="334BBF58" w:rsidR="009D6019">
        <w:rPr>
          <w:rFonts w:cs="Arial"/>
          <w:sz w:val="22"/>
          <w:szCs w:val="22"/>
        </w:rPr>
        <w:t xml:space="preserve">In contrast, $212.55 million in not-for-profit finance (from public and private sources) was mobilised, </w:t>
      </w:r>
      <w:r w:rsidRPr="334BBF58" w:rsidR="009D6019">
        <w:rPr>
          <w:rFonts w:cs="Arial"/>
          <w:b w:val="1"/>
          <w:bCs w:val="1"/>
          <w:sz w:val="22"/>
          <w:szCs w:val="22"/>
        </w:rPr>
        <w:t>significantly surpassing</w:t>
      </w:r>
      <w:r w:rsidRPr="334BBF58" w:rsidR="009D6019">
        <w:rPr>
          <w:rFonts w:cs="Arial"/>
          <w:sz w:val="22"/>
          <w:szCs w:val="22"/>
        </w:rPr>
        <w:t xml:space="preserve"> </w:t>
      </w:r>
      <w:r w:rsidRPr="334BBF58" w:rsidR="009D6019">
        <w:rPr>
          <w:rFonts w:cs="Arial"/>
          <w:sz w:val="22"/>
          <w:szCs w:val="22"/>
        </w:rPr>
        <w:t>both the FY25 milestone o</w:t>
      </w:r>
      <w:r w:rsidRPr="334BBF58" w:rsidR="009D6019">
        <w:rPr>
          <w:rFonts w:cs="Arial"/>
          <w:sz w:val="22"/>
          <w:szCs w:val="22"/>
        </w:rPr>
        <w:t xml:space="preserve">f $14.5 million </w:t>
      </w:r>
      <w:r w:rsidRPr="334BBF58" w:rsidR="009D6019">
        <w:rPr>
          <w:rFonts w:cs="Arial"/>
          <w:sz w:val="22"/>
          <w:szCs w:val="22"/>
        </w:rPr>
        <w:t>and the FY31 target of $40 million.</w:t>
      </w:r>
      <w:r w:rsidRPr="334BBF58" w:rsidR="12F03AF5">
        <w:rPr>
          <w:rFonts w:cs="Arial"/>
          <w:sz w:val="22"/>
          <w:szCs w:val="22"/>
        </w:rPr>
        <w:t xml:space="preserve"> </w:t>
      </w:r>
      <w:r w:rsidRPr="334BBF58" w:rsidR="00C658B8">
        <w:rPr>
          <w:rFonts w:cs="Arial"/>
          <w:sz w:val="22"/>
          <w:szCs w:val="22"/>
        </w:rPr>
        <w:t xml:space="preserve">Finance mobilised has increased by $42m since FY24, which reported </w:t>
      </w:r>
      <w:r w:rsidRPr="334BBF58" w:rsidR="006E7CD9">
        <w:rPr>
          <w:rFonts w:cs="Arial"/>
          <w:sz w:val="22"/>
          <w:szCs w:val="22"/>
        </w:rPr>
        <w:t>$170.55m mobilising in not-for-profit finance.</w:t>
      </w:r>
      <w:r w:rsidRPr="334BBF58" w:rsidR="00B83A04">
        <w:rPr>
          <w:rFonts w:cs="Arial"/>
          <w:sz w:val="22"/>
          <w:szCs w:val="22"/>
        </w:rPr>
        <w:t xml:space="preserve"> This increase was due to </w:t>
      </w:r>
      <w:r w:rsidRPr="334BBF58" w:rsidR="00240F23">
        <w:rPr>
          <w:rFonts w:cs="Arial"/>
          <w:sz w:val="22"/>
          <w:szCs w:val="22"/>
        </w:rPr>
        <w:t xml:space="preserve">the </w:t>
      </w:r>
      <w:r w:rsidRPr="334BBF58" w:rsidR="00240F23">
        <w:rPr>
          <w:rFonts w:cs="Arial"/>
          <w:sz w:val="22"/>
          <w:szCs w:val="22"/>
        </w:rPr>
        <w:t>IFC’s</w:t>
      </w:r>
      <w:r w:rsidRPr="334BBF58" w:rsidR="00240F23">
        <w:rPr>
          <w:rFonts w:cs="Arial"/>
          <w:sz w:val="22"/>
          <w:szCs w:val="22"/>
        </w:rPr>
        <w:t xml:space="preserve"> upstream engagement</w:t>
      </w:r>
      <w:r w:rsidRPr="334BBF58" w:rsidR="00240F23">
        <w:rPr>
          <w:rFonts w:cs="Arial"/>
          <w:sz w:val="22"/>
          <w:szCs w:val="22"/>
        </w:rPr>
        <w:t xml:space="preserve">, which </w:t>
      </w:r>
      <w:r w:rsidRPr="334BBF58" w:rsidR="00240F23">
        <w:rPr>
          <w:rFonts w:cs="Arial"/>
          <w:sz w:val="22"/>
          <w:szCs w:val="22"/>
        </w:rPr>
        <w:t xml:space="preserve">led to a </w:t>
      </w:r>
      <w:r w:rsidRPr="334BBF58" w:rsidR="00240F23">
        <w:rPr>
          <w:rFonts w:cs="Arial"/>
          <w:sz w:val="22"/>
          <w:szCs w:val="22"/>
        </w:rPr>
        <w:t xml:space="preserve">$42m </w:t>
      </w:r>
      <w:r w:rsidRPr="334BBF58" w:rsidR="12183E3B">
        <w:rPr>
          <w:rFonts w:cs="Arial"/>
          <w:sz w:val="22"/>
          <w:szCs w:val="22"/>
        </w:rPr>
        <w:t xml:space="preserve">IFC </w:t>
      </w:r>
      <w:r w:rsidRPr="334BBF58" w:rsidR="00240F23">
        <w:rPr>
          <w:rFonts w:cs="Arial"/>
          <w:sz w:val="22"/>
          <w:szCs w:val="22"/>
        </w:rPr>
        <w:t xml:space="preserve">investment in </w:t>
      </w:r>
      <w:r w:rsidRPr="334BBF58" w:rsidR="3758A4F6">
        <w:rPr>
          <w:rFonts w:cs="Arial"/>
          <w:sz w:val="22"/>
          <w:szCs w:val="22"/>
        </w:rPr>
        <w:t xml:space="preserve">a private </w:t>
      </w:r>
      <w:r w:rsidRPr="334BBF58" w:rsidR="00240F23">
        <w:rPr>
          <w:rFonts w:cs="Arial"/>
          <w:sz w:val="22"/>
          <w:szCs w:val="22"/>
        </w:rPr>
        <w:t>cocoa</w:t>
      </w:r>
      <w:r w:rsidRPr="334BBF58" w:rsidR="3744A825">
        <w:rPr>
          <w:rFonts w:cs="Arial"/>
          <w:sz w:val="22"/>
          <w:szCs w:val="22"/>
        </w:rPr>
        <w:t xml:space="preserve"> sector </w:t>
      </w:r>
      <w:r w:rsidRPr="334BBF58" w:rsidR="3744A825">
        <w:rPr>
          <w:rFonts w:cs="Arial"/>
          <w:sz w:val="22"/>
          <w:szCs w:val="22"/>
        </w:rPr>
        <w:t>company</w:t>
      </w:r>
      <w:r w:rsidRPr="334BBF58" w:rsidR="00240F23">
        <w:rPr>
          <w:rFonts w:cs="Arial"/>
          <w:sz w:val="22"/>
          <w:szCs w:val="22"/>
        </w:rPr>
        <w:t>. </w:t>
      </w:r>
      <w:r w:rsidRPr="334BBF58" w:rsidR="006E7CD9">
        <w:rPr>
          <w:rFonts w:cs="Arial"/>
          <w:sz w:val="22"/>
          <w:szCs w:val="22"/>
        </w:rPr>
        <w:t xml:space="preserve"> </w:t>
      </w:r>
      <w:r w:rsidRPr="334BBF58" w:rsidR="006E7CD9">
        <w:rPr>
          <w:rFonts w:cs="Arial"/>
          <w:sz w:val="22"/>
          <w:szCs w:val="22"/>
        </w:rPr>
        <w:t xml:space="preserve">In FY25, </w:t>
      </w:r>
      <w:r w:rsidRPr="334BBF58" w:rsidR="12F03AF5">
        <w:rPr>
          <w:rFonts w:cs="Arial"/>
          <w:sz w:val="22"/>
          <w:szCs w:val="22"/>
        </w:rPr>
        <w:t xml:space="preserve">Colombia mobilised the most, at $107m, followed by Mexico at $56m, Zambia at $25.05m, and Ethiopia at $24.5m. Indonesia did not mobilise any spend in the FY25 reporting period. </w:t>
      </w:r>
      <w:r w:rsidRPr="334BBF58" w:rsidR="007D2EFB">
        <w:rPr>
          <w:rFonts w:cs="Arial"/>
          <w:b w:val="1"/>
          <w:bCs w:val="1"/>
          <w:sz w:val="22"/>
          <w:szCs w:val="22"/>
        </w:rPr>
        <w:t xml:space="preserve">Recommendation [1h] </w:t>
      </w:r>
      <w:r w:rsidRPr="334BBF58" w:rsidR="007D2EFB">
        <w:rPr>
          <w:rFonts w:cs="Arial"/>
          <w:sz w:val="22"/>
          <w:szCs w:val="22"/>
        </w:rPr>
        <w:t>in this Annual Review recommends a revision for Outcome 1.3 (b), considering the FY25 milestone has been significantly surpassed already.</w:t>
      </w:r>
    </w:p>
    <w:p w:rsidR="00B83A04" w:rsidP="0A4B2F9A" w:rsidRDefault="00B83A04" w14:paraId="7FCA604B" w14:textId="77777777">
      <w:pPr>
        <w:jc w:val="both"/>
        <w:rPr>
          <w:rFonts w:cs="Arial"/>
          <w:sz w:val="22"/>
          <w:szCs w:val="22"/>
        </w:rPr>
      </w:pPr>
    </w:p>
    <w:p w:rsidR="009D6019" w:rsidP="0A4B2F9A" w:rsidRDefault="009D6019" w14:paraId="6F5AAFFB" w14:textId="77777777">
      <w:pPr>
        <w:jc w:val="both"/>
        <w:rPr>
          <w:rFonts w:cs="Arial"/>
          <w:sz w:val="22"/>
          <w:szCs w:val="22"/>
        </w:rPr>
      </w:pPr>
    </w:p>
    <w:p w:rsidR="4CE42864" w:rsidP="0A4B2F9A" w:rsidRDefault="4CE42864" w14:paraId="0BA08BF3" w14:textId="11D220D4">
      <w:pPr>
        <w:jc w:val="both"/>
        <w:rPr>
          <w:rFonts w:eastAsia="Arial" w:cs="Arial"/>
          <w:color w:val="000000" w:themeColor="text1"/>
          <w:sz w:val="22"/>
          <w:szCs w:val="22"/>
        </w:rPr>
      </w:pPr>
      <w:r w:rsidRPr="00525B83">
        <w:rPr>
          <w:rFonts w:eastAsia="Arial" w:cs="Arial"/>
          <w:b/>
          <w:bCs/>
          <w:color w:val="000000" w:themeColor="text1"/>
          <w:sz w:val="22"/>
          <w:szCs w:val="22"/>
        </w:rPr>
        <w:t>Outcome Indicator 1.4: Extent to which ISFL has influenced REDD+ Country Participants’ national approaches to sustainable forest resource management and land-use (including among women, women’s groups, Indigenous Peoples, Civil Society Organisations, local communities)</w:t>
      </w:r>
      <w:r w:rsidRPr="00525B83">
        <w:rPr>
          <w:rFonts w:eastAsia="Arial" w:cs="Arial"/>
          <w:color w:val="000000" w:themeColor="text1"/>
          <w:sz w:val="22"/>
          <w:szCs w:val="22"/>
        </w:rPr>
        <w:t> </w:t>
      </w:r>
    </w:p>
    <w:p w:rsidR="006168B9" w:rsidP="0A4B2F9A" w:rsidRDefault="006168B9" w14:paraId="7B793129" w14:textId="77777777">
      <w:pPr>
        <w:jc w:val="both"/>
        <w:rPr>
          <w:rFonts w:eastAsia="Arial" w:cs="Arial"/>
          <w:color w:val="000000" w:themeColor="text1"/>
          <w:sz w:val="22"/>
          <w:szCs w:val="22"/>
        </w:rPr>
      </w:pPr>
    </w:p>
    <w:p w:rsidR="006168B9" w:rsidP="0A4B2F9A" w:rsidRDefault="00F45400" w14:paraId="4497E6A7" w14:textId="36F52BA9">
      <w:pPr>
        <w:jc w:val="both"/>
        <w:rPr>
          <w:rFonts w:eastAsia="Arial" w:cs="Arial"/>
          <w:sz w:val="22"/>
          <w:szCs w:val="22"/>
        </w:rPr>
      </w:pPr>
      <w:r w:rsidRPr="334BBF58" w:rsidR="00F45400">
        <w:rPr>
          <w:rFonts w:eastAsia="Arial" w:cs="Arial"/>
          <w:sz w:val="22"/>
          <w:szCs w:val="22"/>
        </w:rPr>
        <w:t xml:space="preserve">So far, there have been </w:t>
      </w:r>
      <w:r w:rsidRPr="334BBF58" w:rsidR="00F45400">
        <w:rPr>
          <w:rFonts w:eastAsia="Arial" w:cs="Arial"/>
          <w:b w:val="1"/>
          <w:bCs w:val="1"/>
          <w:sz w:val="22"/>
          <w:szCs w:val="22"/>
        </w:rPr>
        <w:t>35</w:t>
      </w:r>
      <w:r w:rsidRPr="334BBF58" w:rsidR="00F45400">
        <w:rPr>
          <w:rFonts w:eastAsia="Arial" w:cs="Arial"/>
          <w:sz w:val="22"/>
          <w:szCs w:val="22"/>
        </w:rPr>
        <w:t xml:space="preserve"> reforms in forest and land-use policy, legislation or other regulations explicitly supported by an ISFL programme, with results reported in Colombia</w:t>
      </w:r>
      <w:r w:rsidRPr="334BBF58" w:rsidR="00E71108">
        <w:rPr>
          <w:rFonts w:eastAsia="Arial" w:cs="Arial"/>
          <w:sz w:val="22"/>
          <w:szCs w:val="22"/>
        </w:rPr>
        <w:t xml:space="preserve">, </w:t>
      </w:r>
      <w:r w:rsidRPr="334BBF58" w:rsidR="00F45400">
        <w:rPr>
          <w:rFonts w:eastAsia="Arial" w:cs="Arial"/>
          <w:sz w:val="22"/>
          <w:szCs w:val="22"/>
        </w:rPr>
        <w:t>Indonesia</w:t>
      </w:r>
      <w:r w:rsidRPr="334BBF58" w:rsidR="00E71108">
        <w:rPr>
          <w:rFonts w:eastAsia="Arial" w:cs="Arial"/>
          <w:sz w:val="22"/>
          <w:szCs w:val="22"/>
        </w:rPr>
        <w:t>, and Mexico</w:t>
      </w:r>
      <w:r w:rsidRPr="334BBF58" w:rsidR="00F45400">
        <w:rPr>
          <w:rFonts w:eastAsia="Arial" w:cs="Arial"/>
          <w:sz w:val="22"/>
          <w:szCs w:val="22"/>
        </w:rPr>
        <w:t xml:space="preserve">. This </w:t>
      </w:r>
      <w:r w:rsidRPr="334BBF58" w:rsidR="00F45400">
        <w:rPr>
          <w:rFonts w:eastAsia="Arial" w:cs="Arial"/>
          <w:sz w:val="22"/>
          <w:szCs w:val="22"/>
        </w:rPr>
        <w:t>demonstrates</w:t>
      </w:r>
      <w:r w:rsidRPr="334BBF58" w:rsidR="00F45400">
        <w:rPr>
          <w:rFonts w:eastAsia="Arial" w:cs="Arial"/>
          <w:sz w:val="22"/>
          <w:szCs w:val="22"/>
        </w:rPr>
        <w:t xml:space="preserve"> </w:t>
      </w:r>
      <w:r w:rsidRPr="334BBF58" w:rsidR="00F45400">
        <w:rPr>
          <w:rFonts w:eastAsia="Arial" w:cs="Arial"/>
          <w:b w:val="1"/>
          <w:bCs w:val="1"/>
          <w:sz w:val="22"/>
          <w:szCs w:val="22"/>
        </w:rPr>
        <w:t>significant progress</w:t>
      </w:r>
      <w:r w:rsidRPr="334BBF58" w:rsidR="00F45400">
        <w:rPr>
          <w:rFonts w:eastAsia="Arial" w:cs="Arial"/>
          <w:b w:val="1"/>
          <w:bCs w:val="1"/>
          <w:sz w:val="22"/>
          <w:szCs w:val="22"/>
        </w:rPr>
        <w:t xml:space="preserve"> as it far exceeds the target</w:t>
      </w:r>
      <w:r w:rsidRPr="334BBF58" w:rsidR="00F45400">
        <w:rPr>
          <w:rFonts w:eastAsia="Arial" w:cs="Arial"/>
          <w:sz w:val="22"/>
          <w:szCs w:val="22"/>
        </w:rPr>
        <w:t xml:space="preserve">, which is for there to have been </w:t>
      </w:r>
      <w:r w:rsidRPr="334BBF58" w:rsidR="00E71108">
        <w:rPr>
          <w:rFonts w:eastAsia="Arial" w:cs="Arial"/>
          <w:b w:val="1"/>
          <w:bCs w:val="1"/>
          <w:sz w:val="22"/>
          <w:szCs w:val="22"/>
        </w:rPr>
        <w:t>12</w:t>
      </w:r>
      <w:r w:rsidRPr="334BBF58" w:rsidR="00F45400">
        <w:rPr>
          <w:rFonts w:eastAsia="Arial" w:cs="Arial"/>
          <w:sz w:val="22"/>
          <w:szCs w:val="22"/>
        </w:rPr>
        <w:t xml:space="preserve"> reforms in at least </w:t>
      </w:r>
      <w:r w:rsidRPr="334BBF58" w:rsidR="00E274BD">
        <w:rPr>
          <w:rFonts w:eastAsia="Arial" w:cs="Arial"/>
          <w:b w:val="1"/>
          <w:bCs w:val="1"/>
          <w:sz w:val="22"/>
          <w:szCs w:val="22"/>
        </w:rPr>
        <w:t>three</w:t>
      </w:r>
      <w:r w:rsidRPr="334BBF58" w:rsidR="00F45400">
        <w:rPr>
          <w:rFonts w:eastAsia="Arial" w:cs="Arial"/>
          <w:sz w:val="22"/>
          <w:szCs w:val="22"/>
        </w:rPr>
        <w:t xml:space="preserve"> </w:t>
      </w:r>
      <w:r w:rsidRPr="334BBF58" w:rsidR="00F45400">
        <w:rPr>
          <w:rFonts w:eastAsia="Arial" w:cs="Arial"/>
          <w:sz w:val="22"/>
          <w:szCs w:val="22"/>
        </w:rPr>
        <w:t>countries</w:t>
      </w:r>
      <w:r w:rsidRPr="334BBF58" w:rsidR="00F45400">
        <w:rPr>
          <w:rFonts w:eastAsia="Arial" w:cs="Arial"/>
          <w:sz w:val="22"/>
          <w:szCs w:val="22"/>
        </w:rPr>
        <w:t>.</w:t>
      </w:r>
      <w:r w:rsidRPr="334BBF58" w:rsidR="5BDB0672">
        <w:rPr>
          <w:rFonts w:eastAsia="Arial" w:cs="Arial"/>
          <w:sz w:val="22"/>
          <w:szCs w:val="22"/>
        </w:rPr>
        <w:t xml:space="preserve"> Beyond the numbers, these reforms reflect deeper systemic change:</w:t>
      </w:r>
      <w:r w:rsidRPr="334BBF58" w:rsidR="5BDB0672">
        <w:rPr>
          <w:rFonts w:eastAsia="Arial" w:cs="Arial"/>
          <w:sz w:val="22"/>
          <w:szCs w:val="22"/>
        </w:rPr>
        <w:t xml:space="preserve"> ISFL country programmes have contributed in several ways to strengthening the enabling environment for transitioning toward jurisdictional Emission Reductions (ER) programmes and sustainable land use. They have supported policy, legislative, and regulatory reforms essential for scaling Sustainable Land Management (SLM) and Integrated Landscape Management (ILM). Moreover, ISFL has played a pivotal role in driving behavioural change within governments and public services, increasing </w:t>
      </w:r>
      <w:r w:rsidRPr="334BBF58" w:rsidR="5BDB0672">
        <w:rPr>
          <w:rFonts w:eastAsia="Arial" w:cs="Arial"/>
          <w:sz w:val="22"/>
          <w:szCs w:val="22"/>
        </w:rPr>
        <w:t>awareness</w:t>
      </w:r>
      <w:r w:rsidRPr="334BBF58" w:rsidR="5BDB0672">
        <w:rPr>
          <w:rFonts w:eastAsia="Arial" w:cs="Arial"/>
          <w:sz w:val="22"/>
          <w:szCs w:val="22"/>
        </w:rPr>
        <w:t xml:space="preserve"> and embedding SLM and ILM principles into national planning and regulatory frameworks.</w:t>
      </w:r>
    </w:p>
    <w:p w:rsidRPr="00D80C6C" w:rsidR="003D222C" w:rsidP="004D5FD5" w:rsidRDefault="003D222C" w14:paraId="20DA03C6" w14:textId="77777777">
      <w:pPr>
        <w:jc w:val="both"/>
        <w:rPr>
          <w:rFonts w:cs="Arial"/>
          <w:sz w:val="22"/>
          <w:szCs w:val="22"/>
        </w:rPr>
      </w:pPr>
    </w:p>
    <w:p w:rsidRPr="00D80C6C" w:rsidR="003D222C" w:rsidP="3B0240E3" w:rsidRDefault="00B34EB5" w14:paraId="40D01C03" w14:textId="3A72D24E">
      <w:pPr>
        <w:spacing/>
        <w:contextualSpacing w:val="1"/>
        <w:jc w:val="both"/>
        <w:rPr>
          <w:rFonts w:cs="Arial"/>
          <w:b w:val="1"/>
          <w:bCs w:val="1"/>
          <w:sz w:val="22"/>
          <w:szCs w:val="22"/>
        </w:rPr>
      </w:pPr>
      <w:bookmarkStart w:name="_Toc147801324" w:id="751967176"/>
      <w:r w:rsidRPr="376EB76A" w:rsidR="5112E16E">
        <w:rPr>
          <w:rStyle w:val="Heading2Char"/>
        </w:rPr>
        <w:t>L</w:t>
      </w:r>
      <w:r w:rsidRPr="376EB76A" w:rsidR="35EEEB8C">
        <w:rPr>
          <w:rStyle w:val="Heading2Char"/>
        </w:rPr>
        <w:t>ogframe</w:t>
      </w:r>
      <w:r w:rsidRPr="376EB76A" w:rsidR="5112E16E">
        <w:rPr>
          <w:rStyle w:val="Heading2Char"/>
        </w:rPr>
        <w:t xml:space="preserve"> </w:t>
      </w:r>
      <w:r w:rsidRPr="376EB76A" w:rsidR="35EEEB8C">
        <w:rPr>
          <w:rStyle w:val="Heading2Char"/>
        </w:rPr>
        <w:t>update</w:t>
      </w:r>
      <w:r w:rsidRPr="376EB76A" w:rsidR="5112E16E">
        <w:rPr>
          <w:rStyle w:val="Heading2Char"/>
        </w:rPr>
        <w:t>s</w:t>
      </w:r>
      <w:r w:rsidRPr="376EB76A" w:rsidR="35EEEB8C">
        <w:rPr>
          <w:rStyle w:val="Heading2Char"/>
        </w:rPr>
        <w:t xml:space="preserve"> since the last review</w:t>
      </w:r>
      <w:bookmarkEnd w:id="751967176"/>
    </w:p>
    <w:p w:rsidR="00DC5E58" w:rsidP="0E1E885D" w:rsidRDefault="00DC5E58" w14:paraId="1C232411" w14:textId="77777777">
      <w:pPr>
        <w:jc w:val="both"/>
        <w:rPr>
          <w:rFonts w:cs="Arial"/>
          <w:sz w:val="22"/>
          <w:szCs w:val="22"/>
          <w:highlight w:val="yellow"/>
        </w:rPr>
      </w:pPr>
    </w:p>
    <w:p w:rsidR="00B74317" w:rsidP="00B74317" w:rsidRDefault="00B74317" w14:paraId="62CE9568" w14:textId="3891AC25">
      <w:pPr>
        <w:jc w:val="both"/>
        <w:rPr>
          <w:rFonts w:cs="Arial"/>
          <w:sz w:val="22"/>
          <w:szCs w:val="22"/>
        </w:rPr>
      </w:pPr>
      <w:r w:rsidRPr="00B74317">
        <w:rPr>
          <w:rFonts w:cs="Arial"/>
          <w:sz w:val="22"/>
          <w:szCs w:val="22"/>
        </w:rPr>
        <w:t>Since the FY24 Annual Review, DESNZ has made several updates to the ISFL logframe to align more closely with changes introduced by the World Bank in FY23 and FY24. These updates reflect both strategic shifts in programme delivery and practical adjustments based on the availability of data and progress across countries.</w:t>
      </w:r>
      <w:r w:rsidR="00B258A9">
        <w:rPr>
          <w:rFonts w:cs="Arial"/>
          <w:sz w:val="22"/>
          <w:szCs w:val="22"/>
        </w:rPr>
        <w:t xml:space="preserve"> Key changes have been outlined in the following table:</w:t>
      </w:r>
    </w:p>
    <w:p w:rsidR="004271E1" w:rsidP="004271E1" w:rsidRDefault="004271E1" w14:paraId="6FDDF94F" w14:textId="77777777">
      <w:pPr>
        <w:jc w:val="both"/>
        <w:rPr>
          <w:rFonts w:eastAsia="Arial" w:cs="Arial"/>
          <w:b/>
          <w:bCs/>
          <w:color w:val="000000" w:themeColor="text1"/>
          <w:sz w:val="18"/>
          <w:szCs w:val="18"/>
        </w:rPr>
      </w:pPr>
    </w:p>
    <w:p w:rsidR="004271E1" w:rsidP="004271E1" w:rsidRDefault="004271E1" w14:paraId="73116B7C" w14:textId="1C4AC991">
      <w:pPr>
        <w:jc w:val="both"/>
        <w:rPr>
          <w:rFonts w:eastAsia="Arial" w:cs="Arial"/>
          <w:sz w:val="22"/>
          <w:szCs w:val="22"/>
        </w:rPr>
      </w:pPr>
      <w:r w:rsidRPr="77E9A727">
        <w:rPr>
          <w:rFonts w:eastAsia="Arial" w:cs="Arial"/>
          <w:b/>
          <w:bCs/>
          <w:color w:val="000000" w:themeColor="text1"/>
          <w:sz w:val="18"/>
          <w:szCs w:val="18"/>
        </w:rPr>
        <w:t xml:space="preserve">Table </w:t>
      </w:r>
      <w:r>
        <w:rPr>
          <w:rFonts w:eastAsia="Arial" w:cs="Arial"/>
          <w:b/>
          <w:bCs/>
          <w:color w:val="000000" w:themeColor="text1"/>
          <w:sz w:val="18"/>
          <w:szCs w:val="18"/>
        </w:rPr>
        <w:t>2</w:t>
      </w:r>
      <w:r w:rsidRPr="77E9A727">
        <w:rPr>
          <w:rFonts w:eastAsia="Arial" w:cs="Arial"/>
          <w:b/>
          <w:bCs/>
          <w:color w:val="000000" w:themeColor="text1"/>
          <w:sz w:val="18"/>
          <w:szCs w:val="18"/>
        </w:rPr>
        <w:t xml:space="preserve">: </w:t>
      </w:r>
      <w:r>
        <w:rPr>
          <w:rFonts w:eastAsia="Arial" w:cs="Arial"/>
          <w:b/>
          <w:bCs/>
          <w:color w:val="000000" w:themeColor="text1"/>
          <w:sz w:val="18"/>
          <w:szCs w:val="18"/>
        </w:rPr>
        <w:t>Logframe updates since the last review.</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3005"/>
        <w:gridCol w:w="3006"/>
      </w:tblGrid>
      <w:tr w:rsidR="007C048E" w:rsidTr="005D4A67" w14:paraId="0F6C8F2D" w14:textId="77777777">
        <w:tc>
          <w:tcPr>
            <w:tcW w:w="3005" w:type="dxa"/>
            <w:shd w:val="clear" w:color="auto" w:fill="EAEDF1" w:themeFill="text2" w:themeFillTint="1A"/>
          </w:tcPr>
          <w:p w:rsidRPr="004271E1" w:rsidR="007C048E" w:rsidP="004271E1" w:rsidRDefault="007C048E" w14:paraId="45037C1B" w14:textId="0BDFEAA5">
            <w:pPr>
              <w:jc w:val="center"/>
              <w:rPr>
                <w:rFonts w:cs="Arial"/>
                <w:b/>
                <w:bCs/>
                <w:sz w:val="22"/>
                <w:szCs w:val="22"/>
              </w:rPr>
            </w:pPr>
            <w:r w:rsidRPr="004271E1">
              <w:rPr>
                <w:rFonts w:cs="Arial"/>
                <w:b/>
                <w:bCs/>
                <w:sz w:val="22"/>
                <w:szCs w:val="22"/>
              </w:rPr>
              <w:t>Output/Outcome Indicator</w:t>
            </w:r>
          </w:p>
        </w:tc>
        <w:tc>
          <w:tcPr>
            <w:tcW w:w="3005" w:type="dxa"/>
            <w:shd w:val="clear" w:color="auto" w:fill="EAEDF1" w:themeFill="text2" w:themeFillTint="1A"/>
          </w:tcPr>
          <w:p w:rsidRPr="004271E1" w:rsidR="007C048E" w:rsidP="004271E1" w:rsidRDefault="007C048E" w14:paraId="31BD02CF" w14:textId="185B3EDA">
            <w:pPr>
              <w:jc w:val="center"/>
              <w:rPr>
                <w:rFonts w:cs="Arial"/>
                <w:b/>
                <w:bCs/>
                <w:sz w:val="22"/>
                <w:szCs w:val="22"/>
              </w:rPr>
            </w:pPr>
            <w:r w:rsidRPr="004271E1">
              <w:rPr>
                <w:rFonts w:cs="Arial"/>
                <w:b/>
                <w:bCs/>
                <w:sz w:val="22"/>
                <w:szCs w:val="22"/>
              </w:rPr>
              <w:t>Theme</w:t>
            </w:r>
          </w:p>
        </w:tc>
        <w:tc>
          <w:tcPr>
            <w:tcW w:w="3006" w:type="dxa"/>
            <w:shd w:val="clear" w:color="auto" w:fill="EAEDF1" w:themeFill="text2" w:themeFillTint="1A"/>
          </w:tcPr>
          <w:p w:rsidRPr="004271E1" w:rsidR="007C048E" w:rsidP="004271E1" w:rsidRDefault="007C048E" w14:paraId="3B21815D" w14:textId="274D0DC6">
            <w:pPr>
              <w:jc w:val="center"/>
              <w:rPr>
                <w:rFonts w:cs="Arial"/>
                <w:b/>
                <w:bCs/>
                <w:sz w:val="22"/>
                <w:szCs w:val="22"/>
              </w:rPr>
            </w:pPr>
            <w:r w:rsidRPr="004271E1">
              <w:rPr>
                <w:rFonts w:cs="Arial"/>
                <w:b/>
                <w:bCs/>
                <w:sz w:val="22"/>
                <w:szCs w:val="22"/>
              </w:rPr>
              <w:t>Changes Made</w:t>
            </w:r>
          </w:p>
        </w:tc>
      </w:tr>
      <w:tr w:rsidR="007C048E" w:rsidTr="005D4A67" w14:paraId="786B64D3" w14:textId="77777777">
        <w:tc>
          <w:tcPr>
            <w:tcW w:w="3005" w:type="dxa"/>
          </w:tcPr>
          <w:p w:rsidR="007C048E" w:rsidP="004271E1" w:rsidRDefault="007C048E" w14:paraId="52BD6246" w14:textId="0617D659">
            <w:pPr>
              <w:rPr>
                <w:rFonts w:cs="Arial"/>
                <w:sz w:val="22"/>
                <w:szCs w:val="22"/>
              </w:rPr>
            </w:pPr>
            <w:r w:rsidRPr="004271E1">
              <w:rPr>
                <w:rFonts w:cs="Arial"/>
                <w:b/>
                <w:bCs/>
                <w:sz w:val="22"/>
                <w:szCs w:val="22"/>
              </w:rPr>
              <w:t>Outcome Indicator 1.1:</w:t>
            </w:r>
            <w:r>
              <w:rPr>
                <w:rFonts w:cs="Arial"/>
                <w:sz w:val="22"/>
                <w:szCs w:val="22"/>
              </w:rPr>
              <w:t xml:space="preserve"> GHG Emissions Reductions</w:t>
            </w:r>
          </w:p>
        </w:tc>
        <w:tc>
          <w:tcPr>
            <w:tcW w:w="3005" w:type="dxa"/>
          </w:tcPr>
          <w:p w:rsidR="007C048E" w:rsidP="004271E1" w:rsidRDefault="00331249" w14:paraId="467008B9" w14:textId="6246C5DF">
            <w:pPr>
              <w:rPr>
                <w:rFonts w:cs="Arial"/>
                <w:sz w:val="22"/>
                <w:szCs w:val="22"/>
              </w:rPr>
            </w:pPr>
            <w:r>
              <w:rPr>
                <w:rFonts w:cs="Arial"/>
                <w:sz w:val="22"/>
                <w:szCs w:val="22"/>
              </w:rPr>
              <w:t>Increase of end-of-programme (EOP targets)</w:t>
            </w:r>
          </w:p>
        </w:tc>
        <w:tc>
          <w:tcPr>
            <w:tcW w:w="3006" w:type="dxa"/>
          </w:tcPr>
          <w:p w:rsidR="007C048E" w:rsidP="004271E1" w:rsidRDefault="00331249" w14:paraId="530B6D42" w14:textId="6A8DD0F2">
            <w:pPr>
              <w:rPr>
                <w:rFonts w:cs="Arial"/>
                <w:sz w:val="22"/>
                <w:szCs w:val="22"/>
              </w:rPr>
            </w:pPr>
            <w:r w:rsidRPr="00B74317">
              <w:rPr>
                <w:rFonts w:cs="Arial"/>
                <w:sz w:val="22"/>
                <w:szCs w:val="22"/>
              </w:rPr>
              <w:t>DESNZ raised the EOP target to match the World Bank’s and introduced interim milestones based on ERPD estimates.</w:t>
            </w:r>
          </w:p>
        </w:tc>
      </w:tr>
      <w:tr w:rsidR="001A254A" w:rsidTr="005D4A67" w14:paraId="40480238" w14:textId="77777777">
        <w:tc>
          <w:tcPr>
            <w:tcW w:w="3005" w:type="dxa"/>
          </w:tcPr>
          <w:p w:rsidR="001A254A" w:rsidP="004271E1" w:rsidRDefault="001A254A" w14:paraId="4B07E96A" w14:textId="75CBB93B">
            <w:pPr>
              <w:rPr>
                <w:rFonts w:cs="Arial"/>
                <w:sz w:val="22"/>
                <w:szCs w:val="22"/>
              </w:rPr>
            </w:pPr>
            <w:r>
              <w:rPr>
                <w:rFonts w:cs="Arial"/>
                <w:sz w:val="22"/>
                <w:szCs w:val="22"/>
              </w:rPr>
              <w:t>Outcome Indicator 1.3: Mobilised Finance</w:t>
            </w:r>
          </w:p>
        </w:tc>
        <w:tc>
          <w:tcPr>
            <w:tcW w:w="3005" w:type="dxa"/>
          </w:tcPr>
          <w:p w:rsidR="001A254A" w:rsidP="004271E1" w:rsidRDefault="001A254A" w14:paraId="09925D9B" w14:textId="1D19B464">
            <w:pPr>
              <w:rPr>
                <w:rFonts w:cs="Arial"/>
                <w:sz w:val="22"/>
                <w:szCs w:val="22"/>
              </w:rPr>
            </w:pPr>
            <w:r>
              <w:rPr>
                <w:rFonts w:cs="Arial"/>
                <w:sz w:val="22"/>
                <w:szCs w:val="22"/>
              </w:rPr>
              <w:t>Increase of end-of-programme (EOP targets)</w:t>
            </w:r>
          </w:p>
        </w:tc>
        <w:tc>
          <w:tcPr>
            <w:tcW w:w="3006" w:type="dxa"/>
          </w:tcPr>
          <w:p w:rsidR="001A254A" w:rsidP="004271E1" w:rsidRDefault="001A254A" w14:paraId="4F1DAB78" w14:textId="13F463FA">
            <w:pPr>
              <w:rPr>
                <w:rFonts w:cs="Arial"/>
                <w:sz w:val="22"/>
                <w:szCs w:val="22"/>
              </w:rPr>
            </w:pPr>
            <w:r>
              <w:rPr>
                <w:rFonts w:cs="Arial"/>
                <w:sz w:val="22"/>
                <w:szCs w:val="22"/>
              </w:rPr>
              <w:t xml:space="preserve">DESNZ have now included an EOP target and </w:t>
            </w:r>
            <w:r w:rsidRPr="00B74317">
              <w:rPr>
                <w:rFonts w:cs="Arial"/>
                <w:sz w:val="22"/>
                <w:szCs w:val="22"/>
              </w:rPr>
              <w:t>interim milestones for Zambia and Ethiopia, the two countries with signed ERPAs.</w:t>
            </w:r>
          </w:p>
        </w:tc>
      </w:tr>
      <w:tr w:rsidR="00293A98" w:rsidTr="005D4A67" w14:paraId="7F665236" w14:textId="77777777">
        <w:tc>
          <w:tcPr>
            <w:tcW w:w="3005" w:type="dxa"/>
          </w:tcPr>
          <w:p w:rsidR="00293A98" w:rsidP="004271E1" w:rsidRDefault="00293A98" w14:paraId="258A0034" w14:textId="2A5B7E28">
            <w:pPr>
              <w:rPr>
                <w:rFonts w:cs="Arial"/>
                <w:sz w:val="22"/>
                <w:szCs w:val="22"/>
              </w:rPr>
            </w:pPr>
            <w:r w:rsidRPr="004271E1">
              <w:rPr>
                <w:rFonts w:cs="Arial"/>
                <w:b/>
                <w:bCs/>
                <w:sz w:val="22"/>
                <w:szCs w:val="22"/>
              </w:rPr>
              <w:t>Output Indicator 3.1:</w:t>
            </w:r>
            <w:r>
              <w:rPr>
                <w:rFonts w:cs="Arial"/>
                <w:sz w:val="22"/>
                <w:szCs w:val="22"/>
              </w:rPr>
              <w:t xml:space="preserve"> Private Sector Schemes Adopting Sustainable Practices</w:t>
            </w:r>
          </w:p>
        </w:tc>
        <w:tc>
          <w:tcPr>
            <w:tcW w:w="3005" w:type="dxa"/>
          </w:tcPr>
          <w:p w:rsidR="00293A98" w:rsidP="004271E1" w:rsidRDefault="00293A98" w14:paraId="3A3686E9" w14:textId="683120E4">
            <w:pPr>
              <w:rPr>
                <w:rFonts w:cs="Arial"/>
                <w:sz w:val="22"/>
                <w:szCs w:val="22"/>
              </w:rPr>
            </w:pPr>
            <w:r>
              <w:rPr>
                <w:rFonts w:cs="Arial"/>
                <w:sz w:val="22"/>
                <w:szCs w:val="22"/>
              </w:rPr>
              <w:t>Increase of end-of-programme (EOP targets)</w:t>
            </w:r>
          </w:p>
        </w:tc>
        <w:tc>
          <w:tcPr>
            <w:tcW w:w="3006" w:type="dxa"/>
          </w:tcPr>
          <w:p w:rsidR="00293A98" w:rsidP="004271E1" w:rsidRDefault="00293A98" w14:paraId="58E25F13" w14:textId="19B1648D">
            <w:pPr>
              <w:rPr>
                <w:rFonts w:cs="Arial"/>
                <w:sz w:val="22"/>
                <w:szCs w:val="22"/>
              </w:rPr>
            </w:pPr>
            <w:r w:rsidRPr="00B74317">
              <w:rPr>
                <w:rFonts w:cs="Arial"/>
                <w:sz w:val="22"/>
                <w:szCs w:val="22"/>
              </w:rPr>
              <w:t xml:space="preserve">EOP target increased to reflect additional grant funding to Zambia, and interim milestones were revised accordingly. These changes signal a more ambitious trajectory for </w:t>
            </w:r>
            <w:r w:rsidR="00F65EF8">
              <w:rPr>
                <w:rFonts w:cs="Arial"/>
                <w:sz w:val="22"/>
                <w:szCs w:val="22"/>
              </w:rPr>
              <w:t>ISFL.</w:t>
            </w:r>
          </w:p>
        </w:tc>
      </w:tr>
      <w:tr w:rsidR="00293A98" w:rsidTr="005D4A67" w14:paraId="5C7224D0" w14:textId="77777777">
        <w:tc>
          <w:tcPr>
            <w:tcW w:w="3005" w:type="dxa"/>
          </w:tcPr>
          <w:p w:rsidR="00293A98" w:rsidP="004271E1" w:rsidRDefault="00F65EF8" w14:paraId="136CDA8E" w14:textId="3FF8F92F">
            <w:pPr>
              <w:rPr>
                <w:rFonts w:cs="Arial"/>
                <w:sz w:val="22"/>
                <w:szCs w:val="22"/>
              </w:rPr>
            </w:pPr>
            <w:r w:rsidRPr="004271E1">
              <w:rPr>
                <w:rFonts w:cs="Arial"/>
                <w:b/>
                <w:bCs/>
                <w:sz w:val="22"/>
                <w:szCs w:val="22"/>
              </w:rPr>
              <w:t>Output Indicator 2.1:</w:t>
            </w:r>
            <w:r>
              <w:rPr>
                <w:rFonts w:cs="Arial"/>
                <w:sz w:val="22"/>
                <w:szCs w:val="22"/>
              </w:rPr>
              <w:t xml:space="preserve"> Land Users Adopting Sustainable Practices</w:t>
            </w:r>
          </w:p>
        </w:tc>
        <w:tc>
          <w:tcPr>
            <w:tcW w:w="3005" w:type="dxa"/>
          </w:tcPr>
          <w:p w:rsidR="00293A98" w:rsidP="004271E1" w:rsidRDefault="00B65BE3" w14:paraId="520933A8" w14:textId="0224B90F">
            <w:pPr>
              <w:rPr>
                <w:rFonts w:cs="Arial"/>
                <w:sz w:val="22"/>
                <w:szCs w:val="22"/>
              </w:rPr>
            </w:pPr>
            <w:r>
              <w:rPr>
                <w:rFonts w:cs="Arial"/>
                <w:sz w:val="22"/>
                <w:szCs w:val="22"/>
              </w:rPr>
              <w:t>Change in EOP target.</w:t>
            </w:r>
          </w:p>
        </w:tc>
        <w:tc>
          <w:tcPr>
            <w:tcW w:w="3006" w:type="dxa"/>
          </w:tcPr>
          <w:p w:rsidR="00293A98" w:rsidP="004271E1" w:rsidRDefault="00B65BE3" w14:paraId="460F851B" w14:textId="38309436">
            <w:pPr>
              <w:rPr>
                <w:rFonts w:cs="Arial"/>
                <w:sz w:val="22"/>
                <w:szCs w:val="22"/>
              </w:rPr>
            </w:pPr>
            <w:r>
              <w:rPr>
                <w:rFonts w:cs="Arial"/>
                <w:sz w:val="22"/>
                <w:szCs w:val="22"/>
              </w:rPr>
              <w:t xml:space="preserve">This indicator retained its original EOP target. </w:t>
            </w:r>
          </w:p>
        </w:tc>
      </w:tr>
      <w:tr w:rsidR="00B65BE3" w:rsidTr="005D4A67" w14:paraId="33259436" w14:textId="77777777">
        <w:tc>
          <w:tcPr>
            <w:tcW w:w="3005" w:type="dxa"/>
          </w:tcPr>
          <w:p w:rsidR="00B65BE3" w:rsidP="004271E1" w:rsidRDefault="00B65BE3" w14:paraId="166B7E56" w14:textId="6DC679D7">
            <w:pPr>
              <w:rPr>
                <w:rFonts w:cs="Arial"/>
                <w:sz w:val="22"/>
                <w:szCs w:val="22"/>
              </w:rPr>
            </w:pPr>
            <w:r w:rsidRPr="004271E1">
              <w:rPr>
                <w:rFonts w:cs="Arial"/>
                <w:b/>
                <w:bCs/>
                <w:sz w:val="22"/>
                <w:szCs w:val="22"/>
              </w:rPr>
              <w:t>Output Indicator 2.3</w:t>
            </w:r>
            <w:r>
              <w:rPr>
                <w:rFonts w:cs="Arial"/>
                <w:sz w:val="22"/>
                <w:szCs w:val="22"/>
              </w:rPr>
              <w:t>: Communities Receiving Benefits from ER Payments</w:t>
            </w:r>
          </w:p>
        </w:tc>
        <w:tc>
          <w:tcPr>
            <w:tcW w:w="3005" w:type="dxa"/>
          </w:tcPr>
          <w:p w:rsidR="00B65BE3" w:rsidP="004271E1" w:rsidRDefault="00520965" w14:paraId="34DA69D5" w14:textId="5B87A932">
            <w:pPr>
              <w:rPr>
                <w:rFonts w:cs="Arial"/>
                <w:sz w:val="22"/>
                <w:szCs w:val="22"/>
              </w:rPr>
            </w:pPr>
            <w:r>
              <w:rPr>
                <w:rFonts w:cs="Arial"/>
                <w:sz w:val="22"/>
                <w:szCs w:val="22"/>
              </w:rPr>
              <w:t>Change in EOP target</w:t>
            </w:r>
          </w:p>
        </w:tc>
        <w:tc>
          <w:tcPr>
            <w:tcW w:w="3006" w:type="dxa"/>
          </w:tcPr>
          <w:p w:rsidR="00B65BE3" w:rsidP="004271E1" w:rsidRDefault="00520965" w14:paraId="3A1AD9E2" w14:textId="664606FF">
            <w:pPr>
              <w:rPr>
                <w:rFonts w:cs="Arial"/>
                <w:sz w:val="22"/>
                <w:szCs w:val="22"/>
              </w:rPr>
            </w:pPr>
            <w:r>
              <w:rPr>
                <w:rFonts w:cs="Arial"/>
                <w:sz w:val="22"/>
                <w:szCs w:val="22"/>
              </w:rPr>
              <w:t>EOP target</w:t>
            </w:r>
            <w:r w:rsidRPr="00B74317">
              <w:rPr>
                <w:rFonts w:cs="Arial"/>
                <w:sz w:val="22"/>
                <w:szCs w:val="22"/>
              </w:rPr>
              <w:t xml:space="preserve"> updated </w:t>
            </w:r>
            <w:r>
              <w:rPr>
                <w:rFonts w:cs="Arial"/>
                <w:sz w:val="22"/>
                <w:szCs w:val="22"/>
              </w:rPr>
              <w:t xml:space="preserve">for Ethiopia and Zambia (the only countries reporting on this), </w:t>
            </w:r>
            <w:r w:rsidRPr="00B74317">
              <w:rPr>
                <w:rFonts w:cs="Arial"/>
                <w:sz w:val="22"/>
                <w:szCs w:val="22"/>
              </w:rPr>
              <w:t>with a new EOP target and interim milestones</w:t>
            </w:r>
            <w:r>
              <w:rPr>
                <w:rFonts w:cs="Arial"/>
                <w:sz w:val="22"/>
                <w:szCs w:val="22"/>
              </w:rPr>
              <w:t xml:space="preserve"> to match the Bank’s targets</w:t>
            </w:r>
            <w:r w:rsidRPr="00B74317">
              <w:rPr>
                <w:rFonts w:cs="Arial"/>
                <w:sz w:val="22"/>
                <w:szCs w:val="22"/>
              </w:rPr>
              <w:t xml:space="preserve">, scaled from </w:t>
            </w:r>
            <w:r>
              <w:rPr>
                <w:rFonts w:cs="Arial"/>
                <w:sz w:val="22"/>
                <w:szCs w:val="22"/>
              </w:rPr>
              <w:t>the</w:t>
            </w:r>
            <w:r w:rsidRPr="00B74317">
              <w:rPr>
                <w:rFonts w:cs="Arial"/>
                <w:sz w:val="22"/>
                <w:szCs w:val="22"/>
              </w:rPr>
              <w:t xml:space="preserve"> known trajector</w:t>
            </w:r>
            <w:r>
              <w:rPr>
                <w:rFonts w:cs="Arial"/>
                <w:sz w:val="22"/>
                <w:szCs w:val="22"/>
              </w:rPr>
              <w:t>ies.</w:t>
            </w:r>
          </w:p>
        </w:tc>
      </w:tr>
      <w:tr w:rsidR="00520965" w:rsidTr="005D4A67" w14:paraId="19AEC310" w14:textId="77777777">
        <w:tc>
          <w:tcPr>
            <w:tcW w:w="3005" w:type="dxa"/>
          </w:tcPr>
          <w:p w:rsidR="00520965" w:rsidP="004271E1" w:rsidRDefault="00520965" w14:paraId="34D555EF" w14:textId="388F9106">
            <w:pPr>
              <w:rPr>
                <w:rFonts w:cs="Arial"/>
                <w:sz w:val="22"/>
                <w:szCs w:val="22"/>
              </w:rPr>
            </w:pPr>
            <w:r w:rsidRPr="004271E1">
              <w:rPr>
                <w:rFonts w:cs="Arial"/>
                <w:b/>
                <w:bCs/>
                <w:sz w:val="22"/>
                <w:szCs w:val="22"/>
              </w:rPr>
              <w:t>Output Indicator 1.3:</w:t>
            </w:r>
            <w:r>
              <w:rPr>
                <w:rFonts w:cs="Arial"/>
                <w:sz w:val="22"/>
                <w:szCs w:val="22"/>
              </w:rPr>
              <w:t xml:space="preserve"> Workshops and Technical Studies Funded</w:t>
            </w:r>
          </w:p>
        </w:tc>
        <w:tc>
          <w:tcPr>
            <w:tcW w:w="3005" w:type="dxa"/>
          </w:tcPr>
          <w:p w:rsidR="00520965" w:rsidP="004271E1" w:rsidRDefault="00520965" w14:paraId="774E75EE" w14:textId="59AA6D87">
            <w:pPr>
              <w:rPr>
                <w:rFonts w:cs="Arial"/>
                <w:sz w:val="22"/>
                <w:szCs w:val="22"/>
              </w:rPr>
            </w:pPr>
            <w:r>
              <w:rPr>
                <w:rFonts w:cs="Arial"/>
                <w:sz w:val="22"/>
                <w:szCs w:val="22"/>
              </w:rPr>
              <w:t>Structural Adjustment to Weightings</w:t>
            </w:r>
          </w:p>
        </w:tc>
        <w:tc>
          <w:tcPr>
            <w:tcW w:w="3006" w:type="dxa"/>
          </w:tcPr>
          <w:p w:rsidR="00520965" w:rsidP="004271E1" w:rsidRDefault="00BC070F" w14:paraId="180F2FF0" w14:textId="729FB23E">
            <w:pPr>
              <w:rPr>
                <w:rFonts w:cs="Arial"/>
                <w:sz w:val="22"/>
                <w:szCs w:val="22"/>
              </w:rPr>
            </w:pPr>
            <w:r>
              <w:rPr>
                <w:rFonts w:cs="Arial"/>
                <w:sz w:val="22"/>
                <w:szCs w:val="22"/>
              </w:rPr>
              <w:t xml:space="preserve">Output Indicator closed, </w:t>
            </w:r>
            <w:r w:rsidRPr="00B74317">
              <w:rPr>
                <w:rFonts w:cs="Arial"/>
                <w:sz w:val="22"/>
                <w:szCs w:val="22"/>
              </w:rPr>
              <w:t>having surpassed its EOP target, and its weighting redistributed.</w:t>
            </w:r>
          </w:p>
        </w:tc>
      </w:tr>
      <w:tr w:rsidR="00BC070F" w:rsidTr="005D4A67" w14:paraId="14F118C7" w14:textId="77777777">
        <w:tc>
          <w:tcPr>
            <w:tcW w:w="3005" w:type="dxa"/>
          </w:tcPr>
          <w:p w:rsidR="00BC070F" w:rsidP="004271E1" w:rsidRDefault="00BC070F" w14:paraId="30925318" w14:textId="5F99920E">
            <w:pPr>
              <w:rPr>
                <w:rFonts w:cs="Arial"/>
                <w:sz w:val="22"/>
                <w:szCs w:val="22"/>
              </w:rPr>
            </w:pPr>
            <w:r w:rsidRPr="004271E1">
              <w:rPr>
                <w:rFonts w:cs="Arial"/>
                <w:b/>
                <w:bCs/>
                <w:sz w:val="22"/>
                <w:szCs w:val="22"/>
              </w:rPr>
              <w:t>Output Indicator 1.4:</w:t>
            </w:r>
            <w:r>
              <w:rPr>
                <w:rFonts w:cs="Arial"/>
                <w:sz w:val="22"/>
                <w:szCs w:val="22"/>
              </w:rPr>
              <w:t xml:space="preserve"> ERPDs and ERPAs completed</w:t>
            </w:r>
          </w:p>
        </w:tc>
        <w:tc>
          <w:tcPr>
            <w:tcW w:w="3005" w:type="dxa"/>
          </w:tcPr>
          <w:p w:rsidR="00BC070F" w:rsidP="004271E1" w:rsidRDefault="00BC070F" w14:paraId="788A9DFA" w14:textId="34EE3723">
            <w:pPr>
              <w:rPr>
                <w:rFonts w:cs="Arial"/>
                <w:sz w:val="22"/>
                <w:szCs w:val="22"/>
              </w:rPr>
            </w:pPr>
            <w:r>
              <w:rPr>
                <w:rFonts w:cs="Arial"/>
                <w:sz w:val="22"/>
                <w:szCs w:val="22"/>
              </w:rPr>
              <w:t>Structural Adjustment to Weightings</w:t>
            </w:r>
          </w:p>
        </w:tc>
        <w:tc>
          <w:tcPr>
            <w:tcW w:w="3006" w:type="dxa"/>
          </w:tcPr>
          <w:p w:rsidR="00BC070F" w:rsidP="004271E1" w:rsidRDefault="00BC070F" w14:paraId="78DB6CFD" w14:textId="495469EB">
            <w:pPr>
              <w:rPr>
                <w:rFonts w:cs="Arial"/>
                <w:sz w:val="22"/>
                <w:szCs w:val="22"/>
              </w:rPr>
            </w:pPr>
            <w:r>
              <w:rPr>
                <w:rFonts w:cs="Arial"/>
                <w:sz w:val="22"/>
                <w:szCs w:val="22"/>
              </w:rPr>
              <w:t xml:space="preserve">This output </w:t>
            </w:r>
            <w:r w:rsidRPr="00B74317">
              <w:rPr>
                <w:rFonts w:cs="Arial"/>
                <w:sz w:val="22"/>
                <w:szCs w:val="22"/>
              </w:rPr>
              <w:t>saw an increase in weighting to reflect the critical role of ERPA signings.</w:t>
            </w:r>
          </w:p>
        </w:tc>
      </w:tr>
      <w:tr w:rsidR="00B7615F" w:rsidTr="005D4A67" w14:paraId="0CABDA59" w14:textId="77777777">
        <w:tc>
          <w:tcPr>
            <w:tcW w:w="3005" w:type="dxa"/>
          </w:tcPr>
          <w:p w:rsidRPr="004271E1" w:rsidR="00B7615F" w:rsidP="004271E1" w:rsidRDefault="00B7615F" w14:paraId="7DA3699A" w14:textId="1DA4F809">
            <w:pPr>
              <w:rPr>
                <w:rFonts w:cs="Arial"/>
                <w:b/>
                <w:bCs/>
                <w:sz w:val="22"/>
                <w:szCs w:val="22"/>
              </w:rPr>
            </w:pPr>
            <w:r w:rsidRPr="004271E1">
              <w:rPr>
                <w:rFonts w:cs="Arial"/>
                <w:b/>
                <w:bCs/>
                <w:sz w:val="22"/>
                <w:szCs w:val="22"/>
              </w:rPr>
              <w:t>Output 2</w:t>
            </w:r>
          </w:p>
        </w:tc>
        <w:tc>
          <w:tcPr>
            <w:tcW w:w="3005" w:type="dxa"/>
          </w:tcPr>
          <w:p w:rsidR="00B7615F" w:rsidP="004271E1" w:rsidRDefault="00B7615F" w14:paraId="011729A4" w14:textId="436117BA">
            <w:pPr>
              <w:rPr>
                <w:rFonts w:cs="Arial"/>
                <w:sz w:val="22"/>
                <w:szCs w:val="22"/>
              </w:rPr>
            </w:pPr>
            <w:r>
              <w:rPr>
                <w:rFonts w:cs="Arial"/>
                <w:sz w:val="22"/>
                <w:szCs w:val="22"/>
              </w:rPr>
              <w:t>Structural Adjustment to Weightings</w:t>
            </w:r>
          </w:p>
        </w:tc>
        <w:tc>
          <w:tcPr>
            <w:tcW w:w="3006" w:type="dxa"/>
          </w:tcPr>
          <w:p w:rsidR="00B7615F" w:rsidP="004271E1" w:rsidRDefault="00B7615F" w14:paraId="70A5333F" w14:textId="0D9EAC4E">
            <w:pPr>
              <w:rPr>
                <w:rFonts w:cs="Arial"/>
                <w:sz w:val="22"/>
                <w:szCs w:val="22"/>
              </w:rPr>
            </w:pPr>
            <w:r>
              <w:rPr>
                <w:rFonts w:cs="Arial"/>
                <w:sz w:val="22"/>
                <w:szCs w:val="22"/>
              </w:rPr>
              <w:t>All sub-weightings were equalised to accommodate the introduction of reporting on Indicator 2.3.</w:t>
            </w:r>
          </w:p>
        </w:tc>
      </w:tr>
      <w:tr w:rsidR="00B7615F" w:rsidTr="005D4A67" w14:paraId="0B308CE7" w14:textId="77777777">
        <w:tc>
          <w:tcPr>
            <w:tcW w:w="3005" w:type="dxa"/>
          </w:tcPr>
          <w:p w:rsidR="00B7615F" w:rsidP="004271E1" w:rsidRDefault="00B7615F" w14:paraId="731EA31E" w14:textId="1C522A87">
            <w:pPr>
              <w:rPr>
                <w:rFonts w:cs="Arial"/>
                <w:sz w:val="22"/>
                <w:szCs w:val="22"/>
              </w:rPr>
            </w:pPr>
            <w:r w:rsidRPr="004271E1">
              <w:rPr>
                <w:rFonts w:cs="Arial"/>
                <w:b/>
                <w:bCs/>
                <w:sz w:val="22"/>
                <w:szCs w:val="22"/>
              </w:rPr>
              <w:t>Output Indicator 3.4:</w:t>
            </w:r>
            <w:r>
              <w:rPr>
                <w:rFonts w:cs="Arial"/>
                <w:sz w:val="22"/>
                <w:szCs w:val="22"/>
              </w:rPr>
              <w:t xml:space="preserve"> Private Sector Actors ensuring socio-environmental benefits</w:t>
            </w:r>
          </w:p>
        </w:tc>
        <w:tc>
          <w:tcPr>
            <w:tcW w:w="3005" w:type="dxa"/>
          </w:tcPr>
          <w:p w:rsidR="00B7615F" w:rsidP="004271E1" w:rsidRDefault="001C7F1A" w14:paraId="7964B220" w14:textId="4A846902">
            <w:pPr>
              <w:rPr>
                <w:rFonts w:cs="Arial"/>
                <w:sz w:val="22"/>
                <w:szCs w:val="22"/>
              </w:rPr>
            </w:pPr>
            <w:r>
              <w:rPr>
                <w:rFonts w:cs="Arial"/>
                <w:sz w:val="22"/>
                <w:szCs w:val="22"/>
              </w:rPr>
              <w:t>Composition of Metric</w:t>
            </w:r>
          </w:p>
        </w:tc>
        <w:tc>
          <w:tcPr>
            <w:tcW w:w="3006" w:type="dxa"/>
          </w:tcPr>
          <w:p w:rsidR="00B7615F" w:rsidP="004271E1" w:rsidRDefault="001C7F1A" w14:paraId="27127C20" w14:textId="4BC870A7">
            <w:pPr>
              <w:rPr>
                <w:rFonts w:cs="Arial"/>
                <w:sz w:val="22"/>
                <w:szCs w:val="22"/>
              </w:rPr>
            </w:pPr>
            <w:r>
              <w:rPr>
                <w:rFonts w:cs="Arial"/>
                <w:sz w:val="22"/>
                <w:szCs w:val="22"/>
              </w:rPr>
              <w:t xml:space="preserve">This OI </w:t>
            </w:r>
            <w:r w:rsidRPr="00B74317">
              <w:rPr>
                <w:rFonts w:cs="Arial"/>
                <w:sz w:val="22"/>
                <w:szCs w:val="22"/>
              </w:rPr>
              <w:t>is being transitioned into a qualitative indicator due to challenges in collecting numeric data during evaluations</w:t>
            </w:r>
            <w:r w:rsidR="004271E1">
              <w:rPr>
                <w:rFonts w:cs="Arial"/>
                <w:sz w:val="22"/>
                <w:szCs w:val="22"/>
              </w:rPr>
              <w:t>.</w:t>
            </w:r>
            <w:r w:rsidR="004271E1">
              <w:rPr>
                <w:rStyle w:val="FootnoteReference"/>
                <w:rFonts w:cs="Arial"/>
                <w:sz w:val="22"/>
                <w:szCs w:val="22"/>
              </w:rPr>
              <w:footnoteReference w:id="11"/>
            </w:r>
          </w:p>
        </w:tc>
      </w:tr>
    </w:tbl>
    <w:p w:rsidR="00556FCE" w:rsidP="0E1E885D" w:rsidRDefault="00556FCE" w14:paraId="2963A355" w14:textId="77777777">
      <w:pPr>
        <w:jc w:val="both"/>
        <w:rPr>
          <w:rFonts w:cs="Arial"/>
          <w:sz w:val="22"/>
          <w:szCs w:val="22"/>
          <w:highlight w:val="yellow"/>
        </w:rPr>
      </w:pPr>
    </w:p>
    <w:p w:rsidR="004271E1" w:rsidP="0E1E885D" w:rsidRDefault="004271E1" w14:paraId="559AF623" w14:textId="77777777">
      <w:pPr>
        <w:jc w:val="both"/>
        <w:rPr>
          <w:rFonts w:cs="Arial"/>
          <w:sz w:val="22"/>
          <w:szCs w:val="22"/>
          <w:highlight w:val="yellow"/>
        </w:rPr>
      </w:pPr>
    </w:p>
    <w:p w:rsidRPr="00DC5E58" w:rsidR="00DC5E58" w:rsidP="00DC5E58" w:rsidRDefault="00DC5E58" w14:paraId="63D5ED5D" w14:textId="77777777">
      <w:pPr>
        <w:jc w:val="both"/>
        <w:rPr>
          <w:rFonts w:cs="Arial"/>
          <w:sz w:val="22"/>
          <w:szCs w:val="22"/>
          <w:lang w:eastAsia="en-GB"/>
        </w:rPr>
      </w:pPr>
      <w:r w:rsidRPr="00DC5E58">
        <w:rPr>
          <w:rFonts w:cs="Arial"/>
          <w:b/>
          <w:bCs/>
          <w:sz w:val="22"/>
          <w:szCs w:val="22"/>
          <w:lang w:val="en" w:eastAsia="en-GB"/>
        </w:rPr>
        <w:t>Justify whether the programme should continue, based on its own merits and in the context of the wider portfolio</w:t>
      </w:r>
      <w:r w:rsidRPr="00DC5E58">
        <w:rPr>
          <w:rFonts w:cs="Arial"/>
          <w:sz w:val="22"/>
          <w:szCs w:val="22"/>
          <w:lang w:eastAsia="en-GB"/>
        </w:rPr>
        <w:t> </w:t>
      </w:r>
    </w:p>
    <w:p w:rsidRPr="00DC5E58" w:rsidR="00DC5E58" w:rsidP="00DC5E58" w:rsidRDefault="00DC5E58" w14:paraId="20FFE912" w14:textId="77777777">
      <w:pPr>
        <w:jc w:val="both"/>
        <w:rPr>
          <w:rFonts w:cs="Arial"/>
          <w:sz w:val="22"/>
          <w:szCs w:val="22"/>
          <w:lang w:eastAsia="en-GB"/>
        </w:rPr>
      </w:pPr>
      <w:r w:rsidRPr="00DC5E58">
        <w:rPr>
          <w:rFonts w:cs="Arial"/>
          <w:sz w:val="22"/>
          <w:szCs w:val="22"/>
          <w:lang w:eastAsia="en-GB"/>
        </w:rPr>
        <w:t> </w:t>
      </w:r>
    </w:p>
    <w:p w:rsidR="006E7299" w:rsidP="00DC5E58" w:rsidRDefault="00DC5E58" w14:paraId="002C75F7" w14:textId="26D90996">
      <w:pPr>
        <w:jc w:val="both"/>
        <w:rPr>
          <w:rFonts w:eastAsia="Arial" w:cs="Arial"/>
          <w:color w:val="000000" w:themeColor="text1"/>
          <w:sz w:val="22"/>
          <w:szCs w:val="22"/>
        </w:rPr>
      </w:pPr>
      <w:r w:rsidRPr="334BBF58" w:rsidR="00DC5E58">
        <w:rPr>
          <w:rFonts w:cs="Arial"/>
          <w:sz w:val="22"/>
          <w:szCs w:val="22"/>
          <w:lang w:eastAsia="en-GB"/>
        </w:rPr>
        <w:t>Overall, in FY2</w:t>
      </w:r>
      <w:r w:rsidRPr="334BBF58" w:rsidR="00556FCE">
        <w:rPr>
          <w:rFonts w:cs="Arial"/>
          <w:sz w:val="22"/>
          <w:szCs w:val="22"/>
          <w:lang w:eastAsia="en-GB"/>
        </w:rPr>
        <w:t>5</w:t>
      </w:r>
      <w:r w:rsidRPr="334BBF58" w:rsidR="00DC5E58">
        <w:rPr>
          <w:rFonts w:cs="Arial"/>
          <w:sz w:val="22"/>
          <w:szCs w:val="22"/>
          <w:lang w:eastAsia="en-GB"/>
        </w:rPr>
        <w:t xml:space="preserve">, the ISFL programme has made </w:t>
      </w:r>
      <w:r w:rsidRPr="334BBF58" w:rsidR="00014792">
        <w:rPr>
          <w:rFonts w:cs="Arial"/>
          <w:sz w:val="22"/>
          <w:szCs w:val="22"/>
          <w:lang w:eastAsia="en-GB"/>
        </w:rPr>
        <w:t>satisfactory</w:t>
      </w:r>
      <w:r w:rsidRPr="334BBF58" w:rsidR="00014792">
        <w:rPr>
          <w:rFonts w:cs="Arial"/>
          <w:sz w:val="22"/>
          <w:szCs w:val="22"/>
          <w:lang w:eastAsia="en-GB"/>
        </w:rPr>
        <w:t xml:space="preserve"> </w:t>
      </w:r>
      <w:r w:rsidRPr="334BBF58" w:rsidR="00DC5E58">
        <w:rPr>
          <w:rFonts w:cs="Arial"/>
          <w:sz w:val="22"/>
          <w:szCs w:val="22"/>
          <w:lang w:eastAsia="en-GB"/>
        </w:rPr>
        <w:t xml:space="preserve">progress and </w:t>
      </w:r>
      <w:r w:rsidRPr="334BBF58" w:rsidR="00535423">
        <w:rPr>
          <w:rFonts w:cs="Arial"/>
          <w:sz w:val="22"/>
          <w:szCs w:val="22"/>
          <w:lang w:eastAsia="en-GB"/>
        </w:rPr>
        <w:t>continue</w:t>
      </w:r>
      <w:r w:rsidRPr="334BBF58" w:rsidR="00A71F69">
        <w:rPr>
          <w:rFonts w:cs="Arial"/>
          <w:sz w:val="22"/>
          <w:szCs w:val="22"/>
          <w:lang w:eastAsia="en-GB"/>
        </w:rPr>
        <w:t>s to perform well against output targets</w:t>
      </w:r>
      <w:r w:rsidRPr="334BBF58" w:rsidR="00DC5E58">
        <w:rPr>
          <w:rFonts w:cs="Arial"/>
          <w:sz w:val="22"/>
          <w:szCs w:val="22"/>
          <w:lang w:eastAsia="en-GB"/>
        </w:rPr>
        <w:t>.</w:t>
      </w:r>
      <w:r w:rsidRPr="334BBF58" w:rsidR="00DC5E58">
        <w:rPr>
          <w:rFonts w:cs="Arial"/>
          <w:sz w:val="22"/>
          <w:szCs w:val="22"/>
          <w:lang w:eastAsia="en-GB"/>
        </w:rPr>
        <w:t xml:space="preserve"> </w:t>
      </w:r>
      <w:r w:rsidRPr="334BBF58" w:rsidR="00615229">
        <w:rPr>
          <w:rFonts w:cs="Arial"/>
          <w:sz w:val="22"/>
          <w:szCs w:val="22"/>
          <w:lang w:eastAsia="en-GB"/>
        </w:rPr>
        <w:t xml:space="preserve">ISFL has </w:t>
      </w:r>
      <w:r w:rsidRPr="334BBF58" w:rsidR="00615229">
        <w:rPr>
          <w:rFonts w:cs="Arial"/>
          <w:sz w:val="22"/>
          <w:szCs w:val="22"/>
          <w:lang w:eastAsia="en-GB"/>
        </w:rPr>
        <w:t>demonstrated</w:t>
      </w:r>
      <w:r w:rsidRPr="334BBF58" w:rsidR="00615229">
        <w:rPr>
          <w:rFonts w:cs="Arial"/>
          <w:sz w:val="22"/>
          <w:szCs w:val="22"/>
          <w:lang w:eastAsia="en-GB"/>
        </w:rPr>
        <w:t xml:space="preserve"> </w:t>
      </w:r>
      <w:r w:rsidRPr="334BBF58" w:rsidR="00A71F69">
        <w:rPr>
          <w:rFonts w:cs="Arial"/>
          <w:sz w:val="22"/>
          <w:szCs w:val="22"/>
          <w:lang w:eastAsia="en-GB"/>
        </w:rPr>
        <w:t xml:space="preserve">some </w:t>
      </w:r>
      <w:r w:rsidRPr="334BBF58" w:rsidR="00615229">
        <w:rPr>
          <w:rFonts w:cs="Arial"/>
          <w:sz w:val="22"/>
          <w:szCs w:val="22"/>
          <w:lang w:eastAsia="en-GB"/>
        </w:rPr>
        <w:t xml:space="preserve">progress in advancing ERPA readiness and negotiations, </w:t>
      </w:r>
      <w:r w:rsidRPr="334BBF58" w:rsidR="00DF7FE6">
        <w:rPr>
          <w:rFonts w:cs="Arial"/>
          <w:sz w:val="22"/>
          <w:szCs w:val="22"/>
          <w:lang w:eastAsia="en-GB"/>
        </w:rPr>
        <w:t xml:space="preserve">and </w:t>
      </w:r>
      <w:r w:rsidRPr="334BBF58" w:rsidR="00F205A0">
        <w:rPr>
          <w:rFonts w:cs="Arial"/>
          <w:sz w:val="22"/>
          <w:szCs w:val="22"/>
          <w:lang w:eastAsia="en-GB"/>
        </w:rPr>
        <w:t>significant progress</w:t>
      </w:r>
      <w:r w:rsidRPr="334BBF58" w:rsidR="00F205A0">
        <w:rPr>
          <w:rFonts w:cs="Arial"/>
          <w:sz w:val="22"/>
          <w:szCs w:val="22"/>
          <w:lang w:eastAsia="en-GB"/>
        </w:rPr>
        <w:t xml:space="preserve"> in </w:t>
      </w:r>
      <w:r w:rsidRPr="334BBF58" w:rsidR="00615229">
        <w:rPr>
          <w:rFonts w:cs="Arial"/>
          <w:sz w:val="22"/>
          <w:szCs w:val="22"/>
          <w:lang w:eastAsia="en-GB"/>
        </w:rPr>
        <w:t xml:space="preserve">scaling CSA practices through private sector partnerships and engagement, and finalising grant-funded activities. </w:t>
      </w:r>
      <w:r w:rsidRPr="334BBF58" w:rsidR="00DC5E58">
        <w:rPr>
          <w:rFonts w:cs="Arial"/>
          <w:sz w:val="22"/>
          <w:szCs w:val="22"/>
          <w:lang w:eastAsia="en-GB"/>
        </w:rPr>
        <w:t>Despite the ongoing delays</w:t>
      </w:r>
      <w:r w:rsidRPr="334BBF58" w:rsidR="00F205A0">
        <w:rPr>
          <w:rFonts w:cs="Arial"/>
          <w:sz w:val="22"/>
          <w:szCs w:val="22"/>
          <w:lang w:eastAsia="en-GB"/>
        </w:rPr>
        <w:t xml:space="preserve"> to ERPA signatures</w:t>
      </w:r>
      <w:r w:rsidRPr="334BBF58" w:rsidR="00DC5E58">
        <w:rPr>
          <w:rFonts w:cs="Arial"/>
          <w:sz w:val="22"/>
          <w:szCs w:val="22"/>
          <w:lang w:eastAsia="en-GB"/>
        </w:rPr>
        <w:t xml:space="preserve">, </w:t>
      </w:r>
      <w:r w:rsidRPr="334BBF58" w:rsidR="00F205A0">
        <w:rPr>
          <w:rFonts w:cs="Arial"/>
          <w:sz w:val="22"/>
          <w:szCs w:val="22"/>
          <w:lang w:eastAsia="en-GB"/>
        </w:rPr>
        <w:t>there</w:t>
      </w:r>
      <w:r w:rsidRPr="334BBF58" w:rsidR="00F205A0">
        <w:rPr>
          <w:rFonts w:cs="Arial"/>
          <w:sz w:val="22"/>
          <w:szCs w:val="22"/>
          <w:lang w:eastAsia="en-GB"/>
        </w:rPr>
        <w:t xml:space="preserve"> is</w:t>
      </w:r>
      <w:r w:rsidRPr="334BBF58" w:rsidR="00DC5E58">
        <w:rPr>
          <w:rFonts w:cs="Arial"/>
          <w:sz w:val="22"/>
          <w:szCs w:val="22"/>
          <w:lang w:eastAsia="en-GB"/>
        </w:rPr>
        <w:t xml:space="preserve"> confidence that the next stage of the programme will progress as planned</w:t>
      </w:r>
      <w:r w:rsidRPr="334BBF58" w:rsidR="009D4140">
        <w:rPr>
          <w:rFonts w:cs="Arial"/>
          <w:sz w:val="22"/>
          <w:szCs w:val="22"/>
          <w:lang w:eastAsia="en-GB"/>
        </w:rPr>
        <w:t>, with ERPA signatures in the remaining three countries</w:t>
      </w:r>
      <w:r w:rsidRPr="334BBF58" w:rsidR="00DC5E58">
        <w:rPr>
          <w:rFonts w:cs="Arial"/>
          <w:sz w:val="22"/>
          <w:szCs w:val="22"/>
          <w:lang w:eastAsia="en-GB"/>
        </w:rPr>
        <w:t xml:space="preserve">. </w:t>
      </w:r>
      <w:r w:rsidRPr="334BBF58" w:rsidR="00B24594">
        <w:rPr>
          <w:rFonts w:cs="Arial"/>
          <w:sz w:val="22"/>
          <w:szCs w:val="22"/>
          <w:lang w:eastAsia="en-GB"/>
        </w:rPr>
        <w:t>Beyond</w:t>
      </w:r>
      <w:r w:rsidRPr="334BBF58" w:rsidR="00B24594">
        <w:rPr>
          <w:rFonts w:cs="Arial"/>
          <w:sz w:val="22"/>
          <w:szCs w:val="22"/>
          <w:lang w:eastAsia="en-GB"/>
        </w:rPr>
        <w:t xml:space="preserve"> this</w:t>
      </w:r>
      <w:r w:rsidRPr="334BBF58" w:rsidR="00DC5E58">
        <w:rPr>
          <w:rFonts w:cs="Arial"/>
          <w:sz w:val="22"/>
          <w:szCs w:val="22"/>
          <w:lang w:eastAsia="en-GB"/>
        </w:rPr>
        <w:t xml:space="preserve">, </w:t>
      </w:r>
      <w:r w:rsidRPr="334BBF58" w:rsidR="00B24594">
        <w:rPr>
          <w:rFonts w:cs="Arial"/>
          <w:sz w:val="22"/>
          <w:szCs w:val="22"/>
          <w:lang w:eastAsia="en-GB"/>
        </w:rPr>
        <w:t xml:space="preserve">the </w:t>
      </w:r>
      <w:r w:rsidRPr="334BBF58" w:rsidR="00266ADE">
        <w:rPr>
          <w:rFonts w:eastAsia="Arial" w:cs="Arial"/>
          <w:color w:val="000000" w:themeColor="text1" w:themeTint="FF" w:themeShade="FF"/>
          <w:sz w:val="22"/>
          <w:szCs w:val="22"/>
        </w:rPr>
        <w:t xml:space="preserve">ISFL </w:t>
      </w:r>
      <w:r w:rsidRPr="334BBF58" w:rsidR="00B24594">
        <w:rPr>
          <w:rFonts w:eastAsia="Arial" w:cs="Arial"/>
          <w:color w:val="000000" w:themeColor="text1" w:themeTint="FF" w:themeShade="FF"/>
          <w:sz w:val="22"/>
          <w:szCs w:val="22"/>
        </w:rPr>
        <w:t xml:space="preserve">programme </w:t>
      </w:r>
      <w:r w:rsidRPr="334BBF58" w:rsidR="00266ADE">
        <w:rPr>
          <w:rFonts w:eastAsia="Arial" w:cs="Arial"/>
          <w:color w:val="000000" w:themeColor="text1" w:themeTint="FF" w:themeShade="FF"/>
          <w:sz w:val="22"/>
          <w:szCs w:val="22"/>
        </w:rPr>
        <w:t>is</w:t>
      </w:r>
      <w:r w:rsidRPr="334BBF58" w:rsidR="009D4140">
        <w:rPr>
          <w:rFonts w:eastAsia="Arial" w:cs="Arial"/>
          <w:color w:val="000000" w:themeColor="text1" w:themeTint="FF" w:themeShade="FF"/>
          <w:sz w:val="22"/>
          <w:szCs w:val="22"/>
        </w:rPr>
        <w:t xml:space="preserve"> expected to</w:t>
      </w:r>
      <w:r w:rsidRPr="334BBF58" w:rsidR="00266ADE">
        <w:rPr>
          <w:rFonts w:eastAsia="Arial" w:cs="Arial"/>
          <w:color w:val="000000" w:themeColor="text1" w:themeTint="FF" w:themeShade="FF"/>
          <w:sz w:val="22"/>
          <w:szCs w:val="22"/>
        </w:rPr>
        <w:t xml:space="preserve"> enter</w:t>
      </w:r>
      <w:r w:rsidRPr="334BBF58" w:rsidR="009D4140">
        <w:rPr>
          <w:rFonts w:eastAsia="Arial" w:cs="Arial"/>
          <w:color w:val="000000" w:themeColor="text1" w:themeTint="FF" w:themeShade="FF"/>
          <w:sz w:val="22"/>
          <w:szCs w:val="22"/>
        </w:rPr>
        <w:t xml:space="preserve"> </w:t>
      </w:r>
      <w:r w:rsidRPr="334BBF58" w:rsidR="00266ADE">
        <w:rPr>
          <w:rFonts w:eastAsia="Arial" w:cs="Arial"/>
          <w:color w:val="000000" w:themeColor="text1" w:themeTint="FF" w:themeShade="FF"/>
          <w:sz w:val="22"/>
          <w:szCs w:val="22"/>
        </w:rPr>
        <w:t xml:space="preserve">a new phase, with </w:t>
      </w:r>
      <w:r w:rsidRPr="334BBF58" w:rsidR="00F205A0">
        <w:rPr>
          <w:rFonts w:eastAsia="Arial" w:cs="Arial"/>
          <w:color w:val="000000" w:themeColor="text1" w:themeTint="FF" w:themeShade="FF"/>
          <w:sz w:val="22"/>
          <w:szCs w:val="22"/>
        </w:rPr>
        <w:t>the first</w:t>
      </w:r>
      <w:r w:rsidRPr="334BBF58" w:rsidR="00266ADE">
        <w:rPr>
          <w:rFonts w:eastAsia="Arial" w:cs="Arial"/>
          <w:color w:val="000000" w:themeColor="text1" w:themeTint="FF" w:themeShade="FF"/>
          <w:sz w:val="22"/>
          <w:szCs w:val="22"/>
        </w:rPr>
        <w:t xml:space="preserve"> </w:t>
      </w:r>
      <w:r w:rsidRPr="334BBF58" w:rsidR="00B24594">
        <w:rPr>
          <w:rFonts w:eastAsia="Arial" w:cs="Arial"/>
          <w:color w:val="000000" w:themeColor="text1" w:themeTint="FF" w:themeShade="FF"/>
          <w:sz w:val="22"/>
          <w:szCs w:val="22"/>
        </w:rPr>
        <w:t>ISFL</w:t>
      </w:r>
      <w:r w:rsidRPr="334BBF58" w:rsidR="00F205A0">
        <w:rPr>
          <w:rFonts w:eastAsia="Arial" w:cs="Arial"/>
          <w:color w:val="000000" w:themeColor="text1" w:themeTint="FF" w:themeShade="FF"/>
          <w:sz w:val="22"/>
          <w:szCs w:val="22"/>
        </w:rPr>
        <w:t xml:space="preserve"> emission reductions </w:t>
      </w:r>
      <w:r w:rsidRPr="334BBF58" w:rsidR="00B24594">
        <w:rPr>
          <w:rFonts w:eastAsia="Arial" w:cs="Arial"/>
          <w:color w:val="000000" w:themeColor="text1" w:themeTint="FF" w:themeShade="FF"/>
          <w:sz w:val="22"/>
          <w:szCs w:val="22"/>
        </w:rPr>
        <w:t xml:space="preserve">being verified </w:t>
      </w:r>
      <w:r w:rsidRPr="334BBF58" w:rsidR="00F205A0">
        <w:rPr>
          <w:rFonts w:eastAsia="Arial" w:cs="Arial"/>
          <w:color w:val="000000" w:themeColor="text1" w:themeTint="FF" w:themeShade="FF"/>
          <w:sz w:val="22"/>
          <w:szCs w:val="22"/>
        </w:rPr>
        <w:t xml:space="preserve">and </w:t>
      </w:r>
      <w:r w:rsidRPr="334BBF58" w:rsidR="00BA4503">
        <w:rPr>
          <w:rFonts w:eastAsia="Arial" w:cs="Arial"/>
          <w:color w:val="000000" w:themeColor="text1" w:themeTint="FF" w:themeShade="FF"/>
          <w:sz w:val="22"/>
          <w:szCs w:val="22"/>
        </w:rPr>
        <w:t xml:space="preserve">the first ERPA payments </w:t>
      </w:r>
      <w:r w:rsidRPr="334BBF58" w:rsidR="00F13E7A">
        <w:rPr>
          <w:rFonts w:eastAsia="Arial" w:cs="Arial"/>
          <w:color w:val="000000" w:themeColor="text1" w:themeTint="FF" w:themeShade="FF"/>
          <w:sz w:val="22"/>
          <w:szCs w:val="22"/>
        </w:rPr>
        <w:t>and/or carbon markets</w:t>
      </w:r>
      <w:r w:rsidRPr="334BBF58" w:rsidR="00F205A0">
        <w:rPr>
          <w:rFonts w:eastAsia="Arial" w:cs="Arial"/>
          <w:color w:val="000000" w:themeColor="text1" w:themeTint="FF" w:themeShade="FF"/>
          <w:sz w:val="22"/>
          <w:szCs w:val="22"/>
        </w:rPr>
        <w:t xml:space="preserve"> </w:t>
      </w:r>
      <w:r w:rsidRPr="334BBF58" w:rsidR="00266ADE">
        <w:rPr>
          <w:rFonts w:eastAsia="Arial" w:cs="Arial"/>
          <w:color w:val="000000" w:themeColor="text1" w:themeTint="FF" w:themeShade="FF"/>
          <w:sz w:val="22"/>
          <w:szCs w:val="22"/>
        </w:rPr>
        <w:t xml:space="preserve">transactions </w:t>
      </w:r>
      <w:r w:rsidRPr="334BBF58" w:rsidR="00F13E7A">
        <w:rPr>
          <w:rFonts w:eastAsia="Arial" w:cs="Arial"/>
          <w:color w:val="000000" w:themeColor="text1" w:themeTint="FF" w:themeShade="FF"/>
          <w:sz w:val="22"/>
          <w:szCs w:val="22"/>
        </w:rPr>
        <w:t xml:space="preserve">to </w:t>
      </w:r>
      <w:r w:rsidRPr="334BBF58" w:rsidR="00F13E7A">
        <w:rPr>
          <w:rFonts w:eastAsia="Arial" w:cs="Arial"/>
          <w:color w:val="000000" w:themeColor="text1" w:themeTint="FF" w:themeShade="FF"/>
          <w:sz w:val="22"/>
          <w:szCs w:val="22"/>
        </w:rPr>
        <w:t>follow shortly after</w:t>
      </w:r>
      <w:r w:rsidRPr="334BBF58" w:rsidR="00266ADE">
        <w:rPr>
          <w:rFonts w:eastAsia="Arial" w:cs="Arial"/>
          <w:color w:val="000000" w:themeColor="text1" w:themeTint="FF" w:themeShade="FF"/>
          <w:sz w:val="22"/>
          <w:szCs w:val="22"/>
        </w:rPr>
        <w:t xml:space="preserve">. </w:t>
      </w:r>
      <w:r w:rsidRPr="334BBF58" w:rsidR="00EB4837">
        <w:rPr>
          <w:rFonts w:eastAsia="Arial" w:cs="Arial"/>
          <w:color w:val="000000" w:themeColor="text1" w:themeTint="FF" w:themeShade="FF"/>
          <w:sz w:val="22"/>
          <w:szCs w:val="22"/>
        </w:rPr>
        <w:t>I</w:t>
      </w:r>
      <w:r w:rsidRPr="334BBF58" w:rsidR="00266ADE">
        <w:rPr>
          <w:rFonts w:eastAsia="Arial" w:cs="Arial"/>
          <w:color w:val="000000" w:themeColor="text1" w:themeTint="FF" w:themeShade="FF"/>
          <w:sz w:val="22"/>
          <w:szCs w:val="22"/>
        </w:rPr>
        <w:t>nterest</w:t>
      </w:r>
      <w:r w:rsidRPr="334BBF58" w:rsidR="00266ADE">
        <w:rPr>
          <w:rFonts w:eastAsia="Arial" w:cs="Arial"/>
          <w:color w:val="000000" w:themeColor="text1" w:themeTint="FF" w:themeShade="FF"/>
          <w:sz w:val="22"/>
          <w:szCs w:val="22"/>
        </w:rPr>
        <w:t xml:space="preserve"> from private sector buyers is growing</w:t>
      </w:r>
      <w:r w:rsidRPr="334BBF58" w:rsidR="00EB4837">
        <w:rPr>
          <w:rFonts w:eastAsia="Arial" w:cs="Arial"/>
          <w:color w:val="000000" w:themeColor="text1" w:themeTint="FF" w:themeShade="FF"/>
          <w:sz w:val="22"/>
          <w:szCs w:val="22"/>
        </w:rPr>
        <w:t xml:space="preserve">, particularly for credits from </w:t>
      </w:r>
      <w:r w:rsidRPr="334BBF58" w:rsidR="00EB4837">
        <w:rPr>
          <w:rFonts w:eastAsia="Arial" w:cs="Arial"/>
          <w:color w:val="000000" w:themeColor="text1" w:themeTint="FF" w:themeShade="FF"/>
          <w:sz w:val="22"/>
          <w:szCs w:val="22"/>
        </w:rPr>
        <w:t>Ethiopia and Zambia,</w:t>
      </w:r>
      <w:r w:rsidRPr="334BBF58" w:rsidR="00EB4837">
        <w:rPr>
          <w:rFonts w:eastAsia="Arial" w:cs="Arial"/>
          <w:color w:val="000000" w:themeColor="text1" w:themeTint="FF" w:themeShade="FF"/>
          <w:sz w:val="22"/>
          <w:szCs w:val="22"/>
        </w:rPr>
        <w:t xml:space="preserve"> although ultimate price and appetite may be dependent on external decisions </w:t>
      </w:r>
      <w:r w:rsidRPr="334BBF58" w:rsidR="00266ADE">
        <w:rPr>
          <w:rFonts w:eastAsia="Arial" w:cs="Arial"/>
          <w:color w:val="000000" w:themeColor="text1" w:themeTint="FF" w:themeShade="FF"/>
          <w:sz w:val="22"/>
          <w:szCs w:val="22"/>
        </w:rPr>
        <w:t>from compliance markets</w:t>
      </w:r>
      <w:r w:rsidRPr="334BBF58" w:rsidR="00EB4837">
        <w:rPr>
          <w:rFonts w:eastAsia="Arial" w:cs="Arial"/>
          <w:color w:val="000000" w:themeColor="text1" w:themeTint="FF" w:themeShade="FF"/>
          <w:sz w:val="22"/>
          <w:szCs w:val="22"/>
        </w:rPr>
        <w:t xml:space="preserve"> such as CORSIA</w:t>
      </w:r>
      <w:r w:rsidRPr="334BBF58" w:rsidR="00266ADE">
        <w:rPr>
          <w:rFonts w:eastAsia="Arial" w:cs="Arial"/>
          <w:color w:val="000000" w:themeColor="text1" w:themeTint="FF" w:themeShade="FF"/>
          <w:sz w:val="22"/>
          <w:szCs w:val="22"/>
        </w:rPr>
        <w:t xml:space="preserve">. </w:t>
      </w:r>
      <w:r w:rsidRPr="334BBF58" w:rsidR="00EB4837">
        <w:rPr>
          <w:rFonts w:eastAsia="Arial" w:cs="Arial"/>
          <w:color w:val="000000" w:themeColor="text1" w:themeTint="FF" w:themeShade="FF"/>
          <w:sz w:val="22"/>
          <w:szCs w:val="22"/>
        </w:rPr>
        <w:t>Should</w:t>
      </w:r>
      <w:r w:rsidRPr="334BBF58" w:rsidR="00EB4837">
        <w:rPr>
          <w:rFonts w:eastAsia="Arial" w:cs="Arial"/>
          <w:color w:val="000000" w:themeColor="text1" w:themeTint="FF" w:themeShade="FF"/>
          <w:sz w:val="22"/>
          <w:szCs w:val="22"/>
        </w:rPr>
        <w:t xml:space="preserve"> </w:t>
      </w:r>
      <w:r w:rsidRPr="334BBF58" w:rsidR="00266ADE">
        <w:rPr>
          <w:rFonts w:eastAsia="Arial" w:cs="Arial"/>
          <w:color w:val="000000" w:themeColor="text1" w:themeTint="FF" w:themeShade="FF"/>
          <w:sz w:val="22"/>
          <w:szCs w:val="22"/>
        </w:rPr>
        <w:t xml:space="preserve">transactions </w:t>
      </w:r>
      <w:r w:rsidRPr="334BBF58" w:rsidR="00EB4837">
        <w:rPr>
          <w:rFonts w:eastAsia="Arial" w:cs="Arial"/>
          <w:color w:val="000000" w:themeColor="text1" w:themeTint="FF" w:themeShade="FF"/>
          <w:sz w:val="22"/>
          <w:szCs w:val="22"/>
        </w:rPr>
        <w:t xml:space="preserve">go ahead, they will </w:t>
      </w:r>
      <w:r w:rsidRPr="334BBF58" w:rsidR="00EB4837">
        <w:rPr>
          <w:rFonts w:eastAsia="Arial" w:cs="Arial"/>
          <w:color w:val="000000" w:themeColor="text1" w:themeTint="FF" w:themeShade="FF"/>
          <w:sz w:val="22"/>
          <w:szCs w:val="22"/>
        </w:rPr>
        <w:t>u</w:t>
      </w:r>
      <w:r w:rsidRPr="334BBF58" w:rsidR="00266ADE">
        <w:rPr>
          <w:rFonts w:eastAsia="Arial" w:cs="Arial"/>
          <w:color w:val="000000" w:themeColor="text1" w:themeTint="FF" w:themeShade="FF"/>
          <w:sz w:val="22"/>
          <w:szCs w:val="22"/>
        </w:rPr>
        <w:t>nlock</w:t>
      </w:r>
      <w:r w:rsidRPr="334BBF58" w:rsidR="00266ADE">
        <w:rPr>
          <w:rFonts w:eastAsia="Arial" w:cs="Arial"/>
          <w:color w:val="000000" w:themeColor="text1" w:themeTint="FF" w:themeShade="FF"/>
          <w:sz w:val="22"/>
          <w:szCs w:val="22"/>
        </w:rPr>
        <w:t xml:space="preserve"> </w:t>
      </w:r>
      <w:r w:rsidRPr="334BBF58" w:rsidR="00EB4837">
        <w:rPr>
          <w:rFonts w:eastAsia="Arial" w:cs="Arial"/>
          <w:color w:val="000000" w:themeColor="text1" w:themeTint="FF" w:themeShade="FF"/>
          <w:sz w:val="22"/>
          <w:szCs w:val="22"/>
        </w:rPr>
        <w:t>major</w:t>
      </w:r>
      <w:r w:rsidRPr="334BBF58" w:rsidR="00266ADE">
        <w:rPr>
          <w:rFonts w:eastAsia="Arial" w:cs="Arial"/>
          <w:color w:val="000000" w:themeColor="text1" w:themeTint="FF" w:themeShade="FF"/>
          <w:sz w:val="22"/>
          <w:szCs w:val="22"/>
        </w:rPr>
        <w:t xml:space="preserve"> financing streams, enabling the implementation of BSPs that expand activities, create jobs, and strengthen community resilience. </w:t>
      </w:r>
    </w:p>
    <w:p w:rsidR="006E7299" w:rsidP="00DC5E58" w:rsidRDefault="006E7299" w14:paraId="1B35B659" w14:textId="77777777">
      <w:pPr>
        <w:jc w:val="both"/>
        <w:rPr>
          <w:rFonts w:eastAsia="Arial" w:cs="Arial"/>
          <w:color w:val="000000" w:themeColor="text1"/>
          <w:sz w:val="22"/>
          <w:szCs w:val="22"/>
        </w:rPr>
      </w:pPr>
    </w:p>
    <w:p w:rsidRPr="00F86D81" w:rsidR="00DC5E58" w:rsidP="00DC5E58" w:rsidRDefault="00DC5E58" w14:paraId="149D1AAE" w14:textId="6DE31E12">
      <w:pPr>
        <w:jc w:val="both"/>
        <w:rPr>
          <w:rFonts w:eastAsia="Arial" w:cs="Arial"/>
          <w:color w:val="000000" w:themeColor="text1"/>
          <w:sz w:val="22"/>
          <w:szCs w:val="22"/>
        </w:rPr>
      </w:pPr>
      <w:r w:rsidRPr="334BBF58" w:rsidR="00DC5E58">
        <w:rPr>
          <w:rFonts w:cs="Arial"/>
          <w:sz w:val="22"/>
          <w:szCs w:val="22"/>
          <w:lang w:eastAsia="en-GB"/>
        </w:rPr>
        <w:t xml:space="preserve">We expect, and the World Bank are confident, that the programme will deliver on intended outcomes over the lifetime of the programme. Therefore, the ISFL programme should continue. </w:t>
      </w:r>
      <w:r w:rsidRPr="334BBF58" w:rsidR="00DC5E58">
        <w:rPr>
          <w:rFonts w:cs="Arial"/>
          <w:sz w:val="22"/>
          <w:szCs w:val="22"/>
          <w:lang w:eastAsia="en-GB"/>
        </w:rPr>
        <w:t>However, as</w:t>
      </w:r>
      <w:r w:rsidRPr="334BBF58" w:rsidR="78A7EE62">
        <w:rPr>
          <w:rFonts w:cs="Arial"/>
          <w:sz w:val="22"/>
          <w:szCs w:val="22"/>
          <w:lang w:eastAsia="en-GB"/>
        </w:rPr>
        <w:t xml:space="preserve"> </w:t>
      </w:r>
      <w:r w:rsidRPr="334BBF58" w:rsidR="78A7EE62">
        <w:rPr>
          <w:rFonts w:cs="Arial"/>
          <w:sz w:val="22"/>
          <w:szCs w:val="22"/>
          <w:lang w:eastAsia="en-GB"/>
        </w:rPr>
        <w:t>the majority of</w:t>
      </w:r>
      <w:r w:rsidRPr="334BBF58" w:rsidR="78A7EE62">
        <w:rPr>
          <w:rFonts w:cs="Arial"/>
          <w:sz w:val="22"/>
          <w:szCs w:val="22"/>
          <w:lang w:eastAsia="en-GB"/>
        </w:rPr>
        <w:t xml:space="preserve"> grant programmes are </w:t>
      </w:r>
      <w:r w:rsidRPr="334BBF58" w:rsidR="78A7EE62">
        <w:rPr>
          <w:rFonts w:cs="Arial"/>
          <w:sz w:val="22"/>
          <w:szCs w:val="22"/>
          <w:lang w:eastAsia="en-GB"/>
        </w:rPr>
        <w:t>closed</w:t>
      </w:r>
      <w:r w:rsidRPr="334BBF58" w:rsidR="78A7EE62">
        <w:rPr>
          <w:rFonts w:cs="Arial"/>
          <w:sz w:val="22"/>
          <w:szCs w:val="22"/>
          <w:lang w:eastAsia="en-GB"/>
        </w:rPr>
        <w:t xml:space="preserve"> and </w:t>
      </w:r>
      <w:r w:rsidRPr="334BBF58" w:rsidR="78A7EE62">
        <w:rPr>
          <w:rFonts w:cs="Arial"/>
          <w:sz w:val="22"/>
          <w:szCs w:val="22"/>
          <w:lang w:eastAsia="en-GB"/>
        </w:rPr>
        <w:t xml:space="preserve">the programme is moving into </w:t>
      </w:r>
      <w:r w:rsidRPr="334BBF58" w:rsidR="78A7EE62">
        <w:rPr>
          <w:rFonts w:cs="Arial"/>
          <w:sz w:val="22"/>
          <w:szCs w:val="22"/>
          <w:lang w:eastAsia="en-GB"/>
        </w:rPr>
        <w:t xml:space="preserve">the next </w:t>
      </w:r>
      <w:r w:rsidRPr="334BBF58" w:rsidR="78A7EE62">
        <w:rPr>
          <w:rFonts w:cs="Arial"/>
          <w:sz w:val="22"/>
          <w:szCs w:val="22"/>
          <w:lang w:eastAsia="en-GB"/>
        </w:rPr>
        <w:t xml:space="preserve">phase of </w:t>
      </w:r>
      <w:r w:rsidRPr="334BBF58" w:rsidR="78A7EE62">
        <w:rPr>
          <w:rFonts w:cs="Arial"/>
          <w:sz w:val="22"/>
          <w:szCs w:val="22"/>
          <w:lang w:eastAsia="en-GB"/>
        </w:rPr>
        <w:t>implementing emission reductions programmes</w:t>
      </w:r>
      <w:r w:rsidRPr="334BBF58" w:rsidR="007E6D47">
        <w:rPr>
          <w:rFonts w:cs="Arial"/>
          <w:sz w:val="22"/>
          <w:szCs w:val="22"/>
          <w:lang w:eastAsia="en-GB"/>
        </w:rPr>
        <w:t xml:space="preserve"> </w:t>
      </w:r>
      <w:r w:rsidRPr="334BBF58" w:rsidR="00DC5E58">
        <w:rPr>
          <w:rFonts w:cs="Arial"/>
          <w:sz w:val="22"/>
          <w:szCs w:val="22"/>
          <w:lang w:eastAsia="en-GB"/>
        </w:rPr>
        <w:t>in FY3</w:t>
      </w:r>
      <w:r w:rsidRPr="334BBF58" w:rsidR="00C2082D">
        <w:rPr>
          <w:rFonts w:cs="Arial"/>
          <w:sz w:val="22"/>
          <w:szCs w:val="22"/>
          <w:lang w:eastAsia="en-GB"/>
        </w:rPr>
        <w:t>1</w:t>
      </w:r>
      <w:r w:rsidRPr="334BBF58" w:rsidR="00DC5E58">
        <w:rPr>
          <w:rFonts w:cs="Arial"/>
          <w:sz w:val="22"/>
          <w:szCs w:val="22"/>
          <w:lang w:eastAsia="en-GB"/>
        </w:rPr>
        <w:t xml:space="preserve">, the risk that the cumulative delays leave insufficient time to generate ERs, disburse the corresponding </w:t>
      </w:r>
      <w:r w:rsidRPr="334BBF58" w:rsidR="00DC5E58">
        <w:rPr>
          <w:rFonts w:cs="Arial"/>
          <w:sz w:val="22"/>
          <w:szCs w:val="22"/>
          <w:lang w:eastAsia="en-GB"/>
        </w:rPr>
        <w:t>payments</w:t>
      </w:r>
      <w:r w:rsidRPr="334BBF58" w:rsidR="00DC5E58">
        <w:rPr>
          <w:rFonts w:cs="Arial"/>
          <w:sz w:val="22"/>
          <w:szCs w:val="22"/>
          <w:lang w:eastAsia="en-GB"/>
        </w:rPr>
        <w:t xml:space="preserve"> and </w:t>
      </w:r>
      <w:r w:rsidRPr="334BBF58" w:rsidR="00DC5E58">
        <w:rPr>
          <w:rFonts w:cs="Arial"/>
          <w:sz w:val="22"/>
          <w:szCs w:val="22"/>
          <w:lang w:eastAsia="en-GB"/>
        </w:rPr>
        <w:t>monitor</w:t>
      </w:r>
      <w:r w:rsidRPr="334BBF58" w:rsidR="00DC5E58">
        <w:rPr>
          <w:rFonts w:cs="Arial"/>
          <w:sz w:val="22"/>
          <w:szCs w:val="22"/>
          <w:lang w:eastAsia="en-GB"/>
        </w:rPr>
        <w:t xml:space="preserve"> benefits, continues to grow. </w:t>
      </w:r>
      <w:r w:rsidRPr="334BBF58" w:rsidR="5CED1BA2">
        <w:rPr>
          <w:rFonts w:cs="Arial"/>
          <w:sz w:val="22"/>
          <w:szCs w:val="22"/>
          <w:lang w:eastAsia="en-GB"/>
        </w:rPr>
        <w:t xml:space="preserve">This risk needs to continue to be </w:t>
      </w:r>
      <w:r w:rsidRPr="334BBF58" w:rsidR="5CED1BA2">
        <w:rPr>
          <w:rFonts w:cs="Arial"/>
          <w:sz w:val="22"/>
          <w:szCs w:val="22"/>
          <w:lang w:eastAsia="en-GB"/>
        </w:rPr>
        <w:t>monitored</w:t>
      </w:r>
      <w:r w:rsidRPr="334BBF58" w:rsidR="5CED1BA2">
        <w:rPr>
          <w:rFonts w:cs="Arial"/>
          <w:sz w:val="22"/>
          <w:szCs w:val="22"/>
          <w:lang w:eastAsia="en-GB"/>
        </w:rPr>
        <w:t xml:space="preserve"> closely going forwards, and </w:t>
      </w:r>
      <w:r w:rsidRPr="334BBF58" w:rsidR="002474F3">
        <w:rPr>
          <w:rFonts w:cs="Arial"/>
          <w:sz w:val="22"/>
          <w:szCs w:val="22"/>
          <w:lang w:eastAsia="en-GB"/>
        </w:rPr>
        <w:t>i</w:t>
      </w:r>
      <w:r w:rsidRPr="334BBF58" w:rsidR="00DC5E58">
        <w:rPr>
          <w:rFonts w:cs="Arial"/>
          <w:sz w:val="22"/>
          <w:szCs w:val="22"/>
          <w:lang w:eastAsia="en-GB"/>
        </w:rPr>
        <w:t>t</w:t>
      </w:r>
      <w:r w:rsidRPr="334BBF58" w:rsidR="00DC5E58">
        <w:rPr>
          <w:rFonts w:cs="Arial"/>
          <w:sz w:val="22"/>
          <w:szCs w:val="22"/>
          <w:lang w:eastAsia="en-GB"/>
        </w:rPr>
        <w:t xml:space="preserve"> is essential that the remaining ERPAs are signed in FY2</w:t>
      </w:r>
      <w:r w:rsidRPr="334BBF58" w:rsidR="00C42B01">
        <w:rPr>
          <w:rFonts w:cs="Arial"/>
          <w:sz w:val="22"/>
          <w:szCs w:val="22"/>
          <w:lang w:eastAsia="en-GB"/>
        </w:rPr>
        <w:t>6</w:t>
      </w:r>
      <w:r w:rsidRPr="334BBF58" w:rsidR="00DC5E58">
        <w:rPr>
          <w:rFonts w:cs="Arial"/>
          <w:sz w:val="22"/>
          <w:szCs w:val="22"/>
          <w:lang w:eastAsia="en-GB"/>
        </w:rPr>
        <w:t>.   </w:t>
      </w:r>
    </w:p>
    <w:p w:rsidRPr="002A5992" w:rsidR="657AB3C1" w:rsidP="002A5992" w:rsidRDefault="657AB3C1" w14:paraId="1276E653" w14:textId="565F7D95"/>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CB2873" w:rsidTr="376EB76A" w14:paraId="13F66B93" w14:textId="77777777">
        <w:tc>
          <w:tcPr>
            <w:tcW w:w="9016" w:type="dxa"/>
            <w:shd w:val="clear" w:color="auto" w:fill="DEEAF6" w:themeFill="accent5" w:themeFillTint="33"/>
            <w:tcMar/>
          </w:tcPr>
          <w:p w:rsidR="00CB2873" w:rsidP="6F6D32E1" w:rsidRDefault="00CB2873" w14:paraId="3D58D529" w14:textId="33611CD0">
            <w:pPr>
              <w:jc w:val="both"/>
              <w:rPr>
                <w:rStyle w:val="Heading1Char"/>
                <w:rFonts w:ascii="Arial" w:hAnsi="Arial" w:cs="Arial"/>
                <w:b w:val="1"/>
                <w:bCs w:val="1"/>
                <w:color w:val="auto"/>
              </w:rPr>
            </w:pPr>
            <w:bookmarkStart w:name="_Toc62532432" w:id="1683083670"/>
            <w:r w:rsidRPr="376EB76A" w:rsidR="7263CD82">
              <w:rPr>
                <w:rStyle w:val="Heading1Char"/>
                <w:rFonts w:ascii="Arial" w:hAnsi="Arial" w:cs="Arial"/>
                <w:b w:val="1"/>
                <w:bCs w:val="1"/>
                <w:color w:val="auto"/>
              </w:rPr>
              <w:t xml:space="preserve">Section C: Output </w:t>
            </w:r>
            <w:r w:rsidRPr="376EB76A" w:rsidR="23528B14">
              <w:rPr>
                <w:rStyle w:val="Heading1Char"/>
                <w:rFonts w:ascii="Arial" w:hAnsi="Arial" w:cs="Arial"/>
                <w:b w:val="1"/>
                <w:bCs w:val="1"/>
                <w:color w:val="auto"/>
              </w:rPr>
              <w:t>s</w:t>
            </w:r>
            <w:r w:rsidRPr="376EB76A" w:rsidR="7263CD82">
              <w:rPr>
                <w:rStyle w:val="Heading1Char"/>
                <w:rFonts w:ascii="Arial" w:hAnsi="Arial" w:cs="Arial"/>
                <w:b w:val="1"/>
                <w:bCs w:val="1"/>
                <w:color w:val="auto"/>
              </w:rPr>
              <w:t>coring</w:t>
            </w:r>
            <w:bookmarkEnd w:id="1683083670"/>
          </w:p>
        </w:tc>
      </w:tr>
    </w:tbl>
    <w:p w:rsidRPr="00D80C6C" w:rsidR="003D222C" w:rsidP="004D5FD5" w:rsidRDefault="003D222C" w14:paraId="169A4749" w14:textId="0417776B">
      <w:pPr>
        <w:jc w:val="both"/>
        <w:rPr>
          <w:rFonts w:cs="Arial"/>
          <w:sz w:val="22"/>
          <w:szCs w:val="22"/>
          <w:lang w:val="en" w:eastAsia="en-GB"/>
        </w:rPr>
      </w:pPr>
    </w:p>
    <w:p w:rsidRPr="00953846" w:rsidR="00953846" w:rsidP="004D5FD5" w:rsidRDefault="00953846" w14:paraId="452661DA" w14:textId="40A47751">
      <w:pPr>
        <w:pStyle w:val="Heading2"/>
        <w:jc w:val="both"/>
        <w:rPr>
          <w:sz w:val="24"/>
          <w:szCs w:val="24"/>
        </w:rPr>
      </w:pPr>
      <w:bookmarkStart w:name="_Toc1002024633" w:id="1342120224"/>
      <w:r w:rsidR="05F9024B">
        <w:rPr/>
        <w:t>Output 1:</w:t>
      </w:r>
      <w:r w:rsidR="27578C14">
        <w:rPr/>
        <w:t xml:space="preserve"> Jurisdictional-scale Emissions Reduction Programmes for reducing emissions and improving land management are planned and implemented</w:t>
      </w:r>
      <w:bookmarkEnd w:id="1342120224"/>
    </w:p>
    <w:p w:rsidRPr="00D80C6C" w:rsidR="00C22C27" w:rsidP="004D5FD5" w:rsidRDefault="00C22C27" w14:paraId="055FDF8F" w14:textId="3A297CEA">
      <w:pPr>
        <w:jc w:val="both"/>
        <w:rPr>
          <w:rFonts w:cs="Arial"/>
          <w:sz w:val="22"/>
          <w:szCs w:val="22"/>
        </w:rPr>
      </w:pPr>
    </w:p>
    <w:p w:rsidR="538CF101" w:rsidP="538CF101" w:rsidRDefault="538CF101" w14:paraId="50903CE0" w14:textId="3CD1AB72">
      <w:pPr>
        <w:jc w:val="both"/>
        <w:rPr>
          <w:rFonts w:cs="Arial"/>
          <w:sz w:val="22"/>
          <w:szCs w:val="22"/>
        </w:rPr>
      </w:pPr>
    </w:p>
    <w:tbl>
      <w:tblPr>
        <w:tblStyle w:val="TableGrid"/>
        <w:tblW w:w="9072" w:type="dxa"/>
        <w:tblInd w:w="-5" w:type="dxa"/>
        <w:tblLook w:val="04A0" w:firstRow="1" w:lastRow="0" w:firstColumn="1" w:lastColumn="0" w:noHBand="0" w:noVBand="1"/>
      </w:tblPr>
      <w:tblGrid>
        <w:gridCol w:w="1566"/>
        <w:gridCol w:w="616"/>
        <w:gridCol w:w="1230"/>
        <w:gridCol w:w="2684"/>
        <w:gridCol w:w="2976"/>
      </w:tblGrid>
      <w:tr w:rsidRPr="00D80C6C" w:rsidR="00955308" w:rsidTr="3B50B6AC" w14:paraId="2102EB17" w14:textId="77777777">
        <w:trPr>
          <w:trHeight w:val="489"/>
        </w:trPr>
        <w:tc>
          <w:tcPr>
            <w:tcW w:w="156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3D222C" w:rsidP="004D5FD5" w:rsidRDefault="003D222C" w14:paraId="1A85D6B2" w14:textId="77777777">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D80C6C" w:rsidR="003D222C" w:rsidP="6F6D32E1" w:rsidRDefault="709D092D" w14:paraId="1B8A3AEA" w14:textId="4254E163">
            <w:pPr>
              <w:rPr>
                <w:rFonts w:eastAsia="Arial" w:cs="Arial"/>
                <w:sz w:val="22"/>
                <w:szCs w:val="22"/>
              </w:rPr>
            </w:pPr>
            <w:r w:rsidRPr="6F6D32E1">
              <w:rPr>
                <w:rFonts w:eastAsia="Arial" w:cs="Arial"/>
                <w:color w:val="000000" w:themeColor="text1"/>
                <w:sz w:val="20"/>
                <w:szCs w:val="20"/>
              </w:rPr>
              <w:t>Output 1: Jurisdictional-scale Emissions Reduction Programmes for reducing emissions and improving land management are planned and implemented </w:t>
            </w:r>
          </w:p>
        </w:tc>
      </w:tr>
      <w:tr w:rsidRPr="00D80C6C" w:rsidR="00955308" w:rsidTr="3B50B6AC" w14:paraId="0CA17513" w14:textId="77777777">
        <w:trPr>
          <w:trHeight w:val="347"/>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3D222C" w:rsidP="004D5FD5" w:rsidRDefault="003D222C" w14:paraId="0801A128" w14:textId="77777777">
            <w:pPr>
              <w:jc w:val="both"/>
              <w:rPr>
                <w:rFonts w:cs="Arial"/>
                <w:bCs/>
                <w:sz w:val="22"/>
                <w:szCs w:val="22"/>
              </w:rPr>
            </w:pPr>
            <w:r w:rsidRPr="00D80C6C">
              <w:rPr>
                <w:rFonts w:cs="Arial"/>
                <w:bCs/>
                <w:sz w:val="22"/>
                <w:szCs w:val="22"/>
              </w:rPr>
              <w:t xml:space="preserve">Output number: </w:t>
            </w:r>
          </w:p>
        </w:tc>
        <w:tc>
          <w:tcPr>
            <w:tcW w:w="1230" w:type="dxa"/>
            <w:tcBorders>
              <w:top w:val="single" w:color="auto" w:sz="4" w:space="0"/>
              <w:left w:val="single" w:color="auto" w:sz="4" w:space="0"/>
              <w:bottom w:val="single" w:color="auto" w:sz="4" w:space="0"/>
              <w:right w:val="single" w:color="auto" w:sz="4" w:space="0"/>
            </w:tcBorders>
          </w:tcPr>
          <w:p w:rsidRPr="00D80C6C" w:rsidR="003D222C" w:rsidP="004D5FD5" w:rsidRDefault="5EE7BFAB" w14:paraId="4190402A" w14:textId="33305D9E">
            <w:pPr>
              <w:jc w:val="both"/>
              <w:rPr>
                <w:rFonts w:cs="Arial"/>
                <w:sz w:val="22"/>
                <w:szCs w:val="22"/>
              </w:rPr>
            </w:pPr>
            <w:r w:rsidRPr="6F6D32E1">
              <w:rPr>
                <w:rFonts w:cs="Arial"/>
                <w:sz w:val="22"/>
                <w:szCs w:val="22"/>
              </w:rPr>
              <w:t>1</w:t>
            </w:r>
          </w:p>
        </w:tc>
        <w:tc>
          <w:tcPr>
            <w:tcW w:w="268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3D222C" w:rsidP="004D5FD5" w:rsidRDefault="003D222C" w14:paraId="55FA73C8" w14:textId="77777777">
            <w:pPr>
              <w:jc w:val="both"/>
              <w:rPr>
                <w:rFonts w:cs="Arial"/>
                <w:sz w:val="22"/>
                <w:szCs w:val="22"/>
              </w:rPr>
            </w:pPr>
            <w:r w:rsidRPr="00D80C6C">
              <w:rPr>
                <w:rFonts w:cs="Arial"/>
                <w:bCs/>
                <w:sz w:val="22"/>
                <w:szCs w:val="22"/>
              </w:rPr>
              <w:t xml:space="preserve">Output Score: </w:t>
            </w:r>
          </w:p>
        </w:tc>
        <w:tc>
          <w:tcPr>
            <w:tcW w:w="2976" w:type="dxa"/>
            <w:tcBorders>
              <w:top w:val="single" w:color="auto" w:sz="4" w:space="0"/>
              <w:left w:val="single" w:color="auto" w:sz="4" w:space="0"/>
              <w:bottom w:val="single" w:color="auto" w:sz="4" w:space="0"/>
              <w:right w:val="single" w:color="auto" w:sz="4" w:space="0"/>
            </w:tcBorders>
          </w:tcPr>
          <w:p w:rsidRPr="00DB3B57" w:rsidR="003D222C" w:rsidP="3B50B6AC" w:rsidRDefault="739E18A9" w14:paraId="0438A869" w14:textId="01AF830B">
            <w:pPr>
              <w:jc w:val="both"/>
              <w:rPr>
                <w:rFonts w:cs="Arial"/>
                <w:b/>
                <w:bCs/>
                <w:sz w:val="22"/>
                <w:szCs w:val="22"/>
              </w:rPr>
            </w:pPr>
            <w:r w:rsidRPr="3B50B6AC">
              <w:rPr>
                <w:rFonts w:cs="Arial"/>
                <w:b/>
                <w:bCs/>
                <w:sz w:val="22"/>
                <w:szCs w:val="22"/>
              </w:rPr>
              <w:t>B</w:t>
            </w:r>
          </w:p>
        </w:tc>
      </w:tr>
      <w:tr w:rsidRPr="00D80C6C" w:rsidR="00955308" w:rsidTr="3B50B6AC" w14:paraId="322D9463"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3D222C" w:rsidP="004D5FD5" w:rsidRDefault="003D222C" w14:paraId="291524D5" w14:textId="77777777">
            <w:pPr>
              <w:jc w:val="both"/>
              <w:rPr>
                <w:rFonts w:cs="Arial"/>
                <w:sz w:val="22"/>
                <w:szCs w:val="22"/>
              </w:rPr>
            </w:pPr>
            <w:r w:rsidRPr="00D80C6C">
              <w:rPr>
                <w:rFonts w:cs="Arial"/>
                <w:bCs/>
                <w:sz w:val="22"/>
                <w:szCs w:val="22"/>
              </w:rPr>
              <w:t xml:space="preserve">Impact weighting (%):  </w:t>
            </w:r>
          </w:p>
        </w:tc>
        <w:tc>
          <w:tcPr>
            <w:tcW w:w="1230" w:type="dxa"/>
            <w:tcBorders>
              <w:top w:val="single" w:color="auto" w:sz="4" w:space="0"/>
              <w:left w:val="single" w:color="auto" w:sz="4" w:space="0"/>
              <w:bottom w:val="single" w:color="auto" w:sz="4" w:space="0"/>
              <w:right w:val="single" w:color="auto" w:sz="4" w:space="0"/>
            </w:tcBorders>
            <w:hideMark/>
          </w:tcPr>
          <w:p w:rsidRPr="00D80C6C" w:rsidR="003D222C" w:rsidP="2079C8B4" w:rsidRDefault="530DC292" w14:paraId="2B32CB6F" w14:textId="28A63324">
            <w:pPr>
              <w:jc w:val="both"/>
              <w:rPr>
                <w:rFonts w:cs="Arial"/>
                <w:sz w:val="22"/>
                <w:szCs w:val="22"/>
              </w:rPr>
            </w:pPr>
            <w:r w:rsidRPr="2079C8B4">
              <w:rPr>
                <w:rFonts w:cs="Arial"/>
                <w:sz w:val="22"/>
                <w:szCs w:val="22"/>
              </w:rPr>
              <w:t>50</w:t>
            </w:r>
          </w:p>
        </w:tc>
        <w:tc>
          <w:tcPr>
            <w:tcW w:w="268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3D222C" w:rsidP="004D5FD5" w:rsidRDefault="003D222C" w14:paraId="56B322CF" w14:textId="77777777">
            <w:pPr>
              <w:jc w:val="both"/>
              <w:rPr>
                <w:rFonts w:cs="Arial"/>
                <w:bCs/>
                <w:sz w:val="22"/>
                <w:szCs w:val="22"/>
              </w:rPr>
            </w:pPr>
            <w:r w:rsidRPr="00D80C6C">
              <w:rPr>
                <w:rFonts w:cs="Arial"/>
                <w:bCs/>
                <w:sz w:val="22"/>
                <w:szCs w:val="22"/>
              </w:rPr>
              <w:t xml:space="preserve">Weighting revised since last AR? </w:t>
            </w:r>
          </w:p>
        </w:tc>
        <w:tc>
          <w:tcPr>
            <w:tcW w:w="2976" w:type="dxa"/>
            <w:tcBorders>
              <w:top w:val="single" w:color="auto" w:sz="4" w:space="0"/>
              <w:left w:val="single" w:color="auto" w:sz="4" w:space="0"/>
              <w:bottom w:val="single" w:color="auto" w:sz="4" w:space="0"/>
              <w:right w:val="single" w:color="auto" w:sz="4" w:space="0"/>
            </w:tcBorders>
          </w:tcPr>
          <w:p w:rsidR="33BCA659" w:rsidP="3B50B6AC" w:rsidRDefault="33BCA659" w14:paraId="27AE84A2" w14:textId="5679B061">
            <w:pPr>
              <w:jc w:val="both"/>
              <w:rPr>
                <w:rFonts w:cs="Arial"/>
                <w:b/>
                <w:bCs/>
                <w:sz w:val="22"/>
                <w:szCs w:val="22"/>
              </w:rPr>
            </w:pPr>
            <w:r w:rsidRPr="3B50B6AC">
              <w:rPr>
                <w:rFonts w:cs="Arial"/>
                <w:b/>
                <w:bCs/>
                <w:sz w:val="22"/>
                <w:szCs w:val="22"/>
              </w:rPr>
              <w:t>No</w:t>
            </w:r>
          </w:p>
          <w:p w:rsidRPr="00D80C6C" w:rsidR="003D222C" w:rsidP="2079C8B4" w:rsidRDefault="003D222C" w14:paraId="314B55F6" w14:textId="25B8DAE7">
            <w:pPr>
              <w:jc w:val="both"/>
              <w:rPr>
                <w:rFonts w:cs="Arial"/>
                <w:sz w:val="22"/>
                <w:szCs w:val="22"/>
              </w:rPr>
            </w:pPr>
          </w:p>
        </w:tc>
      </w:tr>
      <w:tr w:rsidRPr="00D80C6C" w:rsidR="00955308" w:rsidTr="3B50B6AC" w14:paraId="49FF75D8"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3D222C" w:rsidP="004D5FD5" w:rsidRDefault="003D222C" w14:paraId="19A26186" w14:textId="5C0E02AC">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1230" w:type="dxa"/>
            <w:tcBorders>
              <w:top w:val="single" w:color="auto" w:sz="4" w:space="0"/>
              <w:left w:val="single" w:color="auto" w:sz="4" w:space="0"/>
              <w:bottom w:val="single" w:color="auto" w:sz="4" w:space="0"/>
              <w:right w:val="single" w:color="auto" w:sz="4" w:space="0"/>
            </w:tcBorders>
          </w:tcPr>
          <w:p w:rsidRPr="00D80C6C" w:rsidR="003D222C" w:rsidP="2079C8B4" w:rsidRDefault="5A469C23" w14:paraId="05841711" w14:textId="288BC923">
            <w:pPr>
              <w:jc w:val="both"/>
              <w:rPr>
                <w:rFonts w:cs="Arial"/>
                <w:sz w:val="22"/>
                <w:szCs w:val="22"/>
              </w:rPr>
            </w:pPr>
            <w:r w:rsidRPr="2079C8B4">
              <w:rPr>
                <w:rFonts w:cs="Arial"/>
                <w:sz w:val="22"/>
                <w:szCs w:val="22"/>
              </w:rPr>
              <w:t>Moderate</w:t>
            </w:r>
          </w:p>
        </w:tc>
        <w:tc>
          <w:tcPr>
            <w:tcW w:w="268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3D222C" w:rsidP="004D5FD5" w:rsidRDefault="003D222C" w14:paraId="3775A24C" w14:textId="77777777">
            <w:pPr>
              <w:jc w:val="both"/>
              <w:rPr>
                <w:rFonts w:cs="Arial"/>
                <w:bCs/>
                <w:sz w:val="22"/>
                <w:szCs w:val="22"/>
              </w:rPr>
            </w:pPr>
            <w:r w:rsidRPr="00D80C6C">
              <w:rPr>
                <w:rFonts w:cs="Arial"/>
                <w:bCs/>
                <w:sz w:val="22"/>
                <w:szCs w:val="22"/>
              </w:rPr>
              <w:t>Risk revised since last AR?</w:t>
            </w:r>
          </w:p>
        </w:tc>
        <w:tc>
          <w:tcPr>
            <w:tcW w:w="2976" w:type="dxa"/>
            <w:tcBorders>
              <w:top w:val="single" w:color="auto" w:sz="4" w:space="0"/>
              <w:left w:val="single" w:color="auto" w:sz="4" w:space="0"/>
              <w:bottom w:val="single" w:color="auto" w:sz="4" w:space="0"/>
              <w:right w:val="single" w:color="auto" w:sz="4" w:space="0"/>
            </w:tcBorders>
          </w:tcPr>
          <w:p w:rsidR="2D5EC947" w:rsidP="3B50B6AC" w:rsidRDefault="2D5EC947" w14:paraId="474A1861" w14:textId="42B8EAA8">
            <w:pPr>
              <w:jc w:val="both"/>
              <w:rPr>
                <w:rFonts w:cs="Arial"/>
                <w:b/>
                <w:bCs/>
                <w:sz w:val="22"/>
                <w:szCs w:val="22"/>
              </w:rPr>
            </w:pPr>
            <w:r w:rsidRPr="3B50B6AC">
              <w:rPr>
                <w:rFonts w:cs="Arial"/>
                <w:b/>
                <w:bCs/>
                <w:sz w:val="22"/>
                <w:szCs w:val="22"/>
              </w:rPr>
              <w:t>No</w:t>
            </w:r>
          </w:p>
          <w:p w:rsidRPr="00D80C6C" w:rsidR="003D222C" w:rsidP="2079C8B4" w:rsidRDefault="003D222C" w14:paraId="36DFFD26" w14:textId="08637C84">
            <w:pPr>
              <w:jc w:val="both"/>
              <w:rPr>
                <w:rFonts w:cs="Arial"/>
                <w:sz w:val="22"/>
                <w:szCs w:val="22"/>
              </w:rPr>
            </w:pPr>
          </w:p>
        </w:tc>
      </w:tr>
    </w:tbl>
    <w:p w:rsidRPr="00D80C6C" w:rsidR="003D222C" w:rsidP="004D5FD5" w:rsidRDefault="003D222C" w14:paraId="6858AD8B"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022"/>
        <w:gridCol w:w="2395"/>
        <w:gridCol w:w="3650"/>
      </w:tblGrid>
      <w:tr w:rsidRPr="00D80C6C" w:rsidR="003D222C" w:rsidTr="334BBF58" w14:paraId="2C0E4C57" w14:textId="77777777">
        <w:trPr>
          <w:trHeight w:val="273"/>
        </w:trPr>
        <w:tc>
          <w:tcPr>
            <w:tcW w:w="3022"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3D222C" w:rsidP="004D5FD5" w:rsidRDefault="003D222C" w14:paraId="2D0691AD" w14:textId="77777777">
            <w:pPr>
              <w:jc w:val="both"/>
              <w:rPr>
                <w:rFonts w:cs="Arial"/>
                <w:b/>
                <w:bCs/>
                <w:sz w:val="22"/>
                <w:szCs w:val="22"/>
              </w:rPr>
            </w:pPr>
            <w:r w:rsidRPr="00D80C6C">
              <w:rPr>
                <w:rFonts w:cs="Arial"/>
                <w:b/>
                <w:bCs/>
                <w:sz w:val="22"/>
                <w:szCs w:val="22"/>
              </w:rPr>
              <w:t>Indicator(s)</w:t>
            </w:r>
          </w:p>
        </w:tc>
        <w:tc>
          <w:tcPr>
            <w:tcW w:w="239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3D222C" w:rsidP="004D5FD5" w:rsidRDefault="003D222C" w14:paraId="700F6E10" w14:textId="77777777">
            <w:pPr>
              <w:jc w:val="both"/>
              <w:rPr>
                <w:rFonts w:cs="Arial"/>
                <w:b/>
                <w:bCs/>
                <w:sz w:val="22"/>
                <w:szCs w:val="22"/>
              </w:rPr>
            </w:pPr>
            <w:r w:rsidRPr="00D80C6C">
              <w:rPr>
                <w:rFonts w:cs="Arial"/>
                <w:b/>
                <w:bCs/>
                <w:sz w:val="22"/>
                <w:szCs w:val="22"/>
              </w:rPr>
              <w:t>Milestone(s) for this review</w:t>
            </w:r>
          </w:p>
        </w:tc>
        <w:tc>
          <w:tcPr>
            <w:tcW w:w="365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3D222C" w:rsidP="004D5FD5" w:rsidRDefault="003D222C" w14:paraId="1AFE6250" w14:textId="77777777">
            <w:pPr>
              <w:jc w:val="both"/>
              <w:rPr>
                <w:rFonts w:cs="Arial"/>
                <w:b w:val="1"/>
                <w:bCs w:val="1"/>
                <w:sz w:val="22"/>
                <w:szCs w:val="22"/>
              </w:rPr>
            </w:pPr>
            <w:r w:rsidRPr="334BBF58" w:rsidR="003D222C">
              <w:rPr>
                <w:rFonts w:cs="Arial"/>
                <w:b w:val="1"/>
                <w:bCs w:val="1"/>
                <w:sz w:val="22"/>
                <w:szCs w:val="22"/>
              </w:rPr>
              <w:t xml:space="preserve">Progress </w:t>
            </w:r>
          </w:p>
        </w:tc>
      </w:tr>
      <w:tr w:rsidRPr="00D80C6C" w:rsidR="00A54FA9" w:rsidTr="334BBF58" w14:paraId="4F7F057D" w14:textId="77777777">
        <w:trPr>
          <w:trHeight w:val="300"/>
        </w:trPr>
        <w:tc>
          <w:tcPr>
            <w:tcW w:w="3022" w:type="dxa"/>
            <w:tcBorders>
              <w:top w:val="single" w:color="auto" w:sz="4" w:space="0"/>
              <w:left w:val="single" w:color="auto" w:sz="4" w:space="0"/>
              <w:bottom w:val="single" w:color="auto" w:sz="4" w:space="0"/>
              <w:right w:val="single" w:color="auto" w:sz="4" w:space="0"/>
            </w:tcBorders>
            <w:tcMar/>
          </w:tcPr>
          <w:p w:rsidR="00A54FA9" w:rsidP="00A54FA9" w:rsidRDefault="00A54FA9" w14:paraId="28257B69" w14:textId="5B2DDFB5">
            <w:pPr>
              <w:rPr>
                <w:rFonts w:eastAsia="Arial" w:cs="Arial"/>
                <w:color w:val="000000" w:themeColor="text1"/>
                <w:sz w:val="20"/>
                <w:szCs w:val="20"/>
              </w:rPr>
            </w:pPr>
            <w:r w:rsidRPr="08986F9C">
              <w:rPr>
                <w:rFonts w:eastAsia="Arial" w:cs="Arial"/>
                <w:color w:val="000000" w:themeColor="text1"/>
                <w:sz w:val="20"/>
                <w:szCs w:val="20"/>
              </w:rPr>
              <w:t>1.1</w:t>
            </w:r>
          </w:p>
          <w:p w:rsidR="00A54FA9" w:rsidP="00A54FA9" w:rsidRDefault="00A54FA9" w14:paraId="200DFC43" w14:textId="18669B5F">
            <w:pPr>
              <w:rPr>
                <w:rFonts w:eastAsia="Arial" w:cs="Arial"/>
                <w:color w:val="000000" w:themeColor="text1"/>
                <w:sz w:val="20"/>
                <w:szCs w:val="20"/>
              </w:rPr>
            </w:pPr>
            <w:r w:rsidRPr="08986F9C">
              <w:rPr>
                <w:rFonts w:eastAsia="Arial" w:cs="Arial"/>
                <w:color w:val="000000" w:themeColor="text1"/>
                <w:sz w:val="20"/>
                <w:szCs w:val="20"/>
              </w:rPr>
              <w:t>Total land area (ha) under sustainable landscape management (a) plans and (b) practices as a result of ISFL support, including where relevant: forestry, agriculture, other (CRI, FAP)</w:t>
            </w:r>
          </w:p>
          <w:p w:rsidR="00A54FA9" w:rsidP="00A54FA9" w:rsidRDefault="00A54FA9" w14:paraId="3B636D29" w14:textId="20671212">
            <w:pPr>
              <w:rPr>
                <w:rFonts w:eastAsia="Arial" w:cs="Arial"/>
                <w:color w:val="000000" w:themeColor="text1"/>
                <w:sz w:val="20"/>
                <w:szCs w:val="20"/>
              </w:rPr>
            </w:pPr>
          </w:p>
          <w:p w:rsidR="00A54FA9" w:rsidP="00A54FA9" w:rsidRDefault="00A54FA9" w14:paraId="0EC742BC" w14:textId="769C938B">
            <w:pPr>
              <w:rPr>
                <w:rFonts w:eastAsia="Arial" w:cs="Arial"/>
                <w:i/>
                <w:iCs/>
                <w:color w:val="000000" w:themeColor="text1"/>
                <w:sz w:val="20"/>
                <w:szCs w:val="20"/>
              </w:rPr>
            </w:pPr>
            <w:r w:rsidRPr="5BB7A563">
              <w:rPr>
                <w:rFonts w:eastAsia="Arial" w:cs="Arial"/>
                <w:i/>
                <w:iCs/>
                <w:color w:val="000000" w:themeColor="text1"/>
                <w:sz w:val="20"/>
                <w:szCs w:val="20"/>
              </w:rPr>
              <w:t>Weighting: 22.5%</w:t>
            </w:r>
          </w:p>
          <w:p w:rsidR="00A54FA9" w:rsidP="00A54FA9" w:rsidRDefault="00A54FA9" w14:paraId="39CF80FF" w14:textId="1C0CAEDA">
            <w:pPr>
              <w:rPr>
                <w:rFonts w:eastAsia="Arial" w:cs="Arial"/>
                <w:color w:val="000000" w:themeColor="text1"/>
                <w:sz w:val="20"/>
                <w:szCs w:val="20"/>
              </w:rPr>
            </w:pPr>
          </w:p>
        </w:tc>
        <w:tc>
          <w:tcPr>
            <w:tcW w:w="2395" w:type="dxa"/>
            <w:tcBorders>
              <w:top w:val="single" w:color="auto" w:sz="4" w:space="0"/>
              <w:left w:val="single" w:color="auto" w:sz="4" w:space="0"/>
              <w:bottom w:val="single" w:color="auto" w:sz="4" w:space="0"/>
              <w:right w:val="single" w:color="auto" w:sz="4" w:space="0"/>
            </w:tcBorders>
            <w:tcMar/>
          </w:tcPr>
          <w:p w:rsidR="00A54FA9" w:rsidP="00A54FA9" w:rsidRDefault="00A54FA9" w14:paraId="59C0FD57" w14:textId="77D0857B">
            <w:pPr>
              <w:rPr>
                <w:rFonts w:eastAsia="Arial" w:cs="Arial"/>
                <w:color w:val="000000" w:themeColor="text1"/>
                <w:sz w:val="18"/>
                <w:szCs w:val="18"/>
              </w:rPr>
            </w:pPr>
            <w:r w:rsidRPr="35F1CFE4">
              <w:rPr>
                <w:rFonts w:eastAsia="Arial" w:cs="Arial"/>
                <w:color w:val="000000" w:themeColor="text1"/>
                <w:sz w:val="18"/>
                <w:szCs w:val="18"/>
              </w:rPr>
              <w:t>(a) 17,318,913</w:t>
            </w:r>
          </w:p>
          <w:p w:rsidR="00A54FA9" w:rsidP="00A54FA9" w:rsidRDefault="00A54FA9" w14:paraId="2291B61D" w14:textId="101F485A">
            <w:pPr>
              <w:rPr>
                <w:rFonts w:eastAsia="Arial" w:cs="Arial"/>
                <w:color w:val="000000" w:themeColor="text1"/>
                <w:sz w:val="18"/>
                <w:szCs w:val="18"/>
              </w:rPr>
            </w:pPr>
            <w:r w:rsidRPr="35F1CFE4">
              <w:rPr>
                <w:rFonts w:eastAsia="Arial" w:cs="Arial"/>
                <w:color w:val="000000" w:themeColor="text1"/>
                <w:sz w:val="18"/>
                <w:szCs w:val="18"/>
              </w:rPr>
              <w:t>(b)  441,998</w:t>
            </w:r>
          </w:p>
        </w:tc>
        <w:tc>
          <w:tcPr>
            <w:tcW w:w="3650" w:type="dxa"/>
            <w:tcBorders>
              <w:top w:val="single" w:color="auto" w:sz="4" w:space="0"/>
              <w:left w:val="single" w:color="auto" w:sz="4" w:space="0"/>
              <w:bottom w:val="single" w:color="auto" w:sz="4" w:space="0"/>
              <w:right w:val="single" w:color="auto" w:sz="4" w:space="0"/>
            </w:tcBorders>
            <w:tcMar/>
          </w:tcPr>
          <w:p w:rsidRPr="00D80C6C" w:rsidR="00A54FA9" w:rsidP="00756B4F" w:rsidRDefault="00A54FA9" w14:paraId="08BA9040" w14:textId="5650888C">
            <w:pPr>
              <w:pStyle w:val="ListParagraph"/>
              <w:numPr>
                <w:ilvl w:val="0"/>
                <w:numId w:val="16"/>
              </w:numPr>
              <w:jc w:val="both"/>
              <w:rPr>
                <w:rFonts w:cs="Arial"/>
                <w:b/>
                <w:bCs/>
                <w:sz w:val="20"/>
              </w:rPr>
            </w:pPr>
            <w:r w:rsidRPr="5C94AC53">
              <w:rPr>
                <w:rFonts w:cs="Arial"/>
                <w:sz w:val="20"/>
              </w:rPr>
              <w:t xml:space="preserve">13,607,436 </w:t>
            </w:r>
            <w:r w:rsidRPr="5C94AC53">
              <w:rPr>
                <w:rFonts w:cs="Arial"/>
                <w:b/>
                <w:bCs/>
                <w:sz w:val="20"/>
              </w:rPr>
              <w:t xml:space="preserve">Progress moderately did not meet expectation. </w:t>
            </w:r>
          </w:p>
          <w:p w:rsidR="50E6C49B" w:rsidP="00756B4F" w:rsidRDefault="50E6C49B" w14:paraId="1B5656F8" w14:textId="1823BEF9">
            <w:pPr>
              <w:pStyle w:val="ListParagraph"/>
              <w:numPr>
                <w:ilvl w:val="1"/>
                <w:numId w:val="16"/>
              </w:numPr>
              <w:jc w:val="both"/>
              <w:rPr>
                <w:rFonts w:cs="Arial"/>
                <w:sz w:val="20"/>
              </w:rPr>
            </w:pPr>
            <w:r w:rsidRPr="21D9B481">
              <w:rPr>
                <w:rFonts w:cs="Arial"/>
                <w:sz w:val="20"/>
              </w:rPr>
              <w:t>Colombia: 12,558,244</w:t>
            </w:r>
          </w:p>
          <w:p w:rsidR="50E6C49B" w:rsidP="00756B4F" w:rsidRDefault="50E6C49B" w14:paraId="33F4069B" w14:textId="28961068">
            <w:pPr>
              <w:pStyle w:val="ListParagraph"/>
              <w:numPr>
                <w:ilvl w:val="1"/>
                <w:numId w:val="16"/>
              </w:numPr>
              <w:jc w:val="both"/>
              <w:rPr>
                <w:rFonts w:cs="Arial"/>
                <w:sz w:val="20"/>
              </w:rPr>
            </w:pPr>
            <w:r w:rsidRPr="21D9B481">
              <w:rPr>
                <w:rFonts w:cs="Arial"/>
                <w:sz w:val="20"/>
              </w:rPr>
              <w:t>Ethiopia: 210,952</w:t>
            </w:r>
          </w:p>
          <w:p w:rsidR="50E6C49B" w:rsidP="00756B4F" w:rsidRDefault="50E6C49B" w14:paraId="4C2958E8" w14:textId="112E67B0">
            <w:pPr>
              <w:pStyle w:val="ListParagraph"/>
              <w:numPr>
                <w:ilvl w:val="1"/>
                <w:numId w:val="16"/>
              </w:numPr>
              <w:jc w:val="both"/>
              <w:rPr>
                <w:rFonts w:cs="Arial"/>
                <w:sz w:val="20"/>
              </w:rPr>
            </w:pPr>
            <w:r w:rsidRPr="21D9B481">
              <w:rPr>
                <w:rFonts w:cs="Arial"/>
                <w:sz w:val="20"/>
              </w:rPr>
              <w:t>Indonesia: 248,141</w:t>
            </w:r>
          </w:p>
          <w:p w:rsidR="50E6C49B" w:rsidP="00756B4F" w:rsidRDefault="50E6C49B" w14:paraId="4D54BA79" w14:textId="21BA28DE">
            <w:pPr>
              <w:pStyle w:val="ListParagraph"/>
              <w:numPr>
                <w:ilvl w:val="1"/>
                <w:numId w:val="16"/>
              </w:numPr>
              <w:jc w:val="both"/>
              <w:rPr>
                <w:rFonts w:cs="Arial"/>
                <w:sz w:val="20"/>
              </w:rPr>
            </w:pPr>
            <w:r w:rsidRPr="21D9B481">
              <w:rPr>
                <w:rFonts w:cs="Arial"/>
                <w:sz w:val="20"/>
              </w:rPr>
              <w:t>Mexico: 444,720</w:t>
            </w:r>
          </w:p>
          <w:p w:rsidR="50E6C49B" w:rsidP="00756B4F" w:rsidRDefault="50E6C49B" w14:paraId="6C8F4DC1" w14:textId="7BA6A3B6">
            <w:pPr>
              <w:pStyle w:val="ListParagraph"/>
              <w:numPr>
                <w:ilvl w:val="1"/>
                <w:numId w:val="16"/>
              </w:numPr>
              <w:jc w:val="both"/>
              <w:rPr>
                <w:rFonts w:cs="Arial"/>
                <w:sz w:val="20"/>
              </w:rPr>
            </w:pPr>
            <w:r w:rsidRPr="21D9B481">
              <w:rPr>
                <w:rFonts w:cs="Arial"/>
                <w:sz w:val="20"/>
              </w:rPr>
              <w:t>Zambia: 145,379</w:t>
            </w:r>
          </w:p>
          <w:p w:rsidR="21D9B481" w:rsidP="21D9B481" w:rsidRDefault="21D9B481" w14:paraId="730A3A7D" w14:textId="0DEDFB8F">
            <w:pPr>
              <w:pStyle w:val="ListParagraph"/>
              <w:ind w:left="1080"/>
              <w:jc w:val="both"/>
              <w:rPr>
                <w:rFonts w:cs="Arial"/>
                <w:sz w:val="20"/>
              </w:rPr>
            </w:pPr>
          </w:p>
          <w:p w:rsidRPr="00D80C6C" w:rsidR="00A54FA9" w:rsidP="00756B4F" w:rsidRDefault="00A54FA9" w14:paraId="430B3030" w14:textId="255CAC81">
            <w:pPr>
              <w:pStyle w:val="ListParagraph"/>
              <w:numPr>
                <w:ilvl w:val="0"/>
                <w:numId w:val="16"/>
              </w:numPr>
              <w:jc w:val="both"/>
              <w:rPr>
                <w:rFonts w:cs="Arial"/>
                <w:b/>
                <w:bCs/>
                <w:sz w:val="20"/>
              </w:rPr>
            </w:pPr>
            <w:r w:rsidRPr="108ADB1E">
              <w:rPr>
                <w:rFonts w:cs="Arial"/>
                <w:sz w:val="20"/>
              </w:rPr>
              <w:t xml:space="preserve">361,039 </w:t>
            </w:r>
            <w:r w:rsidRPr="108ADB1E">
              <w:rPr>
                <w:rFonts w:cs="Arial"/>
                <w:b/>
                <w:bCs/>
                <w:sz w:val="20"/>
              </w:rPr>
              <w:t xml:space="preserve">Progress moderately did not meet expectation. </w:t>
            </w:r>
          </w:p>
          <w:p w:rsidRPr="00D80C6C" w:rsidR="00A54FA9" w:rsidP="00756B4F" w:rsidRDefault="0AEC9793" w14:paraId="6CFC23C2" w14:textId="1AE2A442">
            <w:pPr>
              <w:pStyle w:val="ListParagraph"/>
              <w:numPr>
                <w:ilvl w:val="1"/>
                <w:numId w:val="16"/>
              </w:numPr>
              <w:jc w:val="both"/>
              <w:rPr>
                <w:rFonts w:cs="Arial"/>
                <w:sz w:val="20"/>
              </w:rPr>
            </w:pPr>
            <w:r w:rsidRPr="2CF000F8">
              <w:rPr>
                <w:rFonts w:cs="Arial"/>
                <w:sz w:val="20"/>
              </w:rPr>
              <w:t>Indonesia: 87,284</w:t>
            </w:r>
          </w:p>
          <w:p w:rsidRPr="00D80C6C" w:rsidR="00A54FA9" w:rsidP="00756B4F" w:rsidRDefault="0AEC9793" w14:paraId="29D76F94" w14:textId="1544CDD3">
            <w:pPr>
              <w:pStyle w:val="ListParagraph"/>
              <w:numPr>
                <w:ilvl w:val="1"/>
                <w:numId w:val="16"/>
              </w:numPr>
              <w:jc w:val="both"/>
              <w:rPr>
                <w:rFonts w:cs="Arial"/>
                <w:sz w:val="20"/>
              </w:rPr>
            </w:pPr>
            <w:r w:rsidRPr="2CF000F8">
              <w:rPr>
                <w:rFonts w:cs="Arial"/>
                <w:sz w:val="20"/>
              </w:rPr>
              <w:t>Mexico: 216,914</w:t>
            </w:r>
          </w:p>
          <w:p w:rsidRPr="00D80C6C" w:rsidR="00A54FA9" w:rsidP="00756B4F" w:rsidRDefault="0AEC9793" w14:paraId="1DF15CBA" w14:textId="45761AC8">
            <w:pPr>
              <w:pStyle w:val="ListParagraph"/>
              <w:numPr>
                <w:ilvl w:val="1"/>
                <w:numId w:val="16"/>
              </w:numPr>
              <w:jc w:val="both"/>
              <w:rPr>
                <w:rFonts w:cs="Arial"/>
                <w:sz w:val="20"/>
              </w:rPr>
            </w:pPr>
            <w:r w:rsidRPr="2CF000F8">
              <w:rPr>
                <w:rFonts w:cs="Arial"/>
                <w:sz w:val="20"/>
              </w:rPr>
              <w:t>Zambia: 56,842</w:t>
            </w:r>
          </w:p>
        </w:tc>
      </w:tr>
      <w:tr w:rsidRPr="00D80C6C" w:rsidR="00A54FA9" w:rsidTr="334BBF58" w14:paraId="5FC9728D" w14:textId="77777777">
        <w:trPr>
          <w:trHeight w:val="300"/>
        </w:trPr>
        <w:tc>
          <w:tcPr>
            <w:tcW w:w="3022" w:type="dxa"/>
            <w:tcBorders>
              <w:top w:val="single" w:color="auto" w:sz="4" w:space="0"/>
              <w:left w:val="single" w:color="auto" w:sz="4" w:space="0"/>
              <w:bottom w:val="single" w:color="auto" w:sz="4" w:space="0"/>
              <w:right w:val="single" w:color="auto" w:sz="4" w:space="0"/>
            </w:tcBorders>
            <w:tcMar/>
          </w:tcPr>
          <w:p w:rsidR="00A54FA9" w:rsidP="00A54FA9" w:rsidRDefault="00A54FA9" w14:paraId="3C397A5C" w14:textId="4341EFEB">
            <w:pPr>
              <w:rPr>
                <w:rFonts w:eastAsia="Arial" w:cs="Arial"/>
                <w:color w:val="000000" w:themeColor="text1"/>
                <w:sz w:val="20"/>
                <w:szCs w:val="20"/>
              </w:rPr>
            </w:pPr>
            <w:r w:rsidRPr="218B21B1">
              <w:rPr>
                <w:rFonts w:eastAsia="Arial" w:cs="Arial"/>
                <w:color w:val="000000" w:themeColor="text1"/>
                <w:sz w:val="20"/>
                <w:szCs w:val="20"/>
              </w:rPr>
              <w:t>1.2</w:t>
            </w:r>
          </w:p>
          <w:p w:rsidR="00A54FA9" w:rsidP="00A54FA9" w:rsidRDefault="00A54FA9" w14:paraId="7F85161C" w14:textId="587226CE">
            <w:pPr>
              <w:rPr>
                <w:rFonts w:eastAsia="Arial" w:cs="Arial"/>
                <w:color w:val="000000" w:themeColor="text1"/>
                <w:sz w:val="20"/>
                <w:szCs w:val="20"/>
              </w:rPr>
            </w:pPr>
            <w:r w:rsidRPr="218B21B1">
              <w:rPr>
                <w:rFonts w:eastAsia="Arial" w:cs="Arial"/>
                <w:color w:val="000000" w:themeColor="text1"/>
                <w:sz w:val="20"/>
                <w:szCs w:val="20"/>
              </w:rPr>
              <w:t>Amount of disbursement for ER payments ($, cumulative)</w:t>
            </w:r>
          </w:p>
          <w:p w:rsidR="00A54FA9" w:rsidP="00A54FA9" w:rsidRDefault="00A54FA9" w14:paraId="14F737A2" w14:textId="24C2820B">
            <w:pPr>
              <w:rPr>
                <w:rFonts w:eastAsia="Arial" w:cs="Arial"/>
                <w:color w:val="000000" w:themeColor="text1"/>
                <w:sz w:val="20"/>
                <w:szCs w:val="20"/>
              </w:rPr>
            </w:pPr>
          </w:p>
          <w:p w:rsidR="00A54FA9" w:rsidP="00A54FA9" w:rsidRDefault="00A54FA9" w14:paraId="674D4225" w14:textId="117D3FDF">
            <w:pPr>
              <w:rPr>
                <w:rFonts w:eastAsia="Arial" w:cs="Arial"/>
                <w:i/>
                <w:iCs/>
                <w:color w:val="000000" w:themeColor="text1"/>
                <w:sz w:val="20"/>
                <w:szCs w:val="20"/>
              </w:rPr>
            </w:pPr>
            <w:r w:rsidRPr="5BB7A563">
              <w:rPr>
                <w:rFonts w:eastAsia="Arial" w:cs="Arial"/>
                <w:i/>
                <w:iCs/>
                <w:color w:val="000000" w:themeColor="text1"/>
                <w:sz w:val="20"/>
                <w:szCs w:val="20"/>
              </w:rPr>
              <w:t>Weighting: 22.5%</w:t>
            </w:r>
          </w:p>
        </w:tc>
        <w:tc>
          <w:tcPr>
            <w:tcW w:w="2395" w:type="dxa"/>
            <w:tcBorders>
              <w:top w:val="single" w:color="auto" w:sz="4" w:space="0"/>
              <w:left w:val="single" w:color="auto" w:sz="4" w:space="0"/>
              <w:bottom w:val="single" w:color="auto" w:sz="4" w:space="0"/>
              <w:right w:val="single" w:color="auto" w:sz="4" w:space="0"/>
            </w:tcBorders>
            <w:tcMar/>
          </w:tcPr>
          <w:p w:rsidR="00A54FA9" w:rsidP="00A54FA9" w:rsidRDefault="00A54FA9" w14:paraId="3B88F89C" w14:textId="6F21FA15">
            <w:r w:rsidRPr="0AEE330A">
              <w:rPr>
                <w:rFonts w:eastAsia="Arial" w:cs="Arial"/>
                <w:color w:val="000000" w:themeColor="text1"/>
                <w:sz w:val="20"/>
                <w:szCs w:val="20"/>
              </w:rPr>
              <w:t>FY25: 10,000,000</w:t>
            </w:r>
          </w:p>
        </w:tc>
        <w:tc>
          <w:tcPr>
            <w:tcW w:w="3650" w:type="dxa"/>
            <w:tcBorders>
              <w:top w:val="single" w:color="auto" w:sz="4" w:space="0"/>
              <w:left w:val="single" w:color="auto" w:sz="4" w:space="0"/>
              <w:bottom w:val="single" w:color="auto" w:sz="4" w:space="0"/>
              <w:right w:val="single" w:color="auto" w:sz="4" w:space="0"/>
            </w:tcBorders>
            <w:tcMar/>
          </w:tcPr>
          <w:p w:rsidR="00A54FA9" w:rsidP="00A54FA9" w:rsidRDefault="00A54FA9" w14:paraId="566029A9" w14:textId="598CBF8F">
            <w:pPr>
              <w:rPr>
                <w:rFonts w:eastAsia="Arial" w:cs="Arial"/>
                <w:color w:val="000000" w:themeColor="text1"/>
                <w:sz w:val="20"/>
                <w:szCs w:val="20"/>
              </w:rPr>
            </w:pPr>
            <w:r w:rsidRPr="0A183598">
              <w:rPr>
                <w:rFonts w:eastAsia="Arial" w:cs="Arial"/>
                <w:color w:val="000000" w:themeColor="text1"/>
                <w:sz w:val="20"/>
                <w:szCs w:val="20"/>
              </w:rPr>
              <w:t>0</w:t>
            </w:r>
          </w:p>
          <w:p w:rsidR="00A54FA9" w:rsidP="00A54FA9" w:rsidRDefault="00A54FA9" w14:paraId="745345B9" w14:textId="6530292A">
            <w:pPr>
              <w:rPr>
                <w:rFonts w:eastAsia="Arial" w:cs="Arial"/>
                <w:color w:val="000000" w:themeColor="text1"/>
                <w:sz w:val="20"/>
                <w:szCs w:val="20"/>
              </w:rPr>
            </w:pPr>
          </w:p>
          <w:p w:rsidR="00A54FA9" w:rsidP="00A54FA9" w:rsidRDefault="00A54FA9" w14:paraId="055F9A98" w14:textId="356FC06A">
            <w:pPr>
              <w:rPr>
                <w:rFonts w:eastAsia="Arial" w:cs="Arial"/>
                <w:b/>
                <w:bCs/>
                <w:color w:val="000000" w:themeColor="text1"/>
              </w:rPr>
            </w:pPr>
            <w:r w:rsidRPr="4BAB60F5">
              <w:rPr>
                <w:rFonts w:eastAsia="Arial" w:cs="Arial"/>
                <w:b/>
                <w:bCs/>
                <w:color w:val="000000" w:themeColor="text1"/>
                <w:sz w:val="20"/>
                <w:szCs w:val="20"/>
              </w:rPr>
              <w:t xml:space="preserve">Progress substantially did not meet expectation. </w:t>
            </w:r>
          </w:p>
          <w:p w:rsidRPr="00D80C6C" w:rsidR="00A54FA9" w:rsidP="00A54FA9" w:rsidRDefault="00A54FA9" w14:paraId="3318F706" w14:textId="77FBDA43">
            <w:pPr>
              <w:contextualSpacing/>
              <w:jc w:val="both"/>
              <w:rPr>
                <w:rFonts w:cs="Arial"/>
                <w:sz w:val="20"/>
                <w:szCs w:val="20"/>
              </w:rPr>
            </w:pPr>
          </w:p>
        </w:tc>
      </w:tr>
      <w:tr w:rsidRPr="00D80C6C" w:rsidR="00EA201B" w:rsidTr="334BBF58" w14:paraId="043C6F64" w14:textId="77777777">
        <w:trPr>
          <w:trHeight w:val="300"/>
        </w:trPr>
        <w:tc>
          <w:tcPr>
            <w:tcW w:w="3022" w:type="dxa"/>
            <w:tcBorders>
              <w:top w:val="single" w:color="auto" w:sz="4" w:space="0"/>
              <w:left w:val="single" w:color="auto" w:sz="4" w:space="0"/>
              <w:bottom w:val="single" w:color="auto" w:sz="4" w:space="0"/>
              <w:right w:val="single" w:color="auto" w:sz="4" w:space="0"/>
            </w:tcBorders>
            <w:tcMar/>
          </w:tcPr>
          <w:p w:rsidR="00EA201B" w:rsidP="00EA201B" w:rsidRDefault="00EA201B" w14:paraId="10CDBE61" w14:textId="05F8896C">
            <w:pPr>
              <w:rPr>
                <w:rFonts w:eastAsia="Arial" w:cs="Arial"/>
                <w:color w:val="000000" w:themeColor="text1"/>
                <w:sz w:val="20"/>
                <w:szCs w:val="20"/>
              </w:rPr>
            </w:pPr>
            <w:r w:rsidRPr="218B21B1">
              <w:rPr>
                <w:rFonts w:eastAsia="Arial" w:cs="Arial"/>
                <w:color w:val="000000" w:themeColor="text1"/>
                <w:sz w:val="20"/>
                <w:szCs w:val="20"/>
              </w:rPr>
              <w:t>1.</w:t>
            </w:r>
            <w:r w:rsidR="00D50B29">
              <w:rPr>
                <w:rFonts w:eastAsia="Arial" w:cs="Arial"/>
                <w:color w:val="000000" w:themeColor="text1"/>
                <w:sz w:val="20"/>
                <w:szCs w:val="20"/>
              </w:rPr>
              <w:t>3</w:t>
            </w:r>
          </w:p>
          <w:p w:rsidR="00EA201B" w:rsidP="00EA201B" w:rsidRDefault="00EA201B" w14:paraId="32C37FD6" w14:textId="1BE8AEA4">
            <w:pPr>
              <w:rPr>
                <w:rFonts w:eastAsia="Arial" w:cs="Arial"/>
                <w:color w:val="000000" w:themeColor="text1"/>
                <w:sz w:val="20"/>
                <w:szCs w:val="20"/>
              </w:rPr>
            </w:pPr>
            <w:r w:rsidRPr="218B21B1">
              <w:rPr>
                <w:rFonts w:eastAsia="Arial" w:cs="Arial"/>
                <w:color w:val="000000" w:themeColor="text1"/>
                <w:sz w:val="20"/>
                <w:szCs w:val="20"/>
              </w:rPr>
              <w:t>Number of ERPDs completed (of which number of ERPAs signed)</w:t>
            </w:r>
          </w:p>
          <w:p w:rsidR="00EA201B" w:rsidP="00EA201B" w:rsidRDefault="00EA201B" w14:paraId="19C2BFF3" w14:textId="5632F61D">
            <w:pPr>
              <w:rPr>
                <w:rFonts w:eastAsia="Arial" w:cs="Arial"/>
                <w:color w:val="000000" w:themeColor="text1"/>
                <w:sz w:val="20"/>
                <w:szCs w:val="20"/>
              </w:rPr>
            </w:pPr>
          </w:p>
          <w:p w:rsidR="00EA201B" w:rsidP="00EA201B" w:rsidRDefault="00EA201B" w14:paraId="4BC35A97" w14:textId="4DCC33AF">
            <w:pPr>
              <w:rPr>
                <w:rFonts w:eastAsia="Arial" w:cs="Arial"/>
                <w:i/>
                <w:iCs/>
                <w:color w:val="000000" w:themeColor="text1"/>
                <w:sz w:val="20"/>
                <w:szCs w:val="20"/>
              </w:rPr>
            </w:pPr>
            <w:r w:rsidRPr="5BB7A563">
              <w:rPr>
                <w:rFonts w:eastAsia="Arial" w:cs="Arial"/>
                <w:i/>
                <w:iCs/>
                <w:color w:val="000000" w:themeColor="text1"/>
                <w:sz w:val="20"/>
                <w:szCs w:val="20"/>
              </w:rPr>
              <w:t>Weighting: 22.5%</w:t>
            </w:r>
          </w:p>
        </w:tc>
        <w:tc>
          <w:tcPr>
            <w:tcW w:w="2395" w:type="dxa"/>
            <w:tcBorders>
              <w:top w:val="single" w:color="auto" w:sz="4" w:space="0"/>
              <w:left w:val="single" w:color="auto" w:sz="4" w:space="0"/>
              <w:bottom w:val="single" w:color="auto" w:sz="4" w:space="0"/>
              <w:right w:val="single" w:color="auto" w:sz="4" w:space="0"/>
            </w:tcBorders>
            <w:tcMar/>
          </w:tcPr>
          <w:p w:rsidR="00EA201B" w:rsidP="00EA201B" w:rsidRDefault="00EA201B" w14:paraId="53F2A0FA" w14:textId="597912CD">
            <w:pPr>
              <w:rPr>
                <w:rFonts w:eastAsia="Arial" w:cs="Arial"/>
                <w:color w:val="000000" w:themeColor="text1"/>
                <w:sz w:val="20"/>
                <w:szCs w:val="20"/>
              </w:rPr>
            </w:pPr>
            <w:r w:rsidRPr="3FABD7B4">
              <w:rPr>
                <w:rFonts w:eastAsia="Arial" w:cs="Arial"/>
                <w:color w:val="000000" w:themeColor="text1"/>
                <w:sz w:val="20"/>
                <w:szCs w:val="20"/>
              </w:rPr>
              <w:t>FY25: 5 (5)</w:t>
            </w:r>
          </w:p>
        </w:tc>
        <w:tc>
          <w:tcPr>
            <w:tcW w:w="3650" w:type="dxa"/>
            <w:tcBorders>
              <w:top w:val="single" w:color="auto" w:sz="4" w:space="0"/>
              <w:left w:val="single" w:color="auto" w:sz="4" w:space="0"/>
              <w:bottom w:val="single" w:color="auto" w:sz="4" w:space="0"/>
              <w:right w:val="single" w:color="auto" w:sz="4" w:space="0"/>
            </w:tcBorders>
            <w:tcMar/>
          </w:tcPr>
          <w:p w:rsidRPr="00D80C6C" w:rsidR="00EA201B" w:rsidP="00EA201B" w:rsidRDefault="00EA201B" w14:paraId="482E87E5" w14:textId="6836068F">
            <w:pPr>
              <w:jc w:val="both"/>
              <w:rPr>
                <w:rFonts w:cs="Arial"/>
                <w:b/>
                <w:bCs/>
                <w:sz w:val="20"/>
                <w:szCs w:val="20"/>
              </w:rPr>
            </w:pPr>
            <w:r w:rsidRPr="4EA159B9">
              <w:rPr>
                <w:rFonts w:cs="Arial"/>
                <w:sz w:val="20"/>
                <w:szCs w:val="20"/>
              </w:rPr>
              <w:t xml:space="preserve">5 (2) </w:t>
            </w:r>
            <w:r w:rsidRPr="4EA159B9">
              <w:rPr>
                <w:rFonts w:cs="Arial"/>
                <w:b/>
                <w:bCs/>
                <w:sz w:val="20"/>
                <w:szCs w:val="20"/>
              </w:rPr>
              <w:t xml:space="preserve">Progress substantially did not meet expectation. </w:t>
            </w:r>
          </w:p>
          <w:p w:rsidRPr="00D80C6C" w:rsidR="00EA201B" w:rsidP="00EA201B" w:rsidRDefault="00EA201B" w14:paraId="1D0FDBCB" w14:textId="691ACC65">
            <w:pPr>
              <w:jc w:val="both"/>
              <w:rPr>
                <w:rFonts w:cs="Arial"/>
                <w:b/>
                <w:bCs/>
                <w:sz w:val="20"/>
                <w:szCs w:val="20"/>
              </w:rPr>
            </w:pPr>
          </w:p>
          <w:p w:rsidRPr="00D80C6C" w:rsidR="00EA201B" w:rsidP="00EA201B" w:rsidRDefault="00EA201B" w14:paraId="57A85831" w14:textId="72E73839">
            <w:pPr>
              <w:rPr>
                <w:rFonts w:eastAsia="Arial" w:cs="Arial"/>
                <w:color w:val="000000" w:themeColor="text1"/>
                <w:sz w:val="20"/>
                <w:szCs w:val="20"/>
              </w:rPr>
            </w:pPr>
            <w:r w:rsidRPr="4EA159B9">
              <w:rPr>
                <w:rFonts w:eastAsia="Arial" w:cs="Arial"/>
                <w:color w:val="000000" w:themeColor="text1"/>
                <w:sz w:val="20"/>
                <w:szCs w:val="20"/>
              </w:rPr>
              <w:t>Colombia:</w:t>
            </w:r>
          </w:p>
          <w:p w:rsidRPr="00D80C6C" w:rsidR="00EA201B" w:rsidP="00756B4F" w:rsidRDefault="00EA201B" w14:paraId="0290E2D1" w14:textId="6942C177">
            <w:pPr>
              <w:pStyle w:val="ListParagraph"/>
              <w:numPr>
                <w:ilvl w:val="0"/>
                <w:numId w:val="11"/>
              </w:numPr>
              <w:rPr>
                <w:rFonts w:eastAsia="Arial" w:cs="Arial"/>
                <w:color w:val="000000" w:themeColor="text1"/>
                <w:sz w:val="20"/>
              </w:rPr>
            </w:pPr>
            <w:r w:rsidRPr="2A453A9A">
              <w:rPr>
                <w:rFonts w:eastAsia="Arial" w:cs="Arial"/>
                <w:color w:val="000000" w:themeColor="text1"/>
                <w:sz w:val="20"/>
              </w:rPr>
              <w:t>December 2023: ERPD completed</w:t>
            </w:r>
          </w:p>
          <w:p w:rsidRPr="00D80C6C" w:rsidR="00EA201B" w:rsidP="00EA201B" w:rsidRDefault="00EA201B" w14:paraId="534CA579" w14:textId="23439E1E">
            <w:pPr>
              <w:rPr>
                <w:rFonts w:eastAsia="Arial" w:cs="Arial"/>
                <w:color w:val="000000" w:themeColor="text1"/>
                <w:sz w:val="20"/>
                <w:szCs w:val="20"/>
              </w:rPr>
            </w:pPr>
            <w:r w:rsidRPr="4EA159B9">
              <w:rPr>
                <w:rFonts w:eastAsia="Arial" w:cs="Arial"/>
                <w:color w:val="000000" w:themeColor="text1"/>
                <w:sz w:val="20"/>
                <w:szCs w:val="20"/>
              </w:rPr>
              <w:t>Ethiopia: </w:t>
            </w:r>
          </w:p>
          <w:p w:rsidRPr="00D80C6C" w:rsidR="00EA201B" w:rsidP="00756B4F" w:rsidRDefault="00EA201B" w14:paraId="45F8AA8C" w14:textId="5BDB814E">
            <w:pPr>
              <w:pStyle w:val="ListParagraph"/>
              <w:numPr>
                <w:ilvl w:val="0"/>
                <w:numId w:val="10"/>
              </w:numPr>
              <w:spacing w:after="0"/>
              <w:rPr>
                <w:rFonts w:eastAsia="Arial" w:cs="Arial"/>
                <w:color w:val="000000" w:themeColor="text1"/>
                <w:sz w:val="20"/>
              </w:rPr>
            </w:pPr>
            <w:r w:rsidRPr="4EA159B9">
              <w:rPr>
                <w:rFonts w:eastAsia="Arial" w:cs="Arial"/>
                <w:color w:val="000000" w:themeColor="text1"/>
                <w:sz w:val="20"/>
              </w:rPr>
              <w:t>August 2021: ERPD completed </w:t>
            </w:r>
          </w:p>
          <w:p w:rsidRPr="00D80C6C" w:rsidR="00EA201B" w:rsidP="00756B4F" w:rsidRDefault="00EA201B" w14:paraId="20977BAE" w14:textId="1170CAB1">
            <w:pPr>
              <w:pStyle w:val="ListParagraph"/>
              <w:numPr>
                <w:ilvl w:val="0"/>
                <w:numId w:val="9"/>
              </w:numPr>
              <w:spacing w:after="0"/>
              <w:rPr>
                <w:rFonts w:eastAsia="Arial" w:cs="Arial"/>
                <w:color w:val="000000" w:themeColor="text1"/>
                <w:sz w:val="20"/>
              </w:rPr>
            </w:pPr>
            <w:r w:rsidRPr="4EA159B9">
              <w:rPr>
                <w:rFonts w:eastAsia="Arial" w:cs="Arial"/>
                <w:color w:val="000000" w:themeColor="text1"/>
                <w:sz w:val="20"/>
              </w:rPr>
              <w:t>February 2023: ERPA signed </w:t>
            </w:r>
          </w:p>
          <w:p w:rsidRPr="00D80C6C" w:rsidR="00EA201B" w:rsidP="00EA201B" w:rsidRDefault="00EA201B" w14:paraId="2157F96F" w14:textId="54435FA0">
            <w:pPr>
              <w:rPr>
                <w:rFonts w:eastAsia="Arial" w:cs="Arial"/>
                <w:color w:val="000000" w:themeColor="text1"/>
                <w:sz w:val="20"/>
                <w:szCs w:val="20"/>
              </w:rPr>
            </w:pPr>
          </w:p>
          <w:p w:rsidRPr="00D80C6C" w:rsidR="00EA201B" w:rsidP="00EA201B" w:rsidRDefault="00EA201B" w14:paraId="7C8793D6" w14:textId="51FF4E32">
            <w:pPr>
              <w:rPr>
                <w:rFonts w:eastAsia="Arial" w:cs="Arial"/>
                <w:color w:val="000000" w:themeColor="text1"/>
                <w:sz w:val="20"/>
                <w:szCs w:val="20"/>
              </w:rPr>
            </w:pPr>
            <w:r w:rsidRPr="4EA159B9">
              <w:rPr>
                <w:rFonts w:eastAsia="Arial" w:cs="Arial"/>
                <w:color w:val="000000" w:themeColor="text1"/>
                <w:sz w:val="20"/>
                <w:szCs w:val="20"/>
              </w:rPr>
              <w:t>Indonesia:</w:t>
            </w:r>
          </w:p>
          <w:p w:rsidRPr="00D80C6C" w:rsidR="00EA201B" w:rsidP="00756B4F" w:rsidRDefault="00EA201B" w14:paraId="31F509B8" w14:textId="515FBDDE">
            <w:pPr>
              <w:pStyle w:val="ListParagraph"/>
              <w:numPr>
                <w:ilvl w:val="0"/>
                <w:numId w:val="11"/>
              </w:numPr>
              <w:rPr>
                <w:rFonts w:eastAsia="Arial" w:cs="Arial"/>
                <w:color w:val="000000" w:themeColor="text1"/>
                <w:sz w:val="20"/>
              </w:rPr>
            </w:pPr>
            <w:r w:rsidRPr="4EA159B9">
              <w:rPr>
                <w:rFonts w:eastAsia="Arial" w:cs="Arial"/>
                <w:color w:val="000000" w:themeColor="text1"/>
                <w:sz w:val="20"/>
              </w:rPr>
              <w:t>December 2023: ERPD completed</w:t>
            </w:r>
          </w:p>
          <w:p w:rsidRPr="00D80C6C" w:rsidR="00EA201B" w:rsidP="00EA201B" w:rsidRDefault="00EA201B" w14:paraId="7F0EB395" w14:textId="5B140928">
            <w:pPr>
              <w:rPr>
                <w:rFonts w:eastAsia="Arial" w:cs="Arial"/>
                <w:color w:val="000000" w:themeColor="text1"/>
                <w:sz w:val="20"/>
                <w:szCs w:val="20"/>
              </w:rPr>
            </w:pPr>
            <w:r w:rsidRPr="4EA159B9">
              <w:rPr>
                <w:rFonts w:eastAsia="Arial" w:cs="Arial"/>
                <w:color w:val="000000" w:themeColor="text1"/>
                <w:sz w:val="20"/>
                <w:szCs w:val="20"/>
              </w:rPr>
              <w:t>Mexico:</w:t>
            </w:r>
          </w:p>
          <w:p w:rsidRPr="00D80C6C" w:rsidR="00EA201B" w:rsidP="00756B4F" w:rsidRDefault="00EA201B" w14:paraId="667059E2" w14:textId="39E04D22">
            <w:pPr>
              <w:pStyle w:val="ListParagraph"/>
              <w:numPr>
                <w:ilvl w:val="0"/>
                <w:numId w:val="11"/>
              </w:numPr>
              <w:rPr>
                <w:rFonts w:eastAsia="Arial" w:cs="Arial"/>
                <w:color w:val="000000" w:themeColor="text1"/>
                <w:sz w:val="20"/>
              </w:rPr>
            </w:pPr>
            <w:r w:rsidRPr="4EA159B9">
              <w:rPr>
                <w:rFonts w:eastAsia="Arial" w:cs="Arial"/>
                <w:color w:val="000000" w:themeColor="text1"/>
                <w:sz w:val="20"/>
              </w:rPr>
              <w:t>July 2024: ERPD completed</w:t>
            </w:r>
          </w:p>
          <w:p w:rsidRPr="00D80C6C" w:rsidR="00EA201B" w:rsidP="00EA201B" w:rsidRDefault="00EA201B" w14:paraId="79DD0064" w14:textId="3C687412">
            <w:pPr>
              <w:rPr>
                <w:rFonts w:eastAsia="Arial" w:cs="Arial"/>
                <w:color w:val="000000" w:themeColor="text1"/>
                <w:sz w:val="20"/>
                <w:szCs w:val="20"/>
              </w:rPr>
            </w:pPr>
            <w:r w:rsidRPr="4EA159B9">
              <w:rPr>
                <w:rFonts w:eastAsia="Arial" w:cs="Arial"/>
                <w:color w:val="000000" w:themeColor="text1"/>
                <w:sz w:val="20"/>
                <w:szCs w:val="20"/>
              </w:rPr>
              <w:t>Zambia: </w:t>
            </w:r>
          </w:p>
          <w:p w:rsidRPr="00D80C6C" w:rsidR="00EA201B" w:rsidP="00756B4F" w:rsidRDefault="00EA201B" w14:paraId="33595495" w14:textId="3CA625A3">
            <w:pPr>
              <w:pStyle w:val="ListParagraph"/>
              <w:numPr>
                <w:ilvl w:val="0"/>
                <w:numId w:val="8"/>
              </w:numPr>
              <w:spacing w:after="0"/>
              <w:rPr>
                <w:rFonts w:eastAsia="Arial" w:cs="Arial"/>
                <w:color w:val="000000" w:themeColor="text1"/>
                <w:sz w:val="20"/>
              </w:rPr>
            </w:pPr>
            <w:r w:rsidRPr="4EA159B9">
              <w:rPr>
                <w:rFonts w:eastAsia="Arial" w:cs="Arial"/>
                <w:color w:val="000000" w:themeColor="text1"/>
                <w:sz w:val="20"/>
              </w:rPr>
              <w:t>June 2023: ERPD completed </w:t>
            </w:r>
          </w:p>
          <w:p w:rsidRPr="00D80C6C" w:rsidR="00EA201B" w:rsidP="00756B4F" w:rsidRDefault="00EA201B" w14:paraId="7609B042" w14:textId="629001A4">
            <w:pPr>
              <w:pStyle w:val="ListParagraph"/>
              <w:numPr>
                <w:ilvl w:val="0"/>
                <w:numId w:val="8"/>
              </w:numPr>
              <w:spacing w:after="0"/>
              <w:rPr>
                <w:rFonts w:eastAsia="Arial" w:cs="Arial"/>
                <w:color w:val="000000" w:themeColor="text1"/>
                <w:sz w:val="20"/>
              </w:rPr>
            </w:pPr>
            <w:r w:rsidRPr="4EA159B9">
              <w:rPr>
                <w:rFonts w:eastAsia="Arial" w:cs="Arial"/>
                <w:color w:val="000000" w:themeColor="text1"/>
                <w:sz w:val="20"/>
              </w:rPr>
              <w:t>June 2024: ERPA signed</w:t>
            </w:r>
          </w:p>
          <w:p w:rsidRPr="00D80C6C" w:rsidR="00EA201B" w:rsidP="00EA201B" w:rsidRDefault="00EA201B" w14:paraId="3056926F" w14:textId="72057D97">
            <w:pPr>
              <w:jc w:val="both"/>
              <w:rPr>
                <w:rFonts w:cs="Arial"/>
                <w:sz w:val="20"/>
                <w:szCs w:val="20"/>
              </w:rPr>
            </w:pPr>
          </w:p>
        </w:tc>
      </w:tr>
      <w:tr w:rsidRPr="00D80C6C" w:rsidR="00755AF7" w:rsidTr="334BBF58" w14:paraId="0CB0CC3B" w14:textId="77777777">
        <w:trPr>
          <w:trHeight w:val="300"/>
        </w:trPr>
        <w:tc>
          <w:tcPr>
            <w:tcW w:w="3022" w:type="dxa"/>
            <w:tcBorders>
              <w:top w:val="single" w:color="auto" w:sz="4" w:space="0"/>
              <w:left w:val="single" w:color="auto" w:sz="4" w:space="0"/>
              <w:bottom w:val="single" w:color="auto" w:sz="4" w:space="0"/>
              <w:right w:val="single" w:color="auto" w:sz="4" w:space="0"/>
            </w:tcBorders>
            <w:tcMar/>
          </w:tcPr>
          <w:p w:rsidR="00755AF7" w:rsidP="00755AF7" w:rsidRDefault="00755AF7" w14:paraId="46A85C62" w14:textId="2A7C2863">
            <w:pPr>
              <w:rPr>
                <w:rFonts w:eastAsia="Arial" w:cs="Arial"/>
                <w:color w:val="000000" w:themeColor="text1"/>
                <w:sz w:val="20"/>
                <w:szCs w:val="20"/>
              </w:rPr>
            </w:pPr>
            <w:r w:rsidRPr="47124558">
              <w:rPr>
                <w:rFonts w:eastAsia="Arial" w:cs="Arial"/>
                <w:color w:val="000000" w:themeColor="text1"/>
                <w:sz w:val="20"/>
                <w:szCs w:val="20"/>
              </w:rPr>
              <w:t>1.</w:t>
            </w:r>
            <w:r w:rsidR="00D50B29">
              <w:rPr>
                <w:rFonts w:eastAsia="Arial" w:cs="Arial"/>
                <w:color w:val="000000" w:themeColor="text1"/>
                <w:sz w:val="20"/>
                <w:szCs w:val="20"/>
              </w:rPr>
              <w:t>4</w:t>
            </w:r>
          </w:p>
          <w:p w:rsidR="00755AF7" w:rsidP="00755AF7" w:rsidRDefault="00755AF7" w14:paraId="1DE72CFF" w14:textId="34D69907">
            <w:pPr>
              <w:rPr>
                <w:rFonts w:eastAsia="Arial" w:cs="Arial"/>
                <w:color w:val="000000" w:themeColor="text1"/>
                <w:sz w:val="20"/>
                <w:szCs w:val="20"/>
              </w:rPr>
            </w:pPr>
            <w:r w:rsidRPr="47124558">
              <w:rPr>
                <w:rFonts w:eastAsia="Arial" w:cs="Arial"/>
                <w:color w:val="000000" w:themeColor="text1"/>
                <w:sz w:val="20"/>
                <w:szCs w:val="20"/>
              </w:rPr>
              <w:t>Number of ERPDs approved with subsequent phases that include at least 2 non-forest related AFOLU subcategories, and which demonstrate improved data quality over time. (e.g. livestock, soils, cropland, grassland, wetlands etc)</w:t>
            </w:r>
          </w:p>
          <w:p w:rsidR="00755AF7" w:rsidP="00755AF7" w:rsidRDefault="00755AF7" w14:paraId="4252CA5E" w14:textId="675058CF">
            <w:pPr>
              <w:rPr>
                <w:rFonts w:eastAsia="Arial" w:cs="Arial"/>
                <w:color w:val="000000" w:themeColor="text1"/>
                <w:sz w:val="20"/>
                <w:szCs w:val="20"/>
              </w:rPr>
            </w:pPr>
          </w:p>
          <w:p w:rsidR="00755AF7" w:rsidP="00755AF7" w:rsidRDefault="00755AF7" w14:paraId="6805622A" w14:textId="02B10E68">
            <w:pPr>
              <w:rPr>
                <w:rFonts w:eastAsia="Arial" w:cs="Arial"/>
                <w:color w:val="000000" w:themeColor="text1"/>
                <w:sz w:val="20"/>
                <w:szCs w:val="20"/>
              </w:rPr>
            </w:pPr>
            <w:r w:rsidRPr="5BB7A563">
              <w:rPr>
                <w:rFonts w:eastAsia="Arial" w:cs="Arial"/>
                <w:i/>
                <w:iCs/>
                <w:color w:val="000000" w:themeColor="text1"/>
                <w:sz w:val="20"/>
                <w:szCs w:val="20"/>
              </w:rPr>
              <w:t>Weighting 22.5%</w:t>
            </w:r>
          </w:p>
        </w:tc>
        <w:tc>
          <w:tcPr>
            <w:tcW w:w="2395" w:type="dxa"/>
            <w:tcBorders>
              <w:top w:val="single" w:color="auto" w:sz="4" w:space="0"/>
              <w:left w:val="single" w:color="auto" w:sz="4" w:space="0"/>
              <w:bottom w:val="single" w:color="auto" w:sz="4" w:space="0"/>
              <w:right w:val="single" w:color="auto" w:sz="4" w:space="0"/>
            </w:tcBorders>
            <w:tcMar/>
          </w:tcPr>
          <w:p w:rsidR="00755AF7" w:rsidP="00755AF7" w:rsidRDefault="00755AF7" w14:paraId="7A569AAE" w14:textId="30B49693">
            <w:pPr>
              <w:rPr>
                <w:rFonts w:eastAsia="Arial" w:cs="Arial"/>
                <w:color w:val="000000" w:themeColor="text1"/>
                <w:sz w:val="20"/>
                <w:szCs w:val="20"/>
              </w:rPr>
            </w:pPr>
            <w:r w:rsidRPr="3FABD7B4">
              <w:rPr>
                <w:rFonts w:eastAsia="Arial" w:cs="Arial"/>
                <w:color w:val="000000" w:themeColor="text1"/>
                <w:sz w:val="20"/>
                <w:szCs w:val="20"/>
              </w:rPr>
              <w:t>FY25: 80%</w:t>
            </w:r>
          </w:p>
        </w:tc>
        <w:tc>
          <w:tcPr>
            <w:tcW w:w="3650" w:type="dxa"/>
            <w:tcBorders>
              <w:top w:val="single" w:color="auto" w:sz="4" w:space="0"/>
              <w:left w:val="single" w:color="auto" w:sz="4" w:space="0"/>
              <w:bottom w:val="single" w:color="auto" w:sz="4" w:space="0"/>
              <w:right w:val="single" w:color="auto" w:sz="4" w:space="0"/>
            </w:tcBorders>
            <w:tcMar/>
          </w:tcPr>
          <w:p w:rsidRPr="00D80C6C" w:rsidR="00755AF7" w:rsidP="334BBF58" w:rsidRDefault="00755AF7" w14:paraId="2AFC4DE6" w14:textId="155EB779">
            <w:pPr>
              <w:spacing/>
              <w:contextualSpacing w:val="1"/>
              <w:rPr>
                <w:rFonts w:eastAsia="Arial" w:cs="Arial"/>
                <w:color w:val="000000" w:themeColor="text1"/>
                <w:sz w:val="20"/>
                <w:szCs w:val="20"/>
              </w:rPr>
            </w:pPr>
            <w:r w:rsidRPr="334BBF58" w:rsidR="3F5B1B20">
              <w:rPr>
                <w:rFonts w:eastAsia="Arial" w:cs="Arial"/>
                <w:color w:val="000000" w:themeColor="text1" w:themeTint="FF" w:themeShade="FF"/>
                <w:sz w:val="20"/>
                <w:szCs w:val="20"/>
              </w:rPr>
              <w:t>100</w:t>
            </w:r>
            <w:r w:rsidRPr="334BBF58" w:rsidR="00755AF7">
              <w:rPr>
                <w:rFonts w:eastAsia="Arial" w:cs="Arial"/>
                <w:color w:val="000000" w:themeColor="text1" w:themeTint="FF" w:themeShade="FF"/>
                <w:sz w:val="20"/>
                <w:szCs w:val="20"/>
              </w:rPr>
              <w:t>%</w:t>
            </w:r>
          </w:p>
          <w:p w:rsidRPr="00D80C6C" w:rsidR="00755AF7" w:rsidP="00755AF7" w:rsidRDefault="00755AF7" w14:paraId="3BAF08F6" w14:textId="2C672728">
            <w:pPr>
              <w:contextualSpacing/>
              <w:rPr>
                <w:rFonts w:eastAsia="Arial" w:cs="Arial"/>
                <w:color w:val="000000" w:themeColor="text1"/>
                <w:sz w:val="20"/>
                <w:szCs w:val="20"/>
              </w:rPr>
            </w:pPr>
          </w:p>
          <w:p w:rsidRPr="00D80C6C" w:rsidR="00755AF7" w:rsidP="00755AF7" w:rsidRDefault="00755AF7" w14:paraId="50D90861" w14:textId="77777777">
            <w:pPr>
              <w:contextualSpacing/>
              <w:rPr>
                <w:rFonts w:eastAsia="Arial" w:cs="Arial"/>
                <w:color w:val="000000" w:themeColor="text1"/>
                <w:sz w:val="20"/>
                <w:szCs w:val="20"/>
              </w:rPr>
            </w:pPr>
            <w:r w:rsidRPr="266EBA57">
              <w:rPr>
                <w:rFonts w:eastAsia="Arial" w:cs="Arial"/>
                <w:b/>
                <w:bCs/>
                <w:color w:val="000000" w:themeColor="text1"/>
                <w:sz w:val="20"/>
                <w:szCs w:val="20"/>
              </w:rPr>
              <w:t>Progress moderately exceeded expectations</w:t>
            </w:r>
          </w:p>
          <w:p w:rsidRPr="00D80C6C" w:rsidR="00755AF7" w:rsidP="00755AF7" w:rsidRDefault="00755AF7" w14:paraId="059E1135" w14:textId="79F6E5BA">
            <w:pPr>
              <w:contextualSpacing/>
              <w:rPr>
                <w:rFonts w:eastAsia="Arial" w:cs="Arial"/>
                <w:color w:val="000000" w:themeColor="text1"/>
                <w:sz w:val="20"/>
                <w:szCs w:val="20"/>
              </w:rPr>
            </w:pPr>
          </w:p>
          <w:p w:rsidRPr="00D80C6C" w:rsidR="00755AF7" w:rsidP="00755AF7" w:rsidRDefault="00755AF7" w14:paraId="24F25FD1" w14:textId="4D7E9843">
            <w:pPr>
              <w:contextualSpacing/>
              <w:rPr>
                <w:rFonts w:eastAsia="Arial" w:cs="Arial"/>
                <w:color w:val="000000" w:themeColor="text1"/>
                <w:sz w:val="20"/>
                <w:szCs w:val="20"/>
              </w:rPr>
            </w:pPr>
            <w:r w:rsidRPr="31AF0016">
              <w:rPr>
                <w:rFonts w:eastAsia="Arial" w:cs="Arial"/>
                <w:color w:val="000000" w:themeColor="text1"/>
                <w:sz w:val="20"/>
                <w:szCs w:val="20"/>
              </w:rPr>
              <w:t>Examples of subcategories included in the ERPDs:</w:t>
            </w:r>
          </w:p>
          <w:p w:rsidRPr="00D80C6C" w:rsidR="00755AF7" w:rsidP="00756B4F" w:rsidRDefault="00755AF7" w14:paraId="63DCE4F3" w14:textId="10C08869">
            <w:pPr>
              <w:pStyle w:val="ListParagraph"/>
              <w:numPr>
                <w:ilvl w:val="0"/>
                <w:numId w:val="14"/>
              </w:numPr>
              <w:rPr>
                <w:rFonts w:eastAsia="Arial" w:cs="Arial"/>
                <w:color w:val="000000" w:themeColor="text1"/>
                <w:sz w:val="20"/>
              </w:rPr>
            </w:pPr>
            <w:r w:rsidRPr="31AF0016">
              <w:rPr>
                <w:rFonts w:eastAsia="Arial" w:cs="Arial"/>
                <w:color w:val="000000" w:themeColor="text1"/>
                <w:sz w:val="20"/>
              </w:rPr>
              <w:t>Colombia – cropland, grassland, wetland, settlement</w:t>
            </w:r>
          </w:p>
          <w:p w:rsidRPr="00D80C6C" w:rsidR="00755AF7" w:rsidP="00756B4F" w:rsidRDefault="00755AF7" w14:paraId="7584C703" w14:textId="07E34E3E">
            <w:pPr>
              <w:pStyle w:val="ListParagraph"/>
              <w:numPr>
                <w:ilvl w:val="0"/>
                <w:numId w:val="14"/>
              </w:numPr>
              <w:rPr>
                <w:rFonts w:eastAsia="Arial" w:cs="Arial"/>
                <w:color w:val="000000" w:themeColor="text1"/>
                <w:sz w:val="20"/>
              </w:rPr>
            </w:pPr>
            <w:r w:rsidRPr="31AF0016">
              <w:rPr>
                <w:rFonts w:eastAsia="Arial" w:cs="Arial"/>
                <w:color w:val="000000" w:themeColor="text1"/>
                <w:sz w:val="20"/>
              </w:rPr>
              <w:t>Ethiopia – livestock, grassland, cropland</w:t>
            </w:r>
          </w:p>
          <w:p w:rsidRPr="00D80C6C" w:rsidR="00755AF7" w:rsidP="00756B4F" w:rsidRDefault="00755AF7" w14:paraId="3215D2BD" w14:textId="3ED7EA41">
            <w:pPr>
              <w:pStyle w:val="ListParagraph"/>
              <w:numPr>
                <w:ilvl w:val="0"/>
                <w:numId w:val="14"/>
              </w:numPr>
              <w:rPr>
                <w:rFonts w:eastAsia="Arial" w:cs="Arial"/>
                <w:color w:val="000000" w:themeColor="text1"/>
                <w:sz w:val="20"/>
              </w:rPr>
            </w:pPr>
            <w:r w:rsidRPr="31AF0016">
              <w:rPr>
                <w:rFonts w:eastAsia="Arial" w:cs="Arial"/>
                <w:color w:val="000000" w:themeColor="text1"/>
                <w:sz w:val="20"/>
              </w:rPr>
              <w:t>Indonesia – grassland, cropland, wetland, settlement</w:t>
            </w:r>
          </w:p>
          <w:p w:rsidRPr="00D80C6C" w:rsidR="00755AF7" w:rsidP="00756B4F" w:rsidRDefault="00755AF7" w14:paraId="16E11DAA" w14:textId="4149E311">
            <w:pPr>
              <w:pStyle w:val="ListParagraph"/>
              <w:numPr>
                <w:ilvl w:val="0"/>
                <w:numId w:val="14"/>
              </w:numPr>
              <w:rPr>
                <w:rFonts w:eastAsia="Arial" w:cs="Arial"/>
                <w:color w:val="000000" w:themeColor="text1"/>
                <w:sz w:val="20"/>
              </w:rPr>
            </w:pPr>
            <w:r w:rsidRPr="31AF0016">
              <w:rPr>
                <w:rFonts w:eastAsia="Arial" w:cs="Arial"/>
                <w:color w:val="000000" w:themeColor="text1"/>
                <w:sz w:val="20"/>
              </w:rPr>
              <w:t>Mexico – cattle, grassland, cropland</w:t>
            </w:r>
          </w:p>
          <w:p w:rsidRPr="00D80C6C" w:rsidR="00755AF7" w:rsidP="00756B4F" w:rsidRDefault="00755AF7" w14:paraId="45EC1364" w14:textId="6AC17252">
            <w:pPr>
              <w:pStyle w:val="ListParagraph"/>
              <w:numPr>
                <w:ilvl w:val="0"/>
                <w:numId w:val="14"/>
              </w:numPr>
              <w:rPr>
                <w:rFonts w:eastAsia="Arial" w:cs="Arial"/>
                <w:color w:val="000000" w:themeColor="text1"/>
                <w:sz w:val="20"/>
              </w:rPr>
            </w:pPr>
            <w:r w:rsidRPr="31AF0016">
              <w:rPr>
                <w:rFonts w:eastAsia="Arial" w:cs="Arial"/>
                <w:color w:val="000000" w:themeColor="text1"/>
                <w:sz w:val="20"/>
              </w:rPr>
              <w:t>Zambia – livestock, grassland, cropland, soils</w:t>
            </w:r>
          </w:p>
        </w:tc>
      </w:tr>
      <w:tr w:rsidR="00485089" w:rsidTr="334BBF58" w14:paraId="0AA7909D" w14:textId="77777777">
        <w:trPr>
          <w:trHeight w:val="300"/>
        </w:trPr>
        <w:tc>
          <w:tcPr>
            <w:tcW w:w="3022" w:type="dxa"/>
            <w:tcBorders>
              <w:top w:val="single" w:color="auto" w:sz="4" w:space="0"/>
              <w:left w:val="single" w:color="auto" w:sz="4" w:space="0"/>
              <w:bottom w:val="single" w:color="auto" w:sz="4" w:space="0"/>
              <w:right w:val="single" w:color="auto" w:sz="4" w:space="0"/>
            </w:tcBorders>
            <w:tcMar/>
          </w:tcPr>
          <w:p w:rsidR="00485089" w:rsidP="00485089" w:rsidRDefault="00485089" w14:paraId="66518718" w14:textId="6A9709C5">
            <w:pPr>
              <w:rPr>
                <w:rFonts w:eastAsia="Arial" w:cs="Arial"/>
                <w:color w:val="000000" w:themeColor="text1"/>
                <w:sz w:val="20"/>
                <w:szCs w:val="20"/>
              </w:rPr>
            </w:pPr>
            <w:r w:rsidRPr="47124558">
              <w:rPr>
                <w:rFonts w:eastAsia="Arial" w:cs="Arial"/>
                <w:color w:val="000000" w:themeColor="text1"/>
                <w:sz w:val="20"/>
                <w:szCs w:val="20"/>
              </w:rPr>
              <w:t>1.</w:t>
            </w:r>
            <w:r w:rsidR="00D50B29">
              <w:rPr>
                <w:rFonts w:eastAsia="Arial" w:cs="Arial"/>
                <w:color w:val="000000" w:themeColor="text1"/>
                <w:sz w:val="20"/>
                <w:szCs w:val="20"/>
              </w:rPr>
              <w:t>5</w:t>
            </w:r>
          </w:p>
          <w:p w:rsidR="00485089" w:rsidP="00485089" w:rsidRDefault="00485089" w14:paraId="1D494404" w14:textId="3F8E382C">
            <w:pPr>
              <w:rPr>
                <w:rFonts w:eastAsia="Arial" w:cs="Arial"/>
                <w:color w:val="000000" w:themeColor="text1"/>
                <w:sz w:val="20"/>
                <w:szCs w:val="20"/>
              </w:rPr>
            </w:pPr>
            <w:r w:rsidRPr="47124558">
              <w:rPr>
                <w:rFonts w:eastAsia="Arial" w:cs="Arial"/>
                <w:color w:val="000000" w:themeColor="text1"/>
                <w:sz w:val="20"/>
                <w:szCs w:val="20"/>
              </w:rPr>
              <w:t>a) Number of approved ERPDs which directly reference National Biodiversity Strategies and Action Plans (NBSAPs), related regional and/or sub-national strategies and plans, and which include targets that demonstrate biodiversity co-benefits;</w:t>
            </w:r>
          </w:p>
          <w:p w:rsidR="00485089" w:rsidP="00485089" w:rsidRDefault="00485089" w14:paraId="2D38DA89" w14:textId="5CD6B0E6">
            <w:pPr>
              <w:rPr>
                <w:rFonts w:eastAsia="Arial" w:cs="Arial"/>
                <w:color w:val="000000" w:themeColor="text1"/>
                <w:sz w:val="20"/>
                <w:szCs w:val="20"/>
              </w:rPr>
            </w:pPr>
          </w:p>
          <w:p w:rsidR="00485089" w:rsidP="00485089" w:rsidRDefault="00485089" w14:paraId="5B21BD71" w14:textId="03A12E5A">
            <w:pPr>
              <w:rPr>
                <w:rFonts w:eastAsia="Arial" w:cs="Arial"/>
                <w:color w:val="000000" w:themeColor="text1"/>
                <w:sz w:val="20"/>
                <w:szCs w:val="20"/>
              </w:rPr>
            </w:pPr>
            <w:r w:rsidRPr="47124558">
              <w:rPr>
                <w:rFonts w:eastAsia="Arial" w:cs="Arial"/>
                <w:color w:val="000000" w:themeColor="text1"/>
                <w:sz w:val="20"/>
                <w:szCs w:val="20"/>
              </w:rPr>
              <w:t>b) Number of programmes that are designing or implementing biodiversity-friendly management strategies</w:t>
            </w:r>
          </w:p>
          <w:p w:rsidR="00485089" w:rsidP="00485089" w:rsidRDefault="00485089" w14:paraId="75D477D5" w14:textId="22081529">
            <w:pPr>
              <w:rPr>
                <w:rFonts w:eastAsia="Arial" w:cs="Arial"/>
                <w:color w:val="000000" w:themeColor="text1"/>
                <w:sz w:val="20"/>
                <w:szCs w:val="20"/>
              </w:rPr>
            </w:pPr>
          </w:p>
          <w:p w:rsidR="00485089" w:rsidP="00485089" w:rsidRDefault="00485089" w14:paraId="2AADFE18" w14:textId="6B790367">
            <w:pPr>
              <w:rPr>
                <w:rFonts w:eastAsia="Arial" w:cs="Arial"/>
                <w:color w:val="000000" w:themeColor="text1"/>
                <w:sz w:val="20"/>
                <w:szCs w:val="20"/>
              </w:rPr>
            </w:pPr>
            <w:r w:rsidRPr="5BB7A563">
              <w:rPr>
                <w:rFonts w:eastAsia="Arial" w:cs="Arial"/>
                <w:i/>
                <w:iCs/>
                <w:color w:val="000000" w:themeColor="text1"/>
                <w:sz w:val="20"/>
                <w:szCs w:val="20"/>
              </w:rPr>
              <w:t>Weighting: 10%</w:t>
            </w:r>
          </w:p>
        </w:tc>
        <w:tc>
          <w:tcPr>
            <w:tcW w:w="2395" w:type="dxa"/>
            <w:tcBorders>
              <w:top w:val="single" w:color="auto" w:sz="4" w:space="0"/>
              <w:left w:val="single" w:color="auto" w:sz="4" w:space="0"/>
              <w:bottom w:val="single" w:color="auto" w:sz="4" w:space="0"/>
              <w:right w:val="single" w:color="auto" w:sz="4" w:space="0"/>
            </w:tcBorders>
            <w:tcMar/>
          </w:tcPr>
          <w:p w:rsidR="00485089" w:rsidP="00485089" w:rsidRDefault="00485089" w14:paraId="4EC14A36" w14:textId="710914BF">
            <w:pPr>
              <w:rPr>
                <w:rFonts w:eastAsia="Arial" w:cs="Arial"/>
                <w:color w:val="000000" w:themeColor="text1"/>
                <w:sz w:val="20"/>
                <w:szCs w:val="20"/>
              </w:rPr>
            </w:pPr>
            <w:r w:rsidRPr="2AB1C864">
              <w:rPr>
                <w:rFonts w:eastAsia="Arial" w:cs="Arial"/>
                <w:color w:val="000000" w:themeColor="text1"/>
                <w:sz w:val="20"/>
                <w:szCs w:val="20"/>
              </w:rPr>
              <w:t>(a) 5</w:t>
            </w:r>
          </w:p>
          <w:p w:rsidR="00485089" w:rsidP="00485089" w:rsidRDefault="00485089" w14:paraId="7A471547" w14:textId="4A798341">
            <w:pPr>
              <w:rPr>
                <w:rFonts w:eastAsia="Arial" w:cs="Arial"/>
                <w:color w:val="000000" w:themeColor="text1"/>
                <w:sz w:val="20"/>
                <w:szCs w:val="20"/>
              </w:rPr>
            </w:pPr>
            <w:r w:rsidRPr="2AB1C864">
              <w:rPr>
                <w:rFonts w:eastAsia="Arial" w:cs="Arial"/>
                <w:color w:val="000000" w:themeColor="text1"/>
                <w:sz w:val="20"/>
                <w:szCs w:val="20"/>
              </w:rPr>
              <w:t>(b) 5</w:t>
            </w:r>
          </w:p>
        </w:tc>
        <w:tc>
          <w:tcPr>
            <w:tcW w:w="3650" w:type="dxa"/>
            <w:tcBorders>
              <w:top w:val="single" w:color="auto" w:sz="4" w:space="0"/>
              <w:left w:val="single" w:color="auto" w:sz="4" w:space="0"/>
              <w:bottom w:val="single" w:color="auto" w:sz="4" w:space="0"/>
              <w:right w:val="single" w:color="auto" w:sz="4" w:space="0"/>
            </w:tcBorders>
            <w:tcMar/>
          </w:tcPr>
          <w:p w:rsidRPr="00A01555" w:rsidR="00485089" w:rsidP="334BBF58" w:rsidRDefault="00485089" w14:paraId="6854B430" w14:textId="28220724">
            <w:pPr>
              <w:pStyle w:val="ListParagraph"/>
              <w:numPr>
                <w:ilvl w:val="0"/>
                <w:numId w:val="15"/>
              </w:numPr>
              <w:spacing w:after="0"/>
              <w:jc w:val="both"/>
              <w:rPr>
                <w:rFonts w:cs="Arial"/>
                <w:b w:val="1"/>
                <w:bCs w:val="1"/>
                <w:sz w:val="20"/>
                <w:szCs w:val="20"/>
              </w:rPr>
            </w:pPr>
            <w:r w:rsidRPr="334BBF58" w:rsidR="7EFA83C1">
              <w:rPr>
                <w:rFonts w:cs="Arial"/>
                <w:sz w:val="20"/>
                <w:szCs w:val="20"/>
              </w:rPr>
              <w:t xml:space="preserve">3 </w:t>
            </w:r>
            <w:r w:rsidRPr="334BBF58" w:rsidR="7EFA83C1">
              <w:rPr>
                <w:rFonts w:cs="Arial"/>
                <w:b w:val="1"/>
                <w:bCs w:val="1"/>
                <w:sz w:val="20"/>
                <w:szCs w:val="20"/>
              </w:rPr>
              <w:t>Progress moderately did not meet expectation.</w:t>
            </w:r>
          </w:p>
          <w:p w:rsidRPr="00A01555" w:rsidR="00485089" w:rsidP="00756B4F" w:rsidRDefault="00485089" w14:paraId="3FAEE145" w14:textId="77777777">
            <w:pPr>
              <w:pStyle w:val="ListParagraph"/>
              <w:numPr>
                <w:ilvl w:val="0"/>
                <w:numId w:val="15"/>
              </w:numPr>
              <w:spacing w:after="0"/>
              <w:jc w:val="both"/>
              <w:rPr>
                <w:rFonts w:cs="Arial"/>
                <w:b/>
                <w:bCs/>
                <w:sz w:val="20"/>
              </w:rPr>
            </w:pPr>
            <w:r w:rsidRPr="00A01555">
              <w:rPr>
                <w:rFonts w:cs="Arial"/>
                <w:sz w:val="20"/>
              </w:rPr>
              <w:t xml:space="preserve">4 </w:t>
            </w:r>
            <w:r w:rsidRPr="00A01555">
              <w:rPr>
                <w:rFonts w:cs="Arial"/>
                <w:b/>
                <w:bCs/>
                <w:sz w:val="20"/>
              </w:rPr>
              <w:t>Progress moderately did not meet expectation.</w:t>
            </w:r>
          </w:p>
          <w:p w:rsidRPr="00A01555" w:rsidR="009A08C0" w:rsidP="009A08C0" w:rsidRDefault="009A08C0" w14:paraId="3F9CE0C2" w14:textId="77777777">
            <w:pPr>
              <w:jc w:val="both"/>
              <w:rPr>
                <w:rFonts w:cs="Arial"/>
                <w:b/>
                <w:bCs/>
                <w:sz w:val="20"/>
              </w:rPr>
            </w:pPr>
          </w:p>
          <w:p w:rsidRPr="00A01555" w:rsidR="009A08C0" w:rsidP="009A08C0" w:rsidRDefault="009A08C0" w14:paraId="501F0080" w14:textId="2BA6F093">
            <w:pPr>
              <w:jc w:val="both"/>
              <w:rPr>
                <w:rFonts w:cs="Arial"/>
                <w:sz w:val="20"/>
                <w:szCs w:val="20"/>
              </w:rPr>
            </w:pPr>
            <w:r w:rsidRPr="64ACC478">
              <w:rPr>
                <w:rFonts w:cs="Arial"/>
                <w:sz w:val="20"/>
                <w:szCs w:val="20"/>
              </w:rPr>
              <w:t xml:space="preserve">It should be noted that, after </w:t>
            </w:r>
            <w:r w:rsidRPr="64ACC478" w:rsidR="00984C44">
              <w:rPr>
                <w:rFonts w:cs="Arial"/>
                <w:sz w:val="20"/>
                <w:szCs w:val="20"/>
              </w:rPr>
              <w:t>additional analysis was undertaken</w:t>
            </w:r>
            <w:r w:rsidRPr="64ACC478" w:rsidR="131AB43B">
              <w:rPr>
                <w:rFonts w:cs="Arial"/>
                <w:sz w:val="20"/>
                <w:szCs w:val="20"/>
              </w:rPr>
              <w:t xml:space="preserve"> in FY25</w:t>
            </w:r>
            <w:r w:rsidRPr="64ACC478" w:rsidR="00984C44">
              <w:rPr>
                <w:rFonts w:cs="Arial"/>
                <w:sz w:val="20"/>
                <w:szCs w:val="20"/>
              </w:rPr>
              <w:t>, Colombia, Mexico and Ethiopia ERPDs were all found to reference NBSAPs, and so this sub-indicator was updated from 1 to 3</w:t>
            </w:r>
            <w:r w:rsidRPr="64ACC478" w:rsidR="00A01555">
              <w:rPr>
                <w:rFonts w:cs="Arial"/>
                <w:sz w:val="20"/>
                <w:szCs w:val="20"/>
              </w:rPr>
              <w:t xml:space="preserve">. </w:t>
            </w:r>
          </w:p>
        </w:tc>
      </w:tr>
    </w:tbl>
    <w:p w:rsidR="47124558" w:rsidP="47124558" w:rsidRDefault="47124558" w14:paraId="6844DF69" w14:textId="4C77ADF3">
      <w:pPr>
        <w:jc w:val="both"/>
        <w:rPr>
          <w:b/>
          <w:bCs/>
          <w:i/>
          <w:iCs/>
          <w:sz w:val="28"/>
          <w:szCs w:val="28"/>
        </w:rPr>
      </w:pPr>
    </w:p>
    <w:p w:rsidRPr="00D80C6C" w:rsidR="003D222C" w:rsidP="47124558" w:rsidRDefault="00C02966" w14:paraId="08AB1D93" w14:textId="2465E86A">
      <w:pPr>
        <w:jc w:val="both"/>
        <w:rPr>
          <w:rFonts w:cs="Arial"/>
          <w:i/>
          <w:iCs/>
          <w:sz w:val="22"/>
          <w:szCs w:val="22"/>
        </w:rPr>
      </w:pPr>
      <w:r w:rsidRPr="47124558">
        <w:rPr>
          <w:b/>
          <w:bCs/>
          <w:i/>
          <w:iCs/>
          <w:sz w:val="28"/>
          <w:szCs w:val="28"/>
        </w:rPr>
        <w:t>O</w:t>
      </w:r>
      <w:r w:rsidRPr="47124558" w:rsidR="003D222C">
        <w:rPr>
          <w:b/>
          <w:bCs/>
          <w:i/>
          <w:iCs/>
          <w:sz w:val="28"/>
          <w:szCs w:val="28"/>
        </w:rPr>
        <w:t>utput</w:t>
      </w:r>
      <w:r w:rsidRPr="47124558">
        <w:rPr>
          <w:b/>
          <w:bCs/>
          <w:i/>
          <w:iCs/>
          <w:sz w:val="28"/>
          <w:szCs w:val="28"/>
        </w:rPr>
        <w:t xml:space="preserve"> summary</w:t>
      </w:r>
      <w:r w:rsidRPr="47124558" w:rsidR="003D222C">
        <w:rPr>
          <w:b/>
          <w:bCs/>
          <w:i/>
          <w:iCs/>
          <w:sz w:val="28"/>
          <w:szCs w:val="28"/>
        </w:rPr>
        <w:t xml:space="preserve"> and supporting narrative for the score</w:t>
      </w:r>
      <w:r w:rsidRPr="47124558" w:rsidR="003D222C">
        <w:rPr>
          <w:rFonts w:cs="Arial"/>
          <w:b/>
          <w:bCs/>
          <w:i/>
          <w:iCs/>
          <w:sz w:val="22"/>
          <w:szCs w:val="22"/>
        </w:rPr>
        <w:t xml:space="preserve"> </w:t>
      </w:r>
    </w:p>
    <w:p w:rsidRPr="00D80C6C" w:rsidR="003D222C" w:rsidP="07A83302" w:rsidRDefault="003D222C" w14:paraId="279A4EAB" w14:textId="6E893929">
      <w:pPr>
        <w:jc w:val="both"/>
        <w:rPr>
          <w:rFonts w:cs="Arial"/>
          <w:sz w:val="22"/>
          <w:szCs w:val="22"/>
        </w:rPr>
      </w:pPr>
    </w:p>
    <w:p w:rsidR="6A772975" w:rsidP="07A83302" w:rsidRDefault="6A772975" w14:paraId="7F4D7E64" w14:textId="79448F69">
      <w:pPr>
        <w:jc w:val="both"/>
        <w:rPr>
          <w:rFonts w:eastAsia="Arial" w:cs="Arial"/>
          <w:sz w:val="22"/>
          <w:szCs w:val="22"/>
        </w:rPr>
      </w:pPr>
      <w:r w:rsidRPr="07A83302">
        <w:rPr>
          <w:rFonts w:eastAsia="Arial" w:cs="Arial"/>
          <w:color w:val="000000" w:themeColor="text1"/>
          <w:sz w:val="22"/>
          <w:szCs w:val="22"/>
        </w:rPr>
        <w:t xml:space="preserve">Output 1 measures the progress of the planning and implementation of jurisdictional emission reductions </w:t>
      </w:r>
      <w:r w:rsidR="00F82CDD">
        <w:rPr>
          <w:rFonts w:eastAsia="Arial" w:cs="Arial"/>
          <w:color w:val="000000" w:themeColor="text1"/>
          <w:sz w:val="22"/>
          <w:szCs w:val="22"/>
        </w:rPr>
        <w:t xml:space="preserve">(ER) </w:t>
      </w:r>
      <w:r w:rsidRPr="07A83302">
        <w:rPr>
          <w:rFonts w:eastAsia="Arial" w:cs="Arial"/>
          <w:color w:val="000000" w:themeColor="text1"/>
          <w:sz w:val="22"/>
          <w:szCs w:val="22"/>
        </w:rPr>
        <w:t>programmes, which are foundational to the wider ISFL programme.</w:t>
      </w:r>
    </w:p>
    <w:p w:rsidR="07A83302" w:rsidP="07A83302" w:rsidRDefault="07A83302" w14:paraId="632EE722" w14:textId="0D89233A">
      <w:pPr>
        <w:jc w:val="both"/>
        <w:rPr>
          <w:rFonts w:cs="Arial"/>
          <w:sz w:val="22"/>
          <w:szCs w:val="22"/>
        </w:rPr>
      </w:pPr>
    </w:p>
    <w:p w:rsidR="6A772975" w:rsidP="07A83302" w:rsidRDefault="6A772975" w14:paraId="3AA40ED0" w14:textId="3A957FA7">
      <w:pPr>
        <w:jc w:val="both"/>
        <w:rPr>
          <w:rFonts w:eastAsia="Arial" w:cs="Arial"/>
          <w:sz w:val="22"/>
          <w:szCs w:val="22"/>
        </w:rPr>
      </w:pPr>
      <w:r w:rsidRPr="2C8F96EB">
        <w:rPr>
          <w:rFonts w:eastAsia="Arial" w:cs="Arial"/>
          <w:color w:val="000000" w:themeColor="text1"/>
          <w:sz w:val="22"/>
          <w:szCs w:val="22"/>
        </w:rPr>
        <w:t>For FY2</w:t>
      </w:r>
      <w:r w:rsidRPr="2C8F96EB" w:rsidR="107F5290">
        <w:rPr>
          <w:rFonts w:eastAsia="Arial" w:cs="Arial"/>
          <w:color w:val="000000" w:themeColor="text1"/>
          <w:sz w:val="22"/>
          <w:szCs w:val="22"/>
        </w:rPr>
        <w:t>5</w:t>
      </w:r>
      <w:r w:rsidRPr="2C8F96EB">
        <w:rPr>
          <w:rFonts w:eastAsia="Arial" w:cs="Arial"/>
          <w:color w:val="000000" w:themeColor="text1"/>
          <w:sz w:val="22"/>
          <w:szCs w:val="22"/>
        </w:rPr>
        <w:t>, Output 1 has scored a B to reflect the variation in performance across the indicators.  Although there was progress in terms of the inclusion of AFOLU sub-categories in ERPDs</w:t>
      </w:r>
      <w:r w:rsidRPr="2C8F96EB" w:rsidR="2F58FE12">
        <w:rPr>
          <w:rFonts w:eastAsia="Arial" w:cs="Arial"/>
          <w:color w:val="000000" w:themeColor="text1"/>
          <w:sz w:val="22"/>
          <w:szCs w:val="22"/>
        </w:rPr>
        <w:t xml:space="preserve"> (</w:t>
      </w:r>
      <w:r w:rsidRPr="2C8F96EB" w:rsidR="2656B4AD">
        <w:rPr>
          <w:rFonts w:eastAsia="Arial" w:cs="Arial"/>
          <w:color w:val="000000" w:themeColor="text1"/>
          <w:sz w:val="22"/>
          <w:szCs w:val="22"/>
        </w:rPr>
        <w:t>achieved in FY24)</w:t>
      </w:r>
      <w:r w:rsidR="00A2170A">
        <w:rPr>
          <w:rFonts w:eastAsia="Arial" w:cs="Arial"/>
          <w:color w:val="000000" w:themeColor="text1"/>
          <w:sz w:val="22"/>
          <w:szCs w:val="22"/>
        </w:rPr>
        <w:t>,</w:t>
      </w:r>
      <w:r w:rsidRPr="2C8F96EB">
        <w:rPr>
          <w:rFonts w:eastAsia="Arial" w:cs="Arial"/>
          <w:color w:val="000000" w:themeColor="text1"/>
          <w:sz w:val="22"/>
          <w:szCs w:val="22"/>
        </w:rPr>
        <w:t xml:space="preserve"> the overall score continues to be limited by delays to the signing of ERPAs</w:t>
      </w:r>
      <w:r w:rsidRPr="2C8F96EB" w:rsidR="18E67D12">
        <w:rPr>
          <w:rFonts w:eastAsia="Arial" w:cs="Arial"/>
          <w:color w:val="000000" w:themeColor="text1"/>
          <w:sz w:val="22"/>
          <w:szCs w:val="22"/>
        </w:rPr>
        <w:t xml:space="preserve"> and subsequent disbursements for ER payments</w:t>
      </w:r>
      <w:r w:rsidRPr="2C8F96EB">
        <w:rPr>
          <w:rFonts w:eastAsia="Arial" w:cs="Arial"/>
          <w:color w:val="000000" w:themeColor="text1"/>
          <w:sz w:val="22"/>
          <w:szCs w:val="22"/>
        </w:rPr>
        <w:t>. Output 1 has retained its “Moderate” risk rating from FY23 due to these continued delays.</w:t>
      </w:r>
    </w:p>
    <w:p w:rsidR="2CA74197" w:rsidP="2C8F96EB" w:rsidRDefault="2CA74197" w14:paraId="4CEA00C3" w14:textId="3E10F5A9">
      <w:pPr>
        <w:jc w:val="both"/>
        <w:rPr>
          <w:rFonts w:eastAsia="Arial" w:cs="Arial"/>
          <w:color w:val="000000" w:themeColor="text1"/>
          <w:sz w:val="22"/>
          <w:szCs w:val="22"/>
        </w:rPr>
      </w:pPr>
    </w:p>
    <w:p w:rsidR="003E62CE" w:rsidP="5CB3BEB7" w:rsidRDefault="0282D49B" w14:paraId="57FECFB6" w14:textId="5E8BE67C">
      <w:pPr>
        <w:jc w:val="both"/>
        <w:rPr>
          <w:rFonts w:eastAsia="Arial" w:cs="Arial"/>
          <w:color w:val="000000" w:themeColor="text1"/>
          <w:sz w:val="22"/>
          <w:szCs w:val="22"/>
        </w:rPr>
      </w:pPr>
      <w:r w:rsidRPr="0DDBE21B" w:rsidR="0282D49B">
        <w:rPr>
          <w:rFonts w:eastAsia="Arial" w:cs="Arial"/>
          <w:color w:val="000000" w:themeColor="text1" w:themeTint="FF" w:themeShade="FF"/>
          <w:sz w:val="22"/>
          <w:szCs w:val="22"/>
        </w:rPr>
        <w:t>Under Output Indicator 1.1,</w:t>
      </w:r>
      <w:r w:rsidRPr="0DDBE21B" w:rsidR="15911176">
        <w:rPr>
          <w:rFonts w:eastAsia="Arial" w:cs="Arial"/>
          <w:color w:val="000000" w:themeColor="text1" w:themeTint="FF" w:themeShade="FF"/>
          <w:sz w:val="22"/>
          <w:szCs w:val="22"/>
        </w:rPr>
        <w:t xml:space="preserve"> progress around sustainable landscape management plans</w:t>
      </w:r>
      <w:r w:rsidRPr="0DDBE21B" w:rsidR="00725FD5">
        <w:rPr>
          <w:rFonts w:eastAsia="Arial" w:cs="Arial"/>
          <w:color w:val="000000" w:themeColor="text1" w:themeTint="FF" w:themeShade="FF"/>
          <w:sz w:val="22"/>
          <w:szCs w:val="22"/>
        </w:rPr>
        <w:t xml:space="preserve"> (a)</w:t>
      </w:r>
      <w:r w:rsidRPr="0DDBE21B" w:rsidR="15911176">
        <w:rPr>
          <w:rFonts w:eastAsia="Arial" w:cs="Arial"/>
          <w:color w:val="000000" w:themeColor="text1" w:themeTint="FF" w:themeShade="FF"/>
          <w:sz w:val="22"/>
          <w:szCs w:val="22"/>
        </w:rPr>
        <w:t xml:space="preserve"> fell short of the FY25 milestone</w:t>
      </w:r>
      <w:r w:rsidRPr="0DDBE21B" w:rsidR="3AFB417E">
        <w:rPr>
          <w:rFonts w:eastAsia="Arial" w:cs="Arial"/>
          <w:color w:val="000000" w:themeColor="text1" w:themeTint="FF" w:themeShade="FF"/>
          <w:sz w:val="22"/>
          <w:szCs w:val="22"/>
        </w:rPr>
        <w:t xml:space="preserve"> by </w:t>
      </w:r>
      <w:r w:rsidRPr="0DDBE21B" w:rsidR="3AFB417E">
        <w:rPr>
          <w:rFonts w:eastAsia="Arial" w:cs="Arial"/>
          <w:color w:val="000000" w:themeColor="text1" w:themeTint="FF" w:themeShade="FF"/>
          <w:sz w:val="22"/>
          <w:szCs w:val="22"/>
        </w:rPr>
        <w:t>21</w:t>
      </w:r>
      <w:r w:rsidRPr="0DDBE21B" w:rsidR="3AFB417E">
        <w:rPr>
          <w:rFonts w:eastAsia="Arial" w:cs="Arial"/>
          <w:color w:val="000000" w:themeColor="text1" w:themeTint="FF" w:themeShade="FF"/>
          <w:sz w:val="22"/>
          <w:szCs w:val="22"/>
        </w:rPr>
        <w:t>%</w:t>
      </w:r>
      <w:r w:rsidRPr="0DDBE21B" w:rsidR="5B7897C6">
        <w:rPr>
          <w:rFonts w:eastAsia="Arial" w:cs="Arial"/>
          <w:color w:val="000000" w:themeColor="text1" w:themeTint="FF" w:themeShade="FF"/>
          <w:sz w:val="22"/>
          <w:szCs w:val="22"/>
        </w:rPr>
        <w:t>.</w:t>
      </w:r>
      <w:r w:rsidRPr="0DDBE21B">
        <w:rPr>
          <w:rStyle w:val="FootnoteReference"/>
          <w:rFonts w:eastAsia="Arial" w:cs="Arial"/>
          <w:color w:val="000000" w:themeColor="text1" w:themeTint="FF" w:themeShade="FF"/>
          <w:sz w:val="22"/>
          <w:szCs w:val="22"/>
        </w:rPr>
        <w:footnoteReference w:id="11898"/>
      </w:r>
      <w:r w:rsidRPr="0DDBE21B" w:rsidR="5B7897C6">
        <w:rPr>
          <w:rFonts w:eastAsia="Arial" w:cs="Arial"/>
          <w:color w:val="000000" w:themeColor="text1" w:themeTint="FF" w:themeShade="FF"/>
          <w:sz w:val="22"/>
          <w:szCs w:val="22"/>
        </w:rPr>
        <w:t xml:space="preserve"> </w:t>
      </w:r>
      <w:r w:rsidRPr="0DDBE21B" w:rsidR="14C50E30">
        <w:rPr>
          <w:rFonts w:eastAsia="Arial" w:cs="Arial"/>
          <w:color w:val="000000" w:themeColor="text1" w:themeTint="FF" w:themeShade="FF"/>
          <w:sz w:val="22"/>
          <w:szCs w:val="22"/>
        </w:rPr>
        <w:t xml:space="preserve">Total landscape area under sustainable management practices </w:t>
      </w:r>
      <w:r w:rsidRPr="0DDBE21B" w:rsidR="00725FD5">
        <w:rPr>
          <w:rFonts w:eastAsia="Arial" w:cs="Arial"/>
          <w:color w:val="000000" w:themeColor="text1" w:themeTint="FF" w:themeShade="FF"/>
          <w:sz w:val="22"/>
          <w:szCs w:val="22"/>
        </w:rPr>
        <w:t xml:space="preserve">(b) </w:t>
      </w:r>
      <w:r w:rsidRPr="0DDBE21B" w:rsidR="14C50E30">
        <w:rPr>
          <w:rFonts w:eastAsia="Arial" w:cs="Arial"/>
          <w:color w:val="000000" w:themeColor="text1" w:themeTint="FF" w:themeShade="FF"/>
          <w:sz w:val="22"/>
          <w:szCs w:val="22"/>
        </w:rPr>
        <w:t xml:space="preserve">also fell short of the FY25 milestone by </w:t>
      </w:r>
      <w:r w:rsidRPr="0DDBE21B" w:rsidR="14C50E30">
        <w:rPr>
          <w:rFonts w:eastAsia="Arial" w:cs="Arial"/>
          <w:color w:val="000000" w:themeColor="text1" w:themeTint="FF" w:themeShade="FF"/>
          <w:sz w:val="22"/>
          <w:szCs w:val="22"/>
        </w:rPr>
        <w:t xml:space="preserve">18.3%, </w:t>
      </w:r>
      <w:r w:rsidRPr="0DDBE21B" w:rsidR="60EF3BBB">
        <w:rPr>
          <w:rFonts w:eastAsia="Arial" w:cs="Arial"/>
          <w:color w:val="000000" w:themeColor="text1" w:themeTint="FF" w:themeShade="FF"/>
          <w:sz w:val="22"/>
          <w:szCs w:val="22"/>
        </w:rPr>
        <w:t>and</w:t>
      </w:r>
      <w:r w:rsidRPr="0DDBE21B" w:rsidR="60EF3BBB">
        <w:rPr>
          <w:rFonts w:eastAsia="Arial" w:cs="Arial"/>
          <w:color w:val="000000" w:themeColor="text1" w:themeTint="FF" w:themeShade="FF"/>
          <w:sz w:val="22"/>
          <w:szCs w:val="22"/>
        </w:rPr>
        <w:t xml:space="preserve"> has declined since FY24 by ~13,500 ha.</w:t>
      </w:r>
      <w:r w:rsidRPr="0DDBE21B" w:rsidR="0282D49B">
        <w:rPr>
          <w:rFonts w:eastAsia="Arial" w:cs="Arial"/>
          <w:color w:val="000000" w:themeColor="text1" w:themeTint="FF" w:themeShade="FF"/>
          <w:sz w:val="22"/>
          <w:szCs w:val="22"/>
        </w:rPr>
        <w:t xml:space="preserve"> It is important to look at the data for each country programme, as this shows some variation in progress.</w:t>
      </w:r>
      <w:r w:rsidRPr="0DDBE21B" w:rsidR="000E673B">
        <w:rPr>
          <w:rFonts w:eastAsia="Arial" w:cs="Arial"/>
          <w:color w:val="000000" w:themeColor="text1" w:themeTint="FF" w:themeShade="FF"/>
          <w:sz w:val="22"/>
          <w:szCs w:val="22"/>
        </w:rPr>
        <w:t xml:space="preserve"> For example, whilst land area under sustainable landscape management plans</w:t>
      </w:r>
      <w:r w:rsidRPr="0DDBE21B" w:rsidR="00725FD5">
        <w:rPr>
          <w:rFonts w:eastAsia="Arial" w:cs="Arial"/>
          <w:color w:val="000000" w:themeColor="text1" w:themeTint="FF" w:themeShade="FF"/>
          <w:sz w:val="22"/>
          <w:szCs w:val="22"/>
        </w:rPr>
        <w:t xml:space="preserve"> (a)</w:t>
      </w:r>
      <w:r w:rsidRPr="0DDBE21B" w:rsidR="000E673B">
        <w:rPr>
          <w:rFonts w:eastAsia="Arial" w:cs="Arial"/>
          <w:color w:val="000000" w:themeColor="text1" w:themeTint="FF" w:themeShade="FF"/>
          <w:sz w:val="22"/>
          <w:szCs w:val="22"/>
        </w:rPr>
        <w:t xml:space="preserve"> </w:t>
      </w:r>
      <w:r w:rsidRPr="0DDBE21B" w:rsidR="00E2768F">
        <w:rPr>
          <w:rFonts w:eastAsia="Arial" w:cs="Arial"/>
          <w:color w:val="000000" w:themeColor="text1" w:themeTint="FF" w:themeShade="FF"/>
          <w:sz w:val="22"/>
          <w:szCs w:val="22"/>
        </w:rPr>
        <w:t>decreased</w:t>
      </w:r>
      <w:r w:rsidRPr="0DDBE21B" w:rsidR="000E673B">
        <w:rPr>
          <w:rFonts w:eastAsia="Arial" w:cs="Arial"/>
          <w:color w:val="000000" w:themeColor="text1" w:themeTint="FF" w:themeShade="FF"/>
          <w:sz w:val="22"/>
          <w:szCs w:val="22"/>
        </w:rPr>
        <w:t xml:space="preserve"> by</w:t>
      </w:r>
      <w:r w:rsidRPr="0DDBE21B" w:rsidR="00E2768F">
        <w:rPr>
          <w:rFonts w:eastAsia="Arial" w:cs="Arial"/>
          <w:color w:val="000000" w:themeColor="text1" w:themeTint="FF" w:themeShade="FF"/>
          <w:sz w:val="22"/>
          <w:szCs w:val="22"/>
        </w:rPr>
        <w:t xml:space="preserve"> ~25,000 </w:t>
      </w:r>
      <w:r w:rsidRPr="0DDBE21B" w:rsidR="00E2768F">
        <w:rPr>
          <w:rFonts w:eastAsia="Arial" w:cs="Arial"/>
          <w:color w:val="000000" w:themeColor="text1" w:themeTint="FF" w:themeShade="FF"/>
          <w:sz w:val="22"/>
          <w:szCs w:val="22"/>
        </w:rPr>
        <w:t>ha</w:t>
      </w:r>
      <w:r w:rsidRPr="0DDBE21B" w:rsidR="00E2768F">
        <w:rPr>
          <w:rFonts w:eastAsia="Arial" w:cs="Arial"/>
          <w:color w:val="000000" w:themeColor="text1" w:themeTint="FF" w:themeShade="FF"/>
          <w:sz w:val="22"/>
          <w:szCs w:val="22"/>
        </w:rPr>
        <w:t xml:space="preserve"> s</w:t>
      </w:r>
      <w:r w:rsidRPr="0DDBE21B" w:rsidR="000E673B">
        <w:rPr>
          <w:rFonts w:eastAsia="Arial" w:cs="Arial"/>
          <w:color w:val="000000" w:themeColor="text1" w:themeTint="FF" w:themeShade="FF"/>
          <w:sz w:val="22"/>
          <w:szCs w:val="22"/>
        </w:rPr>
        <w:t>ince FY24</w:t>
      </w:r>
      <w:r w:rsidRPr="0DDBE21B" w:rsidR="00E2768F">
        <w:rPr>
          <w:rFonts w:eastAsia="Arial" w:cs="Arial"/>
          <w:color w:val="000000" w:themeColor="text1" w:themeTint="FF" w:themeShade="FF"/>
          <w:sz w:val="22"/>
          <w:szCs w:val="22"/>
        </w:rPr>
        <w:t xml:space="preserve"> across all programmes, thi</w:t>
      </w:r>
      <w:r w:rsidRPr="0DDBE21B" w:rsidR="00AD14D8">
        <w:rPr>
          <w:rFonts w:eastAsia="Arial" w:cs="Arial"/>
          <w:color w:val="000000" w:themeColor="text1" w:themeTint="FF" w:themeShade="FF"/>
          <w:sz w:val="22"/>
          <w:szCs w:val="22"/>
        </w:rPr>
        <w:t xml:space="preserve">s is solely attributed to Indonesia, which saw a ~25,000 ha decrease in </w:t>
      </w:r>
      <w:r w:rsidRPr="0DDBE21B" w:rsidR="00817484">
        <w:rPr>
          <w:rFonts w:eastAsia="Arial" w:cs="Arial"/>
          <w:color w:val="000000" w:themeColor="text1" w:themeTint="FF" w:themeShade="FF"/>
          <w:sz w:val="22"/>
          <w:szCs w:val="22"/>
        </w:rPr>
        <w:t xml:space="preserve">land area under sustainable management plans. All other countries saw no change. </w:t>
      </w:r>
      <w:r w:rsidRPr="0DDBE21B" w:rsidR="007D55F8">
        <w:rPr>
          <w:rFonts w:eastAsia="Arial" w:cs="Arial"/>
          <w:color w:val="000000" w:themeColor="text1" w:themeTint="FF" w:themeShade="FF"/>
          <w:sz w:val="22"/>
          <w:szCs w:val="22"/>
        </w:rPr>
        <w:t>Similarly, f</w:t>
      </w:r>
      <w:r w:rsidRPr="0DDBE21B" w:rsidR="00725FD5">
        <w:rPr>
          <w:rFonts w:eastAsia="Arial" w:cs="Arial"/>
          <w:color w:val="000000" w:themeColor="text1" w:themeTint="FF" w:themeShade="FF"/>
          <w:sz w:val="22"/>
          <w:szCs w:val="22"/>
        </w:rPr>
        <w:t xml:space="preserve">or sustainable landscape management practices (b), </w:t>
      </w:r>
      <w:r w:rsidRPr="0DDBE21B" w:rsidR="007D55F8">
        <w:rPr>
          <w:rFonts w:eastAsia="Arial" w:cs="Arial"/>
          <w:color w:val="000000" w:themeColor="text1" w:themeTint="FF" w:themeShade="FF"/>
          <w:sz w:val="22"/>
          <w:szCs w:val="22"/>
        </w:rPr>
        <w:t>Indonesia saw a ~13,500 ha decrease</w:t>
      </w:r>
      <w:r w:rsidRPr="0DDBE21B" w:rsidR="009A0FE3">
        <w:rPr>
          <w:rFonts w:eastAsia="Arial" w:cs="Arial"/>
          <w:color w:val="000000" w:themeColor="text1" w:themeTint="FF" w:themeShade="FF"/>
          <w:sz w:val="22"/>
          <w:szCs w:val="22"/>
        </w:rPr>
        <w:t>, with Mexico and Zambia reporting no change (</w:t>
      </w:r>
      <w:r w:rsidRPr="0DDBE21B" w:rsidR="00EA3A6C">
        <w:rPr>
          <w:rFonts w:eastAsia="Arial" w:cs="Arial"/>
          <w:color w:val="000000" w:themeColor="text1" w:themeTint="FF" w:themeShade="FF"/>
          <w:sz w:val="22"/>
          <w:szCs w:val="22"/>
        </w:rPr>
        <w:t xml:space="preserve">Colombia and Ethiopia did not report results). </w:t>
      </w:r>
      <w:r w:rsidRPr="0DDBE21B" w:rsidR="002307CC">
        <w:rPr>
          <w:rFonts w:eastAsia="Arial" w:cs="Arial"/>
          <w:color w:val="000000" w:themeColor="text1" w:themeTint="FF" w:themeShade="FF"/>
          <w:sz w:val="22"/>
          <w:szCs w:val="22"/>
        </w:rPr>
        <w:t xml:space="preserve">ISFL will </w:t>
      </w:r>
      <w:r w:rsidRPr="0DDBE21B" w:rsidR="002307CC">
        <w:rPr>
          <w:rFonts w:eastAsia="Arial" w:cs="Arial"/>
          <w:color w:val="000000" w:themeColor="text1" w:themeTint="FF" w:themeShade="FF"/>
          <w:sz w:val="22"/>
          <w:szCs w:val="22"/>
        </w:rPr>
        <w:t>monitor</w:t>
      </w:r>
      <w:r w:rsidRPr="0DDBE21B" w:rsidR="002307CC">
        <w:rPr>
          <w:rFonts w:eastAsia="Arial" w:cs="Arial"/>
          <w:color w:val="000000" w:themeColor="text1" w:themeTint="FF" w:themeShade="FF"/>
          <w:sz w:val="22"/>
          <w:szCs w:val="22"/>
        </w:rPr>
        <w:t xml:space="preserve"> the situation </w:t>
      </w:r>
      <w:r w:rsidRPr="0DDBE21B" w:rsidR="00616BA4">
        <w:rPr>
          <w:rFonts w:eastAsia="Arial" w:cs="Arial"/>
          <w:color w:val="000000" w:themeColor="text1" w:themeTint="FF" w:themeShade="FF"/>
          <w:sz w:val="22"/>
          <w:szCs w:val="22"/>
        </w:rPr>
        <w:t xml:space="preserve">throughout FY26. </w:t>
      </w:r>
    </w:p>
    <w:p w:rsidR="004D4002" w:rsidP="5CB3BEB7" w:rsidRDefault="004D4002" w14:paraId="7F70175A" w14:textId="77777777">
      <w:pPr>
        <w:jc w:val="both"/>
        <w:rPr>
          <w:rFonts w:eastAsia="Arial" w:cs="Arial"/>
          <w:color w:val="000000" w:themeColor="text1"/>
          <w:sz w:val="22"/>
          <w:szCs w:val="22"/>
        </w:rPr>
      </w:pPr>
    </w:p>
    <w:p w:rsidR="31C7F39F" w:rsidP="3C1C1283" w:rsidRDefault="661E5EAD" w14:paraId="51BB1F97" w14:textId="63397323">
      <w:pPr>
        <w:jc w:val="both"/>
        <w:rPr>
          <w:rFonts w:eastAsia="Arial" w:cs="Arial"/>
          <w:color w:val="000000" w:themeColor="text1"/>
          <w:sz w:val="22"/>
          <w:szCs w:val="22"/>
        </w:rPr>
      </w:pPr>
      <w:r w:rsidRPr="3C1C1283">
        <w:rPr>
          <w:rFonts w:eastAsia="Arial" w:cs="Arial"/>
          <w:color w:val="000000" w:themeColor="text1"/>
          <w:sz w:val="22"/>
          <w:szCs w:val="22"/>
        </w:rPr>
        <w:t>There was no measurable progress under Output Indicator 1.2 during FY25. This is primarily due to the limited number of signed ERPAs (only two to date), with Ethiopia being the sole country expected to make a payment during its first Emission Reductions (ER) reporting period this year. Consequently, the programme did not meet its FY25 milestone of $10 million in ER payment disbursements, disbursing zero payments in the reporting period.</w:t>
      </w:r>
      <w:r w:rsidRPr="3C1C1283" w:rsidR="2E55E1D9">
        <w:rPr>
          <w:rFonts w:eastAsia="Arial" w:cs="Arial"/>
          <w:color w:val="000000" w:themeColor="text1"/>
          <w:sz w:val="22"/>
          <w:szCs w:val="22"/>
        </w:rPr>
        <w:t xml:space="preserve"> </w:t>
      </w:r>
      <w:r w:rsidRPr="57054532" w:rsidR="671E2F50">
        <w:rPr>
          <w:rFonts w:eastAsia="Arial" w:cs="Arial"/>
          <w:color w:val="000000" w:themeColor="text1"/>
          <w:sz w:val="22"/>
          <w:szCs w:val="22"/>
        </w:rPr>
        <w:t xml:space="preserve">It is worth noting that </w:t>
      </w:r>
      <w:r w:rsidRPr="7C3F0192" w:rsidR="66C3F794">
        <w:rPr>
          <w:rFonts w:eastAsia="Arial" w:cs="Arial"/>
          <w:color w:val="000000" w:themeColor="text1"/>
          <w:sz w:val="22"/>
          <w:szCs w:val="22"/>
        </w:rPr>
        <w:t>both</w:t>
      </w:r>
      <w:r w:rsidRPr="7C3F0192" w:rsidR="671E2F50">
        <w:rPr>
          <w:rFonts w:eastAsia="Arial" w:cs="Arial"/>
          <w:color w:val="000000" w:themeColor="text1"/>
          <w:sz w:val="22"/>
          <w:szCs w:val="22"/>
        </w:rPr>
        <w:t xml:space="preserve"> </w:t>
      </w:r>
      <w:r w:rsidRPr="57054532" w:rsidR="671E2F50">
        <w:rPr>
          <w:rFonts w:eastAsia="Arial" w:cs="Arial"/>
          <w:color w:val="000000" w:themeColor="text1"/>
          <w:sz w:val="22"/>
          <w:szCs w:val="22"/>
        </w:rPr>
        <w:t>Ethiopia</w:t>
      </w:r>
      <w:r w:rsidRPr="7C3F0192" w:rsidR="02C7B2CD">
        <w:rPr>
          <w:rFonts w:eastAsia="Arial" w:cs="Arial"/>
          <w:color w:val="000000" w:themeColor="text1"/>
          <w:sz w:val="22"/>
          <w:szCs w:val="22"/>
        </w:rPr>
        <w:t xml:space="preserve"> and Zambia did submit their </w:t>
      </w:r>
      <w:r w:rsidRPr="2D48F45E" w:rsidR="02C7B2CD">
        <w:rPr>
          <w:rFonts w:eastAsia="Arial" w:cs="Arial"/>
          <w:color w:val="000000" w:themeColor="text1"/>
          <w:sz w:val="22"/>
          <w:szCs w:val="22"/>
        </w:rPr>
        <w:t xml:space="preserve">first monitoring reports in FY25 (in </w:t>
      </w:r>
      <w:r w:rsidRPr="50615CF0" w:rsidR="02C7B2CD">
        <w:rPr>
          <w:rFonts w:eastAsia="Arial" w:cs="Arial"/>
          <w:color w:val="000000" w:themeColor="text1"/>
          <w:sz w:val="22"/>
          <w:szCs w:val="22"/>
        </w:rPr>
        <w:t>January and June respectively),</w:t>
      </w:r>
      <w:r w:rsidRPr="50615CF0" w:rsidR="671E2F50">
        <w:rPr>
          <w:rFonts w:eastAsia="Arial" w:cs="Arial"/>
          <w:color w:val="000000" w:themeColor="text1"/>
          <w:sz w:val="22"/>
          <w:szCs w:val="22"/>
        </w:rPr>
        <w:t xml:space="preserve"> </w:t>
      </w:r>
      <w:r w:rsidRPr="50615CF0" w:rsidR="0E66202E">
        <w:rPr>
          <w:rFonts w:eastAsia="Arial" w:cs="Arial"/>
          <w:color w:val="000000" w:themeColor="text1"/>
          <w:sz w:val="22"/>
          <w:szCs w:val="22"/>
        </w:rPr>
        <w:t xml:space="preserve">but </w:t>
      </w:r>
      <w:r w:rsidRPr="413968BB" w:rsidR="0E66202E">
        <w:rPr>
          <w:rFonts w:eastAsia="Arial" w:cs="Arial"/>
          <w:color w:val="000000" w:themeColor="text1"/>
          <w:sz w:val="22"/>
          <w:szCs w:val="22"/>
        </w:rPr>
        <w:t>at the current time of writing both reports are undergoing validation and verification</w:t>
      </w:r>
      <w:r w:rsidRPr="0A609559" w:rsidR="0E66202E">
        <w:rPr>
          <w:rFonts w:eastAsia="Arial" w:cs="Arial"/>
          <w:color w:val="000000" w:themeColor="text1"/>
          <w:sz w:val="22"/>
          <w:szCs w:val="22"/>
        </w:rPr>
        <w:t>.</w:t>
      </w:r>
      <w:r w:rsidRPr="57054532" w:rsidR="671E2F50">
        <w:rPr>
          <w:rFonts w:eastAsia="Arial" w:cs="Arial"/>
          <w:color w:val="000000" w:themeColor="text1"/>
          <w:sz w:val="22"/>
          <w:szCs w:val="22"/>
        </w:rPr>
        <w:t xml:space="preserve"> </w:t>
      </w:r>
      <w:r w:rsidRPr="767DAF46" w:rsidR="21FEBCD1">
        <w:rPr>
          <w:rFonts w:eastAsia="Arial" w:cs="Arial"/>
          <w:color w:val="000000" w:themeColor="text1"/>
          <w:sz w:val="22"/>
          <w:szCs w:val="22"/>
        </w:rPr>
        <w:t xml:space="preserve">Once this is complete, </w:t>
      </w:r>
      <w:r w:rsidRPr="068EA88A" w:rsidR="21FEBCD1">
        <w:rPr>
          <w:rFonts w:eastAsia="Arial" w:cs="Arial"/>
          <w:color w:val="000000" w:themeColor="text1"/>
          <w:sz w:val="22"/>
          <w:szCs w:val="22"/>
        </w:rPr>
        <w:t xml:space="preserve">which is expected to </w:t>
      </w:r>
      <w:r w:rsidRPr="0725E358" w:rsidR="21FEBCD1">
        <w:rPr>
          <w:rFonts w:eastAsia="Arial" w:cs="Arial"/>
          <w:color w:val="000000" w:themeColor="text1"/>
          <w:sz w:val="22"/>
          <w:szCs w:val="22"/>
        </w:rPr>
        <w:t>happen in F</w:t>
      </w:r>
      <w:r w:rsidRPr="0725E358" w:rsidR="7BA847C0">
        <w:rPr>
          <w:rFonts w:eastAsia="Arial" w:cs="Arial"/>
          <w:color w:val="000000" w:themeColor="text1"/>
          <w:sz w:val="22"/>
          <w:szCs w:val="22"/>
        </w:rPr>
        <w:t xml:space="preserve">Y26, the </w:t>
      </w:r>
      <w:r w:rsidRPr="57788986" w:rsidR="7BA847C0">
        <w:rPr>
          <w:rFonts w:eastAsia="Arial" w:cs="Arial"/>
          <w:color w:val="000000" w:themeColor="text1"/>
          <w:sz w:val="22"/>
          <w:szCs w:val="22"/>
        </w:rPr>
        <w:t>payment</w:t>
      </w:r>
      <w:r w:rsidRPr="57788986" w:rsidR="56CED471">
        <w:rPr>
          <w:rFonts w:eastAsia="Arial" w:cs="Arial"/>
          <w:color w:val="000000" w:themeColor="text1"/>
          <w:sz w:val="22"/>
          <w:szCs w:val="22"/>
        </w:rPr>
        <w:t>s can</w:t>
      </w:r>
      <w:r w:rsidRPr="0725E358" w:rsidR="7BA847C0">
        <w:rPr>
          <w:rFonts w:eastAsia="Arial" w:cs="Arial"/>
          <w:color w:val="000000" w:themeColor="text1"/>
          <w:sz w:val="22"/>
          <w:szCs w:val="22"/>
        </w:rPr>
        <w:t xml:space="preserve"> be made.</w:t>
      </w:r>
      <w:r w:rsidRPr="767DAF46" w:rsidR="2E55E1D9">
        <w:rPr>
          <w:rFonts w:eastAsia="Arial" w:cs="Arial"/>
          <w:color w:val="000000" w:themeColor="text1"/>
          <w:sz w:val="22"/>
          <w:szCs w:val="22"/>
        </w:rPr>
        <w:t xml:space="preserve"> </w:t>
      </w:r>
      <w:r w:rsidRPr="3C1C1283">
        <w:rPr>
          <w:rFonts w:eastAsia="Arial" w:cs="Arial"/>
          <w:color w:val="000000" w:themeColor="text1"/>
          <w:sz w:val="22"/>
          <w:szCs w:val="22"/>
        </w:rPr>
        <w:t xml:space="preserve">Despite these forward-looking developments, the </w:t>
      </w:r>
      <w:r w:rsidR="00E25D86">
        <w:rPr>
          <w:rFonts w:eastAsia="Arial" w:cs="Arial"/>
          <w:color w:val="000000" w:themeColor="text1"/>
          <w:sz w:val="22"/>
          <w:szCs w:val="22"/>
        </w:rPr>
        <w:t xml:space="preserve">sub-indicator scores poorly for FY25, </w:t>
      </w:r>
      <w:r w:rsidRPr="3C1C1283">
        <w:rPr>
          <w:rFonts w:eastAsia="Arial" w:cs="Arial"/>
          <w:color w:val="000000" w:themeColor="text1"/>
          <w:sz w:val="22"/>
          <w:szCs w:val="22"/>
        </w:rPr>
        <w:t>reflecting the limited progress achieved.</w:t>
      </w:r>
    </w:p>
    <w:p w:rsidR="78F8D300" w:rsidP="3C1C1283" w:rsidRDefault="78F8D300" w14:paraId="2AA7DACC" w14:textId="26AEADED">
      <w:pPr>
        <w:jc w:val="both"/>
        <w:rPr>
          <w:rFonts w:eastAsia="Arial" w:cs="Arial"/>
          <w:color w:val="000000" w:themeColor="text1"/>
          <w:sz w:val="22"/>
          <w:szCs w:val="22"/>
        </w:rPr>
      </w:pPr>
    </w:p>
    <w:p w:rsidR="429D5CA9" w:rsidP="429D5CA9" w:rsidRDefault="6BFFDB7E" w14:paraId="4DF95C2C" w14:textId="4812862A">
      <w:pPr>
        <w:jc w:val="both"/>
        <w:rPr>
          <w:rFonts w:eastAsia="Arial" w:cs="Arial"/>
          <w:color w:val="000000" w:themeColor="text1"/>
          <w:sz w:val="22"/>
          <w:szCs w:val="22"/>
        </w:rPr>
      </w:pPr>
      <w:r w:rsidRPr="4AF59F7F" w:rsidR="6BFFDB7E">
        <w:rPr>
          <w:rFonts w:eastAsia="Arial" w:cs="Arial"/>
          <w:color w:val="000000" w:themeColor="text1"/>
          <w:sz w:val="22"/>
          <w:szCs w:val="22"/>
        </w:rPr>
        <w:t>Building on Output Indicator 1.2, progress under Output Indicator 1.</w:t>
      </w:r>
      <w:r w:rsidR="00C652B2">
        <w:rPr>
          <w:rFonts w:eastAsia="Arial" w:cs="Arial"/>
          <w:color w:val="000000" w:themeColor="text1"/>
          <w:sz w:val="22"/>
          <w:szCs w:val="22"/>
        </w:rPr>
        <w:t>3</w:t>
      </w:r>
      <w:r w:rsidRPr="4AF59F7F" w:rsidR="6BFFDB7E">
        <w:rPr>
          <w:rFonts w:eastAsia="Arial" w:cs="Arial"/>
          <w:color w:val="000000" w:themeColor="text1"/>
          <w:sz w:val="22"/>
          <w:szCs w:val="22"/>
        </w:rPr>
        <w:t xml:space="preserve"> remained limited. The completion of the remaining four ERPDs in FY24 marked a significant milestone, </w:t>
      </w:r>
      <w:r w:rsidRPr="4AF59F7F" w:rsidR="613C9419">
        <w:rPr>
          <w:rFonts w:eastAsia="Arial" w:cs="Arial"/>
          <w:color w:val="000000" w:themeColor="text1"/>
          <w:sz w:val="22"/>
          <w:szCs w:val="22"/>
        </w:rPr>
        <w:t>with Ethiopia completing its ERPD draft for Phase II in FY25 (currently under validation).</w:t>
      </w:r>
      <w:r w:rsidRPr="4AF59F7F" w:rsidR="6BFFDB7E">
        <w:rPr>
          <w:rFonts w:eastAsia="Arial" w:cs="Arial"/>
          <w:color w:val="000000" w:themeColor="text1"/>
          <w:sz w:val="22"/>
          <w:szCs w:val="22"/>
        </w:rPr>
        <w:t xml:space="preserve"> </w:t>
      </w:r>
      <w:r w:rsidRPr="4AF59F7F" w:rsidR="516A2BA3">
        <w:rPr>
          <w:rFonts w:eastAsia="Arial" w:cs="Arial"/>
          <w:color w:val="000000" w:themeColor="text1"/>
          <w:sz w:val="22"/>
          <w:szCs w:val="22"/>
        </w:rPr>
        <w:t>T</w:t>
      </w:r>
      <w:r w:rsidRPr="4AF59F7F" w:rsidR="6BFFDB7E">
        <w:rPr>
          <w:rFonts w:eastAsia="Arial" w:cs="Arial"/>
          <w:color w:val="000000" w:themeColor="text1"/>
          <w:sz w:val="22"/>
          <w:szCs w:val="22"/>
        </w:rPr>
        <w:t xml:space="preserve">hese documents form the foundation of each country’s </w:t>
      </w:r>
      <w:r w:rsidR="00F312E1">
        <w:rPr>
          <w:rFonts w:eastAsia="Arial" w:cs="Arial"/>
          <w:color w:val="000000" w:themeColor="text1"/>
          <w:sz w:val="22"/>
          <w:szCs w:val="22"/>
        </w:rPr>
        <w:t>ER</w:t>
      </w:r>
      <w:r w:rsidRPr="4AF59F7F" w:rsidR="6BFFDB7E">
        <w:rPr>
          <w:rFonts w:eastAsia="Arial" w:cs="Arial"/>
          <w:color w:val="000000" w:themeColor="text1"/>
          <w:sz w:val="22"/>
          <w:szCs w:val="22"/>
        </w:rPr>
        <w:t xml:space="preserve"> programme and enable the initiation of ERPA negotiations. However, the absence of signed ERPAs in FY25 constrained the achievement of both this indicator and the broader output.</w:t>
      </w:r>
      <w:r w:rsidRPr="4AF59F7F" w:rsidR="4EE2C258">
        <w:rPr>
          <w:rFonts w:eastAsia="Arial" w:cs="Arial"/>
          <w:color w:val="000000" w:themeColor="text1"/>
          <w:sz w:val="22"/>
          <w:szCs w:val="22"/>
        </w:rPr>
        <w:t xml:space="preserve"> </w:t>
      </w:r>
      <w:r w:rsidRPr="7F9C25D1" w:rsidR="47D265D8">
        <w:rPr>
          <w:rFonts w:eastAsia="Arial" w:cs="Arial"/>
          <w:color w:val="000000" w:themeColor="text1"/>
          <w:sz w:val="22"/>
          <w:szCs w:val="22"/>
        </w:rPr>
        <w:t xml:space="preserve">This past year, these delays were </w:t>
      </w:r>
      <w:r w:rsidRPr="698FD71F" w:rsidR="47D265D8">
        <w:rPr>
          <w:rFonts w:eastAsia="Arial" w:cs="Arial"/>
          <w:color w:val="000000" w:themeColor="text1"/>
          <w:sz w:val="22"/>
          <w:szCs w:val="22"/>
        </w:rPr>
        <w:t>largely</w:t>
      </w:r>
      <w:r w:rsidRPr="319B3BA3" w:rsidR="47D265D8">
        <w:rPr>
          <w:rFonts w:eastAsia="Arial" w:cs="Arial"/>
          <w:color w:val="000000" w:themeColor="text1"/>
          <w:sz w:val="22"/>
          <w:szCs w:val="22"/>
        </w:rPr>
        <w:t xml:space="preserve"> due</w:t>
      </w:r>
      <w:r w:rsidRPr="319B3BA3" w:rsidR="47D265D8">
        <w:rPr>
          <w:rFonts w:eastAsia="Arial" w:cs="Arial"/>
          <w:color w:val="000000" w:themeColor="text1"/>
          <w:sz w:val="22"/>
          <w:szCs w:val="22"/>
        </w:rPr>
        <w:t xml:space="preserve"> to external </w:t>
      </w:r>
      <w:r w:rsidRPr="319B3BA3" w:rsidR="002474F3">
        <w:rPr>
          <w:rFonts w:eastAsia="Arial" w:cs="Arial"/>
          <w:color w:val="000000" w:themeColor="text1"/>
          <w:sz w:val="22"/>
          <w:szCs w:val="22"/>
        </w:rPr>
        <w:t>factors,</w:t>
      </w:r>
      <w:r w:rsidRPr="33058DC2" w:rsidR="002474F3">
        <w:rPr>
          <w:rFonts w:eastAsia="Arial" w:cs="Arial"/>
          <w:color w:val="000000" w:themeColor="text1"/>
          <w:sz w:val="22"/>
          <w:szCs w:val="22"/>
        </w:rPr>
        <w:t xml:space="preserve"> </w:t>
      </w:r>
      <w:r w:rsidRPr="4AF59F7F" w:rsidR="002474F3">
        <w:rPr>
          <w:rFonts w:eastAsia="Arial" w:cs="Arial"/>
          <w:color w:val="000000" w:themeColor="text1"/>
          <w:sz w:val="22"/>
          <w:szCs w:val="22"/>
        </w:rPr>
        <w:t>particularly</w:t>
      </w:r>
      <w:r w:rsidRPr="4AF59F7F" w:rsidR="6BFFDB7E">
        <w:rPr>
          <w:rFonts w:eastAsia="Arial" w:cs="Arial"/>
          <w:color w:val="000000" w:themeColor="text1"/>
          <w:sz w:val="22"/>
          <w:szCs w:val="22"/>
        </w:rPr>
        <w:t xml:space="preserve"> complex political </w:t>
      </w:r>
      <w:r w:rsidRPr="4AF59F7F" w:rsidR="6BFFDB7E">
        <w:rPr>
          <w:rFonts w:eastAsia="Arial" w:cs="Arial"/>
          <w:color w:val="000000" w:themeColor="text1"/>
          <w:sz w:val="22"/>
          <w:szCs w:val="22"/>
        </w:rPr>
        <w:t xml:space="preserve">dynamics</w:t>
      </w:r>
      <w:r w:rsidRPr="4AF59F7F" w:rsidR="6BFFDB7E">
        <w:rPr>
          <w:rFonts w:eastAsia="Arial" w:cs="Arial"/>
          <w:color w:val="000000" w:themeColor="text1"/>
          <w:sz w:val="22"/>
          <w:szCs w:val="22"/>
        </w:rPr>
        <w:t xml:space="preserve"> and institutional changes within negotiating governments, continued to impede progress, as was </w:t>
      </w:r>
      <w:r w:rsidRPr="4AF59F7F" w:rsidR="6BFFDB7E">
        <w:rPr>
          <w:rFonts w:eastAsia="Arial" w:cs="Arial"/>
          <w:color w:val="000000" w:themeColor="text1"/>
          <w:sz w:val="22"/>
          <w:szCs w:val="22"/>
        </w:rPr>
        <w:t xml:space="preserve">observed</w:t>
      </w:r>
      <w:r w:rsidRPr="4AF59F7F" w:rsidR="6BFFDB7E">
        <w:rPr>
          <w:rFonts w:eastAsia="Arial" w:cs="Arial"/>
          <w:color w:val="000000" w:themeColor="text1"/>
          <w:sz w:val="22"/>
          <w:szCs w:val="22"/>
        </w:rPr>
        <w:t xml:space="preserve"> in FY24</w:t>
      </w:r>
      <w:r w:rsidR="0050214E">
        <w:rPr>
          <w:rStyle w:val="FootnoteReference"/>
          <w:rFonts w:eastAsia="Arial" w:cs="Arial"/>
          <w:color w:val="000000" w:themeColor="text1"/>
          <w:sz w:val="22"/>
          <w:szCs w:val="22"/>
        </w:rPr>
        <w:footnoteReference w:id="12"/>
      </w:r>
      <w:r w:rsidRPr="4AF59F7F" w:rsidR="6BFFDB7E">
        <w:rPr>
          <w:rFonts w:eastAsia="Arial" w:cs="Arial"/>
          <w:color w:val="000000" w:themeColor="text1"/>
          <w:sz w:val="22"/>
          <w:szCs w:val="22"/>
        </w:rPr>
        <w:t>.</w:t>
      </w:r>
      <w:r w:rsidRPr="4AF59F7F" w:rsidR="5EF31486">
        <w:rPr>
          <w:rFonts w:eastAsia="Arial" w:cs="Arial"/>
          <w:color w:val="000000" w:themeColor="text1"/>
          <w:sz w:val="22"/>
          <w:szCs w:val="22"/>
        </w:rPr>
        <w:t xml:space="preserve"> </w:t>
      </w:r>
      <w:r w:rsidRPr="5EB3D44F" w:rsidR="20122085">
        <w:rPr>
          <w:rFonts w:eastAsia="Arial" w:cs="Arial"/>
          <w:color w:val="000000" w:themeColor="text1" w:themeTint="FF" w:themeShade="FF"/>
          <w:sz w:val="22"/>
          <w:szCs w:val="22"/>
        </w:rPr>
        <w:t>Colombia and Mexico are expected to sign ERPAs in FY26.</w:t>
      </w:r>
    </w:p>
    <w:p w:rsidR="3A0136B3" w:rsidP="2EAF082E" w:rsidRDefault="3A0136B3" w14:paraId="3508EF63" w14:textId="758B5753">
      <w:pPr>
        <w:jc w:val="both"/>
        <w:rPr>
          <w:rFonts w:eastAsia="Arial" w:cs="Arial"/>
          <w:color w:val="000000" w:themeColor="text1"/>
          <w:sz w:val="22"/>
          <w:szCs w:val="22"/>
        </w:rPr>
      </w:pPr>
    </w:p>
    <w:p w:rsidR="31C7F39F" w:rsidP="2EAF082E" w:rsidRDefault="6BFFDB7E" w14:paraId="23C266C4" w14:textId="41B78C8B">
      <w:pPr>
        <w:jc w:val="both"/>
        <w:rPr>
          <w:rFonts w:eastAsia="Arial" w:cs="Arial"/>
          <w:sz w:val="22"/>
          <w:szCs w:val="22"/>
        </w:rPr>
      </w:pPr>
      <w:r w:rsidRPr="334BBF58" w:rsidR="6BFFDB7E">
        <w:rPr>
          <w:rFonts w:eastAsia="Arial" w:cs="Arial"/>
          <w:color w:val="000000" w:themeColor="text1" w:themeTint="FF" w:themeShade="FF"/>
          <w:sz w:val="22"/>
          <w:szCs w:val="22"/>
        </w:rPr>
        <w:t>As was the case in FY24, progress exceeded expectations under Output Indicator 1.</w:t>
      </w:r>
      <w:r w:rsidRPr="334BBF58" w:rsidR="00C652B2">
        <w:rPr>
          <w:rFonts w:eastAsia="Arial" w:cs="Arial"/>
          <w:color w:val="000000" w:themeColor="text1" w:themeTint="FF" w:themeShade="FF"/>
          <w:sz w:val="22"/>
          <w:szCs w:val="22"/>
        </w:rPr>
        <w:t>4</w:t>
      </w:r>
      <w:r w:rsidRPr="334BBF58" w:rsidR="6BFFDB7E">
        <w:rPr>
          <w:rFonts w:eastAsia="Arial" w:cs="Arial"/>
          <w:color w:val="000000" w:themeColor="text1" w:themeTint="FF" w:themeShade="FF"/>
          <w:sz w:val="22"/>
          <w:szCs w:val="22"/>
        </w:rPr>
        <w:t xml:space="preserve">, with all five completed ERPDs including several non-forests related AFOLU subcategories. This is a positive result as it </w:t>
      </w:r>
      <w:r w:rsidRPr="334BBF58" w:rsidR="6BFFDB7E">
        <w:rPr>
          <w:rFonts w:eastAsia="Arial" w:cs="Arial"/>
          <w:color w:val="000000" w:themeColor="text1" w:themeTint="FF" w:themeShade="FF"/>
          <w:sz w:val="22"/>
          <w:szCs w:val="22"/>
        </w:rPr>
        <w:t>demonstrates</w:t>
      </w:r>
      <w:r w:rsidRPr="334BBF58" w:rsidR="6BFFDB7E">
        <w:rPr>
          <w:rFonts w:eastAsia="Arial" w:cs="Arial"/>
          <w:color w:val="000000" w:themeColor="text1" w:themeTint="FF" w:themeShade="FF"/>
          <w:sz w:val="22"/>
          <w:szCs w:val="22"/>
        </w:rPr>
        <w:t xml:space="preserve"> the operationalisation of the ISFL’s innovative integrated land use approach.</w:t>
      </w:r>
      <w:r w:rsidRPr="334BBF58" w:rsidR="4CE58EEF">
        <w:rPr>
          <w:rFonts w:eastAsia="Arial" w:cs="Arial"/>
          <w:color w:val="000000" w:themeColor="text1" w:themeTint="FF" w:themeShade="FF"/>
          <w:sz w:val="22"/>
          <w:szCs w:val="22"/>
        </w:rPr>
        <w:t xml:space="preserve"> </w:t>
      </w:r>
      <w:r w:rsidRPr="334BBF58" w:rsidR="003A03A7">
        <w:rPr>
          <w:rFonts w:eastAsia="Arial" w:cs="Arial"/>
          <w:color w:val="000000" w:themeColor="text1" w:themeTint="FF" w:themeShade="FF"/>
          <w:sz w:val="22"/>
          <w:szCs w:val="22"/>
        </w:rPr>
        <w:t xml:space="preserve">When disaggregating by country, </w:t>
      </w:r>
      <w:r w:rsidRPr="334BBF58" w:rsidR="007131E5">
        <w:rPr>
          <w:rFonts w:eastAsia="Arial" w:cs="Arial"/>
          <w:color w:val="000000" w:themeColor="text1" w:themeTint="FF" w:themeShade="FF"/>
          <w:sz w:val="22"/>
          <w:szCs w:val="22"/>
        </w:rPr>
        <w:t xml:space="preserve">Zambia’s ERPD reports against AFOLU sub-categories, </w:t>
      </w:r>
      <w:r w:rsidRPr="334BBF58" w:rsidR="00E41A9A">
        <w:rPr>
          <w:rFonts w:eastAsia="Arial" w:cs="Arial"/>
          <w:color w:val="000000" w:themeColor="text1" w:themeTint="FF" w:themeShade="FF"/>
          <w:sz w:val="22"/>
          <w:szCs w:val="22"/>
        </w:rPr>
        <w:t xml:space="preserve">whilst </w:t>
      </w:r>
      <w:r w:rsidRPr="334BBF58" w:rsidR="003A03A7">
        <w:rPr>
          <w:rFonts w:eastAsia="Arial" w:cs="Arial"/>
          <w:color w:val="000000" w:themeColor="text1" w:themeTint="FF" w:themeShade="FF"/>
          <w:sz w:val="22"/>
          <w:szCs w:val="22"/>
        </w:rPr>
        <w:t>Et</w:t>
      </w:r>
      <w:r w:rsidRPr="334BBF58" w:rsidR="001A0F26">
        <w:rPr>
          <w:rFonts w:eastAsia="Arial" w:cs="Arial"/>
          <w:color w:val="000000" w:themeColor="text1" w:themeTint="FF" w:themeShade="FF"/>
          <w:sz w:val="22"/>
          <w:szCs w:val="22"/>
        </w:rPr>
        <w:t>hiopia</w:t>
      </w:r>
      <w:r w:rsidRPr="334BBF58" w:rsidR="00A356D8">
        <w:rPr>
          <w:rFonts w:eastAsia="Arial" w:cs="Arial"/>
          <w:color w:val="000000" w:themeColor="text1" w:themeTint="FF" w:themeShade="FF"/>
          <w:sz w:val="22"/>
          <w:szCs w:val="22"/>
        </w:rPr>
        <w:t xml:space="preserve">’s Phase I ERPD </w:t>
      </w:r>
      <w:r w:rsidRPr="334BBF58" w:rsidR="00585CA1">
        <w:rPr>
          <w:rFonts w:eastAsia="Arial" w:cs="Arial"/>
          <w:color w:val="000000" w:themeColor="text1" w:themeTint="FF" w:themeShade="FF"/>
          <w:sz w:val="22"/>
          <w:szCs w:val="22"/>
        </w:rPr>
        <w:t xml:space="preserve">was exclusively forestry, but </w:t>
      </w:r>
      <w:r w:rsidRPr="334BBF58" w:rsidR="00E41A9A">
        <w:rPr>
          <w:rFonts w:eastAsia="Arial" w:cs="Arial"/>
          <w:color w:val="000000" w:themeColor="text1" w:themeTint="FF" w:themeShade="FF"/>
          <w:sz w:val="22"/>
          <w:szCs w:val="22"/>
        </w:rPr>
        <w:t xml:space="preserve">its </w:t>
      </w:r>
      <w:r w:rsidRPr="334BBF58" w:rsidR="00585CA1">
        <w:rPr>
          <w:rFonts w:eastAsia="Arial" w:cs="Arial"/>
          <w:color w:val="000000" w:themeColor="text1" w:themeTint="FF" w:themeShade="FF"/>
          <w:sz w:val="22"/>
          <w:szCs w:val="22"/>
        </w:rPr>
        <w:t xml:space="preserve">Phase II </w:t>
      </w:r>
      <w:r w:rsidRPr="334BBF58" w:rsidR="004144A2">
        <w:rPr>
          <w:rFonts w:eastAsia="Arial" w:cs="Arial"/>
          <w:color w:val="000000" w:themeColor="text1" w:themeTint="FF" w:themeShade="FF"/>
          <w:sz w:val="22"/>
          <w:szCs w:val="22"/>
        </w:rPr>
        <w:t xml:space="preserve">now </w:t>
      </w:r>
      <w:r w:rsidRPr="334BBF58" w:rsidR="00290F40">
        <w:rPr>
          <w:rFonts w:eastAsia="Arial" w:cs="Arial"/>
          <w:color w:val="000000" w:themeColor="text1" w:themeTint="FF" w:themeShade="FF"/>
          <w:sz w:val="22"/>
          <w:szCs w:val="22"/>
        </w:rPr>
        <w:t>reports against AFOLU sub-categories (with</w:t>
      </w:r>
      <w:r w:rsidRPr="334BBF58" w:rsidR="00D34A7A">
        <w:rPr>
          <w:rFonts w:eastAsia="Arial" w:cs="Arial"/>
          <w:color w:val="000000" w:themeColor="text1" w:themeTint="FF" w:themeShade="FF"/>
          <w:sz w:val="22"/>
          <w:szCs w:val="22"/>
        </w:rPr>
        <w:t xml:space="preserve"> an updated ERPD for Phase 2 </w:t>
      </w:r>
      <w:r w:rsidRPr="334BBF58" w:rsidR="00D34A7A">
        <w:rPr>
          <w:rFonts w:eastAsia="Arial" w:cs="Arial"/>
          <w:color w:val="000000" w:themeColor="text1" w:themeTint="FF" w:themeShade="FF"/>
          <w:sz w:val="22"/>
          <w:szCs w:val="22"/>
        </w:rPr>
        <w:t>submitted</w:t>
      </w:r>
      <w:r w:rsidRPr="334BBF58" w:rsidR="00D34A7A">
        <w:rPr>
          <w:rFonts w:eastAsia="Arial" w:cs="Arial"/>
          <w:color w:val="000000" w:themeColor="text1" w:themeTint="FF" w:themeShade="FF"/>
          <w:sz w:val="22"/>
          <w:szCs w:val="22"/>
        </w:rPr>
        <w:t xml:space="preserve"> in </w:t>
      </w:r>
      <w:r w:rsidRPr="334BBF58" w:rsidR="00D34A7A">
        <w:rPr>
          <w:rFonts w:eastAsia="Arial" w:cs="Arial"/>
          <w:color w:val="000000" w:themeColor="text1" w:themeTint="FF" w:themeShade="FF"/>
          <w:sz w:val="22"/>
          <w:szCs w:val="22"/>
        </w:rPr>
        <w:t>Feburary</w:t>
      </w:r>
      <w:r w:rsidRPr="334BBF58" w:rsidR="00D34A7A">
        <w:rPr>
          <w:rFonts w:eastAsia="Arial" w:cs="Arial"/>
          <w:color w:val="000000" w:themeColor="text1" w:themeTint="FF" w:themeShade="FF"/>
          <w:sz w:val="22"/>
          <w:szCs w:val="22"/>
        </w:rPr>
        <w:t xml:space="preserve"> 2025 and validation expected in October 2025). </w:t>
      </w:r>
      <w:r w:rsidRPr="334BBF58" w:rsidR="00E41A9A">
        <w:rPr>
          <w:rFonts w:eastAsia="Arial" w:cs="Arial"/>
          <w:color w:val="000000" w:themeColor="text1" w:themeTint="FF" w:themeShade="FF"/>
          <w:sz w:val="22"/>
          <w:szCs w:val="22"/>
        </w:rPr>
        <w:t xml:space="preserve">It should be noted that other ERPs are not yet active as their ERPAs </w:t>
      </w:r>
      <w:r w:rsidRPr="334BBF58" w:rsidR="00E41A9A">
        <w:rPr>
          <w:rFonts w:eastAsia="Arial" w:cs="Arial"/>
          <w:color w:val="000000" w:themeColor="text1" w:themeTint="FF" w:themeShade="FF"/>
          <w:sz w:val="22"/>
          <w:szCs w:val="22"/>
        </w:rPr>
        <w:t>haven’t</w:t>
      </w:r>
      <w:r w:rsidRPr="334BBF58" w:rsidR="00E41A9A">
        <w:rPr>
          <w:rFonts w:eastAsia="Arial" w:cs="Arial"/>
          <w:color w:val="000000" w:themeColor="text1" w:themeTint="FF" w:themeShade="FF"/>
          <w:sz w:val="22"/>
          <w:szCs w:val="22"/>
        </w:rPr>
        <w:t xml:space="preserve"> been signed. </w:t>
      </w:r>
      <w:r w:rsidRPr="334BBF58" w:rsidR="4CE58EEF">
        <w:rPr>
          <w:rFonts w:eastAsia="Arial" w:cs="Arial"/>
          <w:color w:val="000000" w:themeColor="text1" w:themeTint="FF" w:themeShade="FF"/>
          <w:sz w:val="22"/>
          <w:szCs w:val="22"/>
        </w:rPr>
        <w:t>Under</w:t>
      </w:r>
      <w:r w:rsidRPr="334BBF58" w:rsidR="4CE58EEF">
        <w:rPr>
          <w:rFonts w:eastAsia="Arial" w:cs="Arial"/>
          <w:color w:val="000000" w:themeColor="text1" w:themeTint="FF" w:themeShade="FF"/>
          <w:sz w:val="22"/>
          <w:szCs w:val="22"/>
        </w:rPr>
        <w:t xml:space="preserve"> </w:t>
      </w:r>
      <w:r w:rsidRPr="334BBF58" w:rsidR="4CE58EEF">
        <w:rPr>
          <w:rFonts w:eastAsia="Arial" w:cs="Arial"/>
          <w:b w:val="1"/>
          <w:bCs w:val="1"/>
          <w:color w:val="000000" w:themeColor="text1" w:themeTint="FF" w:themeShade="FF"/>
          <w:sz w:val="22"/>
          <w:szCs w:val="22"/>
        </w:rPr>
        <w:t>Recommendation [1g]</w:t>
      </w:r>
      <w:r w:rsidRPr="334BBF58" w:rsidR="4CE58EEF">
        <w:rPr>
          <w:rFonts w:eastAsia="Arial" w:cs="Arial"/>
          <w:color w:val="000000" w:themeColor="text1" w:themeTint="FF" w:themeShade="FF"/>
          <w:sz w:val="22"/>
          <w:szCs w:val="22"/>
        </w:rPr>
        <w:t xml:space="preserve">, it has been recommended that this Output is removed, </w:t>
      </w:r>
      <w:r w:rsidRPr="334BBF58" w:rsidR="4CE58EEF">
        <w:rPr>
          <w:rFonts w:eastAsia="Arial" w:cs="Arial"/>
          <w:color w:val="000000" w:themeColor="text1" w:themeTint="FF" w:themeShade="FF"/>
          <w:sz w:val="22"/>
          <w:szCs w:val="22"/>
        </w:rPr>
        <w:t>due to the fact that</w:t>
      </w:r>
      <w:r w:rsidRPr="334BBF58" w:rsidR="4CE58EEF">
        <w:rPr>
          <w:rFonts w:eastAsia="Arial" w:cs="Arial"/>
          <w:color w:val="000000" w:themeColor="text1" w:themeTint="FF" w:themeShade="FF"/>
          <w:sz w:val="22"/>
          <w:szCs w:val="22"/>
        </w:rPr>
        <w:t xml:space="preserve"> it was achieved in FY24.</w:t>
      </w:r>
    </w:p>
    <w:p w:rsidR="0747DAAD" w:rsidP="0747DAAD" w:rsidRDefault="0747DAAD" w14:paraId="2F512031" w14:textId="43C4E79A">
      <w:pPr>
        <w:jc w:val="both"/>
        <w:rPr>
          <w:rFonts w:eastAsia="Arial" w:cs="Arial"/>
          <w:color w:val="000000" w:themeColor="text1"/>
          <w:sz w:val="22"/>
          <w:szCs w:val="22"/>
        </w:rPr>
      </w:pPr>
    </w:p>
    <w:p w:rsidRPr="00F91FF8" w:rsidR="003D222C" w:rsidP="004D5FD5" w:rsidRDefault="1BCC997B" w14:paraId="45AE6586" w14:textId="33BEC484">
      <w:pPr>
        <w:jc w:val="both"/>
        <w:rPr>
          <w:rFonts w:eastAsia="Arial" w:cs="Arial"/>
          <w:color w:val="000000" w:themeColor="text1"/>
          <w:sz w:val="22"/>
          <w:szCs w:val="22"/>
        </w:rPr>
      </w:pPr>
      <w:r w:rsidRPr="341551D7">
        <w:rPr>
          <w:rFonts w:eastAsia="Arial" w:cs="Arial"/>
          <w:color w:val="000000" w:themeColor="text1"/>
          <w:sz w:val="22"/>
          <w:szCs w:val="22"/>
        </w:rPr>
        <w:t>Under Output Indicator 1.</w:t>
      </w:r>
      <w:r w:rsidR="00C652B2">
        <w:rPr>
          <w:rFonts w:eastAsia="Arial" w:cs="Arial"/>
          <w:color w:val="000000" w:themeColor="text1"/>
          <w:sz w:val="22"/>
          <w:szCs w:val="22"/>
        </w:rPr>
        <w:t>5</w:t>
      </w:r>
      <w:r w:rsidRPr="341551D7">
        <w:rPr>
          <w:rFonts w:eastAsia="Arial" w:cs="Arial"/>
          <w:color w:val="000000" w:themeColor="text1"/>
          <w:sz w:val="22"/>
          <w:szCs w:val="22"/>
        </w:rPr>
        <w:t xml:space="preserve">, progress again fell short of expectations, with only </w:t>
      </w:r>
      <w:r w:rsidRPr="1EF7DB65" w:rsidR="4AABB826">
        <w:rPr>
          <w:rFonts w:eastAsia="Arial" w:cs="Arial"/>
          <w:color w:val="000000" w:themeColor="text1"/>
          <w:sz w:val="22"/>
          <w:szCs w:val="22"/>
        </w:rPr>
        <w:t>three</w:t>
      </w:r>
      <w:r w:rsidRPr="341551D7">
        <w:rPr>
          <w:rFonts w:eastAsia="Arial" w:cs="Arial"/>
          <w:color w:val="000000" w:themeColor="text1"/>
          <w:sz w:val="22"/>
          <w:szCs w:val="22"/>
        </w:rPr>
        <w:t xml:space="preserve"> out of the five completed ERPDs directly referencing NBSAPs, related regional and/or sub-national strategies and plans and including targets that demonstrate biodiversity benefits.</w:t>
      </w:r>
      <w:r w:rsidR="00C949B2">
        <w:rPr>
          <w:rFonts w:eastAsia="Arial" w:cs="Arial"/>
          <w:color w:val="000000" w:themeColor="text1"/>
          <w:sz w:val="22"/>
          <w:szCs w:val="22"/>
        </w:rPr>
        <w:t xml:space="preserve"> After</w:t>
      </w:r>
      <w:r w:rsidRPr="00C949B2" w:rsidR="00C949B2">
        <w:rPr>
          <w:rFonts w:eastAsia="Arial" w:cs="Arial"/>
          <w:color w:val="000000" w:themeColor="text1"/>
          <w:sz w:val="22"/>
          <w:szCs w:val="22"/>
        </w:rPr>
        <w:t xml:space="preserve"> additional analysis was undertaken in FY25, Colombia, Mexico and Ethiopia ERPDs were all found to reference NBSAPs, and so this sub-indicator was updated from 1 to 3</w:t>
      </w:r>
      <w:r w:rsidR="00D87433">
        <w:rPr>
          <w:rFonts w:eastAsia="Arial" w:cs="Arial"/>
          <w:color w:val="000000" w:themeColor="text1"/>
          <w:sz w:val="22"/>
          <w:szCs w:val="22"/>
        </w:rPr>
        <w:t xml:space="preserve"> for the FY25 reporting period</w:t>
      </w:r>
      <w:r w:rsidR="006B76BB">
        <w:rPr>
          <w:rFonts w:eastAsia="Arial" w:cs="Arial"/>
          <w:color w:val="000000" w:themeColor="text1"/>
          <w:sz w:val="22"/>
          <w:szCs w:val="22"/>
        </w:rPr>
        <w:t xml:space="preserve">. </w:t>
      </w:r>
      <w:r w:rsidR="00643F2B">
        <w:rPr>
          <w:rFonts w:eastAsia="Arial" w:cs="Arial"/>
          <w:color w:val="000000" w:themeColor="text1"/>
          <w:sz w:val="22"/>
          <w:szCs w:val="22"/>
        </w:rPr>
        <w:t>For 1.</w:t>
      </w:r>
      <w:r w:rsidR="00C652B2">
        <w:rPr>
          <w:rFonts w:eastAsia="Arial" w:cs="Arial"/>
          <w:color w:val="000000" w:themeColor="text1"/>
          <w:sz w:val="22"/>
          <w:szCs w:val="22"/>
        </w:rPr>
        <w:t>5</w:t>
      </w:r>
      <w:r w:rsidR="00643F2B">
        <w:rPr>
          <w:rFonts w:eastAsia="Arial" w:cs="Arial"/>
          <w:color w:val="000000" w:themeColor="text1"/>
          <w:sz w:val="22"/>
          <w:szCs w:val="22"/>
        </w:rPr>
        <w:t>b, w</w:t>
      </w:r>
      <w:r w:rsidRPr="341551D7">
        <w:rPr>
          <w:rFonts w:eastAsia="Arial" w:cs="Arial"/>
          <w:color w:val="000000" w:themeColor="text1"/>
          <w:sz w:val="22"/>
          <w:szCs w:val="22"/>
        </w:rPr>
        <w:t xml:space="preserve">hilst the other ERPDs do not include these specific references, biodiversity is a co-benefit of all programmes. </w:t>
      </w:r>
      <w:r w:rsidRPr="00255D4B" w:rsidR="00255D4B">
        <w:rPr>
          <w:rFonts w:eastAsia="Arial" w:cs="Arial"/>
          <w:color w:val="000000" w:themeColor="text1"/>
          <w:sz w:val="22"/>
          <w:szCs w:val="22"/>
        </w:rPr>
        <w:t>Notably, four countries are designing or implementing biodiversity-friendly management strategies. Colombia explicitly identifies biodiversity as a non-carbon benefit, prioriti</w:t>
      </w:r>
      <w:r w:rsidR="00255D4B">
        <w:rPr>
          <w:rFonts w:eastAsia="Arial" w:cs="Arial"/>
          <w:color w:val="000000" w:themeColor="text1"/>
          <w:sz w:val="22"/>
          <w:szCs w:val="22"/>
        </w:rPr>
        <w:t>s</w:t>
      </w:r>
      <w:r w:rsidRPr="00255D4B" w:rsidR="00255D4B">
        <w:rPr>
          <w:rFonts w:eastAsia="Arial" w:cs="Arial"/>
          <w:color w:val="000000" w:themeColor="text1"/>
          <w:sz w:val="22"/>
          <w:szCs w:val="22"/>
        </w:rPr>
        <w:t>es conservation areas through national institutions, and includes a dedicated biodiversity monitoring component. Ethiopia references the Ethiopian Biodiversity Strategy and Action Plan as a tool to manage reversal risks and commits to reporting on sustainable land management, including biodiversity plans, under the ISFL MEL framework. Mexico similarly reports on land under sustainable management using its national biodiversity strategies (</w:t>
      </w:r>
      <w:proofErr w:type="spellStart"/>
      <w:r w:rsidRPr="00255D4B" w:rsidR="00255D4B">
        <w:rPr>
          <w:rFonts w:eastAsia="Arial" w:cs="Arial"/>
          <w:color w:val="000000" w:themeColor="text1"/>
          <w:sz w:val="22"/>
          <w:szCs w:val="22"/>
        </w:rPr>
        <w:t>ENBioMex</w:t>
      </w:r>
      <w:proofErr w:type="spellEnd"/>
      <w:r w:rsidRPr="00255D4B" w:rsidR="00255D4B">
        <w:rPr>
          <w:rFonts w:eastAsia="Arial" w:cs="Arial"/>
          <w:color w:val="000000" w:themeColor="text1"/>
          <w:sz w:val="22"/>
          <w:szCs w:val="22"/>
        </w:rPr>
        <w:t xml:space="preserve"> and ENBIOFOR), which guide the integration of biodiversity criteria into forest sector interventions.</w:t>
      </w:r>
    </w:p>
    <w:p w:rsidRPr="00DE0D5F" w:rsidR="00675DA0" w:rsidP="2316AB56" w:rsidRDefault="00675DA0" w14:paraId="7CE613EB" w14:textId="77777777">
      <w:pPr>
        <w:jc w:val="both"/>
        <w:rPr>
          <w:rFonts w:cs="Arial"/>
          <w:sz w:val="22"/>
          <w:szCs w:val="22"/>
          <w:highlight w:val="yellow"/>
        </w:rPr>
      </w:pPr>
    </w:p>
    <w:p w:rsidRPr="00DE0D5F" w:rsidR="00DE0D5F" w:rsidP="004D5FD5" w:rsidRDefault="00DE0D5F" w14:paraId="6D4691AF" w14:textId="1E3108E9">
      <w:pPr>
        <w:jc w:val="both"/>
        <w:rPr>
          <w:rFonts w:cs="Arial"/>
          <w:b/>
          <w:bCs/>
          <w:sz w:val="22"/>
          <w:szCs w:val="22"/>
        </w:rPr>
      </w:pPr>
      <w:r w:rsidRPr="00DE0D5F">
        <w:rPr>
          <w:rFonts w:cs="Arial"/>
          <w:b/>
          <w:bCs/>
          <w:sz w:val="22"/>
          <w:szCs w:val="22"/>
        </w:rPr>
        <w:t>Describe any changes to this output, and any planned changes as a result of this review. </w:t>
      </w:r>
    </w:p>
    <w:p w:rsidR="00DE0D5F" w:rsidP="25B4C451" w:rsidRDefault="00DE0D5F" w14:paraId="5D5AE9E9" w14:textId="77777777">
      <w:pPr>
        <w:jc w:val="both"/>
        <w:rPr>
          <w:rFonts w:cs="Arial"/>
          <w:sz w:val="22"/>
          <w:szCs w:val="22"/>
        </w:rPr>
      </w:pPr>
    </w:p>
    <w:p w:rsidRPr="00986105" w:rsidR="005A76EF" w:rsidP="005A76EF" w:rsidRDefault="00A61900" w14:paraId="689AB10C" w14:textId="0CD29A24">
      <w:pPr>
        <w:jc w:val="both"/>
        <w:rPr>
          <w:rFonts w:cs="Arial"/>
          <w:sz w:val="22"/>
          <w:szCs w:val="22"/>
        </w:rPr>
      </w:pPr>
      <w:r w:rsidRPr="5C99F1CE">
        <w:rPr>
          <w:rFonts w:cs="Arial"/>
          <w:sz w:val="22"/>
          <w:szCs w:val="22"/>
        </w:rPr>
        <w:t>I</w:t>
      </w:r>
      <w:r w:rsidRPr="5C99F1CE" w:rsidR="0092090D">
        <w:rPr>
          <w:rFonts w:cs="Arial"/>
          <w:sz w:val="22"/>
          <w:szCs w:val="22"/>
        </w:rPr>
        <w:t>t</w:t>
      </w:r>
      <w:r w:rsidR="0092090D">
        <w:rPr>
          <w:rFonts w:cs="Arial"/>
          <w:sz w:val="22"/>
          <w:szCs w:val="22"/>
        </w:rPr>
        <w:t xml:space="preserve"> is recommended that the</w:t>
      </w:r>
      <w:r w:rsidRPr="00986105" w:rsidR="005A76EF">
        <w:rPr>
          <w:rFonts w:cs="Arial"/>
          <w:b/>
          <w:bCs/>
          <w:sz w:val="22"/>
          <w:szCs w:val="22"/>
        </w:rPr>
        <w:t xml:space="preserve"> </w:t>
      </w:r>
      <w:r w:rsidRPr="00986105" w:rsidR="005A76EF">
        <w:rPr>
          <w:rFonts w:cs="Arial"/>
          <w:sz w:val="22"/>
          <w:szCs w:val="22"/>
        </w:rPr>
        <w:t>World Bank amend Output Indicator 1.2 to reflect both the cumulative disbursements made for ER payments, as well as the additional revenue mobilised through carbon market transactions. This dual-component indicator should capture not only disbursements but also monetisation of ERs at enhanced market prices</w:t>
      </w:r>
      <w:r w:rsidR="0092090D">
        <w:rPr>
          <w:rFonts w:cs="Arial"/>
          <w:sz w:val="22"/>
          <w:szCs w:val="22"/>
        </w:rPr>
        <w:t xml:space="preserve">, considering the </w:t>
      </w:r>
      <w:r w:rsidR="00103900">
        <w:rPr>
          <w:rFonts w:cs="Arial"/>
          <w:sz w:val="22"/>
          <w:szCs w:val="22"/>
        </w:rPr>
        <w:t>programme is now entering a new phase</w:t>
      </w:r>
      <w:r w:rsidRPr="00986105" w:rsidR="005A76EF">
        <w:rPr>
          <w:rFonts w:cs="Arial"/>
          <w:sz w:val="22"/>
          <w:szCs w:val="22"/>
        </w:rPr>
        <w:t>.</w:t>
      </w:r>
      <w:r>
        <w:rPr>
          <w:rFonts w:cs="Arial"/>
          <w:sz w:val="22"/>
          <w:szCs w:val="22"/>
        </w:rPr>
        <w:t xml:space="preserve"> Should host jurisdictions take advantage of the floor-price mechanism </w:t>
      </w:r>
      <w:r w:rsidR="006E45FF">
        <w:rPr>
          <w:rFonts w:cs="Arial"/>
          <w:sz w:val="22"/>
          <w:szCs w:val="22"/>
        </w:rPr>
        <w:t xml:space="preserve">within the ERPAs, and credits </w:t>
      </w:r>
      <w:r w:rsidR="00655C86">
        <w:rPr>
          <w:rFonts w:cs="Arial"/>
          <w:sz w:val="22"/>
          <w:szCs w:val="22"/>
        </w:rPr>
        <w:t xml:space="preserve">are </w:t>
      </w:r>
      <w:r w:rsidR="006E45FF">
        <w:rPr>
          <w:rFonts w:cs="Arial"/>
          <w:sz w:val="22"/>
          <w:szCs w:val="22"/>
        </w:rPr>
        <w:t>sold to a third-party</w:t>
      </w:r>
      <w:r w:rsidR="000B37CD">
        <w:rPr>
          <w:rFonts w:cs="Arial"/>
          <w:sz w:val="22"/>
          <w:szCs w:val="22"/>
        </w:rPr>
        <w:t xml:space="preserve"> at a higher price</w:t>
      </w:r>
      <w:r w:rsidR="006E45FF">
        <w:rPr>
          <w:rFonts w:cs="Arial"/>
          <w:sz w:val="22"/>
          <w:szCs w:val="22"/>
        </w:rPr>
        <w:t xml:space="preserve">, this would </w:t>
      </w:r>
      <w:r w:rsidR="00655C86">
        <w:rPr>
          <w:rFonts w:cs="Arial"/>
          <w:sz w:val="22"/>
          <w:szCs w:val="22"/>
        </w:rPr>
        <w:t xml:space="preserve">reduce the </w:t>
      </w:r>
      <w:r w:rsidR="000423E2">
        <w:rPr>
          <w:rFonts w:cs="Arial"/>
          <w:sz w:val="22"/>
          <w:szCs w:val="22"/>
        </w:rPr>
        <w:t xml:space="preserve">disbursement for ER credits under Output </w:t>
      </w:r>
      <w:r w:rsidR="000B37CD">
        <w:rPr>
          <w:rFonts w:cs="Arial"/>
          <w:sz w:val="22"/>
          <w:szCs w:val="22"/>
        </w:rPr>
        <w:t>Indicator 1.</w:t>
      </w:r>
      <w:r w:rsidR="000423E2">
        <w:rPr>
          <w:rFonts w:cs="Arial"/>
          <w:sz w:val="22"/>
          <w:szCs w:val="22"/>
        </w:rPr>
        <w:t>2</w:t>
      </w:r>
      <w:r w:rsidR="000B37CD">
        <w:rPr>
          <w:rFonts w:cs="Arial"/>
          <w:sz w:val="22"/>
          <w:szCs w:val="22"/>
        </w:rPr>
        <w:t>. This</w:t>
      </w:r>
      <w:r w:rsidR="000423E2">
        <w:rPr>
          <w:rFonts w:cs="Arial"/>
          <w:sz w:val="22"/>
          <w:szCs w:val="22"/>
        </w:rPr>
        <w:t xml:space="preserve"> would not be </w:t>
      </w:r>
      <w:r w:rsidR="000B37CD">
        <w:rPr>
          <w:rFonts w:cs="Arial"/>
          <w:sz w:val="22"/>
          <w:szCs w:val="22"/>
        </w:rPr>
        <w:t xml:space="preserve">an underperformance however, as it would be leading to better overall programme outcomes. A revision to the Output Indicator 1.2 methodology to account for both would address this. </w:t>
      </w:r>
    </w:p>
    <w:p w:rsidRPr="0092090D" w:rsidR="005A76EF" w:rsidP="412D110C" w:rsidRDefault="005A76EF" w14:paraId="51489576" w14:textId="52A6C3D9">
      <w:pPr>
        <w:jc w:val="both"/>
        <w:rPr>
          <w:rFonts w:cs="Arial"/>
          <w:sz w:val="22"/>
          <w:szCs w:val="22"/>
        </w:rPr>
      </w:pPr>
      <w:r w:rsidRPr="00986105">
        <w:rPr>
          <w:rFonts w:cs="Arial"/>
          <w:sz w:val="22"/>
          <w:szCs w:val="22"/>
        </w:rPr>
        <w:t> </w:t>
      </w:r>
    </w:p>
    <w:p w:rsidR="2D6E44A5" w:rsidP="412D110C" w:rsidRDefault="000B37CD" w14:paraId="2E6112B6" w14:textId="0A06F0F0">
      <w:pPr>
        <w:jc w:val="both"/>
        <w:rPr>
          <w:rFonts w:eastAsia="Arial" w:cs="Arial"/>
          <w:color w:val="000000" w:themeColor="text1"/>
          <w:sz w:val="22"/>
          <w:szCs w:val="22"/>
        </w:rPr>
      </w:pPr>
      <w:r>
        <w:rPr>
          <w:rFonts w:eastAsia="Arial" w:cs="Arial"/>
          <w:color w:val="000000" w:themeColor="text1"/>
          <w:sz w:val="22"/>
          <w:szCs w:val="22"/>
        </w:rPr>
        <w:t xml:space="preserve">In this Annual Review </w:t>
      </w:r>
      <w:r w:rsidRPr="412D110C" w:rsidR="5B3175F9">
        <w:rPr>
          <w:rFonts w:eastAsia="Arial" w:cs="Arial"/>
          <w:color w:val="000000" w:themeColor="text1"/>
          <w:sz w:val="22"/>
          <w:szCs w:val="22"/>
        </w:rPr>
        <w:t>DESNZ</w:t>
      </w:r>
      <w:r w:rsidRPr="412D110C" w:rsidR="2D6E44A5">
        <w:rPr>
          <w:rFonts w:eastAsia="Arial" w:cs="Arial"/>
          <w:color w:val="000000" w:themeColor="text1"/>
          <w:sz w:val="22"/>
          <w:szCs w:val="22"/>
        </w:rPr>
        <w:t xml:space="preserve"> </w:t>
      </w:r>
      <w:r>
        <w:rPr>
          <w:rFonts w:eastAsia="Arial" w:cs="Arial"/>
          <w:color w:val="000000" w:themeColor="text1"/>
          <w:sz w:val="22"/>
          <w:szCs w:val="22"/>
        </w:rPr>
        <w:t xml:space="preserve">has </w:t>
      </w:r>
      <w:r w:rsidRPr="412D110C" w:rsidR="2D6E44A5">
        <w:rPr>
          <w:rFonts w:eastAsia="Arial" w:cs="Arial"/>
          <w:color w:val="000000" w:themeColor="text1"/>
          <w:sz w:val="22"/>
          <w:szCs w:val="22"/>
        </w:rPr>
        <w:t>removed</w:t>
      </w:r>
      <w:r w:rsidR="00D532AE">
        <w:rPr>
          <w:rFonts w:eastAsia="Arial" w:cs="Arial"/>
          <w:color w:val="000000" w:themeColor="text1"/>
          <w:sz w:val="22"/>
          <w:szCs w:val="22"/>
        </w:rPr>
        <w:t xml:space="preserve"> the original </w:t>
      </w:r>
      <w:r w:rsidRPr="412D110C" w:rsidR="2D6E44A5">
        <w:rPr>
          <w:rFonts w:eastAsia="Arial" w:cs="Arial"/>
          <w:color w:val="000000" w:themeColor="text1"/>
          <w:sz w:val="22"/>
          <w:szCs w:val="22"/>
        </w:rPr>
        <w:t xml:space="preserve">Output Indicator </w:t>
      </w:r>
      <w:r w:rsidR="00607D61">
        <w:rPr>
          <w:rFonts w:eastAsia="Arial" w:cs="Arial"/>
          <w:color w:val="000000" w:themeColor="text1"/>
          <w:sz w:val="22"/>
          <w:szCs w:val="22"/>
        </w:rPr>
        <w:t>1.3</w:t>
      </w:r>
      <w:r w:rsidRPr="412D110C" w:rsidR="2D6E44A5">
        <w:rPr>
          <w:rFonts w:eastAsia="Arial" w:cs="Arial"/>
          <w:color w:val="000000" w:themeColor="text1"/>
          <w:sz w:val="22"/>
          <w:szCs w:val="22"/>
        </w:rPr>
        <w:t>, “Number of workshops and funded technical studies completed to prepare an ISFL programme”. This indicator tracked the progress of capacity building, which was a key part of the grant programmes</w:t>
      </w:r>
      <w:r w:rsidR="007E3E04">
        <w:rPr>
          <w:rFonts w:eastAsia="Arial" w:cs="Arial"/>
          <w:color w:val="000000" w:themeColor="text1"/>
          <w:sz w:val="22"/>
          <w:szCs w:val="22"/>
        </w:rPr>
        <w:t>,</w:t>
      </w:r>
      <w:r w:rsidRPr="412D110C" w:rsidR="2D6E44A5">
        <w:rPr>
          <w:rFonts w:eastAsia="Arial" w:cs="Arial"/>
          <w:color w:val="000000" w:themeColor="text1"/>
          <w:sz w:val="22"/>
          <w:szCs w:val="22"/>
        </w:rPr>
        <w:t xml:space="preserve"> but will be less important as the ISFL transitions into delivering emission reduction programmes.</w:t>
      </w:r>
      <w:r w:rsidR="00D532AE">
        <w:rPr>
          <w:rFonts w:eastAsia="Arial" w:cs="Arial"/>
          <w:color w:val="000000" w:themeColor="text1"/>
          <w:sz w:val="22"/>
          <w:szCs w:val="22"/>
        </w:rPr>
        <w:t xml:space="preserve"> Accordingly, all Output Indicator numbers have changed to reflect this.</w:t>
      </w:r>
    </w:p>
    <w:p w:rsidR="6ACFE191" w:rsidP="6ACFE191" w:rsidRDefault="6ACFE191" w14:paraId="762E16D6" w14:textId="1924D684">
      <w:pPr>
        <w:jc w:val="both"/>
        <w:rPr>
          <w:rFonts w:eastAsia="Arial" w:cs="Arial"/>
          <w:color w:val="000000" w:themeColor="text1"/>
          <w:sz w:val="22"/>
          <w:szCs w:val="22"/>
        </w:rPr>
      </w:pPr>
    </w:p>
    <w:p w:rsidRPr="00FD2C7D" w:rsidR="6ACFE191" w:rsidP="6ACFE191" w:rsidRDefault="2D6E44A5" w14:paraId="244442C4" w14:textId="5894CF37">
      <w:pPr>
        <w:jc w:val="both"/>
        <w:rPr>
          <w:rFonts w:eastAsia="Arial" w:cs="Arial"/>
          <w:color w:val="000000" w:themeColor="text1"/>
          <w:sz w:val="22"/>
          <w:szCs w:val="22"/>
        </w:rPr>
      </w:pPr>
      <w:r w:rsidRPr="332B2EED">
        <w:rPr>
          <w:rFonts w:eastAsia="Arial" w:cs="Arial"/>
          <w:color w:val="000000" w:themeColor="text1"/>
          <w:sz w:val="22"/>
          <w:szCs w:val="22"/>
        </w:rPr>
        <w:t xml:space="preserve">As per the </w:t>
      </w:r>
      <w:r w:rsidRPr="332B2EED" w:rsidR="58E89679">
        <w:rPr>
          <w:rFonts w:eastAsia="Arial" w:cs="Arial"/>
          <w:color w:val="000000" w:themeColor="text1"/>
          <w:sz w:val="22"/>
          <w:szCs w:val="22"/>
        </w:rPr>
        <w:t xml:space="preserve">FY24 </w:t>
      </w:r>
      <w:r w:rsidRPr="332B2EED">
        <w:rPr>
          <w:rFonts w:eastAsia="Arial" w:cs="Arial"/>
          <w:color w:val="000000" w:themeColor="text1"/>
          <w:sz w:val="22"/>
          <w:szCs w:val="22"/>
        </w:rPr>
        <w:t xml:space="preserve">Annual Review in FY24, </w:t>
      </w:r>
      <w:r w:rsidRPr="332B2EED" w:rsidR="7C8FA767">
        <w:rPr>
          <w:rFonts w:eastAsia="Arial" w:cs="Arial"/>
          <w:color w:val="000000" w:themeColor="text1"/>
          <w:sz w:val="22"/>
          <w:szCs w:val="22"/>
        </w:rPr>
        <w:t xml:space="preserve">DESNZ </w:t>
      </w:r>
      <w:r w:rsidRPr="332B2EED">
        <w:rPr>
          <w:rFonts w:eastAsia="Arial" w:cs="Arial"/>
          <w:color w:val="000000" w:themeColor="text1"/>
          <w:sz w:val="22"/>
          <w:szCs w:val="22"/>
        </w:rPr>
        <w:t>have recommended adding operational progress or qualitative indicators to assess the progress of the biodiversity monitoring pilot in Colombia once it is operational</w:t>
      </w:r>
      <w:r w:rsidRPr="332B2EED">
        <w:rPr>
          <w:rStyle w:val="FootnoteReference"/>
          <w:rFonts w:eastAsia="Arial" w:cs="Arial"/>
          <w:color w:val="000000" w:themeColor="text1"/>
          <w:sz w:val="22"/>
          <w:szCs w:val="22"/>
        </w:rPr>
        <w:footnoteReference w:id="13"/>
      </w:r>
      <w:r w:rsidRPr="332B2EED">
        <w:rPr>
          <w:rFonts w:eastAsia="Arial" w:cs="Arial"/>
          <w:color w:val="000000" w:themeColor="text1"/>
          <w:sz w:val="22"/>
          <w:szCs w:val="22"/>
        </w:rPr>
        <w:t xml:space="preserve"> under Output Indicator 1.6, which measures the inclusion of biodiversity in </w:t>
      </w:r>
      <w:r w:rsidR="007E3E04">
        <w:rPr>
          <w:rFonts w:eastAsia="Arial" w:cs="Arial"/>
          <w:color w:val="000000" w:themeColor="text1"/>
          <w:sz w:val="22"/>
          <w:szCs w:val="22"/>
        </w:rPr>
        <w:t>ER</w:t>
      </w:r>
      <w:r w:rsidRPr="332B2EED">
        <w:rPr>
          <w:rFonts w:eastAsia="Arial" w:cs="Arial"/>
          <w:color w:val="000000" w:themeColor="text1"/>
          <w:sz w:val="22"/>
          <w:szCs w:val="22"/>
        </w:rPr>
        <w:t xml:space="preserve"> programmes</w:t>
      </w:r>
      <w:r w:rsidRPr="000D69C7" w:rsidR="55757163">
        <w:rPr>
          <w:rFonts w:eastAsia="Arial" w:cs="Arial"/>
          <w:color w:val="000000" w:themeColor="text1"/>
          <w:sz w:val="22"/>
          <w:szCs w:val="22"/>
        </w:rPr>
        <w:t xml:space="preserve"> (see </w:t>
      </w:r>
      <w:r w:rsidRPr="000D69C7" w:rsidR="55757163">
        <w:rPr>
          <w:rFonts w:eastAsia="Arial" w:cs="Arial"/>
          <w:b/>
          <w:bCs/>
          <w:color w:val="000000" w:themeColor="text1"/>
          <w:sz w:val="22"/>
          <w:szCs w:val="22"/>
        </w:rPr>
        <w:t>Recommendation [</w:t>
      </w:r>
      <w:r w:rsidRPr="000D69C7" w:rsidR="000D69C7">
        <w:rPr>
          <w:rFonts w:eastAsia="Arial" w:cs="Arial"/>
          <w:b/>
          <w:bCs/>
          <w:color w:val="000000" w:themeColor="text1"/>
          <w:sz w:val="22"/>
          <w:szCs w:val="22"/>
        </w:rPr>
        <w:t>2d</w:t>
      </w:r>
      <w:r w:rsidRPr="000D69C7" w:rsidR="55757163">
        <w:rPr>
          <w:rFonts w:eastAsia="Arial" w:cs="Arial"/>
          <w:b/>
          <w:bCs/>
          <w:color w:val="000000" w:themeColor="text1"/>
          <w:sz w:val="22"/>
          <w:szCs w:val="22"/>
        </w:rPr>
        <w:t>]</w:t>
      </w:r>
      <w:r w:rsidRPr="000D69C7" w:rsidR="55757163">
        <w:rPr>
          <w:rFonts w:eastAsia="Arial" w:cs="Arial"/>
          <w:color w:val="000000" w:themeColor="text1"/>
          <w:sz w:val="22"/>
          <w:szCs w:val="22"/>
        </w:rPr>
        <w:t>)</w:t>
      </w:r>
      <w:r w:rsidRPr="000D69C7">
        <w:rPr>
          <w:rFonts w:eastAsia="Arial" w:cs="Arial"/>
          <w:color w:val="000000" w:themeColor="text1"/>
          <w:sz w:val="22"/>
          <w:szCs w:val="22"/>
        </w:rPr>
        <w:t xml:space="preserve">. </w:t>
      </w:r>
      <w:r w:rsidRPr="332B2EED">
        <w:rPr>
          <w:rFonts w:eastAsia="Arial" w:cs="Arial"/>
          <w:color w:val="000000" w:themeColor="text1"/>
          <w:sz w:val="22"/>
          <w:szCs w:val="22"/>
        </w:rPr>
        <w:t>The pilot aims to develop and test new ways of assessing biodiversity reporting and measurement, which means that it would be difficult for traditional metrics to assess its success. Therefore, DESNZ should work with the World Bank to formulate an alternative way of tracking the progress of the pilot, such as through annual qualitative updates.</w:t>
      </w:r>
    </w:p>
    <w:p w:rsidR="25B4C451" w:rsidP="25B4C451" w:rsidRDefault="25B4C451" w14:paraId="14293D6D" w14:textId="139C97C8">
      <w:pPr>
        <w:jc w:val="both"/>
        <w:rPr>
          <w:rFonts w:cs="Arial"/>
          <w:sz w:val="22"/>
          <w:szCs w:val="22"/>
        </w:rPr>
      </w:pPr>
    </w:p>
    <w:p w:rsidRPr="00D80C6C" w:rsidR="003D222C" w:rsidP="2316AB56" w:rsidRDefault="003D222C" w14:paraId="17BAC3B7" w14:textId="60545AF8">
      <w:pPr>
        <w:jc w:val="both"/>
        <w:rPr>
          <w:rFonts w:cs="Arial"/>
          <w:sz w:val="22"/>
          <w:szCs w:val="22"/>
        </w:rPr>
      </w:pPr>
      <w:r w:rsidRPr="2316AB56">
        <w:rPr>
          <w:b/>
          <w:bCs/>
          <w:i/>
          <w:iCs/>
          <w:sz w:val="28"/>
          <w:szCs w:val="28"/>
        </w:rPr>
        <w:t>Progr</w:t>
      </w:r>
      <w:r w:rsidR="00FD2C7D">
        <w:rPr>
          <w:b/>
          <w:bCs/>
          <w:i/>
          <w:iCs/>
          <w:sz w:val="28"/>
          <w:szCs w:val="28"/>
        </w:rPr>
        <w:t>e</w:t>
      </w:r>
      <w:r w:rsidRPr="2316AB56">
        <w:rPr>
          <w:b/>
          <w:bCs/>
          <w:i/>
          <w:iCs/>
          <w:sz w:val="28"/>
          <w:szCs w:val="28"/>
        </w:rPr>
        <w:t>ss on recommendations from the previous AR</w:t>
      </w:r>
      <w:r w:rsidRPr="2316AB56" w:rsidR="00690170">
        <w:rPr>
          <w:b/>
          <w:bCs/>
          <w:i/>
          <w:iCs/>
          <w:sz w:val="28"/>
          <w:szCs w:val="28"/>
        </w:rPr>
        <w:t xml:space="preserve">, </w:t>
      </w:r>
      <w:r w:rsidRPr="2316AB56">
        <w:rPr>
          <w:b/>
          <w:bCs/>
          <w:i/>
          <w:iCs/>
          <w:sz w:val="28"/>
          <w:szCs w:val="28"/>
        </w:rPr>
        <w:t>lessons learned this year</w:t>
      </w:r>
      <w:r w:rsidRPr="2316AB56" w:rsidR="00690170">
        <w:rPr>
          <w:b/>
          <w:bCs/>
          <w:i/>
          <w:iCs/>
          <w:sz w:val="28"/>
          <w:szCs w:val="28"/>
        </w:rPr>
        <w:t>,</w:t>
      </w:r>
      <w:r w:rsidRPr="2316AB56">
        <w:rPr>
          <w:b/>
          <w:bCs/>
          <w:i/>
          <w:iCs/>
          <w:sz w:val="28"/>
          <w:szCs w:val="28"/>
        </w:rPr>
        <w:t xml:space="preserve"> and recommendations for the year ahead</w:t>
      </w:r>
      <w:r w:rsidRPr="2316AB56">
        <w:rPr>
          <w:rFonts w:cs="Arial"/>
          <w:b/>
          <w:bCs/>
        </w:rPr>
        <w:t xml:space="preserve"> </w:t>
      </w:r>
    </w:p>
    <w:p w:rsidR="003D222C" w:rsidP="2F4E0A3D" w:rsidRDefault="003D222C" w14:paraId="1FA31154" w14:textId="120262FB">
      <w:pPr>
        <w:tabs>
          <w:tab w:val="left" w:pos="8352"/>
        </w:tabs>
        <w:jc w:val="both"/>
        <w:rPr>
          <w:rFonts w:cs="Arial"/>
          <w:sz w:val="22"/>
          <w:szCs w:val="22"/>
        </w:rPr>
      </w:pPr>
    </w:p>
    <w:p w:rsidR="00512E8B" w:rsidP="2316AB56" w:rsidRDefault="00512E8B" w14:paraId="705874A5" w14:textId="5B633545">
      <w:pPr>
        <w:jc w:val="both"/>
        <w:rPr>
          <w:rFonts w:cs="Arial"/>
          <w:b/>
          <w:bCs/>
          <w:sz w:val="22"/>
          <w:szCs w:val="22"/>
        </w:rPr>
      </w:pPr>
      <w:r w:rsidRPr="00512E8B">
        <w:rPr>
          <w:rFonts w:cs="Arial"/>
          <w:b/>
          <w:bCs/>
          <w:sz w:val="22"/>
          <w:szCs w:val="22"/>
        </w:rPr>
        <w:t>Progress on recommendations from FY24</w:t>
      </w:r>
    </w:p>
    <w:p w:rsidR="00512E8B" w:rsidP="2316AB56" w:rsidRDefault="00512E8B" w14:paraId="6C762DF6" w14:textId="77777777">
      <w:pPr>
        <w:jc w:val="both"/>
        <w:rPr>
          <w:rFonts w:cs="Arial"/>
          <w:b/>
          <w:bCs/>
          <w:sz w:val="22"/>
          <w:szCs w:val="22"/>
        </w:rPr>
      </w:pPr>
    </w:p>
    <w:p w:rsidR="00F46CAC" w:rsidP="2316AB56" w:rsidRDefault="00512E8B" w14:paraId="0D6E4744" w14:textId="7829A97A">
      <w:pPr>
        <w:jc w:val="both"/>
        <w:rPr>
          <w:rFonts w:cs="Arial"/>
          <w:sz w:val="22"/>
          <w:szCs w:val="22"/>
        </w:rPr>
      </w:pPr>
      <w:r>
        <w:rPr>
          <w:rFonts w:cs="Arial"/>
          <w:sz w:val="22"/>
          <w:szCs w:val="22"/>
        </w:rPr>
        <w:t xml:space="preserve">As detailed in the section above, </w:t>
      </w:r>
      <w:r w:rsidR="00A256CF">
        <w:rPr>
          <w:rFonts w:cs="Arial"/>
          <w:sz w:val="22"/>
          <w:szCs w:val="22"/>
        </w:rPr>
        <w:t>several</w:t>
      </w:r>
      <w:r>
        <w:rPr>
          <w:rFonts w:cs="Arial"/>
          <w:sz w:val="22"/>
          <w:szCs w:val="22"/>
        </w:rPr>
        <w:t xml:space="preserve"> </w:t>
      </w:r>
      <w:r w:rsidR="00A256CF">
        <w:rPr>
          <w:rFonts w:cs="Arial"/>
          <w:sz w:val="22"/>
          <w:szCs w:val="22"/>
        </w:rPr>
        <w:t xml:space="preserve">proposals under </w:t>
      </w:r>
      <w:r w:rsidR="00A256CF">
        <w:rPr>
          <w:rFonts w:cs="Arial"/>
          <w:b/>
          <w:bCs/>
          <w:sz w:val="22"/>
          <w:szCs w:val="22"/>
        </w:rPr>
        <w:t>Recommendation [2]</w:t>
      </w:r>
      <w:r>
        <w:rPr>
          <w:rFonts w:cs="Arial"/>
          <w:sz w:val="22"/>
          <w:szCs w:val="22"/>
        </w:rPr>
        <w:t xml:space="preserve"> in FY24</w:t>
      </w:r>
      <w:r w:rsidR="00A256CF">
        <w:rPr>
          <w:rFonts w:cs="Arial"/>
          <w:sz w:val="22"/>
          <w:szCs w:val="22"/>
        </w:rPr>
        <w:t xml:space="preserve"> were actioned. </w:t>
      </w:r>
      <w:r w:rsidR="000E00A2">
        <w:rPr>
          <w:rFonts w:cs="Arial"/>
          <w:sz w:val="22"/>
          <w:szCs w:val="22"/>
        </w:rPr>
        <w:t xml:space="preserve">Firstly, </w:t>
      </w:r>
      <w:r>
        <w:rPr>
          <w:rFonts w:cs="Arial"/>
          <w:sz w:val="22"/>
          <w:szCs w:val="22"/>
        </w:rPr>
        <w:t>Output Indicator 1.</w:t>
      </w:r>
      <w:r w:rsidR="00471BFE">
        <w:rPr>
          <w:rFonts w:cs="Arial"/>
          <w:sz w:val="22"/>
          <w:szCs w:val="22"/>
        </w:rPr>
        <w:t>3</w:t>
      </w:r>
      <w:r>
        <w:rPr>
          <w:rFonts w:cs="Arial"/>
          <w:sz w:val="22"/>
          <w:szCs w:val="22"/>
        </w:rPr>
        <w:t xml:space="preserve"> was </w:t>
      </w:r>
      <w:r w:rsidR="000E00A2">
        <w:rPr>
          <w:rFonts w:cs="Arial"/>
          <w:sz w:val="22"/>
          <w:szCs w:val="22"/>
        </w:rPr>
        <w:t>closed</w:t>
      </w:r>
      <w:r w:rsidR="00471BFE">
        <w:rPr>
          <w:rFonts w:cs="Arial"/>
          <w:sz w:val="22"/>
          <w:szCs w:val="22"/>
        </w:rPr>
        <w:t xml:space="preserve">, </w:t>
      </w:r>
      <w:r w:rsidR="001636BC">
        <w:rPr>
          <w:rFonts w:cs="Arial"/>
          <w:sz w:val="22"/>
          <w:szCs w:val="22"/>
        </w:rPr>
        <w:t xml:space="preserve">as the EOP target was surpassed and workshops/technical studies are coming to an end. </w:t>
      </w:r>
      <w:r w:rsidR="000E00A2">
        <w:rPr>
          <w:rFonts w:cs="Arial"/>
          <w:sz w:val="22"/>
          <w:szCs w:val="22"/>
        </w:rPr>
        <w:t>Secondly, DESNZ reweighted Output Indicator 1.4</w:t>
      </w:r>
      <w:r w:rsidR="00C220BF">
        <w:rPr>
          <w:rFonts w:cs="Arial"/>
          <w:sz w:val="22"/>
          <w:szCs w:val="22"/>
        </w:rPr>
        <w:t xml:space="preserve"> from 20% to 22.5% to reflect the importance of ERPA signings to the delivery of the programme. </w:t>
      </w:r>
      <w:r w:rsidR="00C73F5A">
        <w:rPr>
          <w:rFonts w:cs="Arial"/>
          <w:sz w:val="22"/>
          <w:szCs w:val="22"/>
        </w:rPr>
        <w:t xml:space="preserve">Thirdly, </w:t>
      </w:r>
      <w:r w:rsidR="00E6065D">
        <w:rPr>
          <w:rFonts w:cs="Arial"/>
          <w:sz w:val="22"/>
          <w:szCs w:val="22"/>
        </w:rPr>
        <w:t xml:space="preserve">the WB and DESNZ discussed how CSA delivered </w:t>
      </w:r>
      <w:r w:rsidR="0097314F">
        <w:rPr>
          <w:rFonts w:cs="Arial"/>
          <w:sz w:val="22"/>
          <w:szCs w:val="22"/>
        </w:rPr>
        <w:t xml:space="preserve">in Zambia under its grant programme will be measured, with Output </w:t>
      </w:r>
      <w:r w:rsidR="000F43AA">
        <w:rPr>
          <w:rFonts w:cs="Arial"/>
          <w:sz w:val="22"/>
          <w:szCs w:val="22"/>
        </w:rPr>
        <w:t xml:space="preserve">Indicator </w:t>
      </w:r>
      <w:r w:rsidR="0097314F">
        <w:rPr>
          <w:rFonts w:cs="Arial"/>
          <w:sz w:val="22"/>
          <w:szCs w:val="22"/>
        </w:rPr>
        <w:t xml:space="preserve">1.1b specifically being reported on and measuring a combination of all practices on forests, CSA and protected areas. </w:t>
      </w:r>
    </w:p>
    <w:p w:rsidR="00F23B34" w:rsidP="2316AB56" w:rsidRDefault="00F23B34" w14:paraId="15A42202" w14:textId="77777777">
      <w:pPr>
        <w:jc w:val="both"/>
        <w:rPr>
          <w:rFonts w:cs="Arial"/>
          <w:sz w:val="22"/>
          <w:szCs w:val="22"/>
        </w:rPr>
      </w:pPr>
    </w:p>
    <w:p w:rsidRPr="00A91D43" w:rsidR="00BE17A0" w:rsidP="00BE17A0" w:rsidRDefault="00F23B34" w14:paraId="738291B9" w14:textId="387CEFA4">
      <w:pPr>
        <w:jc w:val="both"/>
        <w:rPr>
          <w:rFonts w:cs="Arial"/>
          <w:sz w:val="22"/>
          <w:szCs w:val="22"/>
        </w:rPr>
      </w:pPr>
      <w:r>
        <w:rPr>
          <w:rFonts w:cs="Arial"/>
          <w:sz w:val="22"/>
          <w:szCs w:val="22"/>
        </w:rPr>
        <w:t xml:space="preserve">However, </w:t>
      </w:r>
      <w:r w:rsidR="00642988">
        <w:rPr>
          <w:rFonts w:cs="Arial"/>
          <w:sz w:val="22"/>
          <w:szCs w:val="22"/>
        </w:rPr>
        <w:t xml:space="preserve">one proposal from </w:t>
      </w:r>
      <w:r w:rsidR="00642988">
        <w:rPr>
          <w:rFonts w:cs="Arial"/>
          <w:b/>
          <w:bCs/>
          <w:sz w:val="22"/>
          <w:szCs w:val="22"/>
        </w:rPr>
        <w:t xml:space="preserve">Recommendation [2] </w:t>
      </w:r>
      <w:r w:rsidR="00642988">
        <w:rPr>
          <w:rFonts w:cs="Arial"/>
          <w:sz w:val="22"/>
          <w:szCs w:val="22"/>
        </w:rPr>
        <w:t>was not actioned. DESNZ were recommended to add operational progress or qualitative indicators to Output Indicator 1.6 to assess the progress of the biodiversity pilot in Colombia</w:t>
      </w:r>
      <w:r w:rsidR="00714858">
        <w:rPr>
          <w:rFonts w:cs="Arial"/>
          <w:sz w:val="22"/>
          <w:szCs w:val="22"/>
        </w:rPr>
        <w:t>,</w:t>
      </w:r>
      <w:r w:rsidR="00642988">
        <w:rPr>
          <w:rFonts w:cs="Arial"/>
          <w:sz w:val="22"/>
          <w:szCs w:val="22"/>
        </w:rPr>
        <w:t xml:space="preserve"> once operational. Unfortunately, the biodiversity pilot is still not </w:t>
      </w:r>
      <w:r w:rsidR="00A91D43">
        <w:rPr>
          <w:rFonts w:cs="Arial"/>
          <w:sz w:val="22"/>
          <w:szCs w:val="22"/>
        </w:rPr>
        <w:t xml:space="preserve">operational </w:t>
      </w:r>
      <w:r w:rsidRPr="377C7DF9" w:rsidR="24EE1DB8">
        <w:rPr>
          <w:rFonts w:cs="Arial"/>
          <w:sz w:val="22"/>
          <w:szCs w:val="22"/>
        </w:rPr>
        <w:t xml:space="preserve">as the emission </w:t>
      </w:r>
      <w:r w:rsidRPr="1F8461D7" w:rsidR="24EE1DB8">
        <w:rPr>
          <w:rFonts w:cs="Arial"/>
          <w:sz w:val="22"/>
          <w:szCs w:val="22"/>
        </w:rPr>
        <w:t xml:space="preserve">reductions programme has </w:t>
      </w:r>
      <w:r w:rsidRPr="113CFD44" w:rsidR="24EE1DB8">
        <w:rPr>
          <w:rFonts w:cs="Arial"/>
          <w:sz w:val="22"/>
          <w:szCs w:val="22"/>
        </w:rPr>
        <w:t xml:space="preserve">not started </w:t>
      </w:r>
      <w:r w:rsidR="00A91D43">
        <w:rPr>
          <w:rFonts w:cs="Arial"/>
          <w:sz w:val="22"/>
          <w:szCs w:val="22"/>
        </w:rPr>
        <w:t>and</w:t>
      </w:r>
      <w:r w:rsidR="00642988">
        <w:rPr>
          <w:rFonts w:cs="Arial"/>
          <w:sz w:val="22"/>
          <w:szCs w:val="22"/>
        </w:rPr>
        <w:t xml:space="preserve"> so cannot be assessed yet. </w:t>
      </w:r>
      <w:r w:rsidR="00A91D43">
        <w:rPr>
          <w:rFonts w:cs="Arial"/>
          <w:sz w:val="22"/>
          <w:szCs w:val="22"/>
        </w:rPr>
        <w:t xml:space="preserve">In FY26, </w:t>
      </w:r>
      <w:r w:rsidRPr="332B2EED" w:rsidR="00BE17A0">
        <w:rPr>
          <w:rFonts w:eastAsia="Arial" w:cs="Arial"/>
          <w:color w:val="000000" w:themeColor="text1"/>
          <w:sz w:val="22"/>
          <w:szCs w:val="22"/>
        </w:rPr>
        <w:t>DESNZ should work with the World Bank to formulate an alternative way of tracking the progress of the pilot, such as through annual qualitative updates.</w:t>
      </w:r>
    </w:p>
    <w:p w:rsidR="000448C1" w:rsidP="00BE17A0" w:rsidRDefault="000448C1" w14:paraId="716ED5F3" w14:textId="77777777">
      <w:pPr>
        <w:jc w:val="both"/>
        <w:rPr>
          <w:rFonts w:eastAsia="Arial" w:cs="Arial"/>
          <w:color w:val="000000" w:themeColor="text1"/>
          <w:sz w:val="22"/>
          <w:szCs w:val="22"/>
        </w:rPr>
      </w:pPr>
    </w:p>
    <w:p w:rsidR="005E4D9A" w:rsidP="00BE17A0" w:rsidRDefault="00966E22" w14:paraId="0929433D" w14:textId="106FF787">
      <w:pPr>
        <w:jc w:val="both"/>
        <w:rPr>
          <w:rFonts w:eastAsia="Arial" w:cs="Arial"/>
          <w:b/>
          <w:bCs/>
          <w:color w:val="000000" w:themeColor="text1"/>
          <w:sz w:val="22"/>
          <w:szCs w:val="22"/>
        </w:rPr>
      </w:pPr>
      <w:r w:rsidRPr="00A656AD">
        <w:rPr>
          <w:rFonts w:eastAsia="Arial" w:cs="Arial"/>
          <w:color w:val="000000" w:themeColor="text1"/>
          <w:sz w:val="22"/>
          <w:szCs w:val="22"/>
        </w:rPr>
        <w:t>Furthermore</w:t>
      </w:r>
      <w:r w:rsidRPr="00A656AD" w:rsidR="005E4D9A">
        <w:rPr>
          <w:rFonts w:eastAsia="Arial" w:cs="Arial"/>
          <w:color w:val="000000" w:themeColor="text1"/>
          <w:sz w:val="22"/>
          <w:szCs w:val="22"/>
        </w:rPr>
        <w:t xml:space="preserve">, the FY23 Annual Review recommended that DESNZ and contributors maintain regular communication with the World Bank to keep track of ERPA progress, and to use available levers to encourage the swift completion of ERPAs if delays persist. </w:t>
      </w:r>
      <w:r w:rsidRPr="00A656AD">
        <w:rPr>
          <w:rFonts w:eastAsia="Arial" w:cs="Arial"/>
          <w:color w:val="000000" w:themeColor="text1"/>
          <w:sz w:val="22"/>
          <w:szCs w:val="22"/>
        </w:rPr>
        <w:t>In FY24, t</w:t>
      </w:r>
      <w:r w:rsidRPr="00A656AD" w:rsidR="005E4D9A">
        <w:rPr>
          <w:rFonts w:eastAsia="Arial" w:cs="Arial"/>
          <w:color w:val="000000" w:themeColor="text1"/>
          <w:sz w:val="22"/>
          <w:szCs w:val="22"/>
        </w:rPr>
        <w:t xml:space="preserve">he first part of this recommendation was achieved, </w:t>
      </w:r>
      <w:r w:rsidRPr="00A656AD">
        <w:rPr>
          <w:rFonts w:eastAsia="Arial" w:cs="Arial"/>
          <w:color w:val="000000" w:themeColor="text1"/>
          <w:sz w:val="22"/>
          <w:szCs w:val="22"/>
        </w:rPr>
        <w:t>but t</w:t>
      </w:r>
      <w:r w:rsidRPr="00A656AD" w:rsidR="005E4D9A">
        <w:rPr>
          <w:rFonts w:eastAsia="Arial" w:cs="Arial"/>
          <w:color w:val="000000" w:themeColor="text1"/>
          <w:sz w:val="22"/>
          <w:szCs w:val="22"/>
        </w:rPr>
        <w:t xml:space="preserve">he second part of the recommendation </w:t>
      </w:r>
      <w:r w:rsidRPr="00A656AD">
        <w:rPr>
          <w:rFonts w:eastAsia="Arial" w:cs="Arial"/>
          <w:color w:val="000000" w:themeColor="text1"/>
          <w:sz w:val="22"/>
          <w:szCs w:val="22"/>
        </w:rPr>
        <w:t>was</w:t>
      </w:r>
      <w:r w:rsidRPr="00A656AD" w:rsidR="005E4D9A">
        <w:rPr>
          <w:rFonts w:eastAsia="Arial" w:cs="Arial"/>
          <w:color w:val="000000" w:themeColor="text1"/>
          <w:sz w:val="22"/>
          <w:szCs w:val="22"/>
        </w:rPr>
        <w:t xml:space="preserve"> more difficult to progress; the main causes to delays in FY24</w:t>
      </w:r>
      <w:r w:rsidRPr="00A656AD">
        <w:rPr>
          <w:rFonts w:eastAsia="Arial" w:cs="Arial"/>
          <w:color w:val="000000" w:themeColor="text1"/>
          <w:sz w:val="22"/>
          <w:szCs w:val="22"/>
        </w:rPr>
        <w:t>/25</w:t>
      </w:r>
      <w:r w:rsidRPr="00A656AD" w:rsidR="005E4D9A">
        <w:rPr>
          <w:rFonts w:eastAsia="Arial" w:cs="Arial"/>
          <w:color w:val="000000" w:themeColor="text1"/>
          <w:sz w:val="22"/>
          <w:szCs w:val="22"/>
        </w:rPr>
        <w:t xml:space="preserve"> have largely been external to the programme and difficult for the World Bank and contributors to influence.</w:t>
      </w:r>
      <w:r w:rsidRPr="00A656AD" w:rsidR="00A656AD">
        <w:rPr>
          <w:rFonts w:eastAsia="Arial" w:cs="Arial"/>
          <w:color w:val="000000" w:themeColor="text1"/>
          <w:sz w:val="22"/>
          <w:szCs w:val="22"/>
        </w:rPr>
        <w:t xml:space="preserve"> </w:t>
      </w:r>
      <w:r w:rsidRPr="00A656AD" w:rsidR="00A656AD">
        <w:rPr>
          <w:rFonts w:eastAsia="Arial" w:cs="Arial"/>
          <w:b/>
          <w:bCs/>
          <w:color w:val="000000" w:themeColor="text1"/>
          <w:sz w:val="22"/>
          <w:szCs w:val="22"/>
        </w:rPr>
        <w:t xml:space="preserve">Recommendation [6] </w:t>
      </w:r>
      <w:r w:rsidRPr="00A656AD" w:rsidR="00A656AD">
        <w:rPr>
          <w:rFonts w:eastAsia="Arial" w:cs="Arial"/>
          <w:color w:val="000000" w:themeColor="text1"/>
          <w:sz w:val="22"/>
          <w:szCs w:val="22"/>
        </w:rPr>
        <w:t>of this Annual Review</w:t>
      </w:r>
      <w:r w:rsidR="00462F12">
        <w:rPr>
          <w:rFonts w:eastAsia="Arial" w:cs="Arial"/>
          <w:color w:val="000000" w:themeColor="text1"/>
          <w:sz w:val="22"/>
          <w:szCs w:val="22"/>
        </w:rPr>
        <w:t xml:space="preserve"> has thus been carried over from FY24</w:t>
      </w:r>
      <w:r w:rsidR="00DB6B13">
        <w:rPr>
          <w:rFonts w:eastAsia="Arial" w:cs="Arial"/>
          <w:color w:val="000000" w:themeColor="text1"/>
          <w:sz w:val="22"/>
          <w:szCs w:val="22"/>
        </w:rPr>
        <w:t>.</w:t>
      </w:r>
    </w:p>
    <w:p w:rsidR="00FA3E76" w:rsidP="00BE17A0" w:rsidRDefault="00FA3E76" w14:paraId="1251C6AD" w14:textId="77777777">
      <w:pPr>
        <w:jc w:val="both"/>
        <w:rPr>
          <w:rFonts w:eastAsia="Arial" w:cs="Arial"/>
          <w:b/>
          <w:bCs/>
          <w:color w:val="000000" w:themeColor="text1"/>
          <w:sz w:val="22"/>
          <w:szCs w:val="22"/>
        </w:rPr>
      </w:pPr>
    </w:p>
    <w:p w:rsidR="00224A4A" w:rsidP="00BE17A0" w:rsidRDefault="00224A4A" w14:paraId="5A251546" w14:textId="4827F65F">
      <w:pPr>
        <w:jc w:val="both"/>
        <w:rPr>
          <w:rFonts w:eastAsia="Arial" w:cs="Arial"/>
          <w:b w:val="1"/>
          <w:bCs w:val="1"/>
          <w:color w:val="000000" w:themeColor="text1"/>
          <w:sz w:val="22"/>
          <w:szCs w:val="22"/>
        </w:rPr>
      </w:pPr>
      <w:r w:rsidRPr="334BBF58" w:rsidR="00224A4A">
        <w:rPr>
          <w:rFonts w:eastAsia="Arial" w:cs="Arial"/>
          <w:b w:val="1"/>
          <w:bCs w:val="1"/>
          <w:color w:val="000000" w:themeColor="text1" w:themeTint="FF" w:themeShade="FF"/>
          <w:sz w:val="22"/>
          <w:szCs w:val="22"/>
        </w:rPr>
        <w:t>Lessons Learned</w:t>
      </w:r>
    </w:p>
    <w:p w:rsidRPr="00FD2C7D" w:rsidR="00FD2C7D" w:rsidP="00BE17A0" w:rsidRDefault="00FD2C7D" w14:paraId="2CA361D1" w14:textId="77777777">
      <w:pPr>
        <w:jc w:val="both"/>
        <w:rPr>
          <w:rFonts w:eastAsia="Arial" w:cs="Arial"/>
          <w:b/>
          <w:bCs/>
          <w:color w:val="000000" w:themeColor="text1"/>
          <w:sz w:val="22"/>
          <w:szCs w:val="22"/>
        </w:rPr>
      </w:pPr>
    </w:p>
    <w:p w:rsidR="00224A4A" w:rsidP="00BE17A0" w:rsidRDefault="005819B4" w14:paraId="03BAB5D1" w14:textId="11E18F95">
      <w:pPr>
        <w:jc w:val="both"/>
        <w:rPr>
          <w:rFonts w:eastAsia="Arial" w:cs="Arial"/>
          <w:color w:val="000000" w:themeColor="text1"/>
          <w:sz w:val="22"/>
          <w:szCs w:val="22"/>
        </w:rPr>
      </w:pPr>
      <w:r w:rsidRPr="005819B4">
        <w:rPr>
          <w:rFonts w:eastAsia="Arial" w:cs="Arial"/>
          <w:color w:val="000000" w:themeColor="text1"/>
          <w:sz w:val="22"/>
          <w:szCs w:val="22"/>
        </w:rPr>
        <w:t>Building on the analysis conducted at the conclusion of the Colombia grant programme and insights from stakeholder engagement in Indonesia</w:t>
      </w:r>
      <w:r w:rsidR="00D709DC">
        <w:rPr>
          <w:rFonts w:eastAsia="Arial" w:cs="Arial"/>
          <w:color w:val="000000" w:themeColor="text1"/>
          <w:sz w:val="22"/>
          <w:szCs w:val="22"/>
        </w:rPr>
        <w:t xml:space="preserve">, </w:t>
      </w:r>
      <w:r w:rsidRPr="00224A4A" w:rsidR="00224A4A">
        <w:rPr>
          <w:rFonts w:eastAsia="Arial" w:cs="Arial"/>
          <w:color w:val="000000" w:themeColor="text1"/>
          <w:sz w:val="22"/>
          <w:szCs w:val="22"/>
        </w:rPr>
        <w:t>FY2</w:t>
      </w:r>
      <w:r w:rsidR="00224A4A">
        <w:rPr>
          <w:rFonts w:eastAsia="Arial" w:cs="Arial"/>
          <w:color w:val="000000" w:themeColor="text1"/>
          <w:sz w:val="22"/>
          <w:szCs w:val="22"/>
        </w:rPr>
        <w:t>5</w:t>
      </w:r>
      <w:r w:rsidRPr="00224A4A" w:rsidR="00224A4A">
        <w:rPr>
          <w:rFonts w:eastAsia="Arial" w:cs="Arial"/>
          <w:color w:val="000000" w:themeColor="text1"/>
          <w:sz w:val="22"/>
          <w:szCs w:val="22"/>
        </w:rPr>
        <w:t xml:space="preserve"> has provided opportunities to reflect upon the key lessons learned on ERPD assessment and ERPA negotiation process. These include:</w:t>
      </w:r>
    </w:p>
    <w:p w:rsidR="00D709DC" w:rsidP="00BE17A0" w:rsidRDefault="00D709DC" w14:paraId="1DADB282" w14:textId="77777777">
      <w:pPr>
        <w:jc w:val="both"/>
        <w:rPr>
          <w:rFonts w:eastAsia="Arial" w:cs="Arial"/>
          <w:color w:val="000000" w:themeColor="text1"/>
          <w:sz w:val="22"/>
          <w:szCs w:val="22"/>
        </w:rPr>
      </w:pPr>
    </w:p>
    <w:p w:rsidRPr="00DA4B5C" w:rsidR="00DA4B5C" w:rsidP="00756B4F" w:rsidRDefault="00DA4B5C" w14:paraId="46354DF7" w14:textId="5D6A828E">
      <w:pPr>
        <w:pStyle w:val="ListParagraph"/>
        <w:numPr>
          <w:ilvl w:val="0"/>
          <w:numId w:val="14"/>
        </w:numPr>
        <w:jc w:val="both"/>
        <w:rPr>
          <w:rFonts w:cs="Arial"/>
          <w:sz w:val="22"/>
          <w:szCs w:val="22"/>
        </w:rPr>
      </w:pPr>
      <w:r w:rsidRPr="00DA4B5C">
        <w:rPr>
          <w:rFonts w:cs="Arial"/>
          <w:b/>
          <w:bCs/>
          <w:sz w:val="22"/>
          <w:szCs w:val="22"/>
        </w:rPr>
        <w:t xml:space="preserve">Phased coordination in Colombia: </w:t>
      </w:r>
      <w:r>
        <w:rPr>
          <w:rFonts w:cs="Arial"/>
          <w:sz w:val="22"/>
          <w:szCs w:val="22"/>
        </w:rPr>
        <w:t>as</w:t>
      </w:r>
      <w:r w:rsidRPr="00DA4B5C">
        <w:rPr>
          <w:rFonts w:cs="Arial"/>
          <w:sz w:val="22"/>
          <w:szCs w:val="22"/>
        </w:rPr>
        <w:t xml:space="preserve"> learned from the end of Colombia’s grant programme, sustained national and subnational coordination requires formal commitments and consistent leadership. Projects should adopt a phased approach with clearly defined stages to avoid overwhelming coordination demands and allow stakeholders to internalise new practices gradually.</w:t>
      </w:r>
    </w:p>
    <w:p w:rsidRPr="00D709DC" w:rsidR="00D10DF2" w:rsidP="00756B4F" w:rsidRDefault="00203EA4" w14:paraId="7B158E65" w14:textId="6F7076B6">
      <w:pPr>
        <w:pStyle w:val="ListParagraph"/>
        <w:numPr>
          <w:ilvl w:val="0"/>
          <w:numId w:val="14"/>
        </w:numPr>
        <w:jc w:val="both"/>
        <w:rPr>
          <w:rFonts w:eastAsia="Arial" w:cs="Arial"/>
          <w:color w:val="000000" w:themeColor="text1"/>
          <w:sz w:val="22"/>
          <w:szCs w:val="22"/>
        </w:rPr>
      </w:pPr>
      <w:r w:rsidRPr="00203EA4">
        <w:rPr>
          <w:rFonts w:cs="Arial"/>
          <w:b/>
          <w:bCs/>
          <w:sz w:val="22"/>
          <w:szCs w:val="22"/>
        </w:rPr>
        <w:t xml:space="preserve">Co-designing interventions in Colombia: </w:t>
      </w:r>
      <w:r w:rsidRPr="00203EA4">
        <w:rPr>
          <w:rFonts w:cs="Arial"/>
          <w:sz w:val="22"/>
          <w:szCs w:val="22"/>
        </w:rPr>
        <w:t>s</w:t>
      </w:r>
      <w:r w:rsidRPr="00203EA4" w:rsidR="00D10DF2">
        <w:rPr>
          <w:rFonts w:cs="Arial"/>
          <w:sz w:val="22"/>
          <w:szCs w:val="22"/>
        </w:rPr>
        <w:t>uccessful implementation of jurisdictional carbon program</w:t>
      </w:r>
      <w:r w:rsidRPr="00203EA4">
        <w:rPr>
          <w:rFonts w:cs="Arial"/>
          <w:sz w:val="22"/>
          <w:szCs w:val="22"/>
        </w:rPr>
        <w:t>me</w:t>
      </w:r>
      <w:r w:rsidRPr="00203EA4" w:rsidR="00D10DF2">
        <w:rPr>
          <w:rFonts w:cs="Arial"/>
          <w:sz w:val="22"/>
          <w:szCs w:val="22"/>
        </w:rPr>
        <w:t>s hinges on resonance with small and medium producers. Co</w:t>
      </w:r>
      <w:r w:rsidRPr="00203EA4">
        <w:rPr>
          <w:rFonts w:cs="Arial"/>
          <w:sz w:val="22"/>
          <w:szCs w:val="22"/>
        </w:rPr>
        <w:t>-</w:t>
      </w:r>
      <w:r w:rsidRPr="00203EA4" w:rsidR="00D10DF2">
        <w:rPr>
          <w:rFonts w:cs="Arial"/>
          <w:sz w:val="22"/>
          <w:szCs w:val="22"/>
        </w:rPr>
        <w:t>designing interventions, simplifying technical language, and using demonstration farms proved more effective than generic solutions.</w:t>
      </w:r>
    </w:p>
    <w:p w:rsidRPr="00AA78F4" w:rsidR="00512E8B" w:rsidP="00756B4F" w:rsidRDefault="00D709DC" w14:paraId="1D1696B8" w14:textId="2598A64E">
      <w:pPr>
        <w:pStyle w:val="ListParagraph"/>
        <w:numPr>
          <w:ilvl w:val="0"/>
          <w:numId w:val="14"/>
        </w:numPr>
        <w:jc w:val="both"/>
        <w:rPr>
          <w:rFonts w:eastAsia="Arial" w:cs="Arial"/>
          <w:color w:val="000000" w:themeColor="text1"/>
          <w:sz w:val="22"/>
          <w:szCs w:val="22"/>
        </w:rPr>
      </w:pPr>
      <w:r>
        <w:rPr>
          <w:rFonts w:cs="Arial"/>
          <w:b/>
          <w:bCs/>
          <w:sz w:val="22"/>
          <w:szCs w:val="22"/>
        </w:rPr>
        <w:t xml:space="preserve">Safeguarding in Indonesia: </w:t>
      </w:r>
      <w:r>
        <w:rPr>
          <w:rFonts w:cs="Arial"/>
          <w:sz w:val="22"/>
          <w:szCs w:val="22"/>
        </w:rPr>
        <w:t>t</w:t>
      </w:r>
      <w:r w:rsidRPr="00D709DC" w:rsidR="00D10DF2">
        <w:rPr>
          <w:rFonts w:cs="Arial"/>
          <w:sz w:val="22"/>
          <w:szCs w:val="22"/>
        </w:rPr>
        <w:t>he Jambi Emission Reductions Results Program (J-ERRP) is strengthening systems for safeguards and conducting environmental and social due diligence on high-risk activities to ensure compliance and mitigate impacts.</w:t>
      </w:r>
    </w:p>
    <w:p w:rsidRPr="00AA78F4" w:rsidR="00AA78F4" w:rsidP="00756B4F" w:rsidRDefault="00AA78F4" w14:paraId="490D544D" w14:textId="633928B6">
      <w:pPr>
        <w:pStyle w:val="ListParagraph"/>
        <w:numPr>
          <w:ilvl w:val="0"/>
          <w:numId w:val="14"/>
        </w:numPr>
        <w:jc w:val="both"/>
        <w:rPr>
          <w:rFonts w:cs="Arial"/>
          <w:b/>
          <w:bCs/>
          <w:sz w:val="22"/>
          <w:szCs w:val="22"/>
        </w:rPr>
      </w:pPr>
      <w:r>
        <w:rPr>
          <w:rFonts w:cs="Arial"/>
          <w:b/>
          <w:bCs/>
          <w:sz w:val="22"/>
          <w:szCs w:val="22"/>
        </w:rPr>
        <w:t xml:space="preserve">Upfront investment in Ethiopia: </w:t>
      </w:r>
      <w:r w:rsidR="00050CC7">
        <w:rPr>
          <w:rFonts w:cs="Arial"/>
          <w:sz w:val="22"/>
          <w:szCs w:val="22"/>
        </w:rPr>
        <w:t>e</w:t>
      </w:r>
      <w:r w:rsidRPr="00AA78F4">
        <w:rPr>
          <w:rFonts w:cs="Arial"/>
          <w:sz w:val="22"/>
          <w:szCs w:val="22"/>
        </w:rPr>
        <w:t>ssential for developing key systems such as MRV (Monitoring, Reporting, and Verification), BSP (Benefit Sharing Plan), and ESRM (Environmental and Social Risk Management), as well as for legal and policy reform and practical on-the-ground activities.</w:t>
      </w:r>
    </w:p>
    <w:p w:rsidRPr="000F6921" w:rsidR="00056E94" w:rsidP="00756B4F" w:rsidRDefault="001169FD" w14:paraId="6A13410D" w14:textId="29216539">
      <w:pPr>
        <w:pStyle w:val="ListParagraph"/>
        <w:numPr>
          <w:ilvl w:val="0"/>
          <w:numId w:val="14"/>
        </w:numPr>
        <w:jc w:val="both"/>
        <w:rPr>
          <w:rFonts w:cs="Arial"/>
          <w:b/>
          <w:bCs/>
          <w:sz w:val="22"/>
          <w:szCs w:val="22"/>
        </w:rPr>
      </w:pPr>
      <w:r w:rsidRPr="00126BF8">
        <w:rPr>
          <w:rFonts w:cs="Arial"/>
          <w:b/>
          <w:bCs/>
          <w:sz w:val="22"/>
          <w:szCs w:val="22"/>
        </w:rPr>
        <w:t>Implementation compliance in Ethiopia:</w:t>
      </w:r>
      <w:r w:rsidRPr="00126BF8">
        <w:rPr>
          <w:sz w:val="22"/>
          <w:szCs w:val="22"/>
        </w:rPr>
        <w:t xml:space="preserve"> </w:t>
      </w:r>
      <w:r w:rsidRPr="00126BF8" w:rsidR="00126BF8">
        <w:rPr>
          <w:sz w:val="22"/>
          <w:szCs w:val="22"/>
        </w:rPr>
        <w:t>a key lesson from the grant is the need to integrate social safeguards and ensure ER programme activities are strongly gender-responsive; this approach is considered replicable for other programmes.</w:t>
      </w:r>
    </w:p>
    <w:p w:rsidR="00056E94" w:rsidP="00056E94" w:rsidRDefault="00056E94" w14:paraId="16718224" w14:textId="30DC15D3">
      <w:pPr>
        <w:jc w:val="both"/>
        <w:rPr>
          <w:rFonts w:cs="Arial"/>
          <w:b/>
          <w:bCs/>
          <w:sz w:val="22"/>
          <w:szCs w:val="22"/>
        </w:rPr>
      </w:pPr>
      <w:r>
        <w:rPr>
          <w:rFonts w:cs="Arial"/>
          <w:b/>
          <w:bCs/>
          <w:sz w:val="22"/>
          <w:szCs w:val="22"/>
        </w:rPr>
        <w:t>Recommendations for FY26</w:t>
      </w:r>
    </w:p>
    <w:p w:rsidR="00056E94" w:rsidP="00056E94" w:rsidRDefault="00056E94" w14:paraId="144B6C24" w14:textId="77777777">
      <w:pPr>
        <w:jc w:val="both"/>
        <w:rPr>
          <w:rFonts w:cs="Arial"/>
          <w:b/>
          <w:bCs/>
          <w:sz w:val="22"/>
          <w:szCs w:val="22"/>
        </w:rPr>
      </w:pPr>
    </w:p>
    <w:p w:rsidRPr="00FB40ED" w:rsidR="00FB40ED" w:rsidP="00FB40ED" w:rsidRDefault="00FB40ED" w14:paraId="5B7BDD03" w14:textId="4777C349">
      <w:pPr>
        <w:jc w:val="both"/>
        <w:rPr>
          <w:rFonts w:cs="Arial"/>
          <w:sz w:val="22"/>
          <w:szCs w:val="22"/>
        </w:rPr>
      </w:pPr>
      <w:r w:rsidRPr="00FB40ED">
        <w:rPr>
          <w:rFonts w:cs="Arial"/>
          <w:b/>
          <w:bCs/>
          <w:sz w:val="22"/>
          <w:szCs w:val="22"/>
        </w:rPr>
        <w:t>Recommendatio</w:t>
      </w:r>
      <w:r>
        <w:rPr>
          <w:rFonts w:cs="Arial"/>
          <w:b/>
          <w:bCs/>
          <w:sz w:val="22"/>
          <w:szCs w:val="22"/>
        </w:rPr>
        <w:t xml:space="preserve">n </w:t>
      </w:r>
      <w:r w:rsidRPr="00FB40ED">
        <w:rPr>
          <w:rFonts w:cs="Arial"/>
          <w:b/>
          <w:bCs/>
          <w:sz w:val="22"/>
          <w:szCs w:val="22"/>
        </w:rPr>
        <w:t xml:space="preserve">[1]: </w:t>
      </w:r>
      <w:r w:rsidRPr="00FB40ED">
        <w:rPr>
          <w:rFonts w:cs="Arial"/>
          <w:sz w:val="22"/>
          <w:szCs w:val="22"/>
        </w:rPr>
        <w:t xml:space="preserve">DESNZ and World Bank to update their </w:t>
      </w:r>
      <w:proofErr w:type="spellStart"/>
      <w:r w:rsidRPr="00FB40ED">
        <w:rPr>
          <w:rFonts w:cs="Arial"/>
          <w:sz w:val="22"/>
          <w:szCs w:val="22"/>
        </w:rPr>
        <w:t>logframes</w:t>
      </w:r>
      <w:proofErr w:type="spellEnd"/>
      <w:r w:rsidRPr="00FB40ED">
        <w:rPr>
          <w:rFonts w:cs="Arial"/>
          <w:sz w:val="22"/>
          <w:szCs w:val="22"/>
        </w:rPr>
        <w:t>, specifically:</w:t>
      </w:r>
    </w:p>
    <w:p w:rsidRPr="00FB40ED" w:rsidR="00FB40ED" w:rsidP="00756B4F" w:rsidRDefault="00FB40ED" w14:paraId="39DA9FD2" w14:textId="77777777">
      <w:pPr>
        <w:numPr>
          <w:ilvl w:val="0"/>
          <w:numId w:val="31"/>
        </w:numPr>
        <w:jc w:val="both"/>
        <w:rPr>
          <w:rFonts w:cs="Arial"/>
          <w:sz w:val="22"/>
          <w:szCs w:val="22"/>
        </w:rPr>
      </w:pPr>
      <w:r w:rsidRPr="00FB40ED">
        <w:rPr>
          <w:rFonts w:cs="Arial"/>
          <w:sz w:val="22"/>
          <w:szCs w:val="22"/>
        </w:rPr>
        <w:t>Discuss how to calculate interim milestones for Outcome Indicator 1.2 going forwards.</w:t>
      </w:r>
    </w:p>
    <w:p w:rsidRPr="00FB40ED" w:rsidR="00FB40ED" w:rsidP="00756B4F" w:rsidRDefault="00FB40ED" w14:paraId="13320C11" w14:textId="77777777">
      <w:pPr>
        <w:numPr>
          <w:ilvl w:val="0"/>
          <w:numId w:val="31"/>
        </w:numPr>
        <w:jc w:val="both"/>
        <w:rPr>
          <w:rFonts w:cs="Arial"/>
          <w:sz w:val="22"/>
          <w:szCs w:val="22"/>
        </w:rPr>
      </w:pPr>
      <w:r w:rsidRPr="00FB40ED">
        <w:rPr>
          <w:rFonts w:cs="Arial"/>
          <w:sz w:val="22"/>
          <w:szCs w:val="22"/>
        </w:rPr>
        <w:t>Discuss how to monitor third-party purchases of emission reductions under output indicator 1.2.</w:t>
      </w:r>
    </w:p>
    <w:p w:rsidR="00FB40ED" w:rsidP="00756B4F" w:rsidRDefault="00FB40ED" w14:paraId="02059450" w14:textId="77777777">
      <w:pPr>
        <w:numPr>
          <w:ilvl w:val="0"/>
          <w:numId w:val="31"/>
        </w:numPr>
        <w:jc w:val="both"/>
        <w:rPr>
          <w:rFonts w:cs="Arial"/>
          <w:sz w:val="22"/>
          <w:szCs w:val="22"/>
        </w:rPr>
      </w:pPr>
      <w:r w:rsidRPr="00FB40ED">
        <w:rPr>
          <w:rFonts w:cs="Arial"/>
          <w:i/>
          <w:iCs/>
          <w:sz w:val="22"/>
          <w:szCs w:val="22"/>
        </w:rPr>
        <w:t>(Rolled over from FY24)</w:t>
      </w:r>
      <w:r w:rsidRPr="00FB40ED">
        <w:rPr>
          <w:rFonts w:cs="Arial"/>
          <w:sz w:val="22"/>
          <w:szCs w:val="22"/>
        </w:rPr>
        <w:t xml:space="preserve"> Add operational progress or qualitative indicators to Output Indicator 1.6 to assess the progress of the biodiversity pilot in Colombia once it is operational.</w:t>
      </w:r>
    </w:p>
    <w:p w:rsidR="00B32BC5" w:rsidP="00B32BC5" w:rsidRDefault="00B32BC5" w14:paraId="72D83135" w14:textId="77777777">
      <w:pPr>
        <w:jc w:val="both"/>
        <w:rPr>
          <w:rFonts w:cs="Arial"/>
          <w:sz w:val="22"/>
          <w:szCs w:val="22"/>
        </w:rPr>
      </w:pPr>
    </w:p>
    <w:p w:rsidRPr="00FB40ED" w:rsidR="00B32BC5" w:rsidP="00B32BC5" w:rsidRDefault="00B32BC5" w14:paraId="6462C090" w14:textId="3968776F">
      <w:pPr>
        <w:jc w:val="both"/>
        <w:rPr>
          <w:rFonts w:cs="Arial"/>
          <w:i/>
          <w:iCs/>
          <w:sz w:val="22"/>
          <w:szCs w:val="22"/>
        </w:rPr>
      </w:pPr>
      <w:r>
        <w:rPr>
          <w:rFonts w:cs="Arial"/>
          <w:i/>
          <w:iCs/>
          <w:sz w:val="22"/>
          <w:szCs w:val="22"/>
        </w:rPr>
        <w:t>Deadline: 31 March 2026</w:t>
      </w:r>
    </w:p>
    <w:p w:rsidRPr="00056E94" w:rsidR="00056E94" w:rsidP="00056E94" w:rsidRDefault="00056E94" w14:paraId="55E1B319" w14:textId="77777777">
      <w:pPr>
        <w:jc w:val="both"/>
        <w:rPr>
          <w:rFonts w:cs="Arial"/>
          <w:sz w:val="22"/>
          <w:szCs w:val="22"/>
        </w:rPr>
      </w:pPr>
    </w:p>
    <w:p w:rsidR="00B32BC5" w:rsidP="00B32BC5" w:rsidRDefault="00B32BC5" w14:paraId="2E95D19C" w14:textId="74E601EA">
      <w:pPr>
        <w:jc w:val="both"/>
        <w:rPr>
          <w:rFonts w:cs="Arial"/>
          <w:b/>
          <w:bCs/>
          <w:sz w:val="22"/>
          <w:szCs w:val="22"/>
        </w:rPr>
      </w:pPr>
      <w:r w:rsidRPr="00B32BC5">
        <w:rPr>
          <w:rFonts w:cs="Arial"/>
          <w:b/>
          <w:bCs/>
          <w:sz w:val="22"/>
          <w:szCs w:val="22"/>
        </w:rPr>
        <w:t xml:space="preserve">Recommendation [6] </w:t>
      </w:r>
      <w:r w:rsidRPr="00B32BC5">
        <w:rPr>
          <w:rFonts w:cs="Arial"/>
          <w:b/>
          <w:bCs/>
          <w:i/>
          <w:iCs/>
          <w:sz w:val="22"/>
          <w:szCs w:val="22"/>
        </w:rPr>
        <w:t>(rolled over from FY24)</w:t>
      </w:r>
      <w:r w:rsidRPr="00B32BC5">
        <w:rPr>
          <w:rFonts w:cs="Arial"/>
          <w:b/>
          <w:bCs/>
          <w:sz w:val="22"/>
          <w:szCs w:val="22"/>
        </w:rPr>
        <w:t xml:space="preserve">: </w:t>
      </w:r>
      <w:r w:rsidRPr="00B32BC5">
        <w:rPr>
          <w:rFonts w:cs="Arial"/>
          <w:sz w:val="22"/>
          <w:szCs w:val="22"/>
        </w:rPr>
        <w:t>DESNZ and contributors to continue to maintain regular communication with the World Bank to monitor ERPA progress and, where appropriate, use available levers to encourage the swift completion of ERPAs if delays persist. In addition, it is recommended that a dedicated discussion and lessons learned session be convened to examine the reasons for the significant delays between ERPD completion and ERPA signing, with a view to identifying practical solution</w:t>
      </w:r>
      <w:r>
        <w:rPr>
          <w:rFonts w:cs="Arial"/>
          <w:sz w:val="22"/>
          <w:szCs w:val="22"/>
        </w:rPr>
        <w:t>.</w:t>
      </w:r>
      <w:r w:rsidRPr="00B32BC5">
        <w:rPr>
          <w:rFonts w:cs="Arial"/>
          <w:b/>
          <w:bCs/>
          <w:sz w:val="22"/>
          <w:szCs w:val="22"/>
        </w:rPr>
        <w:t xml:space="preserve"> </w:t>
      </w:r>
    </w:p>
    <w:p w:rsidR="00B32BC5" w:rsidP="00B32BC5" w:rsidRDefault="00B32BC5" w14:paraId="505C8014" w14:textId="77777777">
      <w:pPr>
        <w:jc w:val="both"/>
        <w:rPr>
          <w:rFonts w:cs="Arial"/>
          <w:b/>
          <w:bCs/>
          <w:sz w:val="22"/>
          <w:szCs w:val="22"/>
        </w:rPr>
      </w:pPr>
    </w:p>
    <w:p w:rsidR="00B32BC5" w:rsidP="00B32BC5" w:rsidRDefault="00B32BC5" w14:paraId="2BC4C285" w14:textId="507FC350">
      <w:pPr>
        <w:jc w:val="both"/>
        <w:rPr>
          <w:rFonts w:cs="Arial"/>
          <w:i/>
          <w:iCs/>
          <w:sz w:val="22"/>
          <w:szCs w:val="22"/>
        </w:rPr>
      </w:pPr>
      <w:r>
        <w:rPr>
          <w:rFonts w:cs="Arial"/>
          <w:i/>
          <w:iCs/>
          <w:sz w:val="22"/>
          <w:szCs w:val="22"/>
        </w:rPr>
        <w:t>Deadline: Ongoing until all ERPAs signed.</w:t>
      </w:r>
    </w:p>
    <w:p w:rsidR="001D1E0B" w:rsidP="00B32BC5" w:rsidRDefault="001D1E0B" w14:paraId="1F7BB746" w14:textId="77777777">
      <w:pPr>
        <w:jc w:val="both"/>
        <w:rPr>
          <w:rFonts w:cs="Arial"/>
          <w:i/>
          <w:iCs/>
          <w:sz w:val="22"/>
          <w:szCs w:val="22"/>
        </w:rPr>
      </w:pPr>
    </w:p>
    <w:p w:rsidRPr="001D1E0B" w:rsidR="001D1E0B" w:rsidP="001D1E0B" w:rsidRDefault="001D1E0B" w14:paraId="617311EB" w14:textId="77777777">
      <w:pPr>
        <w:jc w:val="both"/>
        <w:rPr>
          <w:rFonts w:cs="Arial"/>
          <w:sz w:val="22"/>
          <w:szCs w:val="22"/>
        </w:rPr>
      </w:pPr>
      <w:r w:rsidRPr="001D1E0B">
        <w:rPr>
          <w:rFonts w:cs="Arial"/>
          <w:b/>
          <w:bCs/>
          <w:sz w:val="22"/>
          <w:szCs w:val="22"/>
        </w:rPr>
        <w:t xml:space="preserve">Recommendation [8]: </w:t>
      </w:r>
      <w:r w:rsidRPr="001D1E0B">
        <w:rPr>
          <w:rFonts w:cs="Arial"/>
          <w:sz w:val="22"/>
          <w:szCs w:val="22"/>
        </w:rPr>
        <w:t>World Bank to take action to ensure the progression of the Indonesia ERPA, keeping contributors abreast of the situation.</w:t>
      </w:r>
    </w:p>
    <w:p w:rsidR="001D1E0B" w:rsidP="00B32BC5" w:rsidRDefault="001D1E0B" w14:paraId="7F076643" w14:textId="77777777">
      <w:pPr>
        <w:jc w:val="both"/>
        <w:rPr>
          <w:rFonts w:cs="Arial"/>
          <w:sz w:val="22"/>
          <w:szCs w:val="22"/>
        </w:rPr>
      </w:pPr>
    </w:p>
    <w:p w:rsidR="001D1E0B" w:rsidP="30105D62" w:rsidRDefault="001D1E0B" w14:paraId="095DD670" w14:textId="528D1B5C">
      <w:pPr>
        <w:jc w:val="both"/>
        <w:rPr>
          <w:rFonts w:cs="Arial"/>
          <w:i w:val="1"/>
          <w:iCs w:val="1"/>
          <w:sz w:val="22"/>
          <w:szCs w:val="22"/>
        </w:rPr>
      </w:pPr>
      <w:r w:rsidRPr="30105D62" w:rsidR="001D1E0B">
        <w:rPr>
          <w:rFonts w:cs="Arial"/>
          <w:i w:val="1"/>
          <w:iCs w:val="1"/>
          <w:sz w:val="22"/>
          <w:szCs w:val="22"/>
        </w:rPr>
        <w:t>Deadline:</w:t>
      </w:r>
      <w:r w:rsidRPr="30105D62" w:rsidR="07386DC5">
        <w:rPr>
          <w:rFonts w:cs="Arial"/>
          <w:i w:val="1"/>
          <w:iCs w:val="1"/>
          <w:sz w:val="22"/>
          <w:szCs w:val="22"/>
        </w:rPr>
        <w:t xml:space="preserve"> 30 June 2026</w:t>
      </w:r>
    </w:p>
    <w:p w:rsidR="000F6921" w:rsidP="00B32BC5" w:rsidRDefault="000F6921" w14:paraId="04225F5E" w14:textId="77777777">
      <w:pPr>
        <w:jc w:val="both"/>
        <w:rPr>
          <w:rFonts w:cs="Arial"/>
          <w:i/>
          <w:iCs/>
          <w:sz w:val="22"/>
          <w:szCs w:val="22"/>
        </w:rPr>
      </w:pPr>
    </w:p>
    <w:p w:rsidRPr="00986105" w:rsidR="000F6921" w:rsidP="000F6921" w:rsidRDefault="000F6921" w14:paraId="19555B28" w14:textId="77777777">
      <w:pPr>
        <w:jc w:val="both"/>
        <w:rPr>
          <w:rFonts w:cs="Arial"/>
          <w:sz w:val="22"/>
          <w:szCs w:val="22"/>
        </w:rPr>
      </w:pPr>
      <w:r w:rsidRPr="00986105">
        <w:rPr>
          <w:rFonts w:cs="Arial"/>
          <w:b/>
          <w:bCs/>
          <w:sz w:val="22"/>
          <w:szCs w:val="22"/>
        </w:rPr>
        <w:t xml:space="preserve">Recommendation [9]: </w:t>
      </w:r>
      <w:r w:rsidRPr="00986105">
        <w:rPr>
          <w:rFonts w:cs="Arial"/>
          <w:sz w:val="22"/>
          <w:szCs w:val="22"/>
        </w:rPr>
        <w:t>World Bank to amend Output Indicator 1.2 to reflect both the cumulative disbursements made for ER payments, as well as the additional revenue mobilised through carbon market transactions. This dual-component indicator should capture not only disbursements but also monetisation of ERs at enhanced market prices.  </w:t>
      </w:r>
    </w:p>
    <w:p w:rsidRPr="00986105" w:rsidR="000F6921" w:rsidP="000F6921" w:rsidRDefault="000F6921" w14:paraId="7A96D995" w14:textId="77777777">
      <w:pPr>
        <w:jc w:val="both"/>
        <w:rPr>
          <w:rFonts w:cs="Arial"/>
          <w:sz w:val="22"/>
          <w:szCs w:val="22"/>
        </w:rPr>
      </w:pPr>
      <w:r w:rsidRPr="00986105">
        <w:rPr>
          <w:rFonts w:cs="Arial"/>
          <w:sz w:val="22"/>
          <w:szCs w:val="22"/>
        </w:rPr>
        <w:t> </w:t>
      </w:r>
    </w:p>
    <w:p w:rsidRPr="000F6921" w:rsidR="6745E2FF" w:rsidP="000F6921" w:rsidRDefault="000F6921" w14:paraId="7C82A642" w14:textId="6E2EC2EC">
      <w:pPr>
        <w:jc w:val="both"/>
        <w:rPr>
          <w:rFonts w:cs="Arial"/>
          <w:sz w:val="22"/>
          <w:szCs w:val="22"/>
        </w:rPr>
      </w:pPr>
      <w:r w:rsidRPr="00986105">
        <w:rPr>
          <w:rFonts w:cs="Arial"/>
          <w:i/>
          <w:iCs/>
          <w:sz w:val="22"/>
          <w:szCs w:val="22"/>
        </w:rPr>
        <w:t>Deadline: 30 June 2026</w:t>
      </w:r>
      <w:r w:rsidRPr="00986105">
        <w:rPr>
          <w:rFonts w:cs="Arial"/>
          <w:sz w:val="22"/>
          <w:szCs w:val="22"/>
        </w:rPr>
        <w:t> </w:t>
      </w:r>
      <w:r w:rsidR="6745E2FF">
        <w:br w:type="page"/>
      </w:r>
    </w:p>
    <w:p w:rsidR="004A367B" w:rsidP="6745E2FF" w:rsidRDefault="004A367B" w14:paraId="6F13DE51" w14:textId="6E2EC2EC">
      <w:pPr>
        <w:pStyle w:val="Heading2"/>
      </w:pPr>
      <w:bookmarkStart w:name="_Toc186559999" w:id="232266131"/>
      <w:r w:rsidR="3C4C3EE7">
        <w:rPr/>
        <w:t xml:space="preserve">Output 2: </w:t>
      </w:r>
      <w:r w:rsidR="6C740932">
        <w:rPr/>
        <w:t>Jurisdictions</w:t>
      </w:r>
      <w:r w:rsidR="6C740932">
        <w:rPr/>
        <w:t xml:space="preserve"> have improved capacity and capability to manage land sustainably, deliver benefits equitably to land-users and contribute positively to local socio-economic development and protecting biodiversity.</w:t>
      </w:r>
      <w:bookmarkEnd w:id="232266131"/>
    </w:p>
    <w:p w:rsidRPr="00691842" w:rsidR="00691842" w:rsidP="00691842" w:rsidRDefault="00691842" w14:paraId="6614CA3C" w14:textId="77777777"/>
    <w:tbl>
      <w:tblPr>
        <w:tblStyle w:val="TableGrid"/>
        <w:tblW w:w="9072" w:type="dxa"/>
        <w:tblInd w:w="-5" w:type="dxa"/>
        <w:tblLook w:val="04A0" w:firstRow="1" w:lastRow="0" w:firstColumn="1" w:lastColumn="0" w:noHBand="0" w:noVBand="1"/>
      </w:tblPr>
      <w:tblGrid>
        <w:gridCol w:w="1566"/>
        <w:gridCol w:w="616"/>
        <w:gridCol w:w="1220"/>
        <w:gridCol w:w="2694"/>
        <w:gridCol w:w="2976"/>
      </w:tblGrid>
      <w:tr w:rsidRPr="00D80C6C" w:rsidR="00480A96" w:rsidTr="7BEFDAE8" w14:paraId="41CE7F22" w14:textId="77777777">
        <w:trPr>
          <w:trHeight w:val="489"/>
        </w:trPr>
        <w:tc>
          <w:tcPr>
            <w:tcW w:w="1566"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691842" w:rsidRDefault="00691842" w14:paraId="7057EFC7" w14:textId="77777777">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cPr>
          <w:p w:rsidRPr="00ED5FD4" w:rsidR="00691842" w:rsidP="05CCBBF7" w:rsidRDefault="27D225B1" w14:paraId="78968739" w14:textId="607A155E">
            <w:r w:rsidRPr="05CCBBF7">
              <w:rPr>
                <w:rFonts w:eastAsia="Arial" w:cs="Arial"/>
                <w:color w:val="000000" w:themeColor="text1"/>
                <w:sz w:val="20"/>
                <w:szCs w:val="20"/>
              </w:rPr>
              <w:t xml:space="preserve">Output 2: Jurisdictions have improved capacity and capability to manage land sustainably, deliver benefits equitably to land-users and contribute positively to local socio-economic development and protecting biodiversity  </w:t>
            </w:r>
            <w:r w:rsidRPr="05CCBBF7">
              <w:rPr>
                <w:rFonts w:eastAsia="Arial" w:cs="Arial"/>
                <w:sz w:val="22"/>
                <w:szCs w:val="22"/>
              </w:rPr>
              <w:t xml:space="preserve"> </w:t>
            </w:r>
          </w:p>
        </w:tc>
      </w:tr>
      <w:tr w:rsidRPr="00D80C6C" w:rsidR="00AF370D" w:rsidTr="7BEFDAE8" w14:paraId="1A461D66" w14:textId="77777777">
        <w:trPr>
          <w:trHeight w:val="347"/>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691842" w:rsidRDefault="00691842" w14:paraId="29F004B5" w14:textId="77777777">
            <w:pPr>
              <w:jc w:val="both"/>
              <w:rPr>
                <w:rFonts w:cs="Arial"/>
                <w:bCs/>
                <w:sz w:val="22"/>
                <w:szCs w:val="22"/>
              </w:rPr>
            </w:pPr>
            <w:r w:rsidRPr="00D80C6C">
              <w:rPr>
                <w:rFonts w:cs="Arial"/>
                <w:bCs/>
                <w:sz w:val="22"/>
                <w:szCs w:val="22"/>
              </w:rPr>
              <w:t xml:space="preserve">Output number: </w:t>
            </w:r>
          </w:p>
        </w:tc>
        <w:tc>
          <w:tcPr>
            <w:tcW w:w="1220" w:type="dxa"/>
            <w:tcBorders>
              <w:top w:val="single" w:color="auto" w:sz="4" w:space="0"/>
              <w:left w:val="single" w:color="auto" w:sz="4" w:space="0"/>
              <w:bottom w:val="single" w:color="auto" w:sz="4" w:space="0"/>
              <w:right w:val="single" w:color="auto" w:sz="4" w:space="0"/>
            </w:tcBorders>
            <w:tcMar/>
          </w:tcPr>
          <w:p w:rsidR="064F7EDD" w:rsidP="064F7EDD" w:rsidRDefault="064F7EDD" w14:paraId="6ABC7009" w14:textId="550CD667">
            <w:pPr>
              <w:rPr>
                <w:rFonts w:eastAsia="Arial" w:cs="Arial"/>
                <w:color w:val="000000" w:themeColor="text1"/>
                <w:sz w:val="20"/>
                <w:szCs w:val="20"/>
              </w:rPr>
            </w:pPr>
            <w:r w:rsidRPr="064F7EDD">
              <w:rPr>
                <w:rFonts w:eastAsia="Arial" w:cs="Arial"/>
                <w:color w:val="000000" w:themeColor="text1"/>
                <w:sz w:val="20"/>
                <w:szCs w:val="20"/>
              </w:rPr>
              <w:t>2</w:t>
            </w:r>
          </w:p>
        </w:tc>
        <w:tc>
          <w:tcPr>
            <w:tcW w:w="2694"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691842" w:rsidRDefault="00691842" w14:paraId="03065D68" w14:textId="77777777">
            <w:pPr>
              <w:jc w:val="both"/>
              <w:rPr>
                <w:rFonts w:cs="Arial"/>
                <w:sz w:val="22"/>
                <w:szCs w:val="22"/>
              </w:rPr>
            </w:pPr>
            <w:r w:rsidRPr="00D80C6C">
              <w:rPr>
                <w:rFonts w:cs="Arial"/>
                <w:bCs/>
                <w:sz w:val="22"/>
                <w:szCs w:val="22"/>
              </w:rPr>
              <w:t xml:space="preserve">Output Score: </w:t>
            </w:r>
          </w:p>
        </w:tc>
        <w:tc>
          <w:tcPr>
            <w:tcW w:w="2976" w:type="dxa"/>
            <w:tcBorders>
              <w:top w:val="single" w:color="auto" w:sz="4" w:space="0"/>
              <w:left w:val="single" w:color="auto" w:sz="4" w:space="0"/>
              <w:bottom w:val="single" w:color="auto" w:sz="4" w:space="0"/>
              <w:right w:val="single" w:color="auto" w:sz="4" w:space="0"/>
            </w:tcBorders>
            <w:tcMar/>
          </w:tcPr>
          <w:p w:rsidRPr="00DB3B57" w:rsidR="00691842" w:rsidP="3B50B6AC" w:rsidRDefault="6643E341" w14:paraId="263A0106" w14:textId="1D47B7AE">
            <w:pPr>
              <w:jc w:val="both"/>
              <w:rPr>
                <w:rFonts w:cs="Arial"/>
                <w:b w:val="1"/>
                <w:bCs w:val="1"/>
                <w:sz w:val="22"/>
                <w:szCs w:val="22"/>
              </w:rPr>
            </w:pPr>
            <w:r w:rsidRPr="7BEFDAE8" w:rsidR="6643E341">
              <w:rPr>
                <w:rFonts w:cs="Arial"/>
                <w:b w:val="1"/>
                <w:bCs w:val="1"/>
                <w:sz w:val="22"/>
                <w:szCs w:val="22"/>
              </w:rPr>
              <w:t>A</w:t>
            </w:r>
            <w:r w:rsidRPr="7BEFDAE8" w:rsidR="2D3D12BB">
              <w:rPr>
                <w:rFonts w:cs="Arial"/>
                <w:b w:val="1"/>
                <w:bCs w:val="1"/>
                <w:sz w:val="22"/>
                <w:szCs w:val="22"/>
              </w:rPr>
              <w:t>+</w:t>
            </w:r>
          </w:p>
        </w:tc>
      </w:tr>
      <w:tr w:rsidRPr="00D80C6C" w:rsidR="00AF370D" w:rsidTr="7BEFDAE8" w14:paraId="08DC1373"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691842" w:rsidRDefault="00691842" w14:paraId="0EE290D9" w14:textId="77777777">
            <w:pPr>
              <w:jc w:val="both"/>
              <w:rPr>
                <w:rFonts w:cs="Arial"/>
                <w:sz w:val="22"/>
                <w:szCs w:val="22"/>
              </w:rPr>
            </w:pPr>
            <w:r w:rsidRPr="00D80C6C">
              <w:rPr>
                <w:rFonts w:cs="Arial"/>
                <w:bCs/>
                <w:sz w:val="22"/>
                <w:szCs w:val="22"/>
              </w:rPr>
              <w:t xml:space="preserve">Impact weighting (%):  </w:t>
            </w:r>
          </w:p>
        </w:tc>
        <w:tc>
          <w:tcPr>
            <w:tcW w:w="1220" w:type="dxa"/>
            <w:tcBorders>
              <w:top w:val="single" w:color="auto" w:sz="4" w:space="0"/>
              <w:left w:val="single" w:color="auto" w:sz="4" w:space="0"/>
              <w:bottom w:val="single" w:color="auto" w:sz="4" w:space="0"/>
              <w:right w:val="single" w:color="auto" w:sz="4" w:space="0"/>
            </w:tcBorders>
            <w:tcMar/>
            <w:hideMark/>
          </w:tcPr>
          <w:p w:rsidR="064F7EDD" w:rsidP="064F7EDD" w:rsidRDefault="064F7EDD" w14:paraId="146E03D5" w14:textId="1B1111B2">
            <w:pPr>
              <w:rPr>
                <w:rFonts w:eastAsia="Arial" w:cs="Arial"/>
                <w:color w:val="000000" w:themeColor="text1"/>
                <w:sz w:val="20"/>
                <w:szCs w:val="20"/>
              </w:rPr>
            </w:pPr>
            <w:r w:rsidRPr="064F7EDD">
              <w:rPr>
                <w:rFonts w:eastAsia="Arial" w:cs="Arial"/>
                <w:color w:val="000000" w:themeColor="text1"/>
                <w:sz w:val="20"/>
                <w:szCs w:val="20"/>
              </w:rPr>
              <w:t>25</w:t>
            </w:r>
          </w:p>
        </w:tc>
        <w:tc>
          <w:tcPr>
            <w:tcW w:w="2694"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691842" w:rsidRDefault="00691842" w14:paraId="16454226" w14:textId="77777777">
            <w:pPr>
              <w:jc w:val="both"/>
              <w:rPr>
                <w:rFonts w:cs="Arial"/>
                <w:bCs/>
                <w:sz w:val="22"/>
                <w:szCs w:val="22"/>
              </w:rPr>
            </w:pPr>
            <w:r w:rsidRPr="00D80C6C">
              <w:rPr>
                <w:rFonts w:cs="Arial"/>
                <w:bCs/>
                <w:sz w:val="22"/>
                <w:szCs w:val="22"/>
              </w:rPr>
              <w:t xml:space="preserve">Weighting revised since last AR? </w:t>
            </w:r>
          </w:p>
        </w:tc>
        <w:tc>
          <w:tcPr>
            <w:tcW w:w="2976" w:type="dxa"/>
            <w:tcBorders>
              <w:top w:val="single" w:color="auto" w:sz="4" w:space="0"/>
              <w:left w:val="single" w:color="auto" w:sz="4" w:space="0"/>
              <w:bottom w:val="single" w:color="auto" w:sz="4" w:space="0"/>
              <w:right w:val="single" w:color="auto" w:sz="4" w:space="0"/>
            </w:tcBorders>
            <w:tcMar/>
          </w:tcPr>
          <w:p w:rsidR="64F8690D" w:rsidP="3B50B6AC" w:rsidRDefault="64F8690D" w14:paraId="2C8D0DF6" w14:textId="125AECA2">
            <w:pPr>
              <w:jc w:val="both"/>
              <w:rPr>
                <w:rFonts w:cs="Arial"/>
                <w:b/>
                <w:bCs/>
                <w:sz w:val="22"/>
                <w:szCs w:val="22"/>
              </w:rPr>
            </w:pPr>
            <w:r w:rsidRPr="3B50B6AC">
              <w:rPr>
                <w:rFonts w:cs="Arial"/>
                <w:b/>
                <w:bCs/>
                <w:sz w:val="22"/>
                <w:szCs w:val="22"/>
              </w:rPr>
              <w:t>No</w:t>
            </w:r>
          </w:p>
          <w:p w:rsidRPr="00D80C6C" w:rsidR="00691842" w:rsidP="064F7EDD" w:rsidRDefault="00691842" w14:paraId="7A0765DF" w14:textId="2AF63787">
            <w:pPr>
              <w:jc w:val="both"/>
              <w:rPr>
                <w:rFonts w:cs="Arial"/>
                <w:sz w:val="22"/>
                <w:szCs w:val="22"/>
              </w:rPr>
            </w:pPr>
          </w:p>
        </w:tc>
      </w:tr>
      <w:tr w:rsidRPr="00D80C6C" w:rsidR="00AF370D" w:rsidTr="7BEFDAE8" w14:paraId="2D4E6664"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D80C6C" w:rsidR="00691842" w:rsidRDefault="00691842" w14:paraId="7DE2EAEE" w14:textId="5122F178">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1220" w:type="dxa"/>
            <w:tcBorders>
              <w:top w:val="single" w:color="auto" w:sz="4" w:space="0"/>
              <w:left w:val="single" w:color="auto" w:sz="4" w:space="0"/>
              <w:bottom w:val="single" w:color="auto" w:sz="4" w:space="0"/>
              <w:right w:val="single" w:color="auto" w:sz="4" w:space="0"/>
            </w:tcBorders>
            <w:tcMar/>
          </w:tcPr>
          <w:p w:rsidR="064F7EDD" w:rsidP="064F7EDD" w:rsidRDefault="064F7EDD" w14:paraId="189947C4" w14:textId="59321B28">
            <w:pPr>
              <w:rPr>
                <w:rFonts w:eastAsia="Arial" w:cs="Arial"/>
                <w:color w:val="000000" w:themeColor="text1"/>
                <w:sz w:val="20"/>
                <w:szCs w:val="20"/>
              </w:rPr>
            </w:pPr>
            <w:r w:rsidRPr="064F7EDD">
              <w:rPr>
                <w:rFonts w:eastAsia="Arial" w:cs="Arial"/>
                <w:color w:val="000000" w:themeColor="text1"/>
                <w:sz w:val="20"/>
                <w:szCs w:val="20"/>
              </w:rPr>
              <w:t>Moderate</w:t>
            </w:r>
          </w:p>
        </w:tc>
        <w:tc>
          <w:tcPr>
            <w:tcW w:w="2694" w:type="dxa"/>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D80C6C" w:rsidR="00691842" w:rsidRDefault="00691842" w14:paraId="2885ECE2" w14:textId="77777777">
            <w:pPr>
              <w:jc w:val="both"/>
              <w:rPr>
                <w:rFonts w:cs="Arial"/>
                <w:bCs/>
                <w:sz w:val="22"/>
                <w:szCs w:val="22"/>
              </w:rPr>
            </w:pPr>
            <w:r w:rsidRPr="00D80C6C">
              <w:rPr>
                <w:rFonts w:cs="Arial"/>
                <w:bCs/>
                <w:sz w:val="22"/>
                <w:szCs w:val="22"/>
              </w:rPr>
              <w:t>Risk revised since last AR?</w:t>
            </w:r>
          </w:p>
        </w:tc>
        <w:tc>
          <w:tcPr>
            <w:tcW w:w="2976" w:type="dxa"/>
            <w:tcBorders>
              <w:top w:val="single" w:color="auto" w:sz="4" w:space="0"/>
              <w:left w:val="single" w:color="auto" w:sz="4" w:space="0"/>
              <w:bottom w:val="single" w:color="auto" w:sz="4" w:space="0"/>
              <w:right w:val="single" w:color="auto" w:sz="4" w:space="0"/>
            </w:tcBorders>
            <w:tcMar/>
          </w:tcPr>
          <w:p w:rsidR="6EDC479D" w:rsidP="3B50B6AC" w:rsidRDefault="6EDC479D" w14:paraId="15681719" w14:textId="48EB46BC">
            <w:pPr>
              <w:jc w:val="both"/>
              <w:rPr>
                <w:rFonts w:cs="Arial"/>
                <w:b/>
                <w:bCs/>
                <w:sz w:val="22"/>
                <w:szCs w:val="22"/>
              </w:rPr>
            </w:pPr>
            <w:r w:rsidRPr="3B50B6AC">
              <w:rPr>
                <w:rFonts w:cs="Arial"/>
                <w:b/>
                <w:bCs/>
                <w:sz w:val="22"/>
                <w:szCs w:val="22"/>
              </w:rPr>
              <w:t>No</w:t>
            </w:r>
          </w:p>
          <w:p w:rsidRPr="00D80C6C" w:rsidR="00691842" w:rsidP="064F7EDD" w:rsidRDefault="00691842" w14:paraId="34DD6A93" w14:textId="324C0F54">
            <w:pPr>
              <w:jc w:val="both"/>
              <w:rPr>
                <w:rFonts w:cs="Arial"/>
                <w:sz w:val="22"/>
                <w:szCs w:val="22"/>
              </w:rPr>
            </w:pPr>
          </w:p>
        </w:tc>
      </w:tr>
    </w:tbl>
    <w:p w:rsidRPr="00D80C6C" w:rsidR="00691842" w:rsidP="00691842" w:rsidRDefault="00691842" w14:paraId="33BACDC4"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022"/>
        <w:gridCol w:w="2385"/>
        <w:gridCol w:w="3660"/>
      </w:tblGrid>
      <w:tr w:rsidRPr="00D80C6C" w:rsidR="00691842" w:rsidTr="041AC4F4" w14:paraId="72BA5779" w14:textId="77777777">
        <w:trPr>
          <w:trHeight w:val="273"/>
        </w:trPr>
        <w:tc>
          <w:tcPr>
            <w:tcW w:w="302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691842" w:rsidRDefault="00691842" w14:paraId="20749DF7" w14:textId="77777777">
            <w:pPr>
              <w:jc w:val="both"/>
              <w:rPr>
                <w:rFonts w:cs="Arial"/>
                <w:b/>
                <w:bCs/>
                <w:sz w:val="22"/>
                <w:szCs w:val="22"/>
              </w:rPr>
            </w:pPr>
            <w:r w:rsidRPr="00D80C6C">
              <w:rPr>
                <w:rFonts w:cs="Arial"/>
                <w:b/>
                <w:bCs/>
                <w:sz w:val="22"/>
                <w:szCs w:val="22"/>
              </w:rPr>
              <w:t>Indicator(s)</w:t>
            </w:r>
          </w:p>
        </w:tc>
        <w:tc>
          <w:tcPr>
            <w:tcW w:w="238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691842" w:rsidRDefault="00691842" w14:paraId="34DCC454" w14:textId="77777777">
            <w:pPr>
              <w:jc w:val="both"/>
              <w:rPr>
                <w:rFonts w:cs="Arial"/>
                <w:b/>
                <w:bCs/>
                <w:sz w:val="22"/>
                <w:szCs w:val="22"/>
              </w:rPr>
            </w:pPr>
            <w:r w:rsidRPr="00D80C6C">
              <w:rPr>
                <w:rFonts w:cs="Arial"/>
                <w:b/>
                <w:bCs/>
                <w:sz w:val="22"/>
                <w:szCs w:val="22"/>
              </w:rPr>
              <w:t>Milestone(s) for this review</w:t>
            </w:r>
          </w:p>
        </w:tc>
        <w:tc>
          <w:tcPr>
            <w:tcW w:w="36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691842" w:rsidRDefault="00691842" w14:paraId="14649BD1" w14:textId="77777777">
            <w:pPr>
              <w:jc w:val="both"/>
              <w:rPr>
                <w:rFonts w:cs="Arial"/>
                <w:b/>
                <w:bCs/>
                <w:sz w:val="22"/>
                <w:szCs w:val="22"/>
              </w:rPr>
            </w:pPr>
            <w:r w:rsidRPr="00D80C6C">
              <w:rPr>
                <w:rFonts w:cs="Arial"/>
                <w:b/>
                <w:bCs/>
                <w:sz w:val="22"/>
                <w:szCs w:val="22"/>
              </w:rPr>
              <w:t xml:space="preserve">Progress </w:t>
            </w:r>
          </w:p>
        </w:tc>
      </w:tr>
      <w:tr w:rsidRPr="00D80C6C" w:rsidR="003946A9" w:rsidTr="041AC4F4" w14:paraId="1A9B1DC3" w14:textId="77777777">
        <w:tc>
          <w:tcPr>
            <w:tcW w:w="3022" w:type="dxa"/>
            <w:tcBorders>
              <w:top w:val="single" w:color="auto" w:sz="4" w:space="0"/>
              <w:left w:val="single" w:color="auto" w:sz="4" w:space="0"/>
              <w:bottom w:val="single" w:color="auto" w:sz="4" w:space="0"/>
              <w:right w:val="single" w:color="auto" w:sz="4" w:space="0"/>
            </w:tcBorders>
          </w:tcPr>
          <w:p w:rsidR="003946A9" w:rsidP="003946A9" w:rsidRDefault="003946A9" w14:paraId="756EBF69" w14:textId="71960D3A">
            <w:pPr>
              <w:rPr>
                <w:rFonts w:eastAsia="Arial" w:cs="Arial"/>
                <w:color w:val="000000" w:themeColor="text1"/>
                <w:sz w:val="20"/>
                <w:szCs w:val="20"/>
              </w:rPr>
            </w:pPr>
            <w:r w:rsidRPr="064F7EDD">
              <w:rPr>
                <w:rFonts w:eastAsia="Arial" w:cs="Arial"/>
                <w:color w:val="000000" w:themeColor="text1"/>
                <w:sz w:val="20"/>
                <w:szCs w:val="20"/>
              </w:rPr>
              <w:t>2.1</w:t>
            </w:r>
          </w:p>
          <w:p w:rsidR="003946A9" w:rsidP="003946A9" w:rsidRDefault="003946A9" w14:paraId="671ABFF9" w14:textId="078BABF1">
            <w:pPr>
              <w:rPr>
                <w:rFonts w:eastAsia="Arial" w:cs="Arial"/>
                <w:color w:val="000000" w:themeColor="text1"/>
                <w:sz w:val="20"/>
                <w:szCs w:val="20"/>
              </w:rPr>
            </w:pPr>
            <w:r w:rsidRPr="064F7EDD">
              <w:rPr>
                <w:rFonts w:eastAsia="Arial" w:cs="Arial"/>
                <w:color w:val="000000" w:themeColor="text1"/>
                <w:sz w:val="20"/>
                <w:szCs w:val="20"/>
              </w:rPr>
              <w:t>Land users who have adopted sustainable land management practices (of which % women) as a result of ISFL support, including in the following sectors where relevant: forestry, agriculture, other</w:t>
            </w:r>
          </w:p>
          <w:p w:rsidR="003946A9" w:rsidP="003946A9" w:rsidRDefault="003946A9" w14:paraId="24850B96" w14:textId="03D0278E">
            <w:pPr>
              <w:rPr>
                <w:rFonts w:eastAsia="Arial" w:cs="Arial"/>
                <w:color w:val="000000" w:themeColor="text1"/>
                <w:sz w:val="20"/>
                <w:szCs w:val="20"/>
              </w:rPr>
            </w:pPr>
          </w:p>
          <w:p w:rsidR="003946A9" w:rsidP="003946A9" w:rsidRDefault="003946A9" w14:paraId="6C08F560" w14:textId="53FE49E9">
            <w:pPr>
              <w:rPr>
                <w:rFonts w:eastAsia="Arial" w:cs="Arial"/>
                <w:color w:val="000000" w:themeColor="text1"/>
                <w:sz w:val="20"/>
                <w:szCs w:val="20"/>
              </w:rPr>
            </w:pPr>
            <w:r w:rsidRPr="3378D70F">
              <w:rPr>
                <w:rFonts w:eastAsia="Arial" w:cs="Arial"/>
                <w:i/>
                <w:iCs/>
                <w:color w:val="000000" w:themeColor="text1"/>
                <w:sz w:val="20"/>
                <w:szCs w:val="20"/>
              </w:rPr>
              <w:t>Weighting: 33.3%</w:t>
            </w:r>
          </w:p>
        </w:tc>
        <w:tc>
          <w:tcPr>
            <w:tcW w:w="2385" w:type="dxa"/>
            <w:tcBorders>
              <w:top w:val="single" w:color="auto" w:sz="4" w:space="0"/>
              <w:left w:val="single" w:color="auto" w:sz="4" w:space="0"/>
              <w:bottom w:val="single" w:color="auto" w:sz="4" w:space="0"/>
              <w:right w:val="single" w:color="auto" w:sz="4" w:space="0"/>
            </w:tcBorders>
          </w:tcPr>
          <w:p w:rsidR="003946A9" w:rsidP="003946A9" w:rsidRDefault="003946A9" w14:paraId="03474F17" w14:textId="1DAA81C0">
            <w:pPr>
              <w:rPr>
                <w:rFonts w:eastAsia="Arial" w:cs="Arial"/>
                <w:color w:val="000000" w:themeColor="text1"/>
                <w:sz w:val="20"/>
                <w:szCs w:val="20"/>
              </w:rPr>
            </w:pPr>
            <w:r w:rsidRPr="041AC4F4">
              <w:rPr>
                <w:rFonts w:eastAsia="Arial" w:cs="Arial"/>
                <w:color w:val="000000" w:themeColor="text1"/>
                <w:sz w:val="20"/>
                <w:szCs w:val="20"/>
              </w:rPr>
              <w:t>FY25: 90,271</w:t>
            </w:r>
          </w:p>
        </w:tc>
        <w:tc>
          <w:tcPr>
            <w:tcW w:w="3660" w:type="dxa"/>
            <w:tcBorders>
              <w:top w:val="single" w:color="auto" w:sz="4" w:space="0"/>
              <w:left w:val="single" w:color="auto" w:sz="4" w:space="0"/>
              <w:bottom w:val="single" w:color="auto" w:sz="4" w:space="0"/>
              <w:right w:val="single" w:color="auto" w:sz="4" w:space="0"/>
            </w:tcBorders>
          </w:tcPr>
          <w:p w:rsidRPr="00D80C6C" w:rsidR="003946A9" w:rsidP="003946A9" w:rsidRDefault="003946A9" w14:paraId="1D671E25" w14:textId="756221EB">
            <w:pPr>
              <w:contextualSpacing/>
              <w:jc w:val="both"/>
              <w:rPr>
                <w:rFonts w:cs="Arial"/>
                <w:sz w:val="20"/>
                <w:szCs w:val="20"/>
              </w:rPr>
            </w:pPr>
            <w:r w:rsidRPr="49F29C36">
              <w:rPr>
                <w:rFonts w:cs="Arial"/>
                <w:sz w:val="20"/>
                <w:szCs w:val="20"/>
              </w:rPr>
              <w:t>143,785 (36%)</w:t>
            </w:r>
          </w:p>
          <w:p w:rsidRPr="00D80C6C" w:rsidR="003946A9" w:rsidP="003946A9" w:rsidRDefault="003946A9" w14:paraId="4F2BF1C2" w14:textId="4E2809C2">
            <w:pPr>
              <w:contextualSpacing/>
              <w:jc w:val="both"/>
              <w:rPr>
                <w:rFonts w:cs="Arial"/>
                <w:sz w:val="20"/>
                <w:szCs w:val="20"/>
              </w:rPr>
            </w:pPr>
          </w:p>
          <w:p w:rsidRPr="00D80C6C" w:rsidR="003946A9" w:rsidP="003946A9" w:rsidRDefault="003946A9" w14:paraId="0CEACCCF" w14:textId="6AD607D2">
            <w:pPr>
              <w:contextualSpacing/>
              <w:jc w:val="both"/>
              <w:rPr>
                <w:rFonts w:cs="Arial"/>
                <w:b/>
                <w:bCs/>
                <w:sz w:val="20"/>
                <w:szCs w:val="20"/>
              </w:rPr>
            </w:pPr>
            <w:r w:rsidRPr="3092E200">
              <w:rPr>
                <w:rFonts w:cs="Arial"/>
                <w:b/>
                <w:bCs/>
                <w:sz w:val="20"/>
                <w:szCs w:val="20"/>
              </w:rPr>
              <w:t>Progress substantially exceeded expectation.</w:t>
            </w:r>
          </w:p>
          <w:p w:rsidRPr="00D80C6C" w:rsidR="003946A9" w:rsidP="003946A9" w:rsidRDefault="003946A9" w14:paraId="497ECE48" w14:textId="079D295E">
            <w:pPr>
              <w:contextualSpacing/>
              <w:jc w:val="both"/>
              <w:rPr>
                <w:rFonts w:cs="Arial"/>
                <w:b/>
                <w:bCs/>
                <w:sz w:val="20"/>
                <w:szCs w:val="20"/>
              </w:rPr>
            </w:pPr>
          </w:p>
          <w:p w:rsidRPr="00D80C6C" w:rsidR="0021383D" w:rsidP="00756B4F" w:rsidRDefault="36BD9405" w14:paraId="6AEBA783" w14:textId="6FB7853E">
            <w:pPr>
              <w:pStyle w:val="ListParagraph"/>
              <w:numPr>
                <w:ilvl w:val="0"/>
                <w:numId w:val="14"/>
              </w:numPr>
              <w:rPr>
                <w:rFonts w:cs="Arial"/>
                <w:sz w:val="20"/>
              </w:rPr>
            </w:pPr>
            <w:r w:rsidRPr="0021383D">
              <w:rPr>
                <w:rFonts w:cs="Arial"/>
                <w:sz w:val="20"/>
              </w:rPr>
              <w:t>Ethiopia: 97,789 (35%)</w:t>
            </w:r>
          </w:p>
          <w:p w:rsidRPr="00D80C6C" w:rsidR="0021383D" w:rsidP="00756B4F" w:rsidRDefault="36BD9405" w14:paraId="50DF4503" w14:textId="33289D1A">
            <w:pPr>
              <w:pStyle w:val="ListParagraph"/>
              <w:numPr>
                <w:ilvl w:val="0"/>
                <w:numId w:val="14"/>
              </w:numPr>
              <w:rPr>
                <w:rFonts w:cs="Arial"/>
                <w:sz w:val="20"/>
              </w:rPr>
            </w:pPr>
            <w:r w:rsidRPr="0021383D">
              <w:rPr>
                <w:rFonts w:cs="Arial"/>
                <w:sz w:val="20"/>
              </w:rPr>
              <w:t>Indonesia: 2,180 (28%)</w:t>
            </w:r>
          </w:p>
          <w:p w:rsidRPr="00D80C6C" w:rsidR="0021383D" w:rsidP="00756B4F" w:rsidRDefault="36BD9405" w14:paraId="3635E257" w14:textId="1E622F32">
            <w:pPr>
              <w:pStyle w:val="ListParagraph"/>
              <w:numPr>
                <w:ilvl w:val="0"/>
                <w:numId w:val="14"/>
              </w:numPr>
              <w:rPr>
                <w:rFonts w:cs="Arial"/>
                <w:sz w:val="20"/>
              </w:rPr>
            </w:pPr>
            <w:r w:rsidRPr="0021383D">
              <w:rPr>
                <w:rFonts w:cs="Arial"/>
                <w:sz w:val="20"/>
              </w:rPr>
              <w:t>Mexico: 26,159</w:t>
            </w:r>
          </w:p>
          <w:p w:rsidRPr="0021383D" w:rsidR="003946A9" w:rsidP="00756B4F" w:rsidRDefault="7CDBC6C3" w14:paraId="1C0583B9" w14:textId="107FB24A">
            <w:pPr>
              <w:pStyle w:val="ListParagraph"/>
              <w:numPr>
                <w:ilvl w:val="0"/>
                <w:numId w:val="14"/>
              </w:numPr>
              <w:rPr>
                <w:rFonts w:cs="Arial"/>
                <w:sz w:val="20"/>
              </w:rPr>
            </w:pPr>
            <w:r w:rsidRPr="0021383D">
              <w:rPr>
                <w:rFonts w:cs="Arial"/>
                <w:sz w:val="20"/>
              </w:rPr>
              <w:t>Zambia: 17,657 (44%)</w:t>
            </w:r>
          </w:p>
        </w:tc>
      </w:tr>
      <w:tr w:rsidRPr="00D80C6C" w:rsidR="003946A9" w:rsidTr="041AC4F4" w14:paraId="6F627DFA" w14:textId="77777777">
        <w:tc>
          <w:tcPr>
            <w:tcW w:w="3022" w:type="dxa"/>
            <w:tcBorders>
              <w:top w:val="single" w:color="auto" w:sz="4" w:space="0"/>
              <w:left w:val="single" w:color="auto" w:sz="4" w:space="0"/>
              <w:bottom w:val="single" w:color="auto" w:sz="4" w:space="0"/>
              <w:right w:val="single" w:color="auto" w:sz="4" w:space="0"/>
            </w:tcBorders>
          </w:tcPr>
          <w:p w:rsidR="003946A9" w:rsidP="003946A9" w:rsidRDefault="003946A9" w14:paraId="52C6426C" w14:textId="2573C570">
            <w:pPr>
              <w:rPr>
                <w:rFonts w:eastAsia="Arial" w:cs="Arial"/>
                <w:color w:val="000000" w:themeColor="text1"/>
                <w:sz w:val="20"/>
                <w:szCs w:val="20"/>
              </w:rPr>
            </w:pPr>
            <w:r w:rsidRPr="064F7EDD">
              <w:rPr>
                <w:rFonts w:eastAsia="Arial" w:cs="Arial"/>
                <w:color w:val="000000" w:themeColor="text1"/>
                <w:sz w:val="20"/>
                <w:szCs w:val="20"/>
              </w:rPr>
              <w:t>2.2</w:t>
            </w:r>
          </w:p>
          <w:p w:rsidR="003946A9" w:rsidP="003946A9" w:rsidRDefault="003946A9" w14:paraId="3F25D942" w14:textId="6B4BEFFF">
            <w:pPr>
              <w:rPr>
                <w:rFonts w:eastAsia="Arial" w:cs="Arial"/>
                <w:color w:val="000000" w:themeColor="text1"/>
                <w:sz w:val="20"/>
                <w:szCs w:val="20"/>
              </w:rPr>
            </w:pPr>
            <w:r w:rsidRPr="064F7EDD">
              <w:rPr>
                <w:rFonts w:eastAsia="Arial" w:cs="Arial"/>
                <w:color w:val="000000" w:themeColor="text1"/>
                <w:sz w:val="20"/>
                <w:szCs w:val="20"/>
              </w:rPr>
              <w:t>Volume of grants disbursed to ISFL programmes (US$ mill)</w:t>
            </w:r>
          </w:p>
          <w:p w:rsidR="003946A9" w:rsidP="003946A9" w:rsidRDefault="003946A9" w14:paraId="1E7D9249" w14:textId="0604C82A">
            <w:pPr>
              <w:rPr>
                <w:rFonts w:eastAsia="Arial" w:cs="Arial"/>
                <w:color w:val="000000" w:themeColor="text1"/>
                <w:sz w:val="20"/>
                <w:szCs w:val="20"/>
              </w:rPr>
            </w:pPr>
          </w:p>
          <w:p w:rsidR="003946A9" w:rsidP="003946A9" w:rsidRDefault="003946A9" w14:paraId="71BDF0E2" w14:textId="4A9CB19F">
            <w:pPr>
              <w:rPr>
                <w:rFonts w:eastAsia="Arial" w:cs="Arial"/>
                <w:i/>
                <w:iCs/>
                <w:color w:val="000000" w:themeColor="text1"/>
                <w:sz w:val="20"/>
                <w:szCs w:val="20"/>
              </w:rPr>
            </w:pPr>
            <w:r w:rsidRPr="7963C028">
              <w:rPr>
                <w:rFonts w:eastAsia="Arial" w:cs="Arial"/>
                <w:i/>
                <w:iCs/>
                <w:color w:val="000000" w:themeColor="text1"/>
                <w:sz w:val="20"/>
                <w:szCs w:val="20"/>
              </w:rPr>
              <w:t>Weighting: 33.3%</w:t>
            </w:r>
          </w:p>
        </w:tc>
        <w:tc>
          <w:tcPr>
            <w:tcW w:w="2385" w:type="dxa"/>
            <w:tcBorders>
              <w:top w:val="single" w:color="auto" w:sz="4" w:space="0"/>
              <w:left w:val="single" w:color="auto" w:sz="4" w:space="0"/>
              <w:bottom w:val="single" w:color="auto" w:sz="4" w:space="0"/>
              <w:right w:val="single" w:color="auto" w:sz="4" w:space="0"/>
            </w:tcBorders>
          </w:tcPr>
          <w:p w:rsidR="003946A9" w:rsidP="003946A9" w:rsidRDefault="003946A9" w14:paraId="697BADA1" w14:textId="37FCDA3F">
            <w:pPr>
              <w:rPr>
                <w:rFonts w:eastAsia="Arial" w:cs="Arial"/>
                <w:color w:val="000000" w:themeColor="text1"/>
                <w:sz w:val="20"/>
                <w:szCs w:val="20"/>
              </w:rPr>
            </w:pPr>
            <w:r w:rsidRPr="0B9B794F">
              <w:rPr>
                <w:rFonts w:eastAsia="Arial" w:cs="Arial"/>
                <w:color w:val="000000" w:themeColor="text1"/>
                <w:sz w:val="20"/>
                <w:szCs w:val="20"/>
              </w:rPr>
              <w:t>FY25: 63.52</w:t>
            </w:r>
          </w:p>
        </w:tc>
        <w:tc>
          <w:tcPr>
            <w:tcW w:w="3660" w:type="dxa"/>
            <w:tcBorders>
              <w:top w:val="single" w:color="auto" w:sz="4" w:space="0"/>
              <w:left w:val="single" w:color="auto" w:sz="4" w:space="0"/>
              <w:bottom w:val="single" w:color="auto" w:sz="4" w:space="0"/>
              <w:right w:val="single" w:color="auto" w:sz="4" w:space="0"/>
            </w:tcBorders>
          </w:tcPr>
          <w:p w:rsidRPr="00D80C6C" w:rsidR="003946A9" w:rsidP="003946A9" w:rsidRDefault="003946A9" w14:paraId="2F0F0C95" w14:textId="19D3ABDE">
            <w:pPr>
              <w:contextualSpacing/>
              <w:jc w:val="both"/>
              <w:rPr>
                <w:rFonts w:cs="Arial"/>
                <w:b/>
                <w:bCs/>
                <w:sz w:val="20"/>
                <w:szCs w:val="20"/>
              </w:rPr>
            </w:pPr>
            <w:r w:rsidRPr="4351379C">
              <w:rPr>
                <w:rFonts w:cs="Arial"/>
                <w:sz w:val="20"/>
                <w:szCs w:val="20"/>
              </w:rPr>
              <w:t xml:space="preserve">69.3 </w:t>
            </w:r>
            <w:r w:rsidRPr="4351379C">
              <w:rPr>
                <w:rFonts w:cs="Arial"/>
                <w:b/>
                <w:bCs/>
                <w:sz w:val="20"/>
                <w:szCs w:val="20"/>
              </w:rPr>
              <w:t xml:space="preserve">Progress moderately exceeded expectation. </w:t>
            </w:r>
          </w:p>
        </w:tc>
      </w:tr>
      <w:tr w:rsidR="003946A9" w:rsidTr="041AC4F4" w14:paraId="23F20F5D" w14:textId="77777777">
        <w:trPr>
          <w:trHeight w:val="300"/>
        </w:trPr>
        <w:tc>
          <w:tcPr>
            <w:tcW w:w="3022" w:type="dxa"/>
            <w:tcBorders>
              <w:top w:val="single" w:color="auto" w:sz="4" w:space="0"/>
              <w:left w:val="single" w:color="auto" w:sz="4" w:space="0"/>
              <w:bottom w:val="single" w:color="auto" w:sz="4" w:space="0"/>
              <w:right w:val="single" w:color="auto" w:sz="4" w:space="0"/>
            </w:tcBorders>
          </w:tcPr>
          <w:p w:rsidR="003946A9" w:rsidP="003946A9" w:rsidRDefault="003946A9" w14:paraId="4C3EB40F" w14:textId="5F2FA619">
            <w:pPr>
              <w:rPr>
                <w:rFonts w:eastAsia="Arial" w:cs="Arial"/>
                <w:color w:val="000000" w:themeColor="text1"/>
                <w:sz w:val="20"/>
                <w:szCs w:val="20"/>
              </w:rPr>
            </w:pPr>
            <w:r w:rsidRPr="064F7EDD">
              <w:rPr>
                <w:rFonts w:eastAsia="Arial" w:cs="Arial"/>
                <w:color w:val="000000" w:themeColor="text1"/>
                <w:sz w:val="20"/>
                <w:szCs w:val="20"/>
              </w:rPr>
              <w:t>2.3</w:t>
            </w:r>
          </w:p>
          <w:p w:rsidR="003946A9" w:rsidP="003946A9" w:rsidRDefault="003946A9" w14:paraId="378DE46E" w14:textId="6AF6F70D">
            <w:pPr>
              <w:rPr>
                <w:rFonts w:eastAsia="Arial" w:cs="Arial"/>
                <w:color w:val="000000" w:themeColor="text1"/>
                <w:sz w:val="20"/>
                <w:szCs w:val="20"/>
              </w:rPr>
            </w:pPr>
            <w:r w:rsidRPr="064F7EDD">
              <w:rPr>
                <w:rFonts w:eastAsia="Arial" w:cs="Arial"/>
                <w:color w:val="000000" w:themeColor="text1"/>
                <w:sz w:val="20"/>
                <w:szCs w:val="20"/>
              </w:rPr>
              <w:t>Number of communities or other</w:t>
            </w:r>
          </w:p>
          <w:p w:rsidR="003946A9" w:rsidP="003946A9" w:rsidRDefault="003946A9" w14:paraId="30DC243C" w14:textId="691D9D9E">
            <w:pPr>
              <w:rPr>
                <w:rFonts w:eastAsia="Arial" w:cs="Arial"/>
                <w:color w:val="000000" w:themeColor="text1"/>
                <w:sz w:val="20"/>
                <w:szCs w:val="20"/>
              </w:rPr>
            </w:pPr>
            <w:r w:rsidRPr="064F7EDD">
              <w:rPr>
                <w:rFonts w:eastAsia="Arial" w:cs="Arial"/>
                <w:color w:val="000000" w:themeColor="text1"/>
                <w:sz w:val="20"/>
                <w:szCs w:val="20"/>
              </w:rPr>
              <w:t>organizations that have received benefits (assets and/or services) from emission reductions payments</w:t>
            </w:r>
          </w:p>
          <w:p w:rsidR="003946A9" w:rsidP="003946A9" w:rsidRDefault="003946A9" w14:paraId="25E0E81D" w14:textId="43EC54BE">
            <w:pPr>
              <w:rPr>
                <w:rFonts w:eastAsia="Arial" w:cs="Arial"/>
                <w:color w:val="000000" w:themeColor="text1"/>
                <w:sz w:val="20"/>
                <w:szCs w:val="20"/>
              </w:rPr>
            </w:pPr>
          </w:p>
          <w:p w:rsidR="003946A9" w:rsidP="003946A9" w:rsidRDefault="003946A9" w14:paraId="51FBEEC4" w14:textId="2345EF5E">
            <w:pPr>
              <w:rPr>
                <w:rFonts w:eastAsia="Arial" w:cs="Arial"/>
                <w:i/>
                <w:iCs/>
                <w:color w:val="000000" w:themeColor="text1"/>
                <w:sz w:val="20"/>
                <w:szCs w:val="20"/>
              </w:rPr>
            </w:pPr>
            <w:r w:rsidRPr="7963C028">
              <w:rPr>
                <w:rFonts w:eastAsia="Arial" w:cs="Arial"/>
                <w:i/>
                <w:iCs/>
                <w:color w:val="000000" w:themeColor="text1"/>
                <w:sz w:val="20"/>
                <w:szCs w:val="20"/>
              </w:rPr>
              <w:t>Weighting: 33.3%</w:t>
            </w:r>
          </w:p>
        </w:tc>
        <w:tc>
          <w:tcPr>
            <w:tcW w:w="2385" w:type="dxa"/>
            <w:tcBorders>
              <w:top w:val="single" w:color="auto" w:sz="4" w:space="0"/>
              <w:left w:val="single" w:color="auto" w:sz="4" w:space="0"/>
              <w:bottom w:val="single" w:color="auto" w:sz="4" w:space="0"/>
              <w:right w:val="single" w:color="auto" w:sz="4" w:space="0"/>
            </w:tcBorders>
          </w:tcPr>
          <w:p w:rsidR="003946A9" w:rsidP="003946A9" w:rsidRDefault="003946A9" w14:paraId="45A2FB9D" w14:textId="1DC1EAF9">
            <w:pPr>
              <w:rPr>
                <w:rFonts w:eastAsia="Arial" w:cs="Arial"/>
                <w:color w:val="000000" w:themeColor="text1"/>
                <w:sz w:val="20"/>
                <w:szCs w:val="20"/>
              </w:rPr>
            </w:pPr>
            <w:r w:rsidRPr="76CC4488">
              <w:rPr>
                <w:rFonts w:eastAsia="Arial" w:cs="Arial"/>
                <w:color w:val="000000" w:themeColor="text1"/>
                <w:sz w:val="20"/>
                <w:szCs w:val="20"/>
              </w:rPr>
              <w:t>FY25: 0</w:t>
            </w:r>
          </w:p>
        </w:tc>
        <w:tc>
          <w:tcPr>
            <w:tcW w:w="3660" w:type="dxa"/>
            <w:tcBorders>
              <w:top w:val="single" w:color="auto" w:sz="4" w:space="0"/>
              <w:left w:val="single" w:color="auto" w:sz="4" w:space="0"/>
              <w:bottom w:val="single" w:color="auto" w:sz="4" w:space="0"/>
              <w:right w:val="single" w:color="auto" w:sz="4" w:space="0"/>
            </w:tcBorders>
          </w:tcPr>
          <w:p w:rsidR="003946A9" w:rsidP="003946A9" w:rsidRDefault="003946A9" w14:paraId="0AD42BF2" w14:textId="3ABC94FC">
            <w:pPr>
              <w:jc w:val="both"/>
              <w:rPr>
                <w:rFonts w:cs="Arial"/>
                <w:b/>
                <w:bCs/>
                <w:sz w:val="20"/>
                <w:szCs w:val="20"/>
              </w:rPr>
            </w:pPr>
            <w:r w:rsidRPr="6B43CA44">
              <w:rPr>
                <w:rFonts w:cs="Arial"/>
                <w:sz w:val="20"/>
                <w:szCs w:val="20"/>
              </w:rPr>
              <w:t xml:space="preserve">0 </w:t>
            </w:r>
            <w:r w:rsidRPr="6B43CA44">
              <w:rPr>
                <w:rFonts w:cs="Arial"/>
                <w:b/>
                <w:bCs/>
                <w:sz w:val="20"/>
                <w:szCs w:val="20"/>
              </w:rPr>
              <w:t xml:space="preserve">Progress met expectation. </w:t>
            </w:r>
          </w:p>
        </w:tc>
      </w:tr>
    </w:tbl>
    <w:p w:rsidR="34E01BA5" w:rsidP="34E01BA5" w:rsidRDefault="34E01BA5" w14:paraId="61AA3412" w14:textId="4A1BB419">
      <w:pPr>
        <w:jc w:val="both"/>
        <w:rPr>
          <w:rFonts w:eastAsia="Arial" w:cs="Arial"/>
          <w:b/>
          <w:bCs/>
          <w:color w:val="000000" w:themeColor="text1"/>
          <w:sz w:val="22"/>
          <w:szCs w:val="22"/>
        </w:rPr>
      </w:pPr>
    </w:p>
    <w:p w:rsidR="389F5D4C" w:rsidP="34E01BA5" w:rsidRDefault="389F5D4C" w14:paraId="4C6F3B34" w14:textId="3C192DF1">
      <w:pPr>
        <w:jc w:val="both"/>
      </w:pPr>
      <w:r w:rsidRPr="6745E2FF">
        <w:rPr>
          <w:rFonts w:eastAsia="Arial" w:cs="Arial"/>
          <w:b/>
          <w:bCs/>
          <w:color w:val="000000" w:themeColor="text1"/>
          <w:sz w:val="22"/>
          <w:szCs w:val="22"/>
        </w:rPr>
        <w:t>Briefly describe the output and provide supporting narrative for the score.</w:t>
      </w:r>
    </w:p>
    <w:p w:rsidR="6745E2FF" w:rsidP="6804A274" w:rsidRDefault="6745E2FF" w14:paraId="169BE7BE" w14:textId="06D924DB">
      <w:pPr>
        <w:jc w:val="both"/>
        <w:rPr>
          <w:rFonts w:eastAsia="Arial" w:cs="Arial"/>
          <w:b/>
          <w:bCs/>
          <w:color w:val="000000" w:themeColor="text1"/>
          <w:sz w:val="22"/>
          <w:szCs w:val="22"/>
        </w:rPr>
      </w:pPr>
    </w:p>
    <w:p w:rsidR="49F6F2DE" w:rsidP="7BEFDAE8" w:rsidRDefault="1CD0BF5F" w14:paraId="631E3490" w14:textId="78CEE5C7">
      <w:pPr>
        <w:jc w:val="both"/>
        <w:rPr>
          <w:rFonts w:eastAsia="Arial" w:cs="Arial"/>
          <w:color w:val="000000" w:themeColor="text1" w:themeTint="FF" w:themeShade="FF"/>
          <w:sz w:val="22"/>
          <w:szCs w:val="22"/>
        </w:rPr>
      </w:pPr>
      <w:r w:rsidRPr="334BBF58" w:rsidR="1CD0BF5F">
        <w:rPr>
          <w:rFonts w:eastAsia="Arial" w:cs="Arial"/>
          <w:color w:val="000000" w:themeColor="text1" w:themeTint="FF" w:themeShade="FF"/>
          <w:sz w:val="22"/>
          <w:szCs w:val="22"/>
        </w:rPr>
        <w:t xml:space="preserve">Output 2 assesses improvements to the capacity and capability of </w:t>
      </w:r>
      <w:r w:rsidRPr="334BBF58" w:rsidR="1CD0BF5F">
        <w:rPr>
          <w:rFonts w:eastAsia="Arial" w:cs="Arial"/>
          <w:color w:val="000000" w:themeColor="text1" w:themeTint="FF" w:themeShade="FF"/>
          <w:sz w:val="22"/>
          <w:szCs w:val="22"/>
        </w:rPr>
        <w:t>jurisdictions</w:t>
      </w:r>
      <w:r w:rsidRPr="334BBF58" w:rsidR="1CD0BF5F">
        <w:rPr>
          <w:rFonts w:eastAsia="Arial" w:cs="Arial"/>
          <w:color w:val="000000" w:themeColor="text1" w:themeTint="FF" w:themeShade="FF"/>
          <w:sz w:val="22"/>
          <w:szCs w:val="22"/>
        </w:rPr>
        <w:t xml:space="preserve"> to manage land sustainably, deliver benefits equitably</w:t>
      </w:r>
      <w:r w:rsidRPr="334BBF58" w:rsidR="003F31A4">
        <w:rPr>
          <w:rFonts w:eastAsia="Arial" w:cs="Arial"/>
          <w:color w:val="000000" w:themeColor="text1" w:themeTint="FF" w:themeShade="FF"/>
          <w:sz w:val="22"/>
          <w:szCs w:val="22"/>
        </w:rPr>
        <w:t>,</w:t>
      </w:r>
      <w:r w:rsidRPr="334BBF58" w:rsidR="1CD0BF5F">
        <w:rPr>
          <w:rFonts w:eastAsia="Arial" w:cs="Arial"/>
          <w:color w:val="000000" w:themeColor="text1" w:themeTint="FF" w:themeShade="FF"/>
          <w:sz w:val="22"/>
          <w:szCs w:val="22"/>
        </w:rPr>
        <w:t xml:space="preserve"> and to contribute to socio-economic development and protecting biodiversity</w:t>
      </w:r>
      <w:r w:rsidRPr="334BBF58" w:rsidR="1CD0BF5F">
        <w:rPr>
          <w:rFonts w:eastAsia="Arial" w:cs="Arial"/>
          <w:color w:val="000000" w:themeColor="text1" w:themeTint="FF" w:themeShade="FF"/>
          <w:sz w:val="22"/>
          <w:szCs w:val="22"/>
        </w:rPr>
        <w:t xml:space="preserve">. </w:t>
      </w:r>
      <w:r w:rsidRPr="334BBF58" w:rsidR="1CD0BF5F">
        <w:rPr>
          <w:rFonts w:eastAsia="Arial" w:cs="Arial"/>
          <w:color w:val="000000" w:themeColor="text1" w:themeTint="FF" w:themeShade="FF"/>
          <w:sz w:val="22"/>
          <w:szCs w:val="22"/>
        </w:rPr>
        <w:t xml:space="preserve"> </w:t>
      </w:r>
      <w:r w:rsidRPr="334BBF58" w:rsidR="1CD0BF5F">
        <w:rPr>
          <w:rFonts w:eastAsia="Arial" w:cs="Arial"/>
          <w:color w:val="000000" w:themeColor="text1" w:themeTint="FF" w:themeShade="FF"/>
          <w:sz w:val="22"/>
          <w:szCs w:val="22"/>
        </w:rPr>
        <w:t>This output scored an A</w:t>
      </w:r>
      <w:r w:rsidRPr="334BBF58" w:rsidR="060FAA29">
        <w:rPr>
          <w:rFonts w:eastAsia="Arial" w:cs="Arial"/>
          <w:color w:val="000000" w:themeColor="text1" w:themeTint="FF" w:themeShade="FF"/>
          <w:sz w:val="22"/>
          <w:szCs w:val="22"/>
        </w:rPr>
        <w:t>+</w:t>
      </w:r>
      <w:r w:rsidRPr="334BBF58" w:rsidR="1CD0BF5F">
        <w:rPr>
          <w:rFonts w:eastAsia="Arial" w:cs="Arial"/>
          <w:color w:val="000000" w:themeColor="text1" w:themeTint="FF" w:themeShade="FF"/>
          <w:sz w:val="22"/>
          <w:szCs w:val="22"/>
        </w:rPr>
        <w:t xml:space="preserve">, reflecting </w:t>
      </w:r>
      <w:r w:rsidRPr="334BBF58" w:rsidR="134BD30D">
        <w:rPr>
          <w:rFonts w:eastAsia="Arial" w:cs="Arial"/>
          <w:color w:val="000000" w:themeColor="text1" w:themeTint="FF" w:themeShade="FF"/>
          <w:sz w:val="22"/>
          <w:szCs w:val="22"/>
        </w:rPr>
        <w:t>two out of the three milestones being exceeded.</w:t>
      </w:r>
    </w:p>
    <w:p w:rsidR="6AF71E75" w:rsidP="6AF71E75" w:rsidRDefault="6AF71E75" w14:paraId="26198821" w14:textId="6C0889B3">
      <w:pPr>
        <w:jc w:val="both"/>
        <w:rPr>
          <w:rFonts w:eastAsia="Arial" w:cs="Arial"/>
          <w:color w:val="000000" w:themeColor="text1"/>
          <w:sz w:val="22"/>
          <w:szCs w:val="22"/>
        </w:rPr>
      </w:pPr>
    </w:p>
    <w:p w:rsidR="1CD0BF5F" w:rsidP="6AF71E75" w:rsidRDefault="1CD0BF5F" w14:paraId="37C5E8B9" w14:textId="339720FB">
      <w:pPr>
        <w:jc w:val="both"/>
        <w:rPr>
          <w:rFonts w:eastAsia="Arial" w:cs="Arial"/>
          <w:sz w:val="22"/>
          <w:szCs w:val="22"/>
        </w:rPr>
      </w:pPr>
      <w:r w:rsidRPr="3064DB66" w:rsidR="1CD0BF5F">
        <w:rPr>
          <w:rFonts w:eastAsia="Arial" w:cs="Arial"/>
          <w:color w:val="000000" w:themeColor="text1" w:themeTint="FF" w:themeShade="FF"/>
          <w:sz w:val="22"/>
          <w:szCs w:val="22"/>
        </w:rPr>
        <w:t xml:space="preserve">For FY25, we have </w:t>
      </w:r>
      <w:r w:rsidRPr="3064DB66" w:rsidR="1CD0BF5F">
        <w:rPr>
          <w:rFonts w:eastAsia="Arial" w:cs="Arial"/>
          <w:color w:val="000000" w:themeColor="text1" w:themeTint="FF" w:themeShade="FF"/>
          <w:sz w:val="22"/>
          <w:szCs w:val="22"/>
        </w:rPr>
        <w:t>maintained</w:t>
      </w:r>
      <w:r w:rsidRPr="3064DB66" w:rsidR="1CD0BF5F">
        <w:rPr>
          <w:rFonts w:eastAsia="Arial" w:cs="Arial"/>
          <w:color w:val="000000" w:themeColor="text1" w:themeTint="FF" w:themeShade="FF"/>
          <w:sz w:val="22"/>
          <w:szCs w:val="22"/>
        </w:rPr>
        <w:t xml:space="preserve"> the “Moderate” ri</w:t>
      </w:r>
      <w:r w:rsidRPr="3064DB66" w:rsidR="1CD0BF5F">
        <w:rPr>
          <w:rFonts w:eastAsia="Arial" w:cs="Arial"/>
          <w:color w:val="000000" w:themeColor="text1" w:themeTint="FF" w:themeShade="FF"/>
          <w:sz w:val="22"/>
          <w:szCs w:val="22"/>
        </w:rPr>
        <w:t>sk rating for Output 2, due to uncertainty around Output 2.3</w:t>
      </w:r>
      <w:r w:rsidRPr="3064DB66" w:rsidR="003C48B7">
        <w:rPr>
          <w:rFonts w:eastAsia="Arial" w:cs="Arial"/>
          <w:color w:val="000000" w:themeColor="text1" w:themeTint="FF" w:themeShade="FF"/>
          <w:sz w:val="22"/>
          <w:szCs w:val="22"/>
        </w:rPr>
        <w:t>,</w:t>
      </w:r>
      <w:r w:rsidRPr="3064DB66" w:rsidR="1CD0BF5F">
        <w:rPr>
          <w:rFonts w:eastAsia="Arial" w:cs="Arial"/>
          <w:color w:val="000000" w:themeColor="text1" w:themeTint="FF" w:themeShade="FF"/>
          <w:sz w:val="22"/>
          <w:szCs w:val="22"/>
        </w:rPr>
        <w:t xml:space="preserve"> which is dependent on ERPA finalisation. </w:t>
      </w:r>
      <w:r w:rsidRPr="3064DB66" w:rsidR="1CD0BF5F">
        <w:rPr>
          <w:rFonts w:eastAsia="Arial" w:cs="Arial"/>
          <w:color w:val="000000" w:themeColor="text1" w:themeTint="FF" w:themeShade="FF"/>
          <w:sz w:val="22"/>
          <w:szCs w:val="22"/>
        </w:rPr>
        <w:t>Additionally, some countries are not currently reporting for all sub-indicators</w:t>
      </w:r>
      <w:r w:rsidRPr="3064DB66" w:rsidR="00EE65BF">
        <w:rPr>
          <w:rFonts w:eastAsia="Arial" w:cs="Arial"/>
          <w:color w:val="000000" w:themeColor="text1" w:themeTint="FF" w:themeShade="FF"/>
          <w:sz w:val="22"/>
          <w:szCs w:val="22"/>
        </w:rPr>
        <w:t>.</w:t>
      </w:r>
    </w:p>
    <w:p w:rsidR="34E01BA5" w:rsidP="0AACEBFA" w:rsidRDefault="34E01BA5" w14:paraId="2F58B730" w14:textId="20D1B201">
      <w:pPr>
        <w:jc w:val="both"/>
        <w:rPr>
          <w:rFonts w:eastAsia="Arial" w:cs="Arial"/>
          <w:color w:val="000000" w:themeColor="text1"/>
          <w:sz w:val="22"/>
          <w:szCs w:val="22"/>
        </w:rPr>
      </w:pPr>
    </w:p>
    <w:p w:rsidRPr="00641CF6" w:rsidR="54B84055" w:rsidP="54B84055" w:rsidRDefault="1CD0BF5F" w14:paraId="647353B2" w14:textId="28351723">
      <w:pPr>
        <w:jc w:val="both"/>
        <w:rPr>
          <w:rFonts w:eastAsia="Arial" w:cs="Arial"/>
          <w:sz w:val="22"/>
          <w:szCs w:val="22"/>
        </w:rPr>
      </w:pPr>
      <w:r w:rsidRPr="3064DB66" w:rsidR="1CD0BF5F">
        <w:rPr>
          <w:rFonts w:eastAsia="Arial" w:cs="Arial"/>
          <w:color w:val="000000" w:themeColor="text1" w:themeTint="FF" w:themeShade="FF"/>
          <w:sz w:val="22"/>
          <w:szCs w:val="22"/>
        </w:rPr>
        <w:t>For Output Indicator 2.1, progress has been significant, with both the number of land users who have adopted sustainable land management practices an</w:t>
      </w:r>
      <w:r w:rsidRPr="3064DB66" w:rsidR="1CD0BF5F">
        <w:rPr>
          <w:rFonts w:eastAsia="Arial" w:cs="Arial"/>
          <w:color w:val="000000" w:themeColor="text1" w:themeTint="FF" w:themeShade="FF"/>
          <w:sz w:val="22"/>
          <w:szCs w:val="22"/>
        </w:rPr>
        <w:t>d the percentage of land users who are women exceeding the FY25 and end-of-programme targets</w:t>
      </w:r>
      <w:r w:rsidRPr="3064DB66" w:rsidR="7C87390B">
        <w:rPr>
          <w:rFonts w:eastAsia="Arial" w:cs="Arial"/>
          <w:color w:val="000000" w:themeColor="text1" w:themeTint="FF" w:themeShade="FF"/>
          <w:sz w:val="22"/>
          <w:szCs w:val="22"/>
        </w:rPr>
        <w:t>, exceeding the FY25 target by 159</w:t>
      </w:r>
      <w:r w:rsidRPr="3064DB66" w:rsidR="7C87390B">
        <w:rPr>
          <w:rFonts w:eastAsia="Arial" w:cs="Arial"/>
          <w:color w:val="000000" w:themeColor="text1" w:themeTint="FF" w:themeShade="FF"/>
          <w:sz w:val="22"/>
          <w:szCs w:val="22"/>
        </w:rPr>
        <w:t>%.</w:t>
      </w:r>
      <w:r w:rsidRPr="3064DB66" w:rsidR="1CD0BF5F">
        <w:rPr>
          <w:rFonts w:eastAsia="Arial" w:cs="Arial"/>
          <w:color w:val="000000" w:themeColor="text1" w:themeTint="FF" w:themeShade="FF"/>
          <w:sz w:val="22"/>
          <w:szCs w:val="22"/>
        </w:rPr>
        <w:t xml:space="preserve"> </w:t>
      </w:r>
      <w:r w:rsidRPr="3064DB66" w:rsidR="1CD0BF5F">
        <w:rPr>
          <w:rFonts w:eastAsia="Arial" w:cs="Arial"/>
          <w:color w:val="000000" w:themeColor="text1" w:themeTint="FF" w:themeShade="FF"/>
          <w:sz w:val="22"/>
          <w:szCs w:val="22"/>
        </w:rPr>
        <w:t>It is important to note that Colombia did not report on this indicator, and Mexico did not provide disaggregated results</w:t>
      </w:r>
      <w:r w:rsidRPr="3064DB66" w:rsidR="007522CE">
        <w:rPr>
          <w:rFonts w:eastAsia="Arial" w:cs="Arial"/>
          <w:color w:val="000000" w:themeColor="text1" w:themeTint="FF" w:themeShade="FF"/>
          <w:sz w:val="22"/>
          <w:szCs w:val="22"/>
        </w:rPr>
        <w:t xml:space="preserve">. </w:t>
      </w:r>
      <w:r w:rsidRPr="3064DB66" w:rsidR="004618CA">
        <w:rPr>
          <w:rFonts w:eastAsia="Arial" w:cs="Arial"/>
          <w:color w:val="000000" w:themeColor="text1" w:themeTint="FF" w:themeShade="FF"/>
          <w:sz w:val="22"/>
          <w:szCs w:val="22"/>
        </w:rPr>
        <w:t>This quantitative data is supported by qualitative information.</w:t>
      </w:r>
      <w:r w:rsidRPr="3064DB66" w:rsidR="004618CA">
        <w:rPr>
          <w:rFonts w:eastAsia="Arial" w:cs="Arial"/>
          <w:color w:val="000000" w:themeColor="text1" w:themeTint="FF" w:themeShade="FF"/>
          <w:sz w:val="22"/>
          <w:szCs w:val="22"/>
        </w:rPr>
        <w:t xml:space="preserve"> </w:t>
      </w:r>
      <w:r w:rsidRPr="3064DB66" w:rsidR="00312DFB">
        <w:rPr>
          <w:rFonts w:eastAsia="Arial" w:cs="Arial"/>
          <w:color w:val="000000" w:themeColor="text1" w:themeTint="FF" w:themeShade="FF"/>
          <w:sz w:val="22"/>
          <w:szCs w:val="22"/>
        </w:rPr>
        <w:t xml:space="preserve">Ethiopia, for example, significantly outperformed its target, driven by two key factors: (a) increased ownership of integrated land use planning by the implementing agency, and (b) programme restructuring that expanded coverage to </w:t>
      </w:r>
      <w:r w:rsidRPr="3064DB66" w:rsidR="00312DFB">
        <w:rPr>
          <w:rFonts w:eastAsia="Arial" w:cs="Arial"/>
          <w:color w:val="000000" w:themeColor="text1" w:themeTint="FF" w:themeShade="FF"/>
          <w:sz w:val="22"/>
          <w:szCs w:val="22"/>
        </w:rPr>
        <w:t>additional</w:t>
      </w:r>
      <w:r w:rsidRPr="3064DB66" w:rsidR="00312DFB">
        <w:rPr>
          <w:rFonts w:eastAsia="Arial" w:cs="Arial"/>
          <w:color w:val="000000" w:themeColor="text1" w:themeTint="FF" w:themeShade="FF"/>
          <w:sz w:val="22"/>
          <w:szCs w:val="22"/>
        </w:rPr>
        <w:t xml:space="preserve"> Woredas with available communal land, enhancing implementation efficiency.</w:t>
      </w:r>
    </w:p>
    <w:p w:rsidR="62E95881" w:rsidP="62E95881" w:rsidRDefault="62E95881" w14:paraId="79F2775C" w14:textId="24DBFF8E">
      <w:pPr>
        <w:jc w:val="both"/>
        <w:rPr>
          <w:rFonts w:eastAsia="Arial" w:cs="Arial"/>
          <w:color w:val="000000" w:themeColor="text1"/>
          <w:sz w:val="22"/>
          <w:szCs w:val="22"/>
          <w:highlight w:val="yellow"/>
        </w:rPr>
      </w:pPr>
    </w:p>
    <w:p w:rsidR="25D6C874" w:rsidP="491A6DE2" w:rsidRDefault="25D6C874" w14:paraId="7BC3CA0C" w14:textId="4092D113">
      <w:pPr>
        <w:jc w:val="both"/>
        <w:rPr>
          <w:rFonts w:eastAsia="Arial" w:cs="Arial"/>
          <w:color w:val="000000" w:themeColor="text1"/>
          <w:sz w:val="22"/>
          <w:szCs w:val="22"/>
        </w:rPr>
      </w:pPr>
      <w:r w:rsidRPr="6A24349E" w:rsidR="25D6C874">
        <w:rPr>
          <w:rFonts w:eastAsia="Arial" w:cs="Arial"/>
          <w:color w:val="000000" w:themeColor="text1" w:themeTint="FF" w:themeShade="FF"/>
          <w:sz w:val="22"/>
          <w:szCs w:val="22"/>
        </w:rPr>
        <w:t>Results under Output Indicator 2.2 also moderately exceeded the FY25 milestone</w:t>
      </w:r>
      <w:r w:rsidRPr="6A24349E" w:rsidR="131BEC23">
        <w:rPr>
          <w:rFonts w:eastAsia="Arial" w:cs="Arial"/>
          <w:color w:val="000000" w:themeColor="text1" w:themeTint="FF" w:themeShade="FF"/>
          <w:sz w:val="22"/>
          <w:szCs w:val="22"/>
        </w:rPr>
        <w:t xml:space="preserve"> of $62.5m</w:t>
      </w:r>
      <w:r w:rsidRPr="6A24349E" w:rsidR="25D6C874">
        <w:rPr>
          <w:rFonts w:eastAsia="Arial" w:cs="Arial"/>
          <w:color w:val="000000" w:themeColor="text1" w:themeTint="FF" w:themeShade="FF"/>
          <w:sz w:val="22"/>
          <w:szCs w:val="22"/>
        </w:rPr>
        <w:t>. So far, $69.3m in grants has been disbursed to ISFL programmes, of which $</w:t>
      </w:r>
      <w:r w:rsidRPr="6A24349E" w:rsidR="1446809F">
        <w:rPr>
          <w:rFonts w:eastAsia="Arial" w:cs="Arial"/>
          <w:color w:val="000000" w:themeColor="text1" w:themeTint="FF" w:themeShade="FF"/>
          <w:sz w:val="22"/>
          <w:szCs w:val="22"/>
        </w:rPr>
        <w:t xml:space="preserve">9.4m </w:t>
      </w:r>
      <w:r w:rsidRPr="6A24349E" w:rsidR="25D6C874">
        <w:rPr>
          <w:rFonts w:eastAsia="Arial" w:cs="Arial"/>
          <w:color w:val="000000" w:themeColor="text1" w:themeTint="FF" w:themeShade="FF"/>
          <w:sz w:val="22"/>
          <w:szCs w:val="22"/>
        </w:rPr>
        <w:t xml:space="preserve">was disbursed in </w:t>
      </w:r>
      <w:r w:rsidRPr="6A24349E" w:rsidR="72116457">
        <w:rPr>
          <w:rFonts w:eastAsia="Arial" w:cs="Arial"/>
          <w:color w:val="000000" w:themeColor="text1" w:themeTint="FF" w:themeShade="FF"/>
          <w:sz w:val="22"/>
          <w:szCs w:val="22"/>
        </w:rPr>
        <w:t>FY25</w:t>
      </w:r>
      <w:r w:rsidRPr="6A24349E" w:rsidR="72116457">
        <w:rPr>
          <w:rFonts w:eastAsia="Arial" w:cs="Arial"/>
          <w:color w:val="000000" w:themeColor="text1" w:themeTint="FF" w:themeShade="FF"/>
          <w:sz w:val="22"/>
          <w:szCs w:val="22"/>
        </w:rPr>
        <w:t xml:space="preserve">. </w:t>
      </w:r>
      <w:r w:rsidRPr="6A24349E" w:rsidR="25D6C874">
        <w:rPr>
          <w:rFonts w:eastAsia="Arial" w:cs="Arial"/>
          <w:color w:val="000000" w:themeColor="text1" w:themeTint="FF" w:themeShade="FF"/>
          <w:sz w:val="22"/>
          <w:szCs w:val="22"/>
        </w:rPr>
        <w:t xml:space="preserve"> </w:t>
      </w:r>
      <w:r w:rsidRPr="6A24349E" w:rsidR="25D6C874">
        <w:rPr>
          <w:rFonts w:eastAsia="Arial" w:cs="Arial"/>
          <w:color w:val="000000" w:themeColor="text1" w:themeTint="FF" w:themeShade="FF"/>
          <w:sz w:val="22"/>
          <w:szCs w:val="22"/>
        </w:rPr>
        <w:t xml:space="preserve">However, this indicator alone does not show the progress of activities funded by these grants. </w:t>
      </w:r>
      <w:r w:rsidRPr="6A24349E" w:rsidR="50517B1B">
        <w:rPr>
          <w:rFonts w:eastAsia="Arial" w:cs="Arial"/>
          <w:color w:val="000000" w:themeColor="text1" w:themeTint="FF" w:themeShade="FF"/>
          <w:sz w:val="22"/>
          <w:szCs w:val="22"/>
        </w:rPr>
        <w:t xml:space="preserve">Qualitative updates from the five country programmes </w:t>
      </w:r>
      <w:r w:rsidRPr="6A24349E" w:rsidR="50517B1B">
        <w:rPr>
          <w:rFonts w:eastAsia="Arial" w:cs="Arial"/>
          <w:color w:val="000000" w:themeColor="text1" w:themeTint="FF" w:themeShade="FF"/>
          <w:sz w:val="22"/>
          <w:szCs w:val="22"/>
        </w:rPr>
        <w:t>indicate</w:t>
      </w:r>
      <w:r w:rsidRPr="6A24349E" w:rsidR="50517B1B">
        <w:rPr>
          <w:rFonts w:eastAsia="Arial" w:cs="Arial"/>
          <w:color w:val="000000" w:themeColor="text1" w:themeTint="FF" w:themeShade="FF"/>
          <w:sz w:val="22"/>
          <w:szCs w:val="22"/>
        </w:rPr>
        <w:t xml:space="preserve"> that grant funding has been instrumental in advancing core activities central to emissions reductions. In Zambia,</w:t>
      </w:r>
      <w:r w:rsidRPr="6A24349E" w:rsidR="50517B1B">
        <w:rPr>
          <w:rFonts w:eastAsia="Arial" w:cs="Arial"/>
          <w:color w:val="000000" w:themeColor="text1" w:themeTint="FF" w:themeShade="FF"/>
          <w:sz w:val="22"/>
          <w:szCs w:val="22"/>
        </w:rPr>
        <w:t xml:space="preserve"> o</w:t>
      </w:r>
      <w:r w:rsidRPr="6A24349E" w:rsidR="00BA16C7">
        <w:rPr>
          <w:rFonts w:eastAsia="Arial" w:cs="Arial"/>
          <w:color w:val="000000" w:themeColor="text1" w:themeTint="FF" w:themeShade="FF"/>
          <w:sz w:val="22"/>
          <w:szCs w:val="22"/>
        </w:rPr>
        <w:t>v</w:t>
      </w:r>
      <w:r w:rsidRPr="6A24349E" w:rsidR="50517B1B">
        <w:rPr>
          <w:rFonts w:eastAsia="Arial" w:cs="Arial"/>
          <w:color w:val="000000" w:themeColor="text1" w:themeTint="FF" w:themeShade="FF"/>
          <w:sz w:val="22"/>
          <w:szCs w:val="22"/>
        </w:rPr>
        <w:t>er 73,000 farmers adopted</w:t>
      </w:r>
      <w:r w:rsidRPr="6A24349E" w:rsidR="314F58FD">
        <w:rPr>
          <w:rFonts w:eastAsia="Arial" w:cs="Arial"/>
          <w:color w:val="000000" w:themeColor="text1" w:themeTint="FF" w:themeShade="FF"/>
          <w:sz w:val="22"/>
          <w:szCs w:val="22"/>
        </w:rPr>
        <w:t xml:space="preserve"> CSA practices</w:t>
      </w:r>
      <w:r w:rsidRPr="6A24349E" w:rsidR="50517B1B">
        <w:rPr>
          <w:rFonts w:eastAsia="Arial" w:cs="Arial"/>
          <w:color w:val="000000" w:themeColor="text1" w:themeTint="FF" w:themeShade="FF"/>
          <w:sz w:val="22"/>
          <w:szCs w:val="22"/>
        </w:rPr>
        <w:t xml:space="preserve"> across 163,000 ha, and 72,840 ha of forest were placed under sustainable management</w:t>
      </w:r>
      <w:r w:rsidRPr="6A24349E" w:rsidR="00BA16C7">
        <w:rPr>
          <w:rFonts w:eastAsia="Arial" w:cs="Arial"/>
          <w:color w:val="000000" w:themeColor="text1" w:themeTint="FF" w:themeShade="FF"/>
          <w:sz w:val="22"/>
          <w:szCs w:val="22"/>
        </w:rPr>
        <w:t xml:space="preserve"> across the lifetime of the programme</w:t>
      </w:r>
      <w:r w:rsidRPr="6A24349E" w:rsidR="50517B1B">
        <w:rPr>
          <w:rFonts w:eastAsia="Arial" w:cs="Arial"/>
          <w:color w:val="000000" w:themeColor="text1" w:themeTint="FF" w:themeShade="FF"/>
          <w:sz w:val="22"/>
          <w:szCs w:val="22"/>
        </w:rPr>
        <w:t>.</w:t>
      </w:r>
      <w:r w:rsidRPr="6A24349E">
        <w:rPr>
          <w:rStyle w:val="FootnoteReference"/>
          <w:rFonts w:eastAsia="Arial" w:cs="Arial"/>
          <w:color w:val="000000" w:themeColor="text1" w:themeTint="FF" w:themeShade="FF"/>
          <w:sz w:val="22"/>
          <w:szCs w:val="22"/>
        </w:rPr>
        <w:footnoteReference w:id="27186"/>
      </w:r>
      <w:r w:rsidRPr="6A24349E" w:rsidR="50517B1B">
        <w:rPr>
          <w:rFonts w:eastAsia="Arial" w:cs="Arial"/>
          <w:color w:val="000000" w:themeColor="text1" w:themeTint="FF" w:themeShade="FF"/>
          <w:sz w:val="22"/>
          <w:szCs w:val="22"/>
        </w:rPr>
        <w:t xml:space="preserve"> In Ethiopia, grants supported participatory forest management and reforestation, benefiting over 77,000 women through income-generating activities such as agroforestry, goat rearing, and coffee production. In Colombia, grant-funded activities led to the restoration of 3,800 ha of degraded land and the creation of 500 rural jobs. In Indonesia, grants enabled the reforestation of over 2,000 ha, improved sustainable farming practices, and strengthened forest and land use governance. In Mexico, grant funding helped build institutional capacity for integrated landscape management and supported the development of tools</w:t>
      </w:r>
      <w:r w:rsidRPr="6A24349E" w:rsidR="00825CCC">
        <w:rPr>
          <w:rFonts w:eastAsia="Arial" w:cs="Arial"/>
          <w:color w:val="000000" w:themeColor="text1" w:themeTint="FF" w:themeShade="FF"/>
          <w:sz w:val="22"/>
          <w:szCs w:val="22"/>
        </w:rPr>
        <w:t xml:space="preserve"> </w:t>
      </w:r>
      <w:r w:rsidRPr="6A24349E" w:rsidR="50517B1B">
        <w:rPr>
          <w:rFonts w:eastAsia="Arial" w:cs="Arial"/>
          <w:color w:val="000000" w:themeColor="text1" w:themeTint="FF" w:themeShade="FF"/>
          <w:sz w:val="22"/>
          <w:szCs w:val="22"/>
        </w:rPr>
        <w:t xml:space="preserve">that </w:t>
      </w:r>
      <w:r w:rsidRPr="6A24349E" w:rsidR="7EF577CD">
        <w:rPr>
          <w:rFonts w:eastAsia="Arial" w:cs="Arial"/>
          <w:color w:val="000000" w:themeColor="text1" w:themeTint="FF" w:themeShade="FF"/>
          <w:sz w:val="22"/>
          <w:szCs w:val="22"/>
        </w:rPr>
        <w:t xml:space="preserve">will </w:t>
      </w:r>
      <w:r w:rsidRPr="6A24349E" w:rsidR="50517B1B">
        <w:rPr>
          <w:rFonts w:eastAsia="Arial" w:cs="Arial"/>
          <w:color w:val="000000" w:themeColor="text1" w:themeTint="FF" w:themeShade="FF"/>
          <w:sz w:val="22"/>
          <w:szCs w:val="22"/>
        </w:rPr>
        <w:t xml:space="preserve">underpin the country’s </w:t>
      </w:r>
      <w:r w:rsidRPr="6A24349E" w:rsidR="3B6E0793">
        <w:rPr>
          <w:rFonts w:eastAsia="Arial" w:cs="Arial"/>
          <w:color w:val="000000" w:themeColor="text1" w:themeTint="FF" w:themeShade="FF"/>
          <w:sz w:val="22"/>
          <w:szCs w:val="22"/>
        </w:rPr>
        <w:t xml:space="preserve">ER </w:t>
      </w:r>
      <w:r w:rsidRPr="6A24349E" w:rsidR="50517B1B">
        <w:rPr>
          <w:rFonts w:eastAsia="Arial" w:cs="Arial"/>
          <w:color w:val="000000" w:themeColor="text1" w:themeTint="FF" w:themeShade="FF"/>
          <w:sz w:val="22"/>
          <w:szCs w:val="22"/>
        </w:rPr>
        <w:t>programme.</w:t>
      </w:r>
    </w:p>
    <w:p w:rsidR="0AACEBFA" w:rsidP="3999F07B" w:rsidRDefault="0AACEBFA" w14:paraId="461F2F05" w14:textId="31FC8377">
      <w:pPr>
        <w:jc w:val="both"/>
        <w:rPr>
          <w:rFonts w:eastAsia="Arial" w:cs="Arial"/>
          <w:color w:val="000000" w:themeColor="text1"/>
          <w:sz w:val="22"/>
          <w:szCs w:val="22"/>
        </w:rPr>
      </w:pPr>
    </w:p>
    <w:p w:rsidR="389F5D4C" w:rsidP="34E01BA5" w:rsidRDefault="389F5D4C" w14:paraId="0BBBD7F3" w14:textId="76219659">
      <w:pPr>
        <w:jc w:val="both"/>
        <w:rPr>
          <w:rFonts w:eastAsia="Arial" w:cs="Arial"/>
          <w:sz w:val="22"/>
          <w:szCs w:val="22"/>
        </w:rPr>
      </w:pPr>
      <w:r w:rsidRPr="6745E2FF">
        <w:rPr>
          <w:rFonts w:eastAsia="Arial" w:cs="Arial"/>
          <w:b/>
          <w:bCs/>
          <w:color w:val="000000" w:themeColor="text1"/>
          <w:sz w:val="22"/>
          <w:szCs w:val="22"/>
        </w:rPr>
        <w:t>Describe any changes to this output, and any planned changes as a result of this review.</w:t>
      </w:r>
    </w:p>
    <w:p w:rsidR="6745E2FF" w:rsidP="0786FADA" w:rsidRDefault="6745E2FF" w14:paraId="66B1CC9E" w14:textId="776809E4">
      <w:pPr>
        <w:jc w:val="both"/>
        <w:rPr>
          <w:rFonts w:eastAsia="Arial" w:cs="Arial"/>
          <w:b/>
          <w:bCs/>
          <w:color w:val="000000" w:themeColor="text1"/>
          <w:sz w:val="22"/>
          <w:szCs w:val="22"/>
          <w:highlight w:val="yellow"/>
        </w:rPr>
      </w:pPr>
    </w:p>
    <w:p w:rsidRPr="00414720" w:rsidR="34E01BA5" w:rsidP="34E01BA5" w:rsidRDefault="48E3A07F" w14:paraId="42757E05" w14:textId="4998D72B">
      <w:pPr>
        <w:jc w:val="both"/>
        <w:rPr>
          <w:rFonts w:eastAsia="Arial" w:cs="Arial"/>
          <w:b w:val="1"/>
          <w:bCs w:val="1"/>
          <w:color w:val="000000" w:themeColor="text1"/>
          <w:sz w:val="22"/>
          <w:szCs w:val="22"/>
          <w:highlight w:val="yellow"/>
        </w:rPr>
      </w:pPr>
      <w:r w:rsidRPr="334BBF58" w:rsidR="48E3A07F">
        <w:rPr>
          <w:rFonts w:eastAsia="Arial" w:cs="Arial"/>
          <w:color w:val="000000" w:themeColor="text1" w:themeTint="FF" w:themeShade="FF"/>
          <w:sz w:val="22"/>
          <w:szCs w:val="22"/>
        </w:rPr>
        <w:t>In FY25</w:t>
      </w:r>
      <w:r w:rsidRPr="334BBF58" w:rsidR="660ABDFB">
        <w:rPr>
          <w:rFonts w:eastAsia="Arial" w:cs="Arial"/>
          <w:color w:val="000000" w:themeColor="text1" w:themeTint="FF" w:themeShade="FF"/>
          <w:sz w:val="22"/>
          <w:szCs w:val="22"/>
        </w:rPr>
        <w:t xml:space="preserve"> </w:t>
      </w:r>
      <w:r w:rsidRPr="334BBF58" w:rsidR="660ABDFB">
        <w:rPr>
          <w:rFonts w:eastAsia="Arial" w:cs="Arial"/>
          <w:color w:val="000000" w:themeColor="text1" w:themeTint="FF" w:themeShade="FF"/>
          <w:sz w:val="22"/>
          <w:szCs w:val="22"/>
        </w:rPr>
        <w:t xml:space="preserve">for Output Indicator 2.3, “Number of communities or other organisations that have </w:t>
      </w:r>
      <w:r w:rsidRPr="334BBF58" w:rsidR="660ABDFB">
        <w:rPr>
          <w:rFonts w:eastAsia="Arial" w:cs="Arial"/>
          <w:color w:val="000000" w:themeColor="text1" w:themeTint="FF" w:themeShade="FF"/>
          <w:sz w:val="22"/>
          <w:szCs w:val="22"/>
        </w:rPr>
        <w:t xml:space="preserve">received benefits (assets and/or services) from emission </w:t>
      </w:r>
      <w:r w:rsidRPr="334BBF58" w:rsidR="660ABDFB">
        <w:rPr>
          <w:rFonts w:eastAsia="Arial" w:cs="Arial"/>
          <w:color w:val="000000" w:themeColor="text1" w:themeTint="FF" w:themeShade="FF"/>
          <w:sz w:val="22"/>
          <w:szCs w:val="22"/>
        </w:rPr>
        <w:t xml:space="preserve">reductions payments,” </w:t>
      </w:r>
      <w:r w:rsidRPr="334BBF58" w:rsidR="48E3A07F">
        <w:rPr>
          <w:rFonts w:eastAsia="Arial" w:cs="Arial"/>
          <w:color w:val="000000" w:themeColor="text1" w:themeTint="FF" w:themeShade="FF"/>
          <w:sz w:val="22"/>
          <w:szCs w:val="22"/>
        </w:rPr>
        <w:t xml:space="preserve">DESNZ added an end-of-programme target </w:t>
      </w:r>
      <w:r w:rsidRPr="334BBF58" w:rsidR="5FA60787">
        <w:rPr>
          <w:rFonts w:eastAsia="Arial" w:cs="Arial"/>
          <w:color w:val="000000" w:themeColor="text1" w:themeTint="FF" w:themeShade="FF"/>
          <w:sz w:val="22"/>
          <w:szCs w:val="22"/>
        </w:rPr>
        <w:t xml:space="preserve">to match that of the World Bank, </w:t>
      </w:r>
      <w:r w:rsidRPr="334BBF58" w:rsidR="5FA60787">
        <w:rPr>
          <w:rFonts w:eastAsia="Arial" w:cs="Arial"/>
          <w:color w:val="000000" w:themeColor="text1" w:themeTint="FF" w:themeShade="FF"/>
          <w:sz w:val="22"/>
          <w:szCs w:val="22"/>
        </w:rPr>
        <w:t xml:space="preserve">then </w:t>
      </w:r>
      <w:r w:rsidRPr="334BBF58" w:rsidR="00890386">
        <w:rPr>
          <w:rFonts w:eastAsia="Arial" w:cs="Arial"/>
          <w:color w:val="000000" w:themeColor="text1" w:themeTint="FF" w:themeShade="FF"/>
          <w:sz w:val="22"/>
          <w:szCs w:val="22"/>
        </w:rPr>
        <w:t xml:space="preserve">calculated </w:t>
      </w:r>
      <w:r w:rsidRPr="334BBF58" w:rsidR="00890386">
        <w:rPr>
          <w:rFonts w:eastAsia="Arial" w:cs="Arial"/>
          <w:color w:val="000000" w:themeColor="text1" w:themeTint="FF" w:themeShade="FF"/>
          <w:sz w:val="22"/>
          <w:szCs w:val="22"/>
        </w:rPr>
        <w:t>interim</w:t>
      </w:r>
      <w:r w:rsidRPr="334BBF58" w:rsidR="48E3A07F">
        <w:rPr>
          <w:rFonts w:eastAsia="Arial" w:cs="Arial"/>
          <w:color w:val="000000" w:themeColor="text1" w:themeTint="FF" w:themeShade="FF"/>
          <w:sz w:val="22"/>
          <w:szCs w:val="22"/>
        </w:rPr>
        <w:t xml:space="preserve"> milestones for </w:t>
      </w:r>
      <w:r w:rsidRPr="334BBF58" w:rsidR="4E1EC3E6">
        <w:rPr>
          <w:rFonts w:eastAsia="Arial" w:cs="Arial"/>
          <w:color w:val="000000" w:themeColor="text1" w:themeTint="FF" w:themeShade="FF"/>
          <w:sz w:val="22"/>
          <w:szCs w:val="22"/>
        </w:rPr>
        <w:t xml:space="preserve">DESNZ reporting </w:t>
      </w:r>
      <w:r w:rsidRPr="334BBF58" w:rsidR="4E1EC3E6">
        <w:rPr>
          <w:rFonts w:eastAsia="Arial" w:cs="Arial"/>
          <w:color w:val="000000" w:themeColor="text1" w:themeTint="FF" w:themeShade="FF"/>
          <w:sz w:val="22"/>
          <w:szCs w:val="22"/>
        </w:rPr>
        <w:t>purposes</w:t>
      </w:r>
      <w:r w:rsidRPr="334BBF58" w:rsidR="3E5C25B0">
        <w:rPr>
          <w:rFonts w:eastAsia="Arial" w:cs="Arial"/>
          <w:color w:val="000000" w:themeColor="text1" w:themeTint="FF" w:themeShade="FF"/>
          <w:sz w:val="22"/>
          <w:szCs w:val="22"/>
        </w:rPr>
        <w:t>, with the programme reaching its milestone of zero for the FY25 reporting year</w:t>
      </w:r>
      <w:r w:rsidRPr="334BBF58" w:rsidR="4E1EC3E6">
        <w:rPr>
          <w:rFonts w:eastAsia="Arial" w:cs="Arial"/>
          <w:color w:val="000000" w:themeColor="text1" w:themeTint="FF" w:themeShade="FF"/>
          <w:sz w:val="22"/>
          <w:szCs w:val="22"/>
        </w:rPr>
        <w:t xml:space="preserve">. </w:t>
      </w:r>
    </w:p>
    <w:p w:rsidR="00FD7295" w:rsidP="34E01BA5" w:rsidRDefault="00FD7295" w14:paraId="4248935D" w14:textId="77777777">
      <w:pPr>
        <w:jc w:val="both"/>
        <w:rPr>
          <w:rFonts w:eastAsia="Arial" w:cs="Arial"/>
          <w:b/>
          <w:bCs/>
          <w:color w:val="000000" w:themeColor="text1"/>
          <w:sz w:val="22"/>
          <w:szCs w:val="22"/>
        </w:rPr>
      </w:pPr>
    </w:p>
    <w:p w:rsidR="389F5D4C" w:rsidP="34E01BA5" w:rsidRDefault="389F5D4C" w14:paraId="50869D0B" w14:textId="4FFA7CE9">
      <w:pPr>
        <w:jc w:val="both"/>
        <w:rPr>
          <w:rFonts w:eastAsia="Arial" w:cs="Arial"/>
          <w:b/>
          <w:bCs/>
          <w:color w:val="000000" w:themeColor="text1"/>
          <w:sz w:val="22"/>
          <w:szCs w:val="22"/>
        </w:rPr>
      </w:pPr>
      <w:r w:rsidRPr="6745E2FF">
        <w:rPr>
          <w:rFonts w:eastAsia="Arial" w:cs="Arial"/>
          <w:b/>
          <w:bCs/>
          <w:color w:val="000000" w:themeColor="text1"/>
          <w:sz w:val="22"/>
          <w:szCs w:val="22"/>
        </w:rPr>
        <w:t>Progress on recommendations from the previous AR (if completed), lessons learned this year and recommendations for the year ahead</w:t>
      </w:r>
    </w:p>
    <w:p w:rsidR="00B01283" w:rsidP="34E01BA5" w:rsidRDefault="00B01283" w14:paraId="15CA34F2" w14:textId="77777777">
      <w:pPr>
        <w:jc w:val="both"/>
        <w:rPr>
          <w:rFonts w:eastAsia="Arial" w:cs="Arial"/>
          <w:b/>
          <w:bCs/>
          <w:color w:val="000000" w:themeColor="text1"/>
          <w:sz w:val="22"/>
          <w:szCs w:val="22"/>
        </w:rPr>
      </w:pPr>
    </w:p>
    <w:p w:rsidRPr="009253A1" w:rsidR="00B01283" w:rsidP="34E01BA5" w:rsidRDefault="00B01283" w14:paraId="70B09D42" w14:textId="18EBF32A">
      <w:pPr>
        <w:jc w:val="both"/>
        <w:rPr>
          <w:rFonts w:eastAsia="Arial" w:cs="Arial"/>
          <w:b/>
          <w:bCs/>
          <w:sz w:val="22"/>
          <w:szCs w:val="22"/>
        </w:rPr>
      </w:pPr>
      <w:r w:rsidRPr="009253A1">
        <w:rPr>
          <w:rFonts w:eastAsia="Arial" w:cs="Arial"/>
          <w:b/>
          <w:bCs/>
          <w:color w:val="000000" w:themeColor="text1"/>
          <w:sz w:val="22"/>
          <w:szCs w:val="22"/>
        </w:rPr>
        <w:t>Recommendations from FY24</w:t>
      </w:r>
    </w:p>
    <w:p w:rsidRPr="009253A1" w:rsidR="6745E2FF" w:rsidP="6745E2FF" w:rsidRDefault="6745E2FF" w14:paraId="103D12F1" w14:textId="68CD6AC0">
      <w:pPr>
        <w:jc w:val="both"/>
        <w:rPr>
          <w:rFonts w:eastAsia="Arial" w:cs="Arial"/>
          <w:b/>
          <w:bCs/>
          <w:color w:val="000000" w:themeColor="text1"/>
          <w:sz w:val="22"/>
          <w:szCs w:val="22"/>
        </w:rPr>
      </w:pPr>
    </w:p>
    <w:p w:rsidRPr="009253A1" w:rsidR="00804C51" w:rsidP="6745E2FF" w:rsidRDefault="00AC08D0" w14:paraId="1DFCD87B" w14:textId="7BD71D4D">
      <w:pPr>
        <w:jc w:val="both"/>
        <w:rPr>
          <w:rFonts w:eastAsia="Arial" w:cs="Arial"/>
          <w:color w:val="000000" w:themeColor="text1"/>
          <w:sz w:val="22"/>
          <w:szCs w:val="22"/>
        </w:rPr>
      </w:pPr>
      <w:r w:rsidRPr="5C99F1CE">
        <w:rPr>
          <w:rFonts w:eastAsia="Arial" w:cs="Arial"/>
          <w:color w:val="000000" w:themeColor="text1"/>
          <w:sz w:val="22"/>
          <w:szCs w:val="22"/>
        </w:rPr>
        <w:t>T</w:t>
      </w:r>
      <w:r w:rsidRPr="5C99F1CE" w:rsidR="003F71A4">
        <w:rPr>
          <w:rFonts w:eastAsia="Arial" w:cs="Arial"/>
          <w:color w:val="000000" w:themeColor="text1"/>
          <w:sz w:val="22"/>
          <w:szCs w:val="22"/>
        </w:rPr>
        <w:t>he</w:t>
      </w:r>
      <w:r w:rsidRPr="009253A1" w:rsidR="003F71A4">
        <w:rPr>
          <w:rFonts w:eastAsia="Arial" w:cs="Arial"/>
          <w:color w:val="000000" w:themeColor="text1"/>
          <w:sz w:val="22"/>
          <w:szCs w:val="22"/>
        </w:rPr>
        <w:t xml:space="preserve"> FY24 Annual Review recommended </w:t>
      </w:r>
      <w:r w:rsidRPr="009253A1" w:rsidR="00804C51">
        <w:rPr>
          <w:rFonts w:eastAsia="Arial" w:cs="Arial"/>
          <w:color w:val="000000" w:themeColor="text1"/>
          <w:sz w:val="22"/>
          <w:szCs w:val="22"/>
        </w:rPr>
        <w:t>revisions to the following indicators:</w:t>
      </w:r>
    </w:p>
    <w:p w:rsidRPr="009253A1" w:rsidR="00316228" w:rsidP="00756B4F" w:rsidRDefault="002F4620" w14:paraId="2D88F752" w14:textId="77777777">
      <w:pPr>
        <w:pStyle w:val="ListParagraph"/>
        <w:numPr>
          <w:ilvl w:val="0"/>
          <w:numId w:val="14"/>
        </w:numPr>
        <w:jc w:val="both"/>
        <w:rPr>
          <w:rFonts w:eastAsia="Arial" w:cs="Arial"/>
          <w:color w:val="000000" w:themeColor="text1"/>
          <w:sz w:val="22"/>
          <w:szCs w:val="22"/>
        </w:rPr>
      </w:pPr>
      <w:r w:rsidRPr="009253A1">
        <w:rPr>
          <w:rFonts w:eastAsia="Arial" w:cs="Arial"/>
          <w:color w:val="000000" w:themeColor="text1"/>
          <w:sz w:val="22"/>
          <w:szCs w:val="22"/>
        </w:rPr>
        <w:t xml:space="preserve">Decrease the EOP target for </w:t>
      </w:r>
      <w:r w:rsidRPr="009253A1">
        <w:rPr>
          <w:rFonts w:eastAsia="Arial" w:cs="Arial"/>
          <w:b/>
          <w:bCs/>
          <w:color w:val="000000" w:themeColor="text1"/>
          <w:sz w:val="22"/>
          <w:szCs w:val="22"/>
        </w:rPr>
        <w:t xml:space="preserve">Output Indicator </w:t>
      </w:r>
      <w:r w:rsidRPr="009253A1" w:rsidR="00316228">
        <w:rPr>
          <w:rFonts w:eastAsia="Arial" w:cs="Arial"/>
          <w:b/>
          <w:bCs/>
          <w:color w:val="000000" w:themeColor="text1"/>
          <w:sz w:val="22"/>
          <w:szCs w:val="22"/>
        </w:rPr>
        <w:t>2.1</w:t>
      </w:r>
      <w:r w:rsidRPr="009253A1" w:rsidR="00316228">
        <w:rPr>
          <w:rFonts w:eastAsia="Arial" w:cs="Arial"/>
          <w:color w:val="000000" w:themeColor="text1"/>
          <w:sz w:val="22"/>
          <w:szCs w:val="22"/>
        </w:rPr>
        <w:t xml:space="preserve"> and</w:t>
      </w:r>
      <w:r w:rsidRPr="009253A1">
        <w:rPr>
          <w:rFonts w:eastAsia="Arial" w:cs="Arial"/>
          <w:color w:val="000000" w:themeColor="text1"/>
          <w:sz w:val="22"/>
          <w:szCs w:val="22"/>
        </w:rPr>
        <w:t xml:space="preserve"> revise interim milestones accordingly. It was decided not to decrease the EOP target and interim milestones for </w:t>
      </w:r>
      <w:r w:rsidRPr="009253A1" w:rsidR="00316228">
        <w:rPr>
          <w:rFonts w:eastAsia="Arial" w:cs="Arial"/>
          <w:color w:val="000000" w:themeColor="text1"/>
          <w:sz w:val="22"/>
          <w:szCs w:val="22"/>
        </w:rPr>
        <w:t>O</w:t>
      </w:r>
      <w:r w:rsidRPr="009253A1">
        <w:rPr>
          <w:rFonts w:eastAsia="Arial" w:cs="Arial"/>
          <w:color w:val="000000" w:themeColor="text1"/>
          <w:sz w:val="22"/>
          <w:szCs w:val="22"/>
        </w:rPr>
        <w:t xml:space="preserve">utput </w:t>
      </w:r>
      <w:r w:rsidRPr="009253A1" w:rsidR="00316228">
        <w:rPr>
          <w:rFonts w:eastAsia="Arial" w:cs="Arial"/>
          <w:color w:val="000000" w:themeColor="text1"/>
          <w:sz w:val="22"/>
          <w:szCs w:val="22"/>
        </w:rPr>
        <w:t>I</w:t>
      </w:r>
      <w:r w:rsidRPr="009253A1">
        <w:rPr>
          <w:rFonts w:eastAsia="Arial" w:cs="Arial"/>
          <w:color w:val="000000" w:themeColor="text1"/>
          <w:sz w:val="22"/>
          <w:szCs w:val="22"/>
        </w:rPr>
        <w:t>ndicator 2.1, as the EOP target has already been achieved.</w:t>
      </w:r>
    </w:p>
    <w:p w:rsidRPr="009253A1" w:rsidR="00316228" w:rsidP="00756B4F" w:rsidRDefault="00316228" w14:paraId="5D8CA4FD" w14:textId="54155553">
      <w:pPr>
        <w:pStyle w:val="ListParagraph"/>
        <w:numPr>
          <w:ilvl w:val="0"/>
          <w:numId w:val="14"/>
        </w:numPr>
        <w:jc w:val="both"/>
        <w:rPr>
          <w:rFonts w:eastAsia="Arial" w:cs="Arial"/>
          <w:color w:val="000000" w:themeColor="text1"/>
          <w:sz w:val="22"/>
          <w:szCs w:val="22"/>
        </w:rPr>
      </w:pPr>
      <w:r w:rsidRPr="009253A1">
        <w:rPr>
          <w:rFonts w:eastAsia="Arial" w:cs="Arial"/>
          <w:color w:val="000000" w:themeColor="text1"/>
          <w:sz w:val="22"/>
          <w:szCs w:val="22"/>
        </w:rPr>
        <w:t xml:space="preserve">Add an end-of-programme target and interim milestones for </w:t>
      </w:r>
      <w:r w:rsidRPr="009253A1">
        <w:rPr>
          <w:rFonts w:eastAsia="Arial" w:cs="Arial"/>
          <w:b/>
          <w:bCs/>
          <w:color w:val="000000" w:themeColor="text1"/>
          <w:sz w:val="22"/>
          <w:szCs w:val="22"/>
        </w:rPr>
        <w:t>Output Indicator 2.3</w:t>
      </w:r>
      <w:r w:rsidRPr="009253A1">
        <w:rPr>
          <w:rFonts w:eastAsia="Arial" w:cs="Arial"/>
          <w:color w:val="000000" w:themeColor="text1"/>
          <w:sz w:val="22"/>
          <w:szCs w:val="22"/>
        </w:rPr>
        <w:t xml:space="preserve"> for countries reporting on this indicator (currently Ethiopia and Zambia). Interim milestones should be based on the expected delivery of results-based payments. </w:t>
      </w:r>
      <w:r w:rsidRPr="009253A1" w:rsidR="000F6813">
        <w:rPr>
          <w:rFonts w:eastAsia="Arial" w:cs="Arial"/>
          <w:color w:val="000000" w:themeColor="text1"/>
          <w:sz w:val="22"/>
          <w:szCs w:val="22"/>
        </w:rPr>
        <w:t>As such, t</w:t>
      </w:r>
      <w:r w:rsidRPr="009253A1">
        <w:rPr>
          <w:rFonts w:eastAsia="Arial" w:cs="Arial"/>
          <w:color w:val="000000" w:themeColor="text1"/>
          <w:sz w:val="22"/>
          <w:szCs w:val="22"/>
        </w:rPr>
        <w:t xml:space="preserve">he WB EOP target for </w:t>
      </w:r>
      <w:r w:rsidRPr="009253A1" w:rsidR="000F6813">
        <w:rPr>
          <w:rFonts w:eastAsia="Arial" w:cs="Arial"/>
          <w:color w:val="000000" w:themeColor="text1"/>
          <w:sz w:val="22"/>
          <w:szCs w:val="22"/>
        </w:rPr>
        <w:t>O</w:t>
      </w:r>
      <w:r w:rsidRPr="009253A1">
        <w:rPr>
          <w:rFonts w:eastAsia="Arial" w:cs="Arial"/>
          <w:color w:val="000000" w:themeColor="text1"/>
          <w:sz w:val="22"/>
          <w:szCs w:val="22"/>
        </w:rPr>
        <w:t xml:space="preserve">utput </w:t>
      </w:r>
      <w:r w:rsidRPr="009253A1" w:rsidR="000F6813">
        <w:rPr>
          <w:rFonts w:eastAsia="Arial" w:cs="Arial"/>
          <w:color w:val="000000" w:themeColor="text1"/>
          <w:sz w:val="22"/>
          <w:szCs w:val="22"/>
        </w:rPr>
        <w:t>I</w:t>
      </w:r>
      <w:r w:rsidRPr="009253A1">
        <w:rPr>
          <w:rFonts w:eastAsia="Arial" w:cs="Arial"/>
          <w:color w:val="000000" w:themeColor="text1"/>
          <w:sz w:val="22"/>
          <w:szCs w:val="22"/>
        </w:rPr>
        <w:t>ndicator 2.3 was added to the DESNZ logframe. DESNZ set interim milestones.</w:t>
      </w:r>
    </w:p>
    <w:p w:rsidRPr="009253A1" w:rsidR="009253A1" w:rsidP="00756B4F" w:rsidRDefault="000F6813" w14:paraId="0FBBC68C" w14:textId="1D121418">
      <w:pPr>
        <w:pStyle w:val="ListParagraph"/>
        <w:numPr>
          <w:ilvl w:val="0"/>
          <w:numId w:val="14"/>
        </w:numPr>
        <w:rPr>
          <w:rFonts w:eastAsia="Arial" w:cs="Arial"/>
          <w:color w:val="000000" w:themeColor="text1"/>
          <w:sz w:val="22"/>
          <w:szCs w:val="22"/>
          <w:lang w:eastAsia="en-US"/>
        </w:rPr>
      </w:pPr>
      <w:r w:rsidRPr="009253A1">
        <w:rPr>
          <w:rFonts w:eastAsia="Arial" w:cs="Arial"/>
          <w:b/>
          <w:bCs/>
          <w:color w:val="000000" w:themeColor="text1"/>
          <w:sz w:val="22"/>
          <w:szCs w:val="22"/>
          <w:lang w:eastAsia="en-US"/>
        </w:rPr>
        <w:t>Revise sub-weightings under Output 2</w:t>
      </w:r>
      <w:r w:rsidRPr="009253A1">
        <w:rPr>
          <w:rFonts w:eastAsia="Arial" w:cs="Arial"/>
          <w:color w:val="000000" w:themeColor="text1"/>
          <w:sz w:val="22"/>
          <w:szCs w:val="22"/>
          <w:lang w:eastAsia="en-US"/>
        </w:rPr>
        <w:t xml:space="preserve"> as reporting on Output Indicator 2.3 will begin in FY25. Accordingly, Changes to </w:t>
      </w:r>
      <w:r w:rsidRPr="009253A1" w:rsidR="009253A1">
        <w:rPr>
          <w:rFonts w:eastAsia="Arial" w:cs="Arial"/>
          <w:color w:val="000000" w:themeColor="text1"/>
          <w:sz w:val="22"/>
          <w:szCs w:val="22"/>
          <w:lang w:eastAsia="en-US"/>
        </w:rPr>
        <w:t xml:space="preserve">Output 2 </w:t>
      </w:r>
      <w:r w:rsidRPr="009253A1">
        <w:rPr>
          <w:rFonts w:eastAsia="Arial" w:cs="Arial"/>
          <w:color w:val="000000" w:themeColor="text1"/>
          <w:sz w:val="22"/>
          <w:szCs w:val="22"/>
          <w:lang w:eastAsia="en-US"/>
        </w:rPr>
        <w:t>sub-weightings have been revised.</w:t>
      </w:r>
    </w:p>
    <w:p w:rsidR="003D29B4" w:rsidP="00756B4F" w:rsidRDefault="000F6813" w14:paraId="783888EB" w14:textId="0FC322EA">
      <w:pPr>
        <w:pStyle w:val="ListParagraph"/>
        <w:numPr>
          <w:ilvl w:val="0"/>
          <w:numId w:val="14"/>
        </w:numPr>
        <w:rPr>
          <w:rFonts w:eastAsia="Arial" w:cs="Arial"/>
          <w:color w:val="000000" w:themeColor="text1"/>
          <w:sz w:val="22"/>
          <w:szCs w:val="22"/>
        </w:rPr>
      </w:pPr>
      <w:r w:rsidRPr="009253A1">
        <w:rPr>
          <w:rFonts w:eastAsia="Arial" w:cs="Arial"/>
          <w:color w:val="000000" w:themeColor="text1"/>
          <w:sz w:val="22"/>
          <w:szCs w:val="22"/>
        </w:rPr>
        <w:t xml:space="preserve">DESNZ and World Bank to discuss how the </w:t>
      </w:r>
      <w:r w:rsidRPr="009253A1" w:rsidR="009253A1">
        <w:rPr>
          <w:rFonts w:eastAsia="Arial" w:cs="Arial"/>
          <w:color w:val="000000" w:themeColor="text1"/>
          <w:sz w:val="22"/>
          <w:szCs w:val="22"/>
        </w:rPr>
        <w:t>CSA</w:t>
      </w:r>
      <w:r w:rsidRPr="009253A1">
        <w:rPr>
          <w:rFonts w:eastAsia="Arial" w:cs="Arial"/>
          <w:color w:val="000000" w:themeColor="text1"/>
          <w:sz w:val="22"/>
          <w:szCs w:val="22"/>
        </w:rPr>
        <w:t xml:space="preserve"> delivered under</w:t>
      </w:r>
      <w:r w:rsidRPr="009253A1" w:rsidR="009253A1">
        <w:rPr>
          <w:rFonts w:eastAsia="Arial" w:cs="Arial"/>
          <w:color w:val="000000" w:themeColor="text1"/>
          <w:sz w:val="22"/>
          <w:szCs w:val="22"/>
        </w:rPr>
        <w:t xml:space="preserve"> </w:t>
      </w:r>
      <w:r w:rsidR="00CA3213">
        <w:rPr>
          <w:rFonts w:eastAsia="Arial" w:cs="Arial"/>
          <w:color w:val="000000" w:themeColor="text1"/>
          <w:sz w:val="22"/>
          <w:szCs w:val="22"/>
        </w:rPr>
        <w:t xml:space="preserve">the UK’s additional £6m </w:t>
      </w:r>
      <w:r w:rsidR="00025E81">
        <w:rPr>
          <w:rFonts w:eastAsia="Arial" w:cs="Arial"/>
          <w:color w:val="000000" w:themeColor="text1"/>
          <w:sz w:val="22"/>
          <w:szCs w:val="22"/>
        </w:rPr>
        <w:t xml:space="preserve">grant to Zambia </w:t>
      </w:r>
      <w:r w:rsidRPr="009253A1" w:rsidR="009253A1">
        <w:rPr>
          <w:rFonts w:eastAsia="Arial" w:cs="Arial"/>
          <w:color w:val="000000" w:themeColor="text1"/>
          <w:sz w:val="22"/>
          <w:szCs w:val="22"/>
        </w:rPr>
        <w:t xml:space="preserve">will be measured. </w:t>
      </w:r>
      <w:r w:rsidRPr="003D29B4" w:rsidR="003D29B4">
        <w:rPr>
          <w:rFonts w:eastAsia="Arial" w:cs="Arial"/>
          <w:color w:val="000000" w:themeColor="text1"/>
          <w:sz w:val="22"/>
          <w:szCs w:val="22"/>
        </w:rPr>
        <w:t>For the Zambia ER programme:</w:t>
      </w:r>
    </w:p>
    <w:p w:rsidR="003D29B4" w:rsidP="00756B4F" w:rsidRDefault="003D29B4" w14:paraId="72FCF179" w14:textId="77777777">
      <w:pPr>
        <w:pStyle w:val="ListParagraph"/>
        <w:numPr>
          <w:ilvl w:val="1"/>
          <w:numId w:val="14"/>
        </w:numPr>
        <w:rPr>
          <w:rFonts w:eastAsia="Arial" w:cs="Arial"/>
          <w:color w:val="000000" w:themeColor="text1"/>
          <w:sz w:val="22"/>
          <w:szCs w:val="22"/>
        </w:rPr>
      </w:pPr>
      <w:r w:rsidRPr="00D6126B">
        <w:rPr>
          <w:rFonts w:eastAsia="Arial" w:cs="Arial"/>
          <w:color w:val="000000" w:themeColor="text1"/>
          <w:sz w:val="22"/>
          <w:szCs w:val="22"/>
        </w:rPr>
        <w:t>Output 3.1 will be reported on (Number of people in private sector schemes adopting improved agricultural practices). The WB have confirmed this is fully aligned with the number of farmers receiving CSA support/adopting CSA practices.</w:t>
      </w:r>
    </w:p>
    <w:p w:rsidR="003D29B4" w:rsidP="00756B4F" w:rsidRDefault="003D29B4" w14:paraId="45CF5738" w14:textId="77777777">
      <w:pPr>
        <w:pStyle w:val="ListParagraph"/>
        <w:numPr>
          <w:ilvl w:val="1"/>
          <w:numId w:val="14"/>
        </w:numPr>
        <w:rPr>
          <w:rFonts w:eastAsia="Arial" w:cs="Arial"/>
          <w:color w:val="000000" w:themeColor="text1"/>
          <w:sz w:val="22"/>
          <w:szCs w:val="22"/>
        </w:rPr>
      </w:pPr>
      <w:r w:rsidRPr="00D6126B">
        <w:rPr>
          <w:rFonts w:eastAsia="Arial" w:cs="Arial"/>
          <w:color w:val="000000" w:themeColor="text1"/>
          <w:sz w:val="22"/>
          <w:szCs w:val="22"/>
        </w:rPr>
        <w:t>Output 2.1 will not be reported on (Land users who have adopted sustainable land management practices).</w:t>
      </w:r>
    </w:p>
    <w:p w:rsidR="003D29B4" w:rsidP="00756B4F" w:rsidRDefault="003D29B4" w14:paraId="1ACF6EF1" w14:textId="77777777">
      <w:pPr>
        <w:pStyle w:val="ListParagraph"/>
        <w:numPr>
          <w:ilvl w:val="1"/>
          <w:numId w:val="14"/>
        </w:numPr>
        <w:rPr>
          <w:rFonts w:eastAsia="Arial" w:cs="Arial"/>
          <w:color w:val="000000" w:themeColor="text1"/>
          <w:sz w:val="22"/>
          <w:szCs w:val="22"/>
        </w:rPr>
      </w:pPr>
      <w:r w:rsidRPr="00D6126B">
        <w:rPr>
          <w:rFonts w:eastAsia="Arial" w:cs="Arial"/>
          <w:color w:val="000000" w:themeColor="text1"/>
          <w:sz w:val="22"/>
          <w:szCs w:val="22"/>
        </w:rPr>
        <w:t>Output 1.1b will be reported on (Land area under sustainable landscape management practices) however this will measure a combination of all practices on forest, CSA and protected areas.</w:t>
      </w:r>
    </w:p>
    <w:p w:rsidR="6745E2FF" w:rsidP="00756B4F" w:rsidRDefault="003D29B4" w14:paraId="2B51C9EF" w14:textId="4F718738">
      <w:pPr>
        <w:pStyle w:val="ListParagraph"/>
        <w:numPr>
          <w:ilvl w:val="1"/>
          <w:numId w:val="14"/>
        </w:numPr>
        <w:rPr>
          <w:rFonts w:eastAsia="Arial" w:cs="Arial"/>
          <w:color w:val="000000" w:themeColor="text1"/>
          <w:sz w:val="22"/>
          <w:szCs w:val="22"/>
          <w:lang w:eastAsia="en-US"/>
        </w:rPr>
      </w:pPr>
      <w:r w:rsidRPr="00D6126B">
        <w:rPr>
          <w:rFonts w:eastAsia="Arial" w:cs="Arial"/>
          <w:color w:val="000000" w:themeColor="text1"/>
          <w:sz w:val="22"/>
          <w:szCs w:val="22"/>
        </w:rPr>
        <w:t>The WB will also provide narrative updates</w:t>
      </w:r>
      <w:r w:rsidR="00A2660B">
        <w:rPr>
          <w:rFonts w:eastAsia="Arial" w:cs="Arial"/>
          <w:color w:val="000000" w:themeColor="text1"/>
          <w:sz w:val="22"/>
          <w:szCs w:val="22"/>
        </w:rPr>
        <w:t>, for example</w:t>
      </w:r>
      <w:r w:rsidRPr="00D6126B">
        <w:rPr>
          <w:rFonts w:eastAsia="Arial" w:cs="Arial"/>
          <w:color w:val="000000" w:themeColor="text1"/>
          <w:sz w:val="22"/>
          <w:szCs w:val="22"/>
        </w:rPr>
        <w:t xml:space="preserve"> in the Annual Report, Mid-Year Meeting and Annual Meeting.</w:t>
      </w:r>
    </w:p>
    <w:p w:rsidR="34E01BA5" w:rsidP="308101F9" w:rsidRDefault="00B01283" w14:paraId="450B29F2" w14:textId="065CA6C2">
      <w:pPr>
        <w:jc w:val="both"/>
        <w:rPr>
          <w:rFonts w:eastAsia="Arial" w:cs="Arial"/>
          <w:b/>
          <w:bCs/>
          <w:color w:val="000000" w:themeColor="text1"/>
          <w:sz w:val="22"/>
          <w:szCs w:val="22"/>
        </w:rPr>
      </w:pPr>
      <w:r>
        <w:rPr>
          <w:rFonts w:eastAsia="Arial" w:cs="Arial"/>
          <w:b/>
          <w:bCs/>
          <w:color w:val="000000" w:themeColor="text1"/>
          <w:sz w:val="22"/>
          <w:szCs w:val="22"/>
        </w:rPr>
        <w:t>Lessons Learned</w:t>
      </w:r>
    </w:p>
    <w:p w:rsidR="003F2E26" w:rsidP="308101F9" w:rsidRDefault="003F2E26" w14:paraId="3154C47B" w14:textId="77777777">
      <w:pPr>
        <w:jc w:val="both"/>
        <w:rPr>
          <w:rFonts w:eastAsia="Arial" w:cs="Arial"/>
          <w:b/>
          <w:bCs/>
          <w:color w:val="000000" w:themeColor="text1"/>
          <w:sz w:val="22"/>
          <w:szCs w:val="22"/>
        </w:rPr>
      </w:pPr>
    </w:p>
    <w:p w:rsidR="003F2E26" w:rsidP="003F2E26" w:rsidRDefault="003F2E26" w14:paraId="24A53F06" w14:textId="6BFA5DC7">
      <w:pPr>
        <w:jc w:val="both"/>
        <w:rPr>
          <w:rFonts w:eastAsia="Arial" w:cs="Arial"/>
          <w:color w:val="000000" w:themeColor="text1"/>
          <w:sz w:val="22"/>
          <w:szCs w:val="22"/>
        </w:rPr>
      </w:pPr>
      <w:r w:rsidRPr="005819B4">
        <w:rPr>
          <w:rFonts w:eastAsia="Arial" w:cs="Arial"/>
          <w:color w:val="000000" w:themeColor="text1"/>
          <w:sz w:val="22"/>
          <w:szCs w:val="22"/>
        </w:rPr>
        <w:t xml:space="preserve">Building on the </w:t>
      </w:r>
      <w:r>
        <w:rPr>
          <w:rFonts w:eastAsia="Arial" w:cs="Arial"/>
          <w:color w:val="000000" w:themeColor="text1"/>
          <w:sz w:val="22"/>
          <w:szCs w:val="22"/>
        </w:rPr>
        <w:t xml:space="preserve">same </w:t>
      </w:r>
      <w:r w:rsidRPr="005819B4">
        <w:rPr>
          <w:rFonts w:eastAsia="Arial" w:cs="Arial"/>
          <w:color w:val="000000" w:themeColor="text1"/>
          <w:sz w:val="22"/>
          <w:szCs w:val="22"/>
        </w:rPr>
        <w:t>analysis conducted at the conclusion of the Colombia grant programme and insights from stakeholder engagement in Indonesia</w:t>
      </w:r>
      <w:r>
        <w:rPr>
          <w:rFonts w:eastAsia="Arial" w:cs="Arial"/>
          <w:color w:val="000000" w:themeColor="text1"/>
          <w:sz w:val="22"/>
          <w:szCs w:val="22"/>
        </w:rPr>
        <w:t xml:space="preserve">, </w:t>
      </w:r>
      <w:r w:rsidRPr="00224A4A">
        <w:rPr>
          <w:rFonts w:eastAsia="Arial" w:cs="Arial"/>
          <w:color w:val="000000" w:themeColor="text1"/>
          <w:sz w:val="22"/>
          <w:szCs w:val="22"/>
        </w:rPr>
        <w:t>FY2</w:t>
      </w:r>
      <w:r>
        <w:rPr>
          <w:rFonts w:eastAsia="Arial" w:cs="Arial"/>
          <w:color w:val="000000" w:themeColor="text1"/>
          <w:sz w:val="22"/>
          <w:szCs w:val="22"/>
        </w:rPr>
        <w:t>5</w:t>
      </w:r>
      <w:r w:rsidRPr="00224A4A">
        <w:rPr>
          <w:rFonts w:eastAsia="Arial" w:cs="Arial"/>
          <w:color w:val="000000" w:themeColor="text1"/>
          <w:sz w:val="22"/>
          <w:szCs w:val="22"/>
        </w:rPr>
        <w:t xml:space="preserve"> has provided opportunities to reflect upon the key lessons learned on </w:t>
      </w:r>
      <w:r w:rsidR="000C0DEB">
        <w:rPr>
          <w:rFonts w:eastAsia="Arial" w:cs="Arial"/>
          <w:color w:val="000000" w:themeColor="text1"/>
          <w:sz w:val="22"/>
          <w:szCs w:val="22"/>
        </w:rPr>
        <w:t>improving capacity and capability to deliver benefits equitably</w:t>
      </w:r>
      <w:r w:rsidRPr="00224A4A">
        <w:rPr>
          <w:rFonts w:eastAsia="Arial" w:cs="Arial"/>
          <w:color w:val="000000" w:themeColor="text1"/>
          <w:sz w:val="22"/>
          <w:szCs w:val="22"/>
        </w:rPr>
        <w:t xml:space="preserve">. </w:t>
      </w:r>
      <w:r w:rsidR="000C0DEB">
        <w:rPr>
          <w:rFonts w:eastAsia="Arial" w:cs="Arial"/>
          <w:color w:val="000000" w:themeColor="text1"/>
          <w:sz w:val="22"/>
          <w:szCs w:val="22"/>
        </w:rPr>
        <w:t>Examples include</w:t>
      </w:r>
      <w:r w:rsidRPr="00224A4A">
        <w:rPr>
          <w:rFonts w:eastAsia="Arial" w:cs="Arial"/>
          <w:color w:val="000000" w:themeColor="text1"/>
          <w:sz w:val="22"/>
          <w:szCs w:val="22"/>
        </w:rPr>
        <w:t>:</w:t>
      </w:r>
    </w:p>
    <w:p w:rsidR="000C0DEB" w:rsidP="003F2E26" w:rsidRDefault="000C0DEB" w14:paraId="56414704" w14:textId="77777777">
      <w:pPr>
        <w:jc w:val="both"/>
        <w:rPr>
          <w:rFonts w:eastAsia="Arial" w:cs="Arial"/>
          <w:color w:val="000000" w:themeColor="text1"/>
          <w:sz w:val="22"/>
          <w:szCs w:val="22"/>
        </w:rPr>
      </w:pPr>
    </w:p>
    <w:p w:rsidR="00F21D99" w:rsidP="00756B4F" w:rsidRDefault="009436C8" w14:paraId="32A49DF7" w14:textId="77777777">
      <w:pPr>
        <w:pStyle w:val="ListParagraph"/>
        <w:numPr>
          <w:ilvl w:val="0"/>
          <w:numId w:val="14"/>
        </w:numPr>
        <w:jc w:val="both"/>
        <w:rPr>
          <w:rFonts w:eastAsia="Arial" w:cs="Arial"/>
          <w:color w:val="000000" w:themeColor="text1"/>
          <w:sz w:val="22"/>
          <w:szCs w:val="22"/>
        </w:rPr>
      </w:pPr>
      <w:r w:rsidRPr="002061BF">
        <w:rPr>
          <w:rFonts w:eastAsia="Arial" w:cs="Arial"/>
          <w:b/>
          <w:bCs/>
          <w:color w:val="000000" w:themeColor="text1"/>
          <w:sz w:val="22"/>
          <w:szCs w:val="22"/>
        </w:rPr>
        <w:t xml:space="preserve">High-Integrity Stakeholder Engagement </w:t>
      </w:r>
      <w:r w:rsidRPr="002061BF" w:rsidR="000C0DEB">
        <w:rPr>
          <w:rFonts w:eastAsia="Arial" w:cs="Arial"/>
          <w:b/>
          <w:bCs/>
          <w:color w:val="000000" w:themeColor="text1"/>
          <w:sz w:val="22"/>
          <w:szCs w:val="22"/>
        </w:rPr>
        <w:t xml:space="preserve">in </w:t>
      </w:r>
      <w:r w:rsidRPr="002061BF">
        <w:rPr>
          <w:rFonts w:eastAsia="Arial" w:cs="Arial"/>
          <w:b/>
          <w:bCs/>
          <w:color w:val="000000" w:themeColor="text1"/>
          <w:sz w:val="22"/>
          <w:szCs w:val="22"/>
        </w:rPr>
        <w:t>Colombia</w:t>
      </w:r>
      <w:r w:rsidRPr="000C0DEB">
        <w:rPr>
          <w:rFonts w:eastAsia="Arial" w:cs="Arial"/>
          <w:color w:val="000000" w:themeColor="text1"/>
          <w:sz w:val="22"/>
          <w:szCs w:val="22"/>
        </w:rPr>
        <w:t>:</w:t>
      </w:r>
      <w:r w:rsidR="00F21D99">
        <w:rPr>
          <w:rFonts w:eastAsia="Arial" w:cs="Arial"/>
          <w:color w:val="000000" w:themeColor="text1"/>
          <w:sz w:val="22"/>
          <w:szCs w:val="22"/>
        </w:rPr>
        <w:t xml:space="preserve"> t</w:t>
      </w:r>
      <w:r w:rsidRPr="00F21D99">
        <w:rPr>
          <w:rFonts w:eastAsia="Arial" w:cs="Arial"/>
          <w:color w:val="000000" w:themeColor="text1"/>
          <w:sz w:val="22"/>
          <w:szCs w:val="22"/>
        </w:rPr>
        <w:t xml:space="preserve">rust-building with </w:t>
      </w:r>
      <w:r w:rsidR="00F21D99">
        <w:rPr>
          <w:rFonts w:eastAsia="Arial" w:cs="Arial"/>
          <w:color w:val="000000" w:themeColor="text1"/>
          <w:sz w:val="22"/>
          <w:szCs w:val="22"/>
        </w:rPr>
        <w:t>IPLCs</w:t>
      </w:r>
      <w:r w:rsidRPr="00F21D99">
        <w:rPr>
          <w:rFonts w:eastAsia="Arial" w:cs="Arial"/>
          <w:color w:val="000000" w:themeColor="text1"/>
          <w:sz w:val="22"/>
          <w:szCs w:val="22"/>
        </w:rPr>
        <w:t xml:space="preserve"> is essential. Iterative engagement processes aligned with Colombian legislation are necessary to ensure consent and confidence.</w:t>
      </w:r>
    </w:p>
    <w:p w:rsidR="007D7B68" w:rsidP="00756B4F" w:rsidRDefault="009436C8" w14:paraId="78F59BDA" w14:textId="77777777">
      <w:pPr>
        <w:pStyle w:val="ListParagraph"/>
        <w:numPr>
          <w:ilvl w:val="0"/>
          <w:numId w:val="14"/>
        </w:numPr>
        <w:jc w:val="both"/>
        <w:rPr>
          <w:rFonts w:eastAsia="Arial" w:cs="Arial"/>
          <w:color w:val="000000" w:themeColor="text1"/>
          <w:sz w:val="22"/>
          <w:szCs w:val="22"/>
        </w:rPr>
      </w:pPr>
      <w:r w:rsidRPr="00F21D99">
        <w:rPr>
          <w:rFonts w:eastAsia="Arial" w:cs="Arial"/>
          <w:b/>
          <w:bCs/>
          <w:color w:val="000000" w:themeColor="text1"/>
          <w:sz w:val="22"/>
          <w:szCs w:val="22"/>
        </w:rPr>
        <w:t xml:space="preserve">Synergies with Existing Policies </w:t>
      </w:r>
      <w:r w:rsidRPr="00F21D99" w:rsidR="00F21D99">
        <w:rPr>
          <w:rFonts w:eastAsia="Arial" w:cs="Arial"/>
          <w:b/>
          <w:bCs/>
          <w:color w:val="000000" w:themeColor="text1"/>
          <w:sz w:val="22"/>
          <w:szCs w:val="22"/>
        </w:rPr>
        <w:t xml:space="preserve">in </w:t>
      </w:r>
      <w:r w:rsidRPr="00F21D99">
        <w:rPr>
          <w:rFonts w:eastAsia="Arial" w:cs="Arial"/>
          <w:b/>
          <w:bCs/>
          <w:color w:val="000000" w:themeColor="text1"/>
          <w:sz w:val="22"/>
          <w:szCs w:val="22"/>
        </w:rPr>
        <w:t>Colombia:</w:t>
      </w:r>
      <w:r w:rsidR="00F21D99">
        <w:rPr>
          <w:rFonts w:eastAsia="Arial" w:cs="Arial"/>
          <w:color w:val="000000" w:themeColor="text1"/>
          <w:sz w:val="22"/>
          <w:szCs w:val="22"/>
        </w:rPr>
        <w:t xml:space="preserve"> a</w:t>
      </w:r>
      <w:r w:rsidRPr="00F21D99">
        <w:rPr>
          <w:rFonts w:eastAsia="Arial" w:cs="Arial"/>
          <w:color w:val="000000" w:themeColor="text1"/>
          <w:sz w:val="22"/>
          <w:szCs w:val="22"/>
        </w:rPr>
        <w:t>lign</w:t>
      </w:r>
      <w:r w:rsidR="00F21D99">
        <w:rPr>
          <w:rFonts w:eastAsia="Arial" w:cs="Arial"/>
          <w:color w:val="000000" w:themeColor="text1"/>
          <w:sz w:val="22"/>
          <w:szCs w:val="22"/>
        </w:rPr>
        <w:t>ment</w:t>
      </w:r>
      <w:r w:rsidRPr="00F21D99">
        <w:rPr>
          <w:rFonts w:eastAsia="Arial" w:cs="Arial"/>
          <w:color w:val="000000" w:themeColor="text1"/>
          <w:sz w:val="22"/>
          <w:szCs w:val="22"/>
        </w:rPr>
        <w:t xml:space="preserve"> with existing initiatives enhances effectiveness</w:t>
      </w:r>
      <w:r w:rsidR="00F21D99">
        <w:rPr>
          <w:rFonts w:eastAsia="Arial" w:cs="Arial"/>
          <w:color w:val="000000" w:themeColor="text1"/>
          <w:sz w:val="22"/>
          <w:szCs w:val="22"/>
        </w:rPr>
        <w:t>,</w:t>
      </w:r>
      <w:r w:rsidRPr="00F21D99">
        <w:rPr>
          <w:rFonts w:eastAsia="Arial" w:cs="Arial"/>
          <w:color w:val="000000" w:themeColor="text1"/>
          <w:sz w:val="22"/>
          <w:szCs w:val="22"/>
        </w:rPr>
        <w:t xml:space="preserve"> but </w:t>
      </w:r>
      <w:r w:rsidR="007D7B68">
        <w:rPr>
          <w:rFonts w:eastAsia="Arial" w:cs="Arial"/>
          <w:color w:val="000000" w:themeColor="text1"/>
          <w:sz w:val="22"/>
          <w:szCs w:val="22"/>
        </w:rPr>
        <w:t xml:space="preserve">such alignment </w:t>
      </w:r>
      <w:r w:rsidRPr="00F21D99">
        <w:rPr>
          <w:rFonts w:eastAsia="Arial" w:cs="Arial"/>
          <w:color w:val="000000" w:themeColor="text1"/>
          <w:sz w:val="22"/>
          <w:szCs w:val="22"/>
        </w:rPr>
        <w:t>must be carefully sequenced to avoid coordination overload.</w:t>
      </w:r>
    </w:p>
    <w:p w:rsidRPr="00414720" w:rsidR="00B01283" w:rsidP="00756B4F" w:rsidRDefault="009436C8" w14:paraId="76F4AC5E" w14:textId="7F24632E">
      <w:pPr>
        <w:pStyle w:val="ListParagraph"/>
        <w:numPr>
          <w:ilvl w:val="0"/>
          <w:numId w:val="14"/>
        </w:numPr>
        <w:jc w:val="both"/>
        <w:rPr>
          <w:rFonts w:eastAsia="Arial" w:cs="Arial"/>
          <w:color w:val="000000" w:themeColor="text1"/>
          <w:sz w:val="22"/>
          <w:szCs w:val="22"/>
        </w:rPr>
      </w:pPr>
      <w:r w:rsidRPr="00F2147B">
        <w:rPr>
          <w:rFonts w:eastAsia="Arial" w:cs="Arial"/>
          <w:b/>
          <w:bCs/>
          <w:color w:val="000000" w:themeColor="text1"/>
          <w:sz w:val="22"/>
          <w:szCs w:val="22"/>
        </w:rPr>
        <w:t xml:space="preserve">Strengthened Consultation Processes </w:t>
      </w:r>
      <w:r w:rsidRPr="00F2147B" w:rsidR="007D7B68">
        <w:rPr>
          <w:rFonts w:eastAsia="Arial" w:cs="Arial"/>
          <w:b/>
          <w:bCs/>
          <w:color w:val="000000" w:themeColor="text1"/>
          <w:sz w:val="22"/>
          <w:szCs w:val="22"/>
        </w:rPr>
        <w:t xml:space="preserve">in </w:t>
      </w:r>
      <w:r w:rsidRPr="00F2147B">
        <w:rPr>
          <w:rFonts w:eastAsia="Arial" w:cs="Arial"/>
          <w:b/>
          <w:bCs/>
          <w:color w:val="000000" w:themeColor="text1"/>
          <w:sz w:val="22"/>
          <w:szCs w:val="22"/>
        </w:rPr>
        <w:t>Indonesi</w:t>
      </w:r>
      <w:r w:rsidRPr="00F2147B" w:rsidR="007D7B68">
        <w:rPr>
          <w:rFonts w:eastAsia="Arial" w:cs="Arial"/>
          <w:b/>
          <w:bCs/>
          <w:color w:val="000000" w:themeColor="text1"/>
          <w:sz w:val="22"/>
          <w:szCs w:val="22"/>
        </w:rPr>
        <w:t>a</w:t>
      </w:r>
      <w:r w:rsidR="007D7B68">
        <w:rPr>
          <w:rFonts w:eastAsia="Arial" w:cs="Arial"/>
          <w:color w:val="000000" w:themeColor="text1"/>
          <w:sz w:val="22"/>
          <w:szCs w:val="22"/>
        </w:rPr>
        <w:t xml:space="preserve">: ISFL </w:t>
      </w:r>
      <w:r w:rsidRPr="007D7B68">
        <w:rPr>
          <w:rFonts w:eastAsia="Arial" w:cs="Arial"/>
          <w:color w:val="000000" w:themeColor="text1"/>
          <w:sz w:val="22"/>
          <w:szCs w:val="22"/>
        </w:rPr>
        <w:t xml:space="preserve">in Indonesia is improving stakeholder engagement, especially with </w:t>
      </w:r>
      <w:r w:rsidR="00F2147B">
        <w:rPr>
          <w:rFonts w:eastAsia="Arial" w:cs="Arial"/>
          <w:color w:val="000000" w:themeColor="text1"/>
          <w:sz w:val="22"/>
          <w:szCs w:val="22"/>
        </w:rPr>
        <w:t>IPLCs</w:t>
      </w:r>
      <w:r w:rsidRPr="007D7B68">
        <w:rPr>
          <w:rFonts w:eastAsia="Arial" w:cs="Arial"/>
          <w:color w:val="000000" w:themeColor="text1"/>
          <w:sz w:val="22"/>
          <w:szCs w:val="22"/>
        </w:rPr>
        <w:t>, to ensure inclusiv</w:t>
      </w:r>
      <w:r w:rsidR="00F2147B">
        <w:rPr>
          <w:rFonts w:eastAsia="Arial" w:cs="Arial"/>
          <w:color w:val="000000" w:themeColor="text1"/>
          <w:sz w:val="22"/>
          <w:szCs w:val="22"/>
        </w:rPr>
        <w:t xml:space="preserve">e and </w:t>
      </w:r>
      <w:r w:rsidRPr="007D7B68">
        <w:rPr>
          <w:rFonts w:eastAsia="Arial" w:cs="Arial"/>
          <w:color w:val="000000" w:themeColor="text1"/>
          <w:sz w:val="22"/>
          <w:szCs w:val="22"/>
        </w:rPr>
        <w:t>equitable participation.</w:t>
      </w:r>
      <w:r w:rsidR="00FD7295">
        <w:rPr>
          <w:rFonts w:eastAsia="Arial" w:cs="Arial"/>
          <w:color w:val="000000" w:themeColor="text1"/>
          <w:sz w:val="22"/>
          <w:szCs w:val="22"/>
        </w:rPr>
        <w:t xml:space="preserve"> ISFL are c</w:t>
      </w:r>
      <w:r w:rsidRPr="00FD7295">
        <w:rPr>
          <w:rFonts w:eastAsia="Arial" w:cs="Arial"/>
          <w:color w:val="000000" w:themeColor="text1"/>
          <w:sz w:val="22"/>
          <w:szCs w:val="22"/>
        </w:rPr>
        <w:t>learly defining the full suite of program</w:t>
      </w:r>
      <w:r w:rsidR="00FD7295">
        <w:rPr>
          <w:rFonts w:eastAsia="Arial" w:cs="Arial"/>
          <w:color w:val="000000" w:themeColor="text1"/>
          <w:sz w:val="22"/>
          <w:szCs w:val="22"/>
        </w:rPr>
        <w:t>me</w:t>
      </w:r>
      <w:r w:rsidRPr="00FD7295">
        <w:rPr>
          <w:rFonts w:eastAsia="Arial" w:cs="Arial"/>
          <w:color w:val="000000" w:themeColor="text1"/>
          <w:sz w:val="22"/>
          <w:szCs w:val="22"/>
        </w:rPr>
        <w:t xml:space="preserve"> activities </w:t>
      </w:r>
      <w:r w:rsidR="00FD7295">
        <w:rPr>
          <w:rFonts w:eastAsia="Arial" w:cs="Arial"/>
          <w:color w:val="000000" w:themeColor="text1"/>
          <w:sz w:val="22"/>
          <w:szCs w:val="22"/>
        </w:rPr>
        <w:t xml:space="preserve">to </w:t>
      </w:r>
      <w:r w:rsidRPr="00FD7295">
        <w:rPr>
          <w:rFonts w:eastAsia="Arial" w:cs="Arial"/>
          <w:color w:val="000000" w:themeColor="text1"/>
          <w:sz w:val="22"/>
          <w:szCs w:val="22"/>
        </w:rPr>
        <w:t>help stakeholders understand and engage with the program</w:t>
      </w:r>
      <w:r w:rsidR="00FD7295">
        <w:rPr>
          <w:rFonts w:eastAsia="Arial" w:cs="Arial"/>
          <w:color w:val="000000" w:themeColor="text1"/>
          <w:sz w:val="22"/>
          <w:szCs w:val="22"/>
        </w:rPr>
        <w:t>me</w:t>
      </w:r>
      <w:r w:rsidRPr="00FD7295">
        <w:rPr>
          <w:rFonts w:eastAsia="Arial" w:cs="Arial"/>
          <w:color w:val="000000" w:themeColor="text1"/>
          <w:sz w:val="22"/>
          <w:szCs w:val="22"/>
        </w:rPr>
        <w:t xml:space="preserve"> effectively.</w:t>
      </w:r>
    </w:p>
    <w:p w:rsidR="6745E2FF" w:rsidP="6A234BCB" w:rsidRDefault="389F5D4C" w14:paraId="64D3380F" w14:textId="73E77177">
      <w:pPr>
        <w:jc w:val="both"/>
        <w:rPr>
          <w:rFonts w:eastAsia="Arial" w:cs="Arial"/>
          <w:sz w:val="22"/>
          <w:szCs w:val="22"/>
        </w:rPr>
      </w:pPr>
      <w:r w:rsidRPr="5A4FCF86">
        <w:rPr>
          <w:rFonts w:eastAsia="Arial" w:cs="Arial"/>
          <w:b/>
          <w:bCs/>
          <w:color w:val="000000" w:themeColor="text1"/>
          <w:sz w:val="22"/>
          <w:szCs w:val="22"/>
        </w:rPr>
        <w:t>Recommendations for FY2</w:t>
      </w:r>
      <w:r w:rsidRPr="5A4FCF86" w:rsidR="58870D4C">
        <w:rPr>
          <w:rFonts w:eastAsia="Arial" w:cs="Arial"/>
          <w:b/>
          <w:bCs/>
          <w:color w:val="000000" w:themeColor="text1"/>
          <w:sz w:val="22"/>
          <w:szCs w:val="22"/>
        </w:rPr>
        <w:t>6</w:t>
      </w:r>
    </w:p>
    <w:p w:rsidR="00256DA8" w:rsidP="308101F9" w:rsidRDefault="00256DA8" w14:paraId="3ABF7EC5" w14:textId="77777777">
      <w:pPr>
        <w:jc w:val="both"/>
        <w:rPr>
          <w:rFonts w:eastAsia="Arial" w:cs="Arial"/>
          <w:b/>
          <w:bCs/>
          <w:color w:val="000000" w:themeColor="text1"/>
          <w:sz w:val="22"/>
          <w:szCs w:val="22"/>
        </w:rPr>
      </w:pPr>
    </w:p>
    <w:p w:rsidRPr="00817A9B" w:rsidR="00817A9B" w:rsidP="00817A9B" w:rsidRDefault="00817A9B" w14:paraId="0E8EA756" w14:textId="77777777">
      <w:pPr>
        <w:jc w:val="both"/>
        <w:rPr>
          <w:rFonts w:eastAsia="Arial" w:cs="Arial"/>
          <w:b/>
          <w:bCs/>
          <w:color w:val="000000" w:themeColor="text1"/>
          <w:sz w:val="22"/>
          <w:szCs w:val="22"/>
        </w:rPr>
      </w:pPr>
      <w:r w:rsidRPr="00817A9B">
        <w:rPr>
          <w:rFonts w:eastAsia="Arial" w:cs="Arial"/>
          <w:b/>
          <w:bCs/>
          <w:color w:val="000000" w:themeColor="text1"/>
          <w:sz w:val="22"/>
          <w:szCs w:val="22"/>
        </w:rPr>
        <w:t xml:space="preserve">Recommendation [7]: </w:t>
      </w:r>
      <w:r w:rsidRPr="00817A9B">
        <w:rPr>
          <w:rFonts w:eastAsia="Arial" w:cs="Arial"/>
          <w:color w:val="000000" w:themeColor="text1"/>
          <w:sz w:val="22"/>
          <w:szCs w:val="22"/>
        </w:rPr>
        <w:t>World Bank and contributors to hold forward-looking discussions on benefit sharing, including learning from the FCPF Carbon Fund, in advance of the first emission reductions payments expected in FY26.</w:t>
      </w:r>
      <w:r w:rsidRPr="00817A9B">
        <w:rPr>
          <w:rFonts w:eastAsia="Arial" w:cs="Arial"/>
          <w:b/>
          <w:bCs/>
          <w:color w:val="000000" w:themeColor="text1"/>
          <w:sz w:val="22"/>
          <w:szCs w:val="22"/>
        </w:rPr>
        <w:t xml:space="preserve">  </w:t>
      </w:r>
    </w:p>
    <w:p w:rsidRPr="00817A9B" w:rsidR="00817A9B" w:rsidP="00817A9B" w:rsidRDefault="00817A9B" w14:paraId="11B65A4C" w14:textId="77777777">
      <w:pPr>
        <w:jc w:val="both"/>
        <w:rPr>
          <w:rFonts w:eastAsia="Arial" w:cs="Arial"/>
          <w:b/>
          <w:bCs/>
          <w:color w:val="000000" w:themeColor="text1"/>
          <w:sz w:val="22"/>
          <w:szCs w:val="22"/>
        </w:rPr>
      </w:pPr>
      <w:r w:rsidRPr="00817A9B">
        <w:rPr>
          <w:rFonts w:eastAsia="Arial" w:cs="Arial"/>
          <w:b/>
          <w:bCs/>
          <w:color w:val="000000" w:themeColor="text1"/>
          <w:sz w:val="22"/>
          <w:szCs w:val="22"/>
        </w:rPr>
        <w:t> </w:t>
      </w:r>
    </w:p>
    <w:p w:rsidRPr="00414720" w:rsidR="6A234BCB" w:rsidP="00414720" w:rsidRDefault="00817A9B" w14:paraId="42379AAD" w14:textId="0D8C528C">
      <w:pPr>
        <w:jc w:val="both"/>
        <w:rPr>
          <w:rFonts w:eastAsia="Arial" w:cs="Arial"/>
          <w:color w:val="000000" w:themeColor="text1"/>
          <w:sz w:val="22"/>
          <w:szCs w:val="22"/>
        </w:rPr>
      </w:pPr>
      <w:r w:rsidRPr="00817A9B">
        <w:rPr>
          <w:rFonts w:eastAsia="Arial" w:cs="Arial"/>
          <w:i/>
          <w:iCs/>
          <w:color w:val="000000" w:themeColor="text1"/>
          <w:sz w:val="22"/>
          <w:szCs w:val="22"/>
        </w:rPr>
        <w:t>Deadline: 30 June 2026</w:t>
      </w:r>
      <w:r w:rsidR="6A234BCB">
        <w:br w:type="page"/>
      </w:r>
    </w:p>
    <w:p w:rsidR="004A367B" w:rsidP="004D5FD5" w:rsidRDefault="004A367B" w14:paraId="345661C3" w14:textId="05C723AD">
      <w:pPr>
        <w:pStyle w:val="Heading2"/>
        <w:jc w:val="both"/>
      </w:pPr>
      <w:bookmarkStart w:name="_Toc813439086" w:id="647998519"/>
      <w:r w:rsidR="3C4C3EE7">
        <w:rPr/>
        <w:t xml:space="preserve">Output 3: </w:t>
      </w:r>
      <w:r w:rsidR="3F6499B3">
        <w:rPr/>
        <w:t>Replicable and scalable models of public-private or private investment in place that enable sustainable revenue streams for local communities, protection of biodiversity and improved land-use management through sustainable practices.</w:t>
      </w:r>
      <w:bookmarkEnd w:id="647998519"/>
    </w:p>
    <w:p w:rsidRPr="00ED5FD4" w:rsidR="00ED5FD4" w:rsidP="00ED5FD4" w:rsidRDefault="00ED5FD4" w14:paraId="23CF0139" w14:textId="77777777"/>
    <w:tbl>
      <w:tblPr>
        <w:tblStyle w:val="TableGrid"/>
        <w:tblW w:w="9072" w:type="dxa"/>
        <w:tblInd w:w="-5" w:type="dxa"/>
        <w:tblLook w:val="04A0" w:firstRow="1" w:lastRow="0" w:firstColumn="1" w:lastColumn="0" w:noHBand="0" w:noVBand="1"/>
      </w:tblPr>
      <w:tblGrid>
        <w:gridCol w:w="1566"/>
        <w:gridCol w:w="616"/>
        <w:gridCol w:w="1250"/>
        <w:gridCol w:w="2664"/>
        <w:gridCol w:w="2976"/>
      </w:tblGrid>
      <w:tr w:rsidRPr="00D80C6C" w:rsidR="00480A96" w:rsidTr="397D7EA0" w14:paraId="343E8A59" w14:textId="77777777">
        <w:trPr>
          <w:trHeight w:val="489"/>
        </w:trPr>
        <w:tc>
          <w:tcPr>
            <w:tcW w:w="156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D5FD4" w:rsidRDefault="00ED5FD4" w14:paraId="7F6358D7" w14:textId="77777777">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ED5FD4" w:rsidR="00ED5FD4" w:rsidP="308101F9" w:rsidRDefault="65319FDB" w14:paraId="215425E5" w14:textId="661FF796">
            <w:pPr>
              <w:rPr>
                <w:rFonts w:eastAsia="Arial" w:cs="Arial"/>
                <w:sz w:val="22"/>
                <w:szCs w:val="22"/>
              </w:rPr>
            </w:pPr>
            <w:r w:rsidRPr="308101F9">
              <w:rPr>
                <w:rFonts w:eastAsia="Arial" w:cs="Arial"/>
                <w:color w:val="000000" w:themeColor="text1"/>
                <w:sz w:val="20"/>
                <w:szCs w:val="20"/>
              </w:rPr>
              <w:t>Output 3: Replicable and scalable models of public-private or private investment in place that enable sustainable revenue streams for local communities, protection of biodiversity and improved land-use management through sustainable practices.</w:t>
            </w:r>
          </w:p>
        </w:tc>
      </w:tr>
      <w:tr w:rsidRPr="00D80C6C" w:rsidR="00AF370D" w:rsidTr="397D7EA0" w14:paraId="0D129A7F" w14:textId="77777777">
        <w:trPr>
          <w:trHeight w:val="347"/>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D5FD4" w:rsidRDefault="00ED5FD4" w14:paraId="5E4E4F19" w14:textId="77777777">
            <w:pPr>
              <w:jc w:val="both"/>
              <w:rPr>
                <w:rFonts w:cs="Arial"/>
                <w:bCs/>
                <w:sz w:val="22"/>
                <w:szCs w:val="22"/>
              </w:rPr>
            </w:pPr>
            <w:r w:rsidRPr="00D80C6C">
              <w:rPr>
                <w:rFonts w:cs="Arial"/>
                <w:bCs/>
                <w:sz w:val="22"/>
                <w:szCs w:val="22"/>
              </w:rPr>
              <w:t xml:space="preserve">Output number: </w:t>
            </w:r>
          </w:p>
        </w:tc>
        <w:tc>
          <w:tcPr>
            <w:tcW w:w="1250" w:type="dxa"/>
            <w:tcBorders>
              <w:top w:val="single" w:color="auto" w:sz="4" w:space="0"/>
              <w:left w:val="single" w:color="auto" w:sz="4" w:space="0"/>
              <w:bottom w:val="single" w:color="auto" w:sz="4" w:space="0"/>
              <w:right w:val="single" w:color="auto" w:sz="4" w:space="0"/>
            </w:tcBorders>
          </w:tcPr>
          <w:p w:rsidR="308101F9" w:rsidP="308101F9" w:rsidRDefault="308101F9" w14:paraId="498C7008" w14:textId="787BBAA7">
            <w:pPr>
              <w:rPr>
                <w:rFonts w:eastAsia="Arial" w:cs="Arial"/>
                <w:color w:val="000000" w:themeColor="text1"/>
                <w:sz w:val="20"/>
                <w:szCs w:val="20"/>
              </w:rPr>
            </w:pPr>
            <w:r w:rsidRPr="308101F9">
              <w:rPr>
                <w:rFonts w:eastAsia="Arial" w:cs="Arial"/>
                <w:color w:val="000000" w:themeColor="text1"/>
                <w:sz w:val="20"/>
                <w:szCs w:val="20"/>
              </w:rPr>
              <w:t>3</w:t>
            </w:r>
          </w:p>
        </w:tc>
        <w:tc>
          <w:tcPr>
            <w:tcW w:w="266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D5FD4" w:rsidRDefault="00ED5FD4" w14:paraId="358A97E8" w14:textId="77777777">
            <w:pPr>
              <w:jc w:val="both"/>
              <w:rPr>
                <w:rFonts w:cs="Arial"/>
                <w:sz w:val="22"/>
                <w:szCs w:val="22"/>
              </w:rPr>
            </w:pPr>
            <w:r w:rsidRPr="00D80C6C">
              <w:rPr>
                <w:rFonts w:cs="Arial"/>
                <w:bCs/>
                <w:sz w:val="22"/>
                <w:szCs w:val="22"/>
              </w:rPr>
              <w:t xml:space="preserve">Output Score: </w:t>
            </w:r>
          </w:p>
        </w:tc>
        <w:tc>
          <w:tcPr>
            <w:tcW w:w="2976" w:type="dxa"/>
            <w:tcBorders>
              <w:top w:val="single" w:color="auto" w:sz="4" w:space="0"/>
              <w:left w:val="single" w:color="auto" w:sz="4" w:space="0"/>
              <w:bottom w:val="single" w:color="auto" w:sz="4" w:space="0"/>
              <w:right w:val="single" w:color="auto" w:sz="4" w:space="0"/>
            </w:tcBorders>
          </w:tcPr>
          <w:p w:rsidRPr="00DB3B57" w:rsidR="00ED5FD4" w:rsidP="397D7EA0" w:rsidRDefault="0A5E2E7D" w14:paraId="20F25E26" w14:textId="23DC465E">
            <w:pPr>
              <w:jc w:val="both"/>
              <w:rPr>
                <w:rFonts w:cs="Arial"/>
                <w:b/>
                <w:bCs/>
                <w:sz w:val="22"/>
                <w:szCs w:val="22"/>
              </w:rPr>
            </w:pPr>
            <w:r w:rsidRPr="397D7EA0">
              <w:rPr>
                <w:rFonts w:cs="Arial"/>
                <w:b/>
                <w:bCs/>
                <w:sz w:val="22"/>
                <w:szCs w:val="22"/>
              </w:rPr>
              <w:t>A</w:t>
            </w:r>
          </w:p>
        </w:tc>
      </w:tr>
      <w:tr w:rsidRPr="00D80C6C" w:rsidR="00AF370D" w:rsidTr="397D7EA0" w14:paraId="71D6D4AA"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D5FD4" w:rsidRDefault="00ED5FD4" w14:paraId="1DBDA094" w14:textId="77777777">
            <w:pPr>
              <w:jc w:val="both"/>
              <w:rPr>
                <w:rFonts w:cs="Arial"/>
                <w:sz w:val="22"/>
                <w:szCs w:val="22"/>
              </w:rPr>
            </w:pPr>
            <w:r w:rsidRPr="00D80C6C">
              <w:rPr>
                <w:rFonts w:cs="Arial"/>
                <w:bCs/>
                <w:sz w:val="22"/>
                <w:szCs w:val="22"/>
              </w:rPr>
              <w:t xml:space="preserve">Impact weighting (%):  </w:t>
            </w:r>
          </w:p>
        </w:tc>
        <w:tc>
          <w:tcPr>
            <w:tcW w:w="1250" w:type="dxa"/>
            <w:tcBorders>
              <w:top w:val="single" w:color="auto" w:sz="4" w:space="0"/>
              <w:left w:val="single" w:color="auto" w:sz="4" w:space="0"/>
              <w:bottom w:val="single" w:color="auto" w:sz="4" w:space="0"/>
              <w:right w:val="single" w:color="auto" w:sz="4" w:space="0"/>
            </w:tcBorders>
            <w:hideMark/>
          </w:tcPr>
          <w:p w:rsidR="308101F9" w:rsidP="308101F9" w:rsidRDefault="308101F9" w14:paraId="53EE6B62" w14:textId="7C8B2AEE">
            <w:pPr>
              <w:rPr>
                <w:rFonts w:eastAsia="Arial" w:cs="Arial"/>
                <w:color w:val="000000" w:themeColor="text1"/>
                <w:sz w:val="20"/>
                <w:szCs w:val="20"/>
              </w:rPr>
            </w:pPr>
            <w:r w:rsidRPr="308101F9">
              <w:rPr>
                <w:rFonts w:eastAsia="Arial" w:cs="Arial"/>
                <w:color w:val="000000" w:themeColor="text1"/>
                <w:sz w:val="20"/>
                <w:szCs w:val="20"/>
              </w:rPr>
              <w:t>25</w:t>
            </w:r>
          </w:p>
        </w:tc>
        <w:tc>
          <w:tcPr>
            <w:tcW w:w="266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D5FD4" w:rsidRDefault="00ED5FD4" w14:paraId="5E35CD2B" w14:textId="77777777">
            <w:pPr>
              <w:jc w:val="both"/>
              <w:rPr>
                <w:rFonts w:cs="Arial"/>
                <w:bCs/>
                <w:sz w:val="22"/>
                <w:szCs w:val="22"/>
              </w:rPr>
            </w:pPr>
            <w:r w:rsidRPr="00D80C6C">
              <w:rPr>
                <w:rFonts w:cs="Arial"/>
                <w:bCs/>
                <w:sz w:val="22"/>
                <w:szCs w:val="22"/>
              </w:rPr>
              <w:t xml:space="preserve">Weighting revised since last AR? </w:t>
            </w:r>
          </w:p>
        </w:tc>
        <w:tc>
          <w:tcPr>
            <w:tcW w:w="2976" w:type="dxa"/>
            <w:tcBorders>
              <w:top w:val="single" w:color="auto" w:sz="4" w:space="0"/>
              <w:left w:val="single" w:color="auto" w:sz="4" w:space="0"/>
              <w:bottom w:val="single" w:color="auto" w:sz="4" w:space="0"/>
              <w:right w:val="single" w:color="auto" w:sz="4" w:space="0"/>
            </w:tcBorders>
          </w:tcPr>
          <w:p w:rsidRPr="00D80C6C" w:rsidR="00ED5FD4" w:rsidP="397D7EA0" w:rsidRDefault="0CAF4369" w14:paraId="510CC462" w14:textId="302D8CEB">
            <w:pPr>
              <w:jc w:val="both"/>
              <w:rPr>
                <w:rFonts w:cs="Arial"/>
                <w:b/>
                <w:bCs/>
                <w:sz w:val="22"/>
                <w:szCs w:val="22"/>
              </w:rPr>
            </w:pPr>
            <w:r w:rsidRPr="397D7EA0">
              <w:rPr>
                <w:rFonts w:cs="Arial"/>
                <w:b/>
                <w:bCs/>
                <w:sz w:val="22"/>
                <w:szCs w:val="22"/>
              </w:rPr>
              <w:t>No</w:t>
            </w:r>
          </w:p>
        </w:tc>
      </w:tr>
      <w:tr w:rsidRPr="00D80C6C" w:rsidR="00AF370D" w:rsidTr="397D7EA0" w14:paraId="13EB579E"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ED5FD4" w:rsidRDefault="00ED5FD4" w14:paraId="59A981A1" w14:textId="44967B89">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1250" w:type="dxa"/>
            <w:tcBorders>
              <w:top w:val="single" w:color="auto" w:sz="4" w:space="0"/>
              <w:left w:val="single" w:color="auto" w:sz="4" w:space="0"/>
              <w:bottom w:val="single" w:color="auto" w:sz="4" w:space="0"/>
              <w:right w:val="single" w:color="auto" w:sz="4" w:space="0"/>
            </w:tcBorders>
          </w:tcPr>
          <w:p w:rsidR="308101F9" w:rsidP="308101F9" w:rsidRDefault="308101F9" w14:paraId="3E22095A" w14:textId="31751DD3">
            <w:pPr>
              <w:rPr>
                <w:rFonts w:eastAsia="Arial" w:cs="Arial"/>
                <w:color w:val="000000" w:themeColor="text1"/>
                <w:sz w:val="20"/>
                <w:szCs w:val="20"/>
              </w:rPr>
            </w:pPr>
            <w:r w:rsidRPr="308101F9">
              <w:rPr>
                <w:rFonts w:eastAsia="Arial" w:cs="Arial"/>
                <w:color w:val="000000" w:themeColor="text1"/>
                <w:sz w:val="20"/>
                <w:szCs w:val="20"/>
              </w:rPr>
              <w:t>Moderate</w:t>
            </w:r>
          </w:p>
        </w:tc>
        <w:tc>
          <w:tcPr>
            <w:tcW w:w="2664"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ED5FD4" w:rsidRDefault="00ED5FD4" w14:paraId="41EB55AA" w14:textId="77777777">
            <w:pPr>
              <w:jc w:val="both"/>
              <w:rPr>
                <w:rFonts w:cs="Arial"/>
                <w:bCs/>
                <w:sz w:val="22"/>
                <w:szCs w:val="22"/>
              </w:rPr>
            </w:pPr>
            <w:r w:rsidRPr="00D80C6C">
              <w:rPr>
                <w:rFonts w:cs="Arial"/>
                <w:bCs/>
                <w:sz w:val="22"/>
                <w:szCs w:val="22"/>
              </w:rPr>
              <w:t>Risk revised since last AR?</w:t>
            </w:r>
          </w:p>
        </w:tc>
        <w:tc>
          <w:tcPr>
            <w:tcW w:w="2976" w:type="dxa"/>
            <w:tcBorders>
              <w:top w:val="single" w:color="auto" w:sz="4" w:space="0"/>
              <w:left w:val="single" w:color="auto" w:sz="4" w:space="0"/>
              <w:bottom w:val="single" w:color="auto" w:sz="4" w:space="0"/>
              <w:right w:val="single" w:color="auto" w:sz="4" w:space="0"/>
            </w:tcBorders>
          </w:tcPr>
          <w:p w:rsidRPr="00D80C6C" w:rsidR="00ED5FD4" w:rsidP="397D7EA0" w:rsidRDefault="1878AB7C" w14:paraId="7C423B56" w14:textId="16DCFCB0">
            <w:pPr>
              <w:jc w:val="both"/>
              <w:rPr>
                <w:rFonts w:cs="Arial"/>
                <w:b/>
                <w:bCs/>
                <w:sz w:val="22"/>
                <w:szCs w:val="22"/>
              </w:rPr>
            </w:pPr>
            <w:r w:rsidRPr="397D7EA0">
              <w:rPr>
                <w:rFonts w:cs="Arial"/>
                <w:b/>
                <w:bCs/>
                <w:sz w:val="22"/>
                <w:szCs w:val="22"/>
              </w:rPr>
              <w:t>No</w:t>
            </w:r>
          </w:p>
        </w:tc>
      </w:tr>
    </w:tbl>
    <w:p w:rsidRPr="00D80C6C" w:rsidR="00ED5FD4" w:rsidP="00ED5FD4" w:rsidRDefault="00ED5FD4" w14:paraId="468D082A"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022"/>
        <w:gridCol w:w="2335"/>
        <w:gridCol w:w="3710"/>
      </w:tblGrid>
      <w:tr w:rsidRPr="00D80C6C" w:rsidR="00ED5FD4" w:rsidTr="334BBF58" w14:paraId="1DCF0917" w14:textId="77777777">
        <w:trPr>
          <w:trHeight w:val="273"/>
        </w:trPr>
        <w:tc>
          <w:tcPr>
            <w:tcW w:w="3022"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ED5FD4" w:rsidRDefault="00ED5FD4" w14:paraId="2B7EFCD7" w14:textId="77777777">
            <w:pPr>
              <w:jc w:val="both"/>
              <w:rPr>
                <w:rFonts w:cs="Arial"/>
                <w:b/>
                <w:bCs/>
                <w:sz w:val="22"/>
                <w:szCs w:val="22"/>
              </w:rPr>
            </w:pPr>
            <w:r w:rsidRPr="00D80C6C">
              <w:rPr>
                <w:rFonts w:cs="Arial"/>
                <w:b/>
                <w:bCs/>
                <w:sz w:val="22"/>
                <w:szCs w:val="22"/>
              </w:rPr>
              <w:t>Indicator(s)</w:t>
            </w:r>
          </w:p>
        </w:tc>
        <w:tc>
          <w:tcPr>
            <w:tcW w:w="233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ED5FD4" w:rsidRDefault="00ED5FD4" w14:paraId="41B685D1" w14:textId="77777777">
            <w:pPr>
              <w:jc w:val="both"/>
              <w:rPr>
                <w:rFonts w:cs="Arial"/>
                <w:b/>
                <w:bCs/>
                <w:sz w:val="22"/>
                <w:szCs w:val="22"/>
              </w:rPr>
            </w:pPr>
            <w:r w:rsidRPr="00D80C6C">
              <w:rPr>
                <w:rFonts w:cs="Arial"/>
                <w:b/>
                <w:bCs/>
                <w:sz w:val="22"/>
                <w:szCs w:val="22"/>
              </w:rPr>
              <w:t>Milestone(s) for this review</w:t>
            </w:r>
          </w:p>
        </w:tc>
        <w:tc>
          <w:tcPr>
            <w:tcW w:w="3710"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ED5FD4" w:rsidRDefault="00ED5FD4" w14:paraId="1238883B" w14:textId="77777777">
            <w:pPr>
              <w:jc w:val="both"/>
              <w:rPr>
                <w:rFonts w:cs="Arial"/>
                <w:b/>
                <w:bCs/>
                <w:sz w:val="22"/>
                <w:szCs w:val="22"/>
              </w:rPr>
            </w:pPr>
            <w:r w:rsidRPr="00D80C6C">
              <w:rPr>
                <w:rFonts w:cs="Arial"/>
                <w:b/>
                <w:bCs/>
                <w:sz w:val="22"/>
                <w:szCs w:val="22"/>
              </w:rPr>
              <w:t xml:space="preserve">Progress </w:t>
            </w:r>
          </w:p>
        </w:tc>
      </w:tr>
      <w:tr w:rsidRPr="00D80C6C" w:rsidR="00E735A8" w:rsidTr="334BBF58" w14:paraId="0D9D6326" w14:textId="77777777">
        <w:tc>
          <w:tcPr>
            <w:tcW w:w="3022" w:type="dxa"/>
            <w:tcBorders>
              <w:top w:val="single" w:color="auto" w:sz="4" w:space="0"/>
              <w:left w:val="single" w:color="auto" w:sz="4" w:space="0"/>
              <w:bottom w:val="single" w:color="auto" w:sz="4" w:space="0"/>
              <w:right w:val="single" w:color="auto" w:sz="4" w:space="0"/>
            </w:tcBorders>
            <w:tcMar/>
          </w:tcPr>
          <w:p w:rsidR="00E735A8" w:rsidP="00E735A8" w:rsidRDefault="00E735A8" w14:paraId="642787CE" w14:textId="714A5DC6">
            <w:pPr>
              <w:rPr>
                <w:rFonts w:eastAsia="Arial" w:cs="Arial"/>
                <w:color w:val="000000" w:themeColor="text1"/>
                <w:sz w:val="20"/>
                <w:szCs w:val="20"/>
              </w:rPr>
            </w:pPr>
            <w:r w:rsidRPr="229B1F0A">
              <w:rPr>
                <w:rFonts w:eastAsia="Arial" w:cs="Arial"/>
                <w:color w:val="000000" w:themeColor="text1"/>
                <w:sz w:val="20"/>
                <w:szCs w:val="20"/>
              </w:rPr>
              <w:t>3.1</w:t>
            </w:r>
          </w:p>
          <w:p w:rsidR="00E735A8" w:rsidP="00E735A8" w:rsidRDefault="00E735A8" w14:paraId="58B7D3A6" w14:textId="4B2FCD23">
            <w:pPr>
              <w:rPr>
                <w:rFonts w:eastAsia="Arial" w:cs="Arial"/>
                <w:color w:val="000000" w:themeColor="text1"/>
                <w:sz w:val="20"/>
                <w:szCs w:val="20"/>
              </w:rPr>
            </w:pPr>
            <w:r w:rsidRPr="229B1F0A">
              <w:rPr>
                <w:rFonts w:eastAsia="Arial" w:cs="Arial"/>
                <w:color w:val="000000" w:themeColor="text1"/>
                <w:sz w:val="20"/>
                <w:szCs w:val="20"/>
              </w:rPr>
              <w:t>Number of people in private sector schemes adopting sustainable practices (disaggregated by gender)</w:t>
            </w:r>
          </w:p>
          <w:p w:rsidR="00E735A8" w:rsidP="00E735A8" w:rsidRDefault="00E735A8" w14:paraId="41C0D7C6" w14:textId="00CCB699">
            <w:pPr>
              <w:rPr>
                <w:rFonts w:eastAsia="Arial" w:cs="Arial"/>
                <w:color w:val="000000" w:themeColor="text1"/>
                <w:sz w:val="20"/>
                <w:szCs w:val="20"/>
              </w:rPr>
            </w:pPr>
          </w:p>
          <w:p w:rsidR="00E735A8" w:rsidP="00E735A8" w:rsidRDefault="00E735A8" w14:paraId="25A422FB" w14:textId="2A243F89">
            <w:pPr>
              <w:rPr>
                <w:rFonts w:eastAsia="Arial" w:cs="Arial"/>
                <w:color w:val="000000" w:themeColor="text1"/>
                <w:sz w:val="20"/>
                <w:szCs w:val="20"/>
              </w:rPr>
            </w:pPr>
            <w:r w:rsidRPr="2BED2644">
              <w:rPr>
                <w:rFonts w:eastAsia="Arial" w:cs="Arial"/>
                <w:color w:val="000000" w:themeColor="text1"/>
                <w:sz w:val="20"/>
                <w:szCs w:val="20"/>
              </w:rPr>
              <w:t>Weighting: 40%</w:t>
            </w:r>
          </w:p>
        </w:tc>
        <w:tc>
          <w:tcPr>
            <w:tcW w:w="2335" w:type="dxa"/>
            <w:tcBorders>
              <w:top w:val="single" w:color="auto" w:sz="4" w:space="0"/>
              <w:left w:val="single" w:color="auto" w:sz="4" w:space="0"/>
              <w:bottom w:val="single" w:color="auto" w:sz="4" w:space="0"/>
              <w:right w:val="single" w:color="auto" w:sz="4" w:space="0"/>
            </w:tcBorders>
            <w:tcMar/>
          </w:tcPr>
          <w:p w:rsidR="00E735A8" w:rsidP="00E735A8" w:rsidRDefault="00E735A8" w14:paraId="52CCD8B7" w14:textId="1ACB9903">
            <w:pPr>
              <w:rPr>
                <w:rFonts w:eastAsia="Arial" w:cs="Arial"/>
                <w:color w:val="000000" w:themeColor="text1"/>
                <w:sz w:val="20"/>
                <w:szCs w:val="20"/>
              </w:rPr>
            </w:pPr>
            <w:r w:rsidRPr="26371E30">
              <w:rPr>
                <w:rFonts w:eastAsia="Arial" w:cs="Arial"/>
                <w:color w:val="000000" w:themeColor="text1"/>
                <w:sz w:val="20"/>
                <w:szCs w:val="20"/>
              </w:rPr>
              <w:t>FY25: 268,484</w:t>
            </w:r>
          </w:p>
          <w:p w:rsidR="00E735A8" w:rsidP="00E735A8" w:rsidRDefault="00E735A8" w14:paraId="680901CF" w14:textId="174F54C2">
            <w:pPr>
              <w:rPr>
                <w:rFonts w:eastAsia="Arial" w:cs="Arial"/>
                <w:color w:val="000000" w:themeColor="text1"/>
                <w:sz w:val="20"/>
                <w:szCs w:val="20"/>
              </w:rPr>
            </w:pPr>
          </w:p>
        </w:tc>
        <w:tc>
          <w:tcPr>
            <w:tcW w:w="3710" w:type="dxa"/>
            <w:tcBorders>
              <w:top w:val="single" w:color="auto" w:sz="4" w:space="0"/>
              <w:left w:val="single" w:color="auto" w:sz="4" w:space="0"/>
              <w:bottom w:val="single" w:color="auto" w:sz="4" w:space="0"/>
              <w:right w:val="single" w:color="auto" w:sz="4" w:space="0"/>
            </w:tcBorders>
            <w:tcMar/>
          </w:tcPr>
          <w:p w:rsidRPr="00D80C6C" w:rsidR="00E735A8" w:rsidP="334BBF58" w:rsidRDefault="00E735A8" w14:paraId="5218AC4C" w14:textId="42746E9F">
            <w:pPr>
              <w:spacing/>
              <w:contextualSpacing w:val="1"/>
              <w:jc w:val="both"/>
              <w:rPr>
                <w:rFonts w:cs="Arial"/>
                <w:b w:val="1"/>
                <w:bCs w:val="1"/>
                <w:sz w:val="20"/>
                <w:szCs w:val="20"/>
              </w:rPr>
            </w:pPr>
            <w:r w:rsidRPr="334BBF58" w:rsidR="00E735A8">
              <w:rPr>
                <w:rFonts w:cs="Arial"/>
                <w:sz w:val="20"/>
                <w:szCs w:val="20"/>
              </w:rPr>
              <w:t xml:space="preserve">28,304 (36%) </w:t>
            </w:r>
          </w:p>
          <w:p w:rsidRPr="00D80C6C" w:rsidR="00E735A8" w:rsidP="00E735A8" w:rsidRDefault="00E735A8" w14:paraId="1FCDD452" w14:textId="31B34A06">
            <w:pPr>
              <w:contextualSpacing/>
              <w:jc w:val="both"/>
              <w:rPr>
                <w:rFonts w:cs="Arial"/>
                <w:sz w:val="20"/>
                <w:szCs w:val="20"/>
              </w:rPr>
            </w:pPr>
          </w:p>
          <w:p w:rsidRPr="00D80C6C" w:rsidR="00E735A8" w:rsidP="334BBF58" w:rsidRDefault="00E735A8" w14:paraId="25CBF223" w14:textId="59D7BE4E">
            <w:pPr>
              <w:spacing/>
              <w:contextualSpacing w:val="1"/>
              <w:jc w:val="both"/>
              <w:rPr>
                <w:rFonts w:cs="Arial"/>
                <w:b w:val="1"/>
                <w:bCs w:val="1"/>
                <w:sz w:val="20"/>
                <w:szCs w:val="20"/>
              </w:rPr>
            </w:pPr>
            <w:r w:rsidRPr="334BBF58" w:rsidR="00E735A8">
              <w:rPr>
                <w:rFonts w:cs="Arial"/>
                <w:b w:val="1"/>
                <w:bCs w:val="1"/>
                <w:sz w:val="20"/>
                <w:szCs w:val="20"/>
              </w:rPr>
              <w:t xml:space="preserve">Progress substantially did not meet expectation. </w:t>
            </w:r>
          </w:p>
          <w:p w:rsidRPr="00D80C6C" w:rsidR="00E735A8" w:rsidP="54B84055" w:rsidRDefault="00E735A8" w14:paraId="5087E6FD" w14:textId="76815BEA">
            <w:pPr>
              <w:contextualSpacing/>
              <w:jc w:val="both"/>
              <w:rPr>
                <w:rFonts w:cs="Arial"/>
                <w:b/>
                <w:bCs/>
                <w:sz w:val="20"/>
                <w:szCs w:val="20"/>
              </w:rPr>
            </w:pPr>
          </w:p>
          <w:p w:rsidR="00096BC7" w:rsidP="243B7294" w:rsidRDefault="6A5762C4" w14:paraId="1E0191D1" w14:textId="77777777">
            <w:pPr>
              <w:pStyle w:val="ListParagraph"/>
              <w:numPr>
                <w:ilvl w:val="0"/>
                <w:numId w:val="14"/>
              </w:numPr>
              <w:jc w:val="both"/>
              <w:rPr>
                <w:rFonts w:cs="Arial"/>
                <w:sz w:val="20"/>
              </w:rPr>
            </w:pPr>
            <w:r w:rsidRPr="00096BC7">
              <w:rPr>
                <w:rFonts w:cs="Arial"/>
                <w:sz w:val="20"/>
              </w:rPr>
              <w:t>Colombia: 365 (13%)</w:t>
            </w:r>
          </w:p>
          <w:p w:rsidR="00096BC7" w:rsidP="243B7294" w:rsidRDefault="6A5762C4" w14:paraId="3AA217BD" w14:textId="77777777">
            <w:pPr>
              <w:pStyle w:val="ListParagraph"/>
              <w:numPr>
                <w:ilvl w:val="0"/>
                <w:numId w:val="14"/>
              </w:numPr>
              <w:jc w:val="both"/>
              <w:rPr>
                <w:rFonts w:cs="Arial"/>
                <w:sz w:val="20"/>
              </w:rPr>
            </w:pPr>
            <w:r w:rsidRPr="00096BC7">
              <w:rPr>
                <w:rFonts w:cs="Arial"/>
                <w:sz w:val="20"/>
              </w:rPr>
              <w:t>Ethiopia: 27,939 (36%)</w:t>
            </w:r>
          </w:p>
          <w:p w:rsidRPr="00D80C6C" w:rsidR="00E735A8" w:rsidP="04F74B42" w:rsidRDefault="00E735A8" w14:paraId="0B45BE2C" w14:textId="6BAF7F34">
            <w:pPr>
              <w:pStyle w:val="ListParagraph"/>
              <w:numPr>
                <w:ilvl w:val="0"/>
                <w:numId w:val="14"/>
              </w:numPr>
              <w:contextualSpacing/>
              <w:jc w:val="both"/>
              <w:rPr>
                <w:rFonts w:cs="Arial"/>
                <w:sz w:val="20"/>
                <w:szCs w:val="20"/>
              </w:rPr>
            </w:pPr>
            <w:r w:rsidRPr="04F74B42" w:rsidR="6A5762C4">
              <w:rPr>
                <w:rFonts w:cs="Arial"/>
                <w:sz w:val="20"/>
                <w:szCs w:val="20"/>
              </w:rPr>
              <w:t>Zambia: 0</w:t>
            </w:r>
          </w:p>
        </w:tc>
      </w:tr>
      <w:tr w:rsidRPr="004D4D4F" w:rsidR="00E735A8" w:rsidTr="334BBF58" w14:paraId="1F90D51E" w14:textId="77777777">
        <w:tc>
          <w:tcPr>
            <w:tcW w:w="3022" w:type="dxa"/>
            <w:tcBorders>
              <w:top w:val="single" w:color="auto" w:sz="4" w:space="0"/>
              <w:left w:val="single" w:color="auto" w:sz="4" w:space="0"/>
              <w:bottom w:val="single" w:color="auto" w:sz="4" w:space="0"/>
              <w:right w:val="single" w:color="auto" w:sz="4" w:space="0"/>
            </w:tcBorders>
            <w:tcMar/>
          </w:tcPr>
          <w:p w:rsidR="00E735A8" w:rsidP="00E735A8" w:rsidRDefault="00E735A8" w14:paraId="6C44DD76" w14:textId="0B5B86E6">
            <w:pPr>
              <w:rPr>
                <w:rFonts w:eastAsia="Arial" w:cs="Arial"/>
                <w:color w:val="000000" w:themeColor="text1"/>
                <w:sz w:val="20"/>
                <w:szCs w:val="20"/>
              </w:rPr>
            </w:pPr>
            <w:r w:rsidRPr="229B1F0A">
              <w:rPr>
                <w:rFonts w:eastAsia="Arial" w:cs="Arial"/>
                <w:color w:val="000000" w:themeColor="text1"/>
                <w:sz w:val="20"/>
                <w:szCs w:val="20"/>
              </w:rPr>
              <w:t>3.2</w:t>
            </w:r>
          </w:p>
          <w:p w:rsidR="00E735A8" w:rsidP="00E735A8" w:rsidRDefault="00E735A8" w14:paraId="3ED42FD8" w14:textId="76842424">
            <w:pPr>
              <w:rPr>
                <w:rFonts w:eastAsia="Arial" w:cs="Arial"/>
                <w:color w:val="000000" w:themeColor="text1"/>
                <w:sz w:val="20"/>
                <w:szCs w:val="20"/>
              </w:rPr>
            </w:pPr>
            <w:r w:rsidRPr="229B1F0A">
              <w:rPr>
                <w:rFonts w:eastAsia="Arial" w:cs="Arial"/>
                <w:color w:val="000000" w:themeColor="text1"/>
                <w:sz w:val="20"/>
                <w:szCs w:val="20"/>
              </w:rPr>
              <w:t>Number of partnerships established with: (a) for-profit private sector organisations; &amp; (b) not-for-profit public or private organisation, due to ISFL support</w:t>
            </w:r>
          </w:p>
          <w:p w:rsidR="00E735A8" w:rsidP="00E735A8" w:rsidRDefault="00E735A8" w14:paraId="5B5DECB7" w14:textId="6DD57046">
            <w:pPr>
              <w:rPr>
                <w:rFonts w:eastAsia="Arial" w:cs="Arial"/>
                <w:color w:val="000000" w:themeColor="text1"/>
                <w:sz w:val="20"/>
                <w:szCs w:val="20"/>
              </w:rPr>
            </w:pPr>
          </w:p>
          <w:p w:rsidR="00E735A8" w:rsidP="00E735A8" w:rsidRDefault="00E735A8" w14:paraId="00410691" w14:textId="43F71DC3">
            <w:pPr>
              <w:rPr>
                <w:rFonts w:eastAsia="Arial" w:cs="Arial"/>
                <w:color w:val="000000" w:themeColor="text1"/>
                <w:sz w:val="20"/>
                <w:szCs w:val="20"/>
              </w:rPr>
            </w:pPr>
            <w:r w:rsidRPr="2BED2644">
              <w:rPr>
                <w:rFonts w:eastAsia="Arial" w:cs="Arial"/>
                <w:color w:val="000000" w:themeColor="text1"/>
                <w:sz w:val="20"/>
                <w:szCs w:val="20"/>
              </w:rPr>
              <w:t>Weighting: 30%</w:t>
            </w:r>
          </w:p>
        </w:tc>
        <w:tc>
          <w:tcPr>
            <w:tcW w:w="2335" w:type="dxa"/>
            <w:tcBorders>
              <w:top w:val="single" w:color="auto" w:sz="4" w:space="0"/>
              <w:left w:val="single" w:color="auto" w:sz="4" w:space="0"/>
              <w:bottom w:val="single" w:color="auto" w:sz="4" w:space="0"/>
              <w:right w:val="single" w:color="auto" w:sz="4" w:space="0"/>
            </w:tcBorders>
            <w:tcMar/>
          </w:tcPr>
          <w:p w:rsidR="00E735A8" w:rsidP="00E735A8" w:rsidRDefault="00E735A8" w14:paraId="51BC3C2E" w14:textId="7935E856">
            <w:pPr>
              <w:rPr>
                <w:rFonts w:eastAsia="Arial" w:cs="Arial"/>
                <w:color w:val="000000" w:themeColor="text1"/>
                <w:sz w:val="20"/>
                <w:szCs w:val="20"/>
              </w:rPr>
            </w:pPr>
            <w:r w:rsidRPr="0708BF09">
              <w:rPr>
                <w:rFonts w:eastAsia="Arial" w:cs="Arial"/>
                <w:color w:val="000000" w:themeColor="text1"/>
                <w:sz w:val="20"/>
                <w:szCs w:val="20"/>
              </w:rPr>
              <w:t>(a) 26</w:t>
            </w:r>
          </w:p>
          <w:p w:rsidR="00E735A8" w:rsidP="00E735A8" w:rsidRDefault="00E735A8" w14:paraId="4C3A3855" w14:textId="284F2EBB">
            <w:pPr>
              <w:rPr>
                <w:rFonts w:eastAsia="Arial" w:cs="Arial"/>
                <w:color w:val="000000" w:themeColor="text1"/>
                <w:sz w:val="20"/>
                <w:szCs w:val="20"/>
                <w:vertAlign w:val="superscript"/>
              </w:rPr>
            </w:pPr>
            <w:r w:rsidRPr="3ECBA7D2">
              <w:rPr>
                <w:rFonts w:eastAsia="Arial" w:cs="Arial"/>
                <w:color w:val="000000" w:themeColor="text1"/>
                <w:sz w:val="20"/>
                <w:szCs w:val="20"/>
              </w:rPr>
              <w:t>(b) 17</w:t>
            </w:r>
          </w:p>
        </w:tc>
        <w:tc>
          <w:tcPr>
            <w:tcW w:w="3710" w:type="dxa"/>
            <w:tcBorders>
              <w:top w:val="single" w:color="auto" w:sz="4" w:space="0"/>
              <w:left w:val="single" w:color="auto" w:sz="4" w:space="0"/>
              <w:bottom w:val="single" w:color="auto" w:sz="4" w:space="0"/>
              <w:right w:val="single" w:color="auto" w:sz="4" w:space="0"/>
            </w:tcBorders>
            <w:tcMar/>
            <w:vAlign w:val="center"/>
          </w:tcPr>
          <w:p w:rsidRPr="00D80C6C" w:rsidR="00E735A8" w:rsidP="00756B4F" w:rsidRDefault="00E735A8" w14:paraId="39A9BE84" w14:textId="6E72D852">
            <w:pPr>
              <w:pStyle w:val="ListParagraph"/>
              <w:numPr>
                <w:ilvl w:val="0"/>
                <w:numId w:val="13"/>
              </w:numPr>
              <w:rPr>
                <w:rFonts w:cs="Arial"/>
                <w:sz w:val="20"/>
              </w:rPr>
            </w:pPr>
            <w:r w:rsidRPr="7AD4B5F9">
              <w:rPr>
                <w:rFonts w:cs="Arial"/>
                <w:sz w:val="20"/>
              </w:rPr>
              <w:t>75</w:t>
            </w:r>
          </w:p>
          <w:p w:rsidRPr="00D80C6C" w:rsidR="00E735A8" w:rsidP="00756B4F" w:rsidRDefault="00E735A8" w14:paraId="5B55F354" w14:textId="01185DCF">
            <w:pPr>
              <w:pStyle w:val="ListParagraph"/>
              <w:numPr>
                <w:ilvl w:val="0"/>
                <w:numId w:val="13"/>
              </w:numPr>
              <w:rPr>
                <w:rFonts w:cs="Arial"/>
                <w:sz w:val="20"/>
              </w:rPr>
            </w:pPr>
            <w:r w:rsidRPr="6B43CA44">
              <w:rPr>
                <w:rFonts w:cs="Arial"/>
                <w:sz w:val="20"/>
              </w:rPr>
              <w:t>74</w:t>
            </w:r>
          </w:p>
          <w:p w:rsidRPr="00D80C6C" w:rsidR="00E735A8" w:rsidP="243B7294" w:rsidRDefault="00E735A8" w14:paraId="07464205" w14:textId="7B05A197">
            <w:pPr>
              <w:contextualSpacing/>
              <w:rPr>
                <w:rFonts w:cs="Arial"/>
                <w:b/>
                <w:bCs/>
              </w:rPr>
            </w:pPr>
            <w:r w:rsidRPr="5AF1E09F">
              <w:rPr>
                <w:rFonts w:cs="Arial"/>
                <w:b/>
                <w:bCs/>
                <w:sz w:val="20"/>
                <w:szCs w:val="20"/>
              </w:rPr>
              <w:t xml:space="preserve">Progress substantially exceeded expectation. </w:t>
            </w:r>
          </w:p>
          <w:p w:rsidRPr="00D80C6C" w:rsidR="00E735A8" w:rsidP="243B7294" w:rsidRDefault="00E735A8" w14:paraId="3412A84B" w14:textId="574E1F32">
            <w:pPr>
              <w:contextualSpacing/>
              <w:rPr>
                <w:rFonts w:cs="Arial"/>
                <w:b/>
                <w:bCs/>
                <w:sz w:val="20"/>
                <w:szCs w:val="20"/>
              </w:rPr>
            </w:pPr>
          </w:p>
          <w:p w:rsidRPr="004D4D4F" w:rsidR="00E735A8" w:rsidP="243B7294" w:rsidRDefault="130A64AE" w14:paraId="5C74B2CE" w14:textId="35C9E6EC">
            <w:pPr>
              <w:contextualSpacing/>
              <w:rPr>
                <w:rFonts w:cs="Arial"/>
                <w:b/>
                <w:bCs/>
                <w:sz w:val="20"/>
                <w:szCs w:val="20"/>
                <w:lang w:val="es-ES"/>
              </w:rPr>
            </w:pPr>
            <w:r w:rsidRPr="004D4D4F">
              <w:rPr>
                <w:rFonts w:cs="Arial"/>
                <w:sz w:val="20"/>
                <w:szCs w:val="20"/>
                <w:lang w:val="es-ES"/>
              </w:rPr>
              <w:t xml:space="preserve">(a) Colombia, 46; </w:t>
            </w:r>
            <w:proofErr w:type="spellStart"/>
            <w:r w:rsidRPr="004D4D4F">
              <w:rPr>
                <w:rFonts w:cs="Arial"/>
                <w:sz w:val="20"/>
                <w:szCs w:val="20"/>
                <w:lang w:val="es-ES"/>
              </w:rPr>
              <w:t>Ethiopia</w:t>
            </w:r>
            <w:proofErr w:type="spellEnd"/>
            <w:r w:rsidRPr="004D4D4F">
              <w:rPr>
                <w:rFonts w:cs="Arial"/>
                <w:sz w:val="20"/>
                <w:szCs w:val="20"/>
                <w:lang w:val="es-ES"/>
              </w:rPr>
              <w:t xml:space="preserve">, 1; Indonesia, 23; </w:t>
            </w:r>
            <w:proofErr w:type="spellStart"/>
            <w:r w:rsidRPr="004D4D4F">
              <w:rPr>
                <w:rFonts w:cs="Arial"/>
                <w:sz w:val="20"/>
                <w:szCs w:val="20"/>
                <w:lang w:val="es-ES"/>
              </w:rPr>
              <w:t>Mexico</w:t>
            </w:r>
            <w:proofErr w:type="spellEnd"/>
            <w:r w:rsidRPr="004D4D4F">
              <w:rPr>
                <w:rFonts w:cs="Arial"/>
                <w:sz w:val="20"/>
                <w:szCs w:val="20"/>
                <w:lang w:val="es-ES"/>
              </w:rPr>
              <w:t>, 0; Zambia, 5</w:t>
            </w:r>
          </w:p>
          <w:p w:rsidRPr="004D4D4F" w:rsidR="00E735A8" w:rsidP="243B7294" w:rsidRDefault="00E735A8" w14:paraId="268BF17D" w14:textId="01404540">
            <w:pPr>
              <w:contextualSpacing/>
              <w:rPr>
                <w:rFonts w:cs="Arial"/>
                <w:b/>
                <w:bCs/>
                <w:sz w:val="20"/>
                <w:szCs w:val="20"/>
                <w:lang w:val="es-ES"/>
              </w:rPr>
            </w:pPr>
          </w:p>
          <w:p w:rsidRPr="004D4D4F" w:rsidR="00E735A8" w:rsidP="243B7294" w:rsidRDefault="130A64AE" w14:paraId="3C673A30" w14:textId="5BE4DF0C">
            <w:pPr>
              <w:contextualSpacing/>
              <w:rPr>
                <w:lang w:val="es-ES"/>
              </w:rPr>
            </w:pPr>
            <w:r w:rsidRPr="004D4D4F">
              <w:rPr>
                <w:rFonts w:cs="Arial"/>
                <w:sz w:val="20"/>
                <w:szCs w:val="20"/>
                <w:lang w:val="es-ES"/>
              </w:rPr>
              <w:t xml:space="preserve">(b) Colombia, 68; </w:t>
            </w:r>
            <w:proofErr w:type="spellStart"/>
            <w:r w:rsidRPr="004D4D4F">
              <w:rPr>
                <w:rFonts w:cs="Arial"/>
                <w:sz w:val="20"/>
                <w:szCs w:val="20"/>
                <w:lang w:val="es-ES"/>
              </w:rPr>
              <w:t>Ethiopia</w:t>
            </w:r>
            <w:proofErr w:type="spellEnd"/>
            <w:r w:rsidRPr="004D4D4F">
              <w:rPr>
                <w:rFonts w:cs="Arial"/>
                <w:sz w:val="20"/>
                <w:szCs w:val="20"/>
                <w:lang w:val="es-ES"/>
              </w:rPr>
              <w:t xml:space="preserve">, 2; Indonesia, 0; </w:t>
            </w:r>
            <w:proofErr w:type="spellStart"/>
            <w:r w:rsidRPr="004D4D4F">
              <w:rPr>
                <w:rFonts w:cs="Arial"/>
                <w:sz w:val="20"/>
                <w:szCs w:val="20"/>
                <w:lang w:val="es-ES"/>
              </w:rPr>
              <w:t>Mexico</w:t>
            </w:r>
            <w:proofErr w:type="spellEnd"/>
            <w:r w:rsidRPr="004D4D4F">
              <w:rPr>
                <w:rFonts w:cs="Arial"/>
                <w:sz w:val="20"/>
                <w:szCs w:val="20"/>
                <w:lang w:val="es-ES"/>
              </w:rPr>
              <w:t>, 0; Zambia, 4</w:t>
            </w:r>
          </w:p>
          <w:p w:rsidRPr="004D4D4F" w:rsidR="00E735A8" w:rsidP="243B7294" w:rsidRDefault="00E735A8" w14:paraId="387FF2C2" w14:textId="556AAB9D">
            <w:pPr>
              <w:contextualSpacing/>
              <w:rPr>
                <w:rFonts w:cs="Arial"/>
                <w:b/>
                <w:sz w:val="20"/>
                <w:szCs w:val="20"/>
                <w:lang w:val="es-ES"/>
              </w:rPr>
            </w:pPr>
          </w:p>
        </w:tc>
      </w:tr>
      <w:tr w:rsidRPr="004D4D4F" w:rsidR="00E735A8" w:rsidTr="334BBF58" w14:paraId="372E5FD8" w14:textId="77777777">
        <w:trPr>
          <w:trHeight w:val="300"/>
        </w:trPr>
        <w:tc>
          <w:tcPr>
            <w:tcW w:w="3022" w:type="dxa"/>
            <w:tcBorders>
              <w:top w:val="single" w:color="auto" w:sz="4" w:space="0"/>
              <w:left w:val="single" w:color="auto" w:sz="4" w:space="0"/>
              <w:bottom w:val="single" w:color="auto" w:sz="4" w:space="0"/>
              <w:right w:val="single" w:color="auto" w:sz="4" w:space="0"/>
            </w:tcBorders>
            <w:tcMar/>
          </w:tcPr>
          <w:p w:rsidR="00E735A8" w:rsidP="00E735A8" w:rsidRDefault="00E735A8" w14:paraId="7A9D3063" w14:textId="0D94F3B5">
            <w:pPr>
              <w:rPr>
                <w:rFonts w:eastAsia="Arial" w:cs="Arial"/>
                <w:color w:val="000000" w:themeColor="text1"/>
                <w:sz w:val="20"/>
                <w:szCs w:val="20"/>
              </w:rPr>
            </w:pPr>
            <w:r w:rsidRPr="229B1F0A">
              <w:rPr>
                <w:rFonts w:eastAsia="Arial" w:cs="Arial"/>
                <w:color w:val="000000" w:themeColor="text1"/>
                <w:sz w:val="20"/>
                <w:szCs w:val="20"/>
              </w:rPr>
              <w:t>3.3</w:t>
            </w:r>
          </w:p>
          <w:p w:rsidR="00E735A8" w:rsidP="00E735A8" w:rsidRDefault="00E735A8" w14:paraId="1B344677" w14:textId="1AF986FD">
            <w:pPr>
              <w:rPr>
                <w:rFonts w:eastAsia="Arial" w:cs="Arial"/>
                <w:color w:val="000000" w:themeColor="text1"/>
                <w:sz w:val="20"/>
                <w:szCs w:val="20"/>
              </w:rPr>
            </w:pPr>
            <w:r w:rsidRPr="229B1F0A">
              <w:rPr>
                <w:rFonts w:eastAsia="Arial" w:cs="Arial"/>
                <w:color w:val="000000" w:themeColor="text1"/>
                <w:sz w:val="20"/>
                <w:szCs w:val="20"/>
              </w:rPr>
              <w:t>Number of engagements established with: (a) for-profit private sector organisations; &amp; (b) not-for-profit public or private organisation, due to ISFL support</w:t>
            </w:r>
          </w:p>
          <w:p w:rsidR="00E735A8" w:rsidP="00E735A8" w:rsidRDefault="00E735A8" w14:paraId="34BA83FA" w14:textId="27C21F33">
            <w:pPr>
              <w:rPr>
                <w:rFonts w:eastAsia="Arial" w:cs="Arial"/>
                <w:color w:val="000000" w:themeColor="text1"/>
                <w:sz w:val="20"/>
                <w:szCs w:val="20"/>
              </w:rPr>
            </w:pPr>
          </w:p>
          <w:p w:rsidR="00E735A8" w:rsidP="00E735A8" w:rsidRDefault="00E735A8" w14:paraId="04014F56" w14:textId="1DF3FD13">
            <w:pPr>
              <w:rPr>
                <w:rFonts w:eastAsia="Arial" w:cs="Arial"/>
                <w:color w:val="000000" w:themeColor="text1"/>
                <w:sz w:val="20"/>
                <w:szCs w:val="20"/>
              </w:rPr>
            </w:pPr>
            <w:r w:rsidRPr="2BED2644">
              <w:rPr>
                <w:rFonts w:eastAsia="Arial" w:cs="Arial"/>
                <w:color w:val="000000" w:themeColor="text1"/>
                <w:sz w:val="20"/>
                <w:szCs w:val="20"/>
              </w:rPr>
              <w:t>Weighting: 30%</w:t>
            </w:r>
          </w:p>
        </w:tc>
        <w:tc>
          <w:tcPr>
            <w:tcW w:w="2335" w:type="dxa"/>
            <w:tcBorders>
              <w:top w:val="single" w:color="auto" w:sz="4" w:space="0"/>
              <w:left w:val="single" w:color="auto" w:sz="4" w:space="0"/>
              <w:bottom w:val="single" w:color="auto" w:sz="4" w:space="0"/>
              <w:right w:val="single" w:color="auto" w:sz="4" w:space="0"/>
            </w:tcBorders>
            <w:tcMar/>
          </w:tcPr>
          <w:p w:rsidR="00E735A8" w:rsidP="2EC7CE94" w:rsidRDefault="00E735A8" w14:paraId="6D6421F5" w14:textId="17691BAB">
            <w:pPr>
              <w:rPr>
                <w:rFonts w:eastAsia="Arial" w:cs="Arial"/>
                <w:color w:val="000000" w:themeColor="text1" w:themeTint="FF" w:themeShade="FF"/>
                <w:sz w:val="20"/>
                <w:szCs w:val="20"/>
              </w:rPr>
            </w:pPr>
            <w:r w:rsidRPr="2EC7CE94" w:rsidR="00E735A8">
              <w:rPr>
                <w:rFonts w:eastAsia="Arial" w:cs="Arial"/>
                <w:color w:val="000000" w:themeColor="text1" w:themeTint="FF" w:themeShade="FF"/>
                <w:sz w:val="20"/>
                <w:szCs w:val="20"/>
              </w:rPr>
              <w:t>FY25: N/A</w:t>
            </w:r>
          </w:p>
          <w:p w:rsidR="00E735A8" w:rsidP="00E735A8" w:rsidRDefault="00E735A8" w14:paraId="0D27537D" w14:textId="7595F88A">
            <w:pPr>
              <w:rPr>
                <w:rFonts w:eastAsia="Arial" w:cs="Arial"/>
                <w:color w:val="000000" w:themeColor="text1"/>
                <w:sz w:val="20"/>
                <w:szCs w:val="20"/>
              </w:rPr>
            </w:pPr>
            <w:r w:rsidRPr="2EC7CE94" w:rsidR="49FD46C7">
              <w:rPr>
                <w:rFonts w:eastAsia="Arial" w:cs="Arial"/>
                <w:color w:val="000000" w:themeColor="text1" w:themeTint="FF" w:themeShade="FF"/>
                <w:sz w:val="20"/>
                <w:szCs w:val="20"/>
              </w:rPr>
              <w:t>EOP: (a) 12 (b) 8</w:t>
            </w:r>
          </w:p>
        </w:tc>
        <w:tc>
          <w:tcPr>
            <w:tcW w:w="3710" w:type="dxa"/>
            <w:tcBorders>
              <w:top w:val="single" w:color="auto" w:sz="4" w:space="0"/>
              <w:left w:val="single" w:color="auto" w:sz="4" w:space="0"/>
              <w:bottom w:val="single" w:color="auto" w:sz="4" w:space="0"/>
              <w:right w:val="single" w:color="auto" w:sz="4" w:space="0"/>
            </w:tcBorders>
            <w:tcMar/>
            <w:vAlign w:val="center"/>
          </w:tcPr>
          <w:p w:rsidR="00E735A8" w:rsidP="00756B4F" w:rsidRDefault="00E735A8" w14:paraId="43691ED5" w14:textId="3C574C6C">
            <w:pPr>
              <w:pStyle w:val="ListParagraph"/>
              <w:numPr>
                <w:ilvl w:val="0"/>
                <w:numId w:val="12"/>
              </w:numPr>
              <w:rPr>
                <w:rFonts w:cs="Arial"/>
                <w:sz w:val="20"/>
              </w:rPr>
            </w:pPr>
            <w:r w:rsidRPr="6BD4A9C9">
              <w:rPr>
                <w:rFonts w:cs="Arial"/>
                <w:sz w:val="20"/>
              </w:rPr>
              <w:t>26</w:t>
            </w:r>
          </w:p>
          <w:p w:rsidR="00E735A8" w:rsidP="00756B4F" w:rsidRDefault="00E735A8" w14:paraId="45433BF9" w14:textId="77777777">
            <w:pPr>
              <w:pStyle w:val="ListParagraph"/>
              <w:numPr>
                <w:ilvl w:val="0"/>
                <w:numId w:val="12"/>
              </w:numPr>
              <w:rPr>
                <w:rFonts w:cs="Arial"/>
                <w:sz w:val="20"/>
              </w:rPr>
            </w:pPr>
            <w:r w:rsidRPr="6BD4A9C9">
              <w:rPr>
                <w:rFonts w:cs="Arial"/>
                <w:sz w:val="20"/>
              </w:rPr>
              <w:t>54</w:t>
            </w:r>
          </w:p>
          <w:p w:rsidR="00E735A8" w:rsidP="2EC7CE94" w:rsidRDefault="00E735A8" w14:paraId="1A1ACDAD" w14:textId="65A562D5">
            <w:pPr>
              <w:rPr>
                <w:rFonts w:cs="Arial"/>
                <w:sz w:val="20"/>
                <w:szCs w:val="20"/>
              </w:rPr>
            </w:pPr>
            <w:r w:rsidRPr="334BBF58" w:rsidR="0DF4F078">
              <w:rPr>
                <w:rFonts w:cs="Arial"/>
                <w:b w:val="1"/>
                <w:bCs w:val="1"/>
                <w:sz w:val="20"/>
                <w:szCs w:val="20"/>
              </w:rPr>
              <w:t xml:space="preserve">Progress </w:t>
            </w:r>
            <w:r w:rsidRPr="334BBF58" w:rsidR="0DF4F078">
              <w:rPr>
                <w:rFonts w:cs="Arial"/>
                <w:b w:val="1"/>
                <w:bCs w:val="1"/>
                <w:sz w:val="20"/>
                <w:szCs w:val="20"/>
              </w:rPr>
              <w:t>substantially exceeded</w:t>
            </w:r>
            <w:r w:rsidRPr="334BBF58" w:rsidR="0DF4F078">
              <w:rPr>
                <w:rFonts w:cs="Arial"/>
                <w:b w:val="1"/>
                <w:bCs w:val="1"/>
                <w:sz w:val="20"/>
                <w:szCs w:val="20"/>
              </w:rPr>
              <w:t xml:space="preserve"> expectation</w:t>
            </w:r>
            <w:r w:rsidRPr="334BBF58" w:rsidR="00E735A8">
              <w:rPr>
                <w:rFonts w:cs="Arial"/>
                <w:b w:val="1"/>
                <w:bCs w:val="1"/>
                <w:sz w:val="20"/>
                <w:szCs w:val="20"/>
              </w:rPr>
              <w:t xml:space="preserve">. </w:t>
            </w:r>
          </w:p>
          <w:p w:rsidR="00E735A8" w:rsidP="6E2E4367" w:rsidRDefault="00E735A8" w14:paraId="02B7B094" w14:textId="038993CE">
            <w:pPr>
              <w:rPr>
                <w:rFonts w:cs="Arial"/>
                <w:sz w:val="20"/>
                <w:szCs w:val="20"/>
              </w:rPr>
            </w:pPr>
          </w:p>
          <w:p w:rsidRPr="004D4D4F" w:rsidR="00E735A8" w:rsidP="6E2E4367" w:rsidRDefault="18EDAA87" w14:paraId="0C92C3FA" w14:textId="118DE0D9">
            <w:pPr>
              <w:rPr>
                <w:rFonts w:cs="Arial"/>
                <w:b/>
                <w:bCs/>
                <w:sz w:val="20"/>
                <w:szCs w:val="20"/>
                <w:lang w:val="es-ES"/>
              </w:rPr>
            </w:pPr>
            <w:r w:rsidRPr="004D4D4F">
              <w:rPr>
                <w:rFonts w:cs="Arial"/>
                <w:sz w:val="20"/>
                <w:szCs w:val="20"/>
                <w:lang w:val="es-ES"/>
              </w:rPr>
              <w:t xml:space="preserve">(a) Colombia, 23; </w:t>
            </w:r>
            <w:proofErr w:type="spellStart"/>
            <w:r w:rsidRPr="004D4D4F">
              <w:rPr>
                <w:rFonts w:cs="Arial"/>
                <w:sz w:val="20"/>
                <w:szCs w:val="20"/>
                <w:lang w:val="es-ES"/>
              </w:rPr>
              <w:t>Ethiopia</w:t>
            </w:r>
            <w:proofErr w:type="spellEnd"/>
            <w:r w:rsidRPr="004D4D4F">
              <w:rPr>
                <w:rFonts w:cs="Arial"/>
                <w:sz w:val="20"/>
                <w:szCs w:val="20"/>
                <w:lang w:val="es-ES"/>
              </w:rPr>
              <w:t xml:space="preserve">, 1; Indonesia, 0; </w:t>
            </w:r>
            <w:proofErr w:type="spellStart"/>
            <w:r w:rsidRPr="004D4D4F">
              <w:rPr>
                <w:rFonts w:cs="Arial"/>
                <w:sz w:val="20"/>
                <w:szCs w:val="20"/>
                <w:lang w:val="es-ES"/>
              </w:rPr>
              <w:t>Mexico</w:t>
            </w:r>
            <w:proofErr w:type="spellEnd"/>
            <w:r w:rsidRPr="004D4D4F">
              <w:rPr>
                <w:rFonts w:cs="Arial"/>
                <w:sz w:val="20"/>
                <w:szCs w:val="20"/>
                <w:lang w:val="es-ES"/>
              </w:rPr>
              <w:t>, 0; Zambia, 2</w:t>
            </w:r>
          </w:p>
          <w:p w:rsidRPr="004D4D4F" w:rsidR="00E735A8" w:rsidP="6E2E4367" w:rsidRDefault="18EDAA87" w14:paraId="62475CA8" w14:textId="70C91160">
            <w:pPr>
              <w:rPr>
                <w:lang w:val="es-ES"/>
              </w:rPr>
            </w:pPr>
            <w:r w:rsidRPr="004D4D4F">
              <w:rPr>
                <w:rFonts w:cs="Arial"/>
                <w:sz w:val="20"/>
                <w:szCs w:val="20"/>
                <w:lang w:val="es-ES"/>
              </w:rPr>
              <w:t xml:space="preserve">(b) Colombia, 23; </w:t>
            </w:r>
            <w:proofErr w:type="spellStart"/>
            <w:r w:rsidRPr="004D4D4F">
              <w:rPr>
                <w:rFonts w:cs="Arial"/>
                <w:sz w:val="20"/>
                <w:szCs w:val="20"/>
                <w:lang w:val="es-ES"/>
              </w:rPr>
              <w:t>Ethiopia</w:t>
            </w:r>
            <w:proofErr w:type="spellEnd"/>
            <w:r w:rsidRPr="004D4D4F">
              <w:rPr>
                <w:rFonts w:cs="Arial"/>
                <w:sz w:val="20"/>
                <w:szCs w:val="20"/>
                <w:lang w:val="es-ES"/>
              </w:rPr>
              <w:t xml:space="preserve">, 8; Indonesia, 21; </w:t>
            </w:r>
            <w:proofErr w:type="spellStart"/>
            <w:r w:rsidRPr="004D4D4F">
              <w:rPr>
                <w:rFonts w:cs="Arial"/>
                <w:sz w:val="20"/>
                <w:szCs w:val="20"/>
                <w:lang w:val="es-ES"/>
              </w:rPr>
              <w:t>Mexico</w:t>
            </w:r>
            <w:proofErr w:type="spellEnd"/>
            <w:r w:rsidRPr="004D4D4F">
              <w:rPr>
                <w:rFonts w:cs="Arial"/>
                <w:sz w:val="20"/>
                <w:szCs w:val="20"/>
                <w:lang w:val="es-ES"/>
              </w:rPr>
              <w:t>, 0; Zambia, 2</w:t>
            </w:r>
          </w:p>
          <w:p w:rsidRPr="004D4D4F" w:rsidR="00E735A8" w:rsidP="6E2E4367" w:rsidRDefault="00E735A8" w14:paraId="41B6E222" w14:textId="2E0EEF2B">
            <w:pPr>
              <w:rPr>
                <w:rFonts w:cs="Arial"/>
                <w:sz w:val="20"/>
                <w:szCs w:val="20"/>
                <w:lang w:val="es-ES"/>
              </w:rPr>
            </w:pPr>
          </w:p>
        </w:tc>
      </w:tr>
      <w:tr w:rsidR="00E735A8" w:rsidTr="334BBF58" w14:paraId="16E4290E" w14:textId="77777777">
        <w:trPr>
          <w:trHeight w:val="300"/>
        </w:trPr>
        <w:tc>
          <w:tcPr>
            <w:tcW w:w="3022" w:type="dxa"/>
            <w:tcBorders>
              <w:top w:val="single" w:color="auto" w:sz="4" w:space="0"/>
              <w:left w:val="single" w:color="auto" w:sz="4" w:space="0"/>
              <w:bottom w:val="single" w:color="auto" w:sz="4" w:space="0"/>
              <w:right w:val="single" w:color="auto" w:sz="4" w:space="0"/>
            </w:tcBorders>
            <w:tcMar/>
          </w:tcPr>
          <w:p w:rsidR="00E735A8" w:rsidP="00E735A8" w:rsidRDefault="00E735A8" w14:paraId="3C558AA6" w14:textId="09D579E4">
            <w:pPr>
              <w:rPr>
                <w:rFonts w:eastAsia="Arial" w:cs="Arial"/>
                <w:color w:val="000000" w:themeColor="text1"/>
                <w:sz w:val="20"/>
                <w:szCs w:val="20"/>
              </w:rPr>
            </w:pPr>
            <w:r w:rsidRPr="22291AFD">
              <w:rPr>
                <w:rFonts w:eastAsia="Arial" w:cs="Arial"/>
                <w:color w:val="000000" w:themeColor="text1"/>
                <w:sz w:val="20"/>
                <w:szCs w:val="20"/>
              </w:rPr>
              <w:t>3.4</w:t>
            </w:r>
          </w:p>
          <w:p w:rsidR="00E735A8" w:rsidP="00E735A8" w:rsidRDefault="00E735A8" w14:paraId="51B95DDB" w14:textId="6581101D">
            <w:pPr>
              <w:rPr>
                <w:rFonts w:eastAsia="Arial" w:cs="Arial"/>
                <w:sz w:val="20"/>
                <w:szCs w:val="20"/>
              </w:rPr>
            </w:pPr>
            <w:r w:rsidRPr="22291AFD">
              <w:rPr>
                <w:rFonts w:eastAsia="Arial" w:cs="Arial"/>
                <w:color w:val="000000" w:themeColor="text1"/>
                <w:sz w:val="20"/>
                <w:szCs w:val="20"/>
              </w:rPr>
              <w:t>Number of businesses/private sector actors ensuring environmental and social benefits are created, sustainable, and scaled as a result of ISFL support</w:t>
            </w:r>
          </w:p>
          <w:p w:rsidR="00E735A8" w:rsidP="00E735A8" w:rsidRDefault="00E735A8" w14:paraId="0C0C9576" w14:textId="7012E979">
            <w:pPr>
              <w:rPr>
                <w:rFonts w:eastAsia="Arial" w:cs="Arial"/>
                <w:color w:val="000000" w:themeColor="text1"/>
                <w:sz w:val="20"/>
                <w:szCs w:val="20"/>
              </w:rPr>
            </w:pPr>
          </w:p>
          <w:p w:rsidR="00E735A8" w:rsidP="00E735A8" w:rsidRDefault="00E735A8" w14:paraId="32723080" w14:textId="7486EA2D">
            <w:pPr>
              <w:rPr>
                <w:rFonts w:eastAsia="Arial" w:cs="Arial"/>
                <w:color w:val="000000" w:themeColor="text1"/>
                <w:sz w:val="20"/>
                <w:szCs w:val="20"/>
              </w:rPr>
            </w:pPr>
            <w:r w:rsidRPr="2BED2644">
              <w:rPr>
                <w:rFonts w:eastAsia="Arial" w:cs="Arial"/>
                <w:color w:val="000000" w:themeColor="text1"/>
                <w:sz w:val="20"/>
                <w:szCs w:val="20"/>
              </w:rPr>
              <w:t>Weighting: 0%</w:t>
            </w:r>
          </w:p>
        </w:tc>
        <w:tc>
          <w:tcPr>
            <w:tcW w:w="2335" w:type="dxa"/>
            <w:tcBorders>
              <w:top w:val="single" w:color="auto" w:sz="4" w:space="0"/>
              <w:left w:val="single" w:color="auto" w:sz="4" w:space="0"/>
              <w:bottom w:val="single" w:color="auto" w:sz="4" w:space="0"/>
              <w:right w:val="single" w:color="auto" w:sz="4" w:space="0"/>
            </w:tcBorders>
            <w:tcMar/>
          </w:tcPr>
          <w:p w:rsidR="00E735A8" w:rsidP="00E735A8" w:rsidRDefault="00E735A8" w14:paraId="65B0D03C" w14:textId="06350FA8">
            <w:pPr>
              <w:rPr>
                <w:rFonts w:eastAsia="Arial" w:cs="Arial"/>
                <w:sz w:val="20"/>
                <w:szCs w:val="20"/>
              </w:rPr>
            </w:pPr>
            <w:r w:rsidRPr="71B8BBDC">
              <w:rPr>
                <w:rFonts w:eastAsia="Arial" w:cs="Arial"/>
                <w:color w:val="000000" w:themeColor="text1"/>
                <w:sz w:val="20"/>
                <w:szCs w:val="20"/>
              </w:rPr>
              <w:t>Evidence that the amount of benefits created have increased from the previous year</w:t>
            </w:r>
          </w:p>
        </w:tc>
        <w:tc>
          <w:tcPr>
            <w:tcW w:w="3710" w:type="dxa"/>
            <w:tcBorders>
              <w:top w:val="single" w:color="auto" w:sz="4" w:space="0"/>
              <w:left w:val="single" w:color="auto" w:sz="4" w:space="0"/>
              <w:bottom w:val="single" w:color="auto" w:sz="4" w:space="0"/>
              <w:right w:val="single" w:color="auto" w:sz="4" w:space="0"/>
            </w:tcBorders>
            <w:tcMar/>
          </w:tcPr>
          <w:p w:rsidR="00E735A8" w:rsidP="00E735A8" w:rsidRDefault="00E735A8" w14:paraId="483D26AC" w14:textId="77777777">
            <w:pPr>
              <w:jc w:val="both"/>
              <w:rPr>
                <w:rFonts w:eastAsia="Arial" w:cs="Arial"/>
                <w:sz w:val="20"/>
                <w:szCs w:val="20"/>
              </w:rPr>
            </w:pPr>
            <w:r w:rsidRPr="63E5EA1E">
              <w:rPr>
                <w:rFonts w:eastAsia="Arial" w:cs="Arial"/>
                <w:sz w:val="20"/>
                <w:szCs w:val="20"/>
              </w:rPr>
              <w:t>Indicator will be reported on following each programme evaluation. Targets will not be included for this indicator</w:t>
            </w:r>
          </w:p>
          <w:p w:rsidR="00E735A8" w:rsidP="00E735A8" w:rsidRDefault="00E735A8" w14:paraId="3F2D080D" w14:textId="23019389">
            <w:pPr>
              <w:jc w:val="both"/>
              <w:rPr>
                <w:rFonts w:eastAsia="Arial" w:cs="Arial"/>
                <w:sz w:val="20"/>
                <w:szCs w:val="20"/>
              </w:rPr>
            </w:pPr>
          </w:p>
        </w:tc>
      </w:tr>
    </w:tbl>
    <w:p w:rsidR="004A367B" w:rsidP="004D5FD5" w:rsidRDefault="004A367B" w14:paraId="2EFE3995" w14:textId="466BFC60">
      <w:pPr>
        <w:jc w:val="both"/>
        <w:rPr>
          <w:rFonts w:cs="Arial"/>
          <w:sz w:val="22"/>
          <w:szCs w:val="22"/>
        </w:rPr>
      </w:pPr>
    </w:p>
    <w:p w:rsidR="229B1F0A" w:rsidP="6A234BCB" w:rsidRDefault="4C3C7EA5" w14:paraId="56BED2D8" w14:textId="1F802FB4">
      <w:pPr>
        <w:jc w:val="both"/>
      </w:pPr>
      <w:r w:rsidRPr="6A234BCB">
        <w:rPr>
          <w:rFonts w:eastAsia="Arial" w:cs="Arial"/>
          <w:b/>
          <w:bCs/>
          <w:color w:val="000000" w:themeColor="text1"/>
          <w:sz w:val="22"/>
          <w:szCs w:val="22"/>
        </w:rPr>
        <w:t>Briefly describe the output and provide supporting narrative for the score.</w:t>
      </w:r>
    </w:p>
    <w:p w:rsidR="229B1F0A" w:rsidP="5A4FCF86" w:rsidRDefault="229B1F0A" w14:paraId="3A354ABE" w14:textId="70D9F64D">
      <w:pPr>
        <w:jc w:val="both"/>
        <w:rPr>
          <w:rFonts w:eastAsia="Arial" w:cs="Arial"/>
          <w:b/>
          <w:bCs/>
          <w:color w:val="000000" w:themeColor="text1"/>
          <w:sz w:val="22"/>
          <w:szCs w:val="22"/>
        </w:rPr>
      </w:pPr>
    </w:p>
    <w:p w:rsidR="2BEA1728" w:rsidP="0A2DAFB0" w:rsidRDefault="2BEA1728" w14:paraId="704E4BF3" w14:textId="188812C7">
      <w:pPr>
        <w:jc w:val="both"/>
        <w:rPr>
          <w:rFonts w:eastAsia="Arial" w:cs="Arial"/>
          <w:color w:val="000000" w:themeColor="text1"/>
          <w:sz w:val="22"/>
          <w:szCs w:val="22"/>
          <w:highlight w:val="yellow"/>
        </w:rPr>
      </w:pPr>
      <w:r w:rsidRPr="334BBF58" w:rsidR="2BEA1728">
        <w:rPr>
          <w:rFonts w:eastAsia="Arial" w:cs="Arial"/>
          <w:color w:val="000000" w:themeColor="text1" w:themeTint="FF" w:themeShade="FF"/>
          <w:sz w:val="22"/>
          <w:szCs w:val="22"/>
        </w:rPr>
        <w:t>Output 3 assesses public-private and private investment, and the extent to which this enables sustainable revenue streams for local communities, protection of biodiversity and improved land-use management through sustainable practices. As Output Indicator 3.4</w:t>
      </w:r>
      <w:r w:rsidRPr="334BBF58" w:rsidR="003903CE">
        <w:rPr>
          <w:rFonts w:eastAsia="Arial" w:cs="Arial"/>
          <w:color w:val="000000" w:themeColor="text1" w:themeTint="FF" w:themeShade="FF"/>
          <w:sz w:val="22"/>
          <w:szCs w:val="22"/>
        </w:rPr>
        <w:t xml:space="preserve"> (</w:t>
      </w:r>
      <w:r w:rsidRPr="334BBF58" w:rsidR="2BEA1728">
        <w:rPr>
          <w:rFonts w:eastAsia="Arial" w:cs="Arial"/>
          <w:color w:val="000000" w:themeColor="text1" w:themeTint="FF" w:themeShade="FF"/>
          <w:sz w:val="22"/>
          <w:szCs w:val="22"/>
        </w:rPr>
        <w:t>number of businesses or private sector actors creating and scaling environmental and social benefits</w:t>
      </w:r>
      <w:r w:rsidRPr="334BBF58" w:rsidR="003903CE">
        <w:rPr>
          <w:rFonts w:eastAsia="Arial" w:cs="Arial"/>
          <w:color w:val="000000" w:themeColor="text1" w:themeTint="FF" w:themeShade="FF"/>
          <w:sz w:val="22"/>
          <w:szCs w:val="22"/>
        </w:rPr>
        <w:t>)</w:t>
      </w:r>
      <w:r w:rsidRPr="334BBF58" w:rsidR="2BEA1728">
        <w:rPr>
          <w:rFonts w:eastAsia="Arial" w:cs="Arial"/>
          <w:color w:val="000000" w:themeColor="text1" w:themeTint="FF" w:themeShade="FF"/>
          <w:sz w:val="22"/>
          <w:szCs w:val="22"/>
        </w:rPr>
        <w:t xml:space="preserve"> has not been reported on to date, progress against this output reflects the number of people in private sector schemes adopting sustainable practices and the number of partnerships and engagements with private and not-for-profit organisations.</w:t>
      </w:r>
      <w:r w:rsidRPr="334BBF58" w:rsidR="6D9F7494">
        <w:rPr>
          <w:rFonts w:eastAsia="Arial" w:cs="Arial"/>
          <w:color w:val="000000" w:themeColor="text1" w:themeTint="FF" w:themeShade="FF"/>
          <w:sz w:val="22"/>
          <w:szCs w:val="22"/>
        </w:rPr>
        <w:t xml:space="preserve"> </w:t>
      </w:r>
      <w:r w:rsidRPr="334BBF58" w:rsidR="6B3A1DE1">
        <w:rPr>
          <w:rFonts w:eastAsia="Arial" w:cs="Arial"/>
          <w:color w:val="000000" w:themeColor="text1" w:themeTint="FF" w:themeShade="FF"/>
          <w:sz w:val="22"/>
          <w:szCs w:val="22"/>
        </w:rPr>
        <w:t xml:space="preserve">A qualitative assessment has been incorporated alongside the quantitative evaluation, with a 70:30 weighting, </w:t>
      </w:r>
      <w:r w:rsidRPr="334BBF58" w:rsidR="6B3A1DE1">
        <w:rPr>
          <w:rFonts w:eastAsia="Arial" w:cs="Arial"/>
          <w:color w:val="000000" w:themeColor="text1" w:themeTint="FF" w:themeShade="FF"/>
          <w:sz w:val="22"/>
          <w:szCs w:val="22"/>
        </w:rPr>
        <w:t xml:space="preserve">respectively. This reflects the limitations of the current logframe in capturing country-level variation in private sector engagement. It is recommended that the FY26 Annual Review formally integrate this qualitative assessment into the logframe to ensure a more </w:t>
      </w:r>
      <w:r w:rsidRPr="334BBF58" w:rsidR="6B3A1DE1">
        <w:rPr>
          <w:rFonts w:eastAsia="Arial" w:cs="Arial"/>
          <w:color w:val="000000" w:themeColor="text1" w:themeTint="FF" w:themeShade="FF"/>
          <w:sz w:val="22"/>
          <w:szCs w:val="22"/>
        </w:rPr>
        <w:t>accurate</w:t>
      </w:r>
      <w:r w:rsidRPr="334BBF58" w:rsidR="6B3A1DE1">
        <w:rPr>
          <w:rFonts w:eastAsia="Arial" w:cs="Arial"/>
          <w:color w:val="000000" w:themeColor="text1" w:themeTint="FF" w:themeShade="FF"/>
          <w:sz w:val="22"/>
          <w:szCs w:val="22"/>
        </w:rPr>
        <w:t xml:space="preserve"> representation of programme performance</w:t>
      </w:r>
      <w:r w:rsidRPr="334BBF58" w:rsidR="32AD3F68">
        <w:rPr>
          <w:rFonts w:eastAsia="Arial" w:cs="Arial"/>
          <w:color w:val="000000" w:themeColor="text1" w:themeTint="FF" w:themeShade="FF"/>
          <w:sz w:val="22"/>
          <w:szCs w:val="22"/>
        </w:rPr>
        <w:t xml:space="preserve"> </w:t>
      </w:r>
      <w:r w:rsidRPr="334BBF58" w:rsidR="32AD3F68">
        <w:rPr>
          <w:rFonts w:eastAsia="Arial" w:cs="Arial"/>
          <w:color w:val="000000" w:themeColor="text1" w:themeTint="FF" w:themeShade="FF"/>
          <w:sz w:val="22"/>
          <w:szCs w:val="22"/>
        </w:rPr>
        <w:t xml:space="preserve">(see </w:t>
      </w:r>
      <w:r w:rsidRPr="334BBF58" w:rsidR="32AD3F68">
        <w:rPr>
          <w:rFonts w:eastAsia="Arial" w:cs="Arial"/>
          <w:b w:val="1"/>
          <w:bCs w:val="1"/>
          <w:color w:val="000000" w:themeColor="text1" w:themeTint="FF" w:themeShade="FF"/>
          <w:sz w:val="22"/>
          <w:szCs w:val="22"/>
        </w:rPr>
        <w:t>Recommendation [</w:t>
      </w:r>
      <w:r w:rsidRPr="334BBF58" w:rsidR="00FD4AA3">
        <w:rPr>
          <w:rFonts w:eastAsia="Arial" w:cs="Arial"/>
          <w:b w:val="1"/>
          <w:bCs w:val="1"/>
          <w:color w:val="000000" w:themeColor="text1" w:themeTint="FF" w:themeShade="FF"/>
          <w:sz w:val="22"/>
          <w:szCs w:val="22"/>
        </w:rPr>
        <w:t>1</w:t>
      </w:r>
      <w:r w:rsidRPr="334BBF58" w:rsidR="003903CE">
        <w:rPr>
          <w:rFonts w:eastAsia="Arial" w:cs="Arial"/>
          <w:b w:val="1"/>
          <w:bCs w:val="1"/>
          <w:color w:val="000000" w:themeColor="text1" w:themeTint="FF" w:themeShade="FF"/>
          <w:sz w:val="22"/>
          <w:szCs w:val="22"/>
        </w:rPr>
        <w:t>d</w:t>
      </w:r>
      <w:r w:rsidRPr="334BBF58" w:rsidR="32AD3F68">
        <w:rPr>
          <w:rFonts w:eastAsia="Arial" w:cs="Arial"/>
          <w:b w:val="1"/>
          <w:bCs w:val="1"/>
          <w:color w:val="000000" w:themeColor="text1" w:themeTint="FF" w:themeShade="FF"/>
          <w:sz w:val="22"/>
          <w:szCs w:val="22"/>
        </w:rPr>
        <w:t>]</w:t>
      </w:r>
      <w:r w:rsidRPr="334BBF58" w:rsidR="32AD3F68">
        <w:rPr>
          <w:rFonts w:eastAsia="Arial" w:cs="Arial"/>
          <w:color w:val="000000" w:themeColor="text1" w:themeTint="FF" w:themeShade="FF"/>
          <w:sz w:val="22"/>
          <w:szCs w:val="22"/>
        </w:rPr>
        <w:t>)</w:t>
      </w:r>
      <w:r w:rsidRPr="334BBF58" w:rsidR="6B3A1DE1">
        <w:rPr>
          <w:rFonts w:eastAsia="Arial" w:cs="Arial"/>
          <w:color w:val="000000" w:themeColor="text1" w:themeTint="FF" w:themeShade="FF"/>
          <w:sz w:val="22"/>
          <w:szCs w:val="22"/>
        </w:rPr>
        <w:t>.</w:t>
      </w:r>
    </w:p>
    <w:p w:rsidR="3D789FF1" w:rsidP="279E11BA" w:rsidRDefault="3D789FF1" w14:paraId="1E480801" w14:textId="3C6ED6F2">
      <w:pPr>
        <w:jc w:val="both"/>
        <w:rPr>
          <w:rFonts w:eastAsia="Arial" w:cs="Arial"/>
          <w:color w:val="000000" w:themeColor="text1"/>
          <w:sz w:val="22"/>
          <w:szCs w:val="22"/>
          <w:highlight w:val="yellow"/>
        </w:rPr>
      </w:pPr>
    </w:p>
    <w:p w:rsidR="49DC603C" w:rsidP="688202ED" w:rsidRDefault="3AEEDF03" w14:paraId="7CBAB175" w14:textId="2A8DCFCD">
      <w:pPr>
        <w:jc w:val="both"/>
        <w:rPr>
          <w:rFonts w:eastAsia="Arial" w:cs="Arial"/>
          <w:sz w:val="22"/>
          <w:szCs w:val="22"/>
        </w:rPr>
      </w:pPr>
      <w:r w:rsidRPr="334BBF58" w:rsidR="3AEEDF03">
        <w:rPr>
          <w:rFonts w:eastAsia="Arial" w:cs="Arial"/>
          <w:sz w:val="22"/>
          <w:szCs w:val="22"/>
        </w:rPr>
        <w:t xml:space="preserve">This output received a score of </w:t>
      </w:r>
      <w:r w:rsidRPr="334BBF58" w:rsidR="3AEEDF03">
        <w:rPr>
          <w:rFonts w:eastAsia="Arial" w:cs="Arial"/>
          <w:b w:val="1"/>
          <w:bCs w:val="1"/>
          <w:sz w:val="22"/>
          <w:szCs w:val="22"/>
        </w:rPr>
        <w:t>A</w:t>
      </w:r>
      <w:r w:rsidRPr="334BBF58" w:rsidR="3AEEDF03">
        <w:rPr>
          <w:rFonts w:eastAsia="Arial" w:cs="Arial"/>
          <w:b w:val="1"/>
          <w:bCs w:val="1"/>
          <w:sz w:val="22"/>
          <w:szCs w:val="22"/>
        </w:rPr>
        <w:t xml:space="preserve"> </w:t>
      </w:r>
      <w:r w:rsidRPr="334BBF58" w:rsidR="3AEEDF03">
        <w:rPr>
          <w:rFonts w:eastAsia="Arial" w:cs="Arial"/>
          <w:sz w:val="22"/>
          <w:szCs w:val="22"/>
        </w:rPr>
        <w:t xml:space="preserve">for FY25, </w:t>
      </w:r>
      <w:r w:rsidRPr="334BBF58" w:rsidR="3AEEDF03">
        <w:rPr>
          <w:rFonts w:eastAsia="Arial" w:cs="Arial"/>
          <w:sz w:val="22"/>
          <w:szCs w:val="22"/>
        </w:rPr>
        <w:t>indicating</w:t>
      </w:r>
      <w:r w:rsidRPr="334BBF58" w:rsidR="3AEEDF03">
        <w:rPr>
          <w:rFonts w:eastAsia="Arial" w:cs="Arial"/>
          <w:sz w:val="22"/>
          <w:szCs w:val="22"/>
        </w:rPr>
        <w:t xml:space="preserve"> </w:t>
      </w:r>
      <w:r w:rsidRPr="334BBF58" w:rsidR="3AEEDF03">
        <w:rPr>
          <w:rFonts w:eastAsia="Arial" w:cs="Arial"/>
          <w:b w:val="1"/>
          <w:bCs w:val="1"/>
          <w:sz w:val="22"/>
          <w:szCs w:val="22"/>
        </w:rPr>
        <w:t>moderate progress.</w:t>
      </w:r>
      <w:r w:rsidRPr="334BBF58" w:rsidR="3AEEDF03">
        <w:rPr>
          <w:rFonts w:eastAsia="Arial" w:cs="Arial"/>
          <w:sz w:val="22"/>
          <w:szCs w:val="22"/>
        </w:rPr>
        <w:t xml:space="preserve"> This </w:t>
      </w:r>
      <w:r w:rsidRPr="334BBF58" w:rsidR="3AEEDF03">
        <w:rPr>
          <w:rFonts w:eastAsia="Arial" w:cs="Arial"/>
          <w:sz w:val="22"/>
          <w:szCs w:val="22"/>
        </w:rPr>
        <w:t>represents</w:t>
      </w:r>
      <w:r w:rsidRPr="334BBF58" w:rsidR="3AEEDF03">
        <w:rPr>
          <w:rFonts w:eastAsia="Arial" w:cs="Arial"/>
          <w:sz w:val="22"/>
          <w:szCs w:val="22"/>
        </w:rPr>
        <w:t xml:space="preserve"> a regression from the A++ rating awarded in </w:t>
      </w:r>
      <w:r w:rsidRPr="334BBF58" w:rsidR="3AEEDF03">
        <w:rPr>
          <w:rFonts w:eastAsia="Arial" w:cs="Arial"/>
          <w:sz w:val="22"/>
          <w:szCs w:val="22"/>
        </w:rPr>
        <w:t>FY24, and</w:t>
      </w:r>
      <w:r w:rsidRPr="334BBF58" w:rsidR="46D08315">
        <w:rPr>
          <w:rFonts w:eastAsia="Arial" w:cs="Arial"/>
          <w:sz w:val="22"/>
          <w:szCs w:val="22"/>
        </w:rPr>
        <w:t xml:space="preserve"> better</w:t>
      </w:r>
      <w:r w:rsidRPr="334BBF58" w:rsidR="3AEEDF03">
        <w:rPr>
          <w:rFonts w:eastAsia="Arial" w:cs="Arial"/>
          <w:sz w:val="22"/>
          <w:szCs w:val="22"/>
        </w:rPr>
        <w:t xml:space="preserve"> reflects the uneven performance across sub-indicators and country </w:t>
      </w:r>
      <w:r w:rsidRPr="334BBF58" w:rsidR="0A126DB2">
        <w:rPr>
          <w:rFonts w:eastAsia="Arial" w:cs="Arial"/>
          <w:sz w:val="22"/>
          <w:szCs w:val="22"/>
        </w:rPr>
        <w:t>context</w:t>
      </w:r>
      <w:r w:rsidRPr="334BBF58" w:rsidR="3AEEDF03">
        <w:rPr>
          <w:rFonts w:eastAsia="Arial" w:cs="Arial"/>
          <w:sz w:val="22"/>
          <w:szCs w:val="22"/>
        </w:rPr>
        <w:t xml:space="preserve">s. </w:t>
      </w:r>
      <w:r w:rsidRPr="334BBF58" w:rsidR="00FC6549">
        <w:rPr>
          <w:rFonts w:eastAsia="Arial" w:cs="Arial"/>
          <w:sz w:val="22"/>
          <w:szCs w:val="22"/>
        </w:rPr>
        <w:t xml:space="preserve">Only </w:t>
      </w:r>
      <w:r w:rsidRPr="334BBF58" w:rsidR="00B432F1">
        <w:rPr>
          <w:rFonts w:eastAsia="Arial" w:cs="Arial"/>
          <w:sz w:val="22"/>
          <w:szCs w:val="22"/>
        </w:rPr>
        <w:t xml:space="preserve">Colombia and Ethiopia have </w:t>
      </w:r>
      <w:r w:rsidRPr="334BBF58" w:rsidR="00E42B42">
        <w:rPr>
          <w:rFonts w:eastAsia="Arial" w:cs="Arial"/>
          <w:sz w:val="22"/>
          <w:szCs w:val="22"/>
        </w:rPr>
        <w:t xml:space="preserve">private sector strategies in place, </w:t>
      </w:r>
      <w:r w:rsidRPr="334BBF58" w:rsidR="008D1013">
        <w:rPr>
          <w:rFonts w:eastAsia="Arial" w:cs="Arial"/>
          <w:sz w:val="22"/>
          <w:szCs w:val="22"/>
        </w:rPr>
        <w:t xml:space="preserve">with </w:t>
      </w:r>
      <w:r w:rsidRPr="334BBF58" w:rsidR="006B0646">
        <w:rPr>
          <w:rFonts w:eastAsia="Arial" w:cs="Arial"/>
          <w:sz w:val="22"/>
          <w:szCs w:val="22"/>
        </w:rPr>
        <w:t xml:space="preserve">strategies being cancelled in the other countries before FY25. </w:t>
      </w:r>
      <w:r w:rsidRPr="334BBF58" w:rsidR="00A0627E">
        <w:rPr>
          <w:rFonts w:eastAsia="Arial" w:cs="Arial"/>
          <w:sz w:val="22"/>
          <w:szCs w:val="22"/>
        </w:rPr>
        <w:t xml:space="preserve">However, </w:t>
      </w:r>
      <w:r w:rsidRPr="334BBF58" w:rsidR="00C87792">
        <w:rPr>
          <w:rFonts w:eastAsia="Arial" w:cs="Arial"/>
          <w:sz w:val="22"/>
          <w:szCs w:val="22"/>
        </w:rPr>
        <w:t xml:space="preserve">there has been a positive development </w:t>
      </w:r>
      <w:r w:rsidRPr="334BBF58" w:rsidR="00A0627E">
        <w:rPr>
          <w:rFonts w:eastAsia="Arial" w:cs="Arial"/>
          <w:sz w:val="22"/>
          <w:szCs w:val="22"/>
        </w:rPr>
        <w:t xml:space="preserve">since the end of the FY25 reporting period, </w:t>
      </w:r>
      <w:r w:rsidRPr="334BBF58" w:rsidR="00C87792">
        <w:rPr>
          <w:rFonts w:eastAsia="Arial" w:cs="Arial"/>
          <w:sz w:val="22"/>
          <w:szCs w:val="22"/>
        </w:rPr>
        <w:t xml:space="preserve">with the UK </w:t>
      </w:r>
      <w:r w:rsidRPr="334BBF58" w:rsidR="00C87792">
        <w:rPr>
          <w:rFonts w:eastAsia="Arial" w:cs="Arial"/>
          <w:sz w:val="22"/>
          <w:szCs w:val="22"/>
        </w:rPr>
        <w:t xml:space="preserve">approving </w:t>
      </w:r>
      <w:r w:rsidRPr="334BBF58" w:rsidR="3ECC073C">
        <w:rPr>
          <w:rFonts w:eastAsia="Arial" w:cs="Arial"/>
          <w:sz w:val="22"/>
          <w:szCs w:val="22"/>
        </w:rPr>
        <w:t xml:space="preserve">$4 </w:t>
      </w:r>
      <w:r w:rsidRPr="334BBF58" w:rsidR="3ECC073C">
        <w:rPr>
          <w:rFonts w:eastAsia="Arial" w:cs="Arial"/>
          <w:sz w:val="22"/>
          <w:szCs w:val="22"/>
        </w:rPr>
        <w:t>million</w:t>
      </w:r>
      <w:r w:rsidRPr="334BBF58" w:rsidR="68580D3C">
        <w:rPr>
          <w:rFonts w:eastAsia="Arial" w:cs="Arial"/>
          <w:sz w:val="22"/>
          <w:szCs w:val="22"/>
        </w:rPr>
        <w:t xml:space="preserve"> </w:t>
      </w:r>
      <w:r w:rsidRPr="334BBF58" w:rsidR="00C87792">
        <w:rPr>
          <w:rFonts w:eastAsia="Arial" w:cs="Arial"/>
          <w:sz w:val="22"/>
          <w:szCs w:val="22"/>
        </w:rPr>
        <w:t>o</w:t>
      </w:r>
      <w:r w:rsidRPr="334BBF58" w:rsidR="00C87792">
        <w:rPr>
          <w:rFonts w:eastAsia="Arial" w:cs="Arial"/>
          <w:sz w:val="22"/>
          <w:szCs w:val="22"/>
        </w:rPr>
        <w:t xml:space="preserve">f funding to </w:t>
      </w:r>
      <w:r w:rsidRPr="334BBF58" w:rsidR="00A950FD">
        <w:rPr>
          <w:rFonts w:eastAsia="Arial" w:cs="Arial"/>
          <w:sz w:val="22"/>
          <w:szCs w:val="22"/>
        </w:rPr>
        <w:t>re</w:t>
      </w:r>
      <w:r w:rsidRPr="334BBF58" w:rsidR="009E67B2">
        <w:rPr>
          <w:rFonts w:eastAsia="Arial" w:cs="Arial"/>
          <w:sz w:val="22"/>
          <w:szCs w:val="22"/>
        </w:rPr>
        <w:t>-establish the Mexico private sec</w:t>
      </w:r>
      <w:r w:rsidRPr="334BBF58" w:rsidR="0084512A">
        <w:rPr>
          <w:rFonts w:eastAsia="Arial" w:cs="Arial"/>
          <w:sz w:val="22"/>
          <w:szCs w:val="22"/>
        </w:rPr>
        <w:t xml:space="preserve">tor </w:t>
      </w:r>
      <w:r w:rsidRPr="334BBF58" w:rsidR="0084512A">
        <w:rPr>
          <w:rFonts w:eastAsia="Arial" w:cs="Arial"/>
          <w:sz w:val="22"/>
          <w:szCs w:val="22"/>
        </w:rPr>
        <w:t>strateg</w:t>
      </w:r>
      <w:r w:rsidRPr="334BBF58" w:rsidR="00F01223">
        <w:rPr>
          <w:rFonts w:eastAsia="Arial" w:cs="Arial"/>
          <w:sz w:val="22"/>
          <w:szCs w:val="22"/>
        </w:rPr>
        <w:t>y</w:t>
      </w:r>
      <w:r w:rsidRPr="334BBF58" w:rsidR="0084512A">
        <w:rPr>
          <w:rFonts w:eastAsia="Arial" w:cs="Arial"/>
          <w:sz w:val="22"/>
          <w:szCs w:val="22"/>
        </w:rPr>
        <w:t>.</w:t>
      </w:r>
      <w:r w:rsidRPr="334BBF58" w:rsidR="0084512A">
        <w:rPr>
          <w:rFonts w:eastAsia="Arial" w:cs="Arial"/>
          <w:sz w:val="22"/>
          <w:szCs w:val="22"/>
        </w:rPr>
        <w:t xml:space="preserve"> </w:t>
      </w:r>
      <w:r w:rsidRPr="334BBF58" w:rsidR="00A0627E">
        <w:rPr>
          <w:rFonts w:eastAsia="Arial" w:cs="Arial"/>
          <w:sz w:val="22"/>
          <w:szCs w:val="22"/>
        </w:rPr>
        <w:t xml:space="preserve"> </w:t>
      </w:r>
      <w:r w:rsidRPr="334BBF58" w:rsidR="00A8479E">
        <w:rPr>
          <w:rFonts w:eastAsia="Arial" w:cs="Arial"/>
          <w:sz w:val="22"/>
          <w:szCs w:val="22"/>
        </w:rPr>
        <w:t xml:space="preserve">Overall, however, </w:t>
      </w:r>
      <w:r w:rsidRPr="334BBF58" w:rsidR="00A8479E">
        <w:rPr>
          <w:rFonts w:eastAsia="Arial" w:cs="Arial"/>
          <w:color w:val="000000" w:themeColor="text1" w:themeTint="FF" w:themeShade="FF"/>
          <w:sz w:val="22"/>
          <w:szCs w:val="22"/>
        </w:rPr>
        <w:t>g</w:t>
      </w:r>
      <w:r w:rsidRPr="334BBF58" w:rsidR="17E0C891">
        <w:rPr>
          <w:rFonts w:eastAsia="Arial" w:cs="Arial"/>
          <w:color w:val="000000" w:themeColor="text1" w:themeTint="FF" w:themeShade="FF"/>
          <w:sz w:val="22"/>
          <w:szCs w:val="22"/>
        </w:rPr>
        <w:t xml:space="preserve">iven the challenges in private sector strategies, </w:t>
      </w:r>
      <w:r w:rsidRPr="334BBF58" w:rsidR="17E0C891">
        <w:rPr>
          <w:rFonts w:eastAsia="Arial" w:cs="Arial"/>
          <w:color w:val="000000" w:themeColor="text1" w:themeTint="FF" w:themeShade="FF"/>
          <w:sz w:val="22"/>
          <w:szCs w:val="22"/>
        </w:rPr>
        <w:t xml:space="preserve">the Output has </w:t>
      </w:r>
      <w:r w:rsidRPr="334BBF58" w:rsidR="17E0C891">
        <w:rPr>
          <w:rFonts w:eastAsia="Arial" w:cs="Arial"/>
          <w:color w:val="000000" w:themeColor="text1" w:themeTint="FF" w:themeShade="FF"/>
          <w:sz w:val="22"/>
          <w:szCs w:val="22"/>
        </w:rPr>
        <w:t>retained</w:t>
      </w:r>
      <w:r w:rsidRPr="334BBF58" w:rsidR="17E0C891">
        <w:rPr>
          <w:rFonts w:eastAsia="Arial" w:cs="Arial"/>
          <w:color w:val="000000" w:themeColor="text1" w:themeTint="FF" w:themeShade="FF"/>
          <w:sz w:val="22"/>
          <w:szCs w:val="22"/>
        </w:rPr>
        <w:t xml:space="preserve"> a “Moderate” risk rating from FY23.</w:t>
      </w:r>
    </w:p>
    <w:p w:rsidR="49DC603C" w:rsidP="750B3F10" w:rsidRDefault="49DC603C" w14:paraId="701505A8" w14:textId="640C101C">
      <w:pPr>
        <w:jc w:val="both"/>
        <w:rPr>
          <w:rFonts w:eastAsia="Arial" w:cs="Arial"/>
          <w:color w:val="000000" w:themeColor="text1"/>
          <w:sz w:val="22"/>
          <w:szCs w:val="22"/>
        </w:rPr>
      </w:pPr>
    </w:p>
    <w:p w:rsidR="4280AB2F" w:rsidP="0008739A" w:rsidRDefault="00F4044C" w14:paraId="281ABA45" w14:textId="71561CBE">
      <w:pPr>
        <w:jc w:val="both"/>
      </w:pPr>
      <w:r w:rsidRPr="7D1C0265" w:rsidR="00F4044C">
        <w:rPr>
          <w:rFonts w:eastAsia="Arial" w:cs="Arial"/>
          <w:color w:val="000000" w:themeColor="text1" w:themeTint="FF" w:themeShade="FF"/>
          <w:sz w:val="22"/>
          <w:szCs w:val="22"/>
        </w:rPr>
        <w:t>Results</w:t>
      </w:r>
      <w:r w:rsidRPr="7D1C0265" w:rsidR="00E05153">
        <w:rPr>
          <w:rFonts w:eastAsia="Arial" w:cs="Arial"/>
          <w:color w:val="000000" w:themeColor="text1" w:themeTint="FF" w:themeShade="FF"/>
          <w:sz w:val="22"/>
          <w:szCs w:val="22"/>
        </w:rPr>
        <w:t xml:space="preserve"> under Output Indicator 3.1, “Number of people in private sector schemes </w:t>
      </w:r>
      <w:r w:rsidRPr="7D1C0265" w:rsidR="003C04AF">
        <w:rPr>
          <w:rFonts w:eastAsia="Arial" w:cs="Arial"/>
          <w:color w:val="000000" w:themeColor="text1" w:themeTint="FF" w:themeShade="FF"/>
          <w:sz w:val="22"/>
          <w:szCs w:val="22"/>
        </w:rPr>
        <w:t>adopting sustainable practices</w:t>
      </w:r>
      <w:r w:rsidRPr="7D1C0265" w:rsidR="003C04AF">
        <w:rPr>
          <w:rFonts w:eastAsia="Arial" w:cs="Arial"/>
          <w:color w:val="000000" w:themeColor="text1" w:themeTint="FF" w:themeShade="FF"/>
          <w:sz w:val="22"/>
          <w:szCs w:val="22"/>
        </w:rPr>
        <w:t>”,</w:t>
      </w:r>
      <w:r w:rsidRPr="7D1C0265" w:rsidR="003C04AF">
        <w:rPr>
          <w:rFonts w:eastAsia="Arial" w:cs="Arial"/>
          <w:color w:val="000000" w:themeColor="text1" w:themeTint="FF" w:themeShade="FF"/>
          <w:sz w:val="22"/>
          <w:szCs w:val="22"/>
        </w:rPr>
        <w:t xml:space="preserve"> </w:t>
      </w:r>
      <w:r w:rsidRPr="7D1C0265" w:rsidR="00F4044C">
        <w:rPr>
          <w:rFonts w:eastAsia="Arial" w:cs="Arial"/>
          <w:color w:val="000000" w:themeColor="text1" w:themeTint="FF" w:themeShade="FF"/>
          <w:sz w:val="22"/>
          <w:szCs w:val="22"/>
        </w:rPr>
        <w:t xml:space="preserve">were significantly less than </w:t>
      </w:r>
      <w:r w:rsidRPr="7D1C0265" w:rsidR="00956FD7">
        <w:rPr>
          <w:rFonts w:eastAsia="Arial" w:cs="Arial"/>
          <w:color w:val="000000" w:themeColor="text1" w:themeTint="FF" w:themeShade="FF"/>
          <w:sz w:val="22"/>
          <w:szCs w:val="22"/>
        </w:rPr>
        <w:t>the FY25 milestone (</w:t>
      </w:r>
      <w:r w:rsidRPr="7D1C0265" w:rsidR="00EB6F03">
        <w:rPr>
          <w:rFonts w:eastAsia="Arial" w:cs="Arial"/>
          <w:color w:val="000000" w:themeColor="text1" w:themeTint="FF" w:themeShade="FF"/>
          <w:sz w:val="22"/>
          <w:szCs w:val="22"/>
        </w:rPr>
        <w:t>7,954 people compared to a target of 268,484</w:t>
      </w:r>
      <w:r w:rsidRPr="7D1C0265" w:rsidR="00B35721">
        <w:rPr>
          <w:rFonts w:eastAsia="Arial" w:cs="Arial"/>
          <w:color w:val="000000" w:themeColor="text1" w:themeTint="FF" w:themeShade="FF"/>
          <w:sz w:val="22"/>
          <w:szCs w:val="22"/>
        </w:rPr>
        <w:t xml:space="preserve"> people</w:t>
      </w:r>
      <w:r w:rsidRPr="7D1C0265" w:rsidR="00EB6F03">
        <w:rPr>
          <w:rFonts w:eastAsia="Arial" w:cs="Arial"/>
          <w:color w:val="000000" w:themeColor="text1" w:themeTint="FF" w:themeShade="FF"/>
          <w:sz w:val="22"/>
          <w:szCs w:val="22"/>
        </w:rPr>
        <w:t xml:space="preserve">). </w:t>
      </w:r>
      <w:r w:rsidRPr="7D1C0265" w:rsidR="000D67F6">
        <w:rPr>
          <w:rFonts w:eastAsia="Arial" w:cs="Arial"/>
          <w:color w:val="000000" w:themeColor="text1" w:themeTint="FF" w:themeShade="FF"/>
          <w:sz w:val="22"/>
          <w:szCs w:val="22"/>
        </w:rPr>
        <w:t xml:space="preserve">It is worth noting that </w:t>
      </w:r>
      <w:r w:rsidRPr="7D1C0265" w:rsidR="00D263D7">
        <w:rPr>
          <w:rFonts w:eastAsia="Arial" w:cs="Arial"/>
          <w:color w:val="000000" w:themeColor="text1" w:themeTint="FF" w:themeShade="FF"/>
          <w:sz w:val="22"/>
          <w:szCs w:val="22"/>
        </w:rPr>
        <w:t>in FY25 the interim milestones under this output were revised upwards</w:t>
      </w:r>
      <w:r w:rsidRPr="7D1C0265" w:rsidR="000367EC">
        <w:rPr>
          <w:rFonts w:eastAsia="Arial" w:cs="Arial"/>
          <w:color w:val="000000" w:themeColor="text1" w:themeTint="FF" w:themeShade="FF"/>
          <w:sz w:val="22"/>
          <w:szCs w:val="22"/>
        </w:rPr>
        <w:t xml:space="preserve"> to</w:t>
      </w:r>
      <w:r w:rsidRPr="7D1C0265" w:rsidR="001D2066">
        <w:rPr>
          <w:rFonts w:eastAsia="Arial" w:cs="Arial"/>
          <w:color w:val="000000" w:themeColor="text1" w:themeTint="FF" w:themeShade="FF"/>
          <w:sz w:val="22"/>
          <w:szCs w:val="22"/>
        </w:rPr>
        <w:t xml:space="preserve"> account for the inclusion of the </w:t>
      </w:r>
      <w:r w:rsidRPr="7D1C0265" w:rsidR="000367EC">
        <w:rPr>
          <w:rFonts w:eastAsia="Arial" w:cs="Arial"/>
          <w:color w:val="000000" w:themeColor="text1" w:themeTint="FF" w:themeShade="FF"/>
          <w:sz w:val="22"/>
          <w:szCs w:val="22"/>
        </w:rPr>
        <w:t xml:space="preserve">Zambia </w:t>
      </w:r>
      <w:r w:rsidRPr="7D1C0265" w:rsidR="001D2066">
        <w:rPr>
          <w:rFonts w:eastAsia="Arial" w:cs="Arial"/>
          <w:color w:val="000000" w:themeColor="text1" w:themeTint="FF" w:themeShade="FF"/>
          <w:sz w:val="22"/>
          <w:szCs w:val="22"/>
        </w:rPr>
        <w:t>ERP</w:t>
      </w:r>
      <w:r w:rsidRPr="7D1C0265" w:rsidR="000367EC">
        <w:rPr>
          <w:rFonts w:eastAsia="Arial" w:cs="Arial"/>
          <w:color w:val="000000" w:themeColor="text1" w:themeTint="FF" w:themeShade="FF"/>
          <w:sz w:val="22"/>
          <w:szCs w:val="22"/>
        </w:rPr>
        <w:t>.</w:t>
      </w:r>
      <w:r w:rsidRPr="7D1C0265" w:rsidR="0008739A">
        <w:rPr>
          <w:rFonts w:eastAsia="Arial" w:cs="Arial"/>
          <w:color w:val="000000" w:themeColor="text1" w:themeTint="FF" w:themeShade="FF"/>
          <w:sz w:val="22"/>
          <w:szCs w:val="22"/>
        </w:rPr>
        <w:t xml:space="preserve"> However</w:t>
      </w:r>
      <w:r w:rsidRPr="7D1C0265" w:rsidR="5E33AA9D">
        <w:rPr>
          <w:rFonts w:eastAsia="Arial" w:cs="Arial"/>
          <w:color w:val="000000" w:themeColor="text1" w:themeTint="FF" w:themeShade="FF"/>
          <w:sz w:val="22"/>
          <w:szCs w:val="22"/>
        </w:rPr>
        <w:t>,</w:t>
      </w:r>
      <w:r w:rsidRPr="7D1C0265" w:rsidR="0008739A">
        <w:rPr>
          <w:rFonts w:eastAsia="Arial" w:cs="Arial"/>
          <w:color w:val="000000" w:themeColor="text1" w:themeTint="FF" w:themeShade="FF"/>
          <w:sz w:val="22"/>
          <w:szCs w:val="22"/>
        </w:rPr>
        <w:t xml:space="preserve"> the </w:t>
      </w:r>
      <w:r w:rsidRPr="7D1C0265" w:rsidR="64BDB599">
        <w:rPr>
          <w:rFonts w:eastAsia="Arial" w:cs="Arial"/>
          <w:color w:val="000000" w:themeColor="text1" w:themeTint="FF" w:themeShade="FF"/>
          <w:sz w:val="22"/>
          <w:szCs w:val="22"/>
        </w:rPr>
        <w:t>result</w:t>
      </w:r>
      <w:r w:rsidRPr="7D1C0265" w:rsidR="0008739A">
        <w:rPr>
          <w:rFonts w:eastAsia="Arial" w:cs="Arial"/>
          <w:color w:val="000000" w:themeColor="text1" w:themeTint="FF" w:themeShade="FF"/>
          <w:sz w:val="22"/>
          <w:szCs w:val="22"/>
        </w:rPr>
        <w:t xml:space="preserve"> for this indicator is below target because the Zambia ER programme, which aimed to achieve 100,000 by FY25, has been delayed in reporting its results.</w:t>
      </w:r>
    </w:p>
    <w:p w:rsidR="5A4FCF86" w:rsidP="39E1091C" w:rsidRDefault="5A4FCF86" w14:paraId="60E12980" w14:textId="065BB26E">
      <w:pPr>
        <w:jc w:val="both"/>
        <w:rPr>
          <w:rFonts w:eastAsia="Arial" w:cs="Arial"/>
          <w:b/>
          <w:bCs/>
          <w:color w:val="000000" w:themeColor="text1"/>
          <w:sz w:val="22"/>
          <w:szCs w:val="22"/>
          <w:highlight w:val="yellow"/>
        </w:rPr>
      </w:pPr>
    </w:p>
    <w:p w:rsidRPr="00831D68" w:rsidR="008F3213" w:rsidP="696721BB" w:rsidRDefault="482431CD" w14:paraId="4E8AE016" w14:textId="5576C37B">
      <w:pPr>
        <w:jc w:val="both"/>
        <w:rPr>
          <w:rFonts w:eastAsia="Arial" w:cs="Arial"/>
          <w:color w:val="000000" w:themeColor="text1"/>
          <w:sz w:val="22"/>
          <w:szCs w:val="22"/>
        </w:rPr>
      </w:pPr>
      <w:r w:rsidRPr="334BBF58" w:rsidR="482431CD">
        <w:rPr>
          <w:rFonts w:eastAsia="Arial" w:cs="Arial"/>
          <w:color w:val="000000" w:themeColor="text1" w:themeTint="FF" w:themeShade="FF"/>
          <w:sz w:val="22"/>
          <w:szCs w:val="22"/>
        </w:rPr>
        <w:t>Despite challenges, p</w:t>
      </w:r>
      <w:r w:rsidRPr="334BBF58" w:rsidR="5850AD49">
        <w:rPr>
          <w:rFonts w:eastAsia="Arial" w:cs="Arial"/>
          <w:color w:val="000000" w:themeColor="text1" w:themeTint="FF" w:themeShade="FF"/>
          <w:sz w:val="22"/>
          <w:szCs w:val="22"/>
        </w:rPr>
        <w:t xml:space="preserve">rogress around partnerships and engagement with for-profit and not-for-profit organisations </w:t>
      </w:r>
      <w:r w:rsidRPr="334BBF58" w:rsidR="00B36477">
        <w:rPr>
          <w:rFonts w:eastAsia="Arial" w:cs="Arial"/>
          <w:color w:val="000000" w:themeColor="text1" w:themeTint="FF" w:themeShade="FF"/>
          <w:sz w:val="22"/>
          <w:szCs w:val="22"/>
        </w:rPr>
        <w:t xml:space="preserve">again </w:t>
      </w:r>
      <w:r w:rsidRPr="334BBF58" w:rsidR="5850AD49">
        <w:rPr>
          <w:rFonts w:eastAsia="Arial" w:cs="Arial"/>
          <w:color w:val="000000" w:themeColor="text1" w:themeTint="FF" w:themeShade="FF"/>
          <w:sz w:val="22"/>
          <w:szCs w:val="22"/>
        </w:rPr>
        <w:t>substantially exceeded expectations under Output Indictors 3.2 and 3.3.</w:t>
      </w:r>
      <w:r w:rsidRPr="334BBF58" w:rsidR="00B36477">
        <w:rPr>
          <w:rFonts w:eastAsia="Arial" w:cs="Arial"/>
          <w:color w:val="000000" w:themeColor="text1" w:themeTint="FF" w:themeShade="FF"/>
          <w:sz w:val="22"/>
          <w:szCs w:val="22"/>
        </w:rPr>
        <w:t xml:space="preserve"> However, it should be noted that no progression has taken place in the FY25 reporting period, with </w:t>
      </w:r>
      <w:r w:rsidRPr="334BBF58" w:rsidR="006F643F">
        <w:rPr>
          <w:rFonts w:eastAsia="Arial" w:cs="Arial"/>
          <w:color w:val="000000" w:themeColor="text1" w:themeTint="FF" w:themeShade="FF"/>
          <w:sz w:val="22"/>
          <w:szCs w:val="22"/>
        </w:rPr>
        <w:t>almost all</w:t>
      </w:r>
      <w:r w:rsidRPr="334BBF58" w:rsidR="006F643F">
        <w:rPr>
          <w:rFonts w:eastAsia="Arial" w:cs="Arial"/>
          <w:color w:val="000000" w:themeColor="text1" w:themeTint="FF" w:themeShade="FF"/>
          <w:sz w:val="22"/>
          <w:szCs w:val="22"/>
        </w:rPr>
        <w:t xml:space="preserve"> </w:t>
      </w:r>
      <w:r w:rsidRPr="334BBF58" w:rsidR="00231DCA">
        <w:rPr>
          <w:rFonts w:eastAsia="Arial" w:cs="Arial"/>
          <w:color w:val="000000" w:themeColor="text1" w:themeTint="FF" w:themeShade="FF"/>
          <w:sz w:val="22"/>
          <w:szCs w:val="22"/>
        </w:rPr>
        <w:t>outputs identical (</w:t>
      </w:r>
      <w:r w:rsidRPr="334BBF58" w:rsidR="00C96C02">
        <w:rPr>
          <w:rFonts w:eastAsia="Arial" w:cs="Arial"/>
          <w:color w:val="000000" w:themeColor="text1" w:themeTint="FF" w:themeShade="FF"/>
          <w:sz w:val="22"/>
          <w:szCs w:val="22"/>
        </w:rPr>
        <w:t xml:space="preserve">the exception being Zambia </w:t>
      </w:r>
      <w:r w:rsidRPr="334BBF58" w:rsidR="00831D68">
        <w:rPr>
          <w:rFonts w:eastAsia="Arial" w:cs="Arial"/>
          <w:color w:val="000000" w:themeColor="text1" w:themeTint="FF" w:themeShade="FF"/>
          <w:sz w:val="22"/>
          <w:szCs w:val="22"/>
        </w:rPr>
        <w:t>which has seen an increase in partnerships with one for-profit private sector organisation).</w:t>
      </w:r>
      <w:r w:rsidRPr="334BBF58" w:rsidR="5850AD49">
        <w:rPr>
          <w:rFonts w:eastAsia="Arial" w:cs="Arial"/>
          <w:color w:val="000000" w:themeColor="text1" w:themeTint="FF" w:themeShade="FF"/>
          <w:sz w:val="22"/>
          <w:szCs w:val="22"/>
        </w:rPr>
        <w:t xml:space="preserve"> Under this indicator, “partnerships” refers to formal relationships </w:t>
      </w:r>
      <w:r w:rsidRPr="334BBF58" w:rsidR="5850AD49">
        <w:rPr>
          <w:rFonts w:eastAsia="Arial" w:cs="Arial"/>
          <w:color w:val="000000" w:themeColor="text1" w:themeTint="FF" w:themeShade="FF"/>
          <w:sz w:val="22"/>
          <w:szCs w:val="22"/>
        </w:rPr>
        <w:t>evidenced</w:t>
      </w:r>
      <w:r w:rsidRPr="334BBF58" w:rsidR="5850AD49">
        <w:rPr>
          <w:rFonts w:eastAsia="Arial" w:cs="Arial"/>
          <w:color w:val="000000" w:themeColor="text1" w:themeTint="FF" w:themeShade="FF"/>
          <w:sz w:val="22"/>
          <w:szCs w:val="22"/>
        </w:rPr>
        <w:t xml:space="preserve">, for example, through legal agreements or memorandums of understanding, and “engagements” refers to </w:t>
      </w:r>
      <w:r w:rsidRPr="334BBF58" w:rsidR="5850AD49">
        <w:rPr>
          <w:rFonts w:eastAsia="Arial" w:cs="Arial"/>
          <w:color w:val="000000" w:themeColor="text1" w:themeTint="FF" w:themeShade="FF"/>
          <w:sz w:val="22"/>
          <w:szCs w:val="22"/>
        </w:rPr>
        <w:t>publicly stated</w:t>
      </w:r>
      <w:r w:rsidRPr="334BBF58" w:rsidR="5850AD49">
        <w:rPr>
          <w:rFonts w:eastAsia="Arial" w:cs="Arial"/>
          <w:color w:val="000000" w:themeColor="text1" w:themeTint="FF" w:themeShade="FF"/>
          <w:sz w:val="22"/>
          <w:szCs w:val="22"/>
        </w:rPr>
        <w:t xml:space="preserve"> relationships that may not be </w:t>
      </w:r>
      <w:r w:rsidRPr="334BBF58" w:rsidR="5850AD49">
        <w:rPr>
          <w:rFonts w:eastAsia="Arial" w:cs="Arial"/>
          <w:color w:val="000000" w:themeColor="text1" w:themeTint="FF" w:themeShade="FF"/>
          <w:sz w:val="22"/>
          <w:szCs w:val="22"/>
        </w:rPr>
        <w:t>formalised</w:t>
      </w:r>
      <w:r w:rsidRPr="334BBF58" w:rsidR="5850AD49">
        <w:rPr>
          <w:rFonts w:eastAsia="Arial" w:cs="Arial"/>
          <w:color w:val="000000" w:themeColor="text1" w:themeTint="FF" w:themeShade="FF"/>
          <w:sz w:val="22"/>
          <w:szCs w:val="22"/>
        </w:rPr>
        <w:t>.</w:t>
      </w:r>
    </w:p>
    <w:p w:rsidR="39E1091C" w:rsidP="696721BB" w:rsidRDefault="39E1091C" w14:paraId="49113D2F" w14:textId="0080DA8C">
      <w:pPr>
        <w:jc w:val="both"/>
        <w:rPr>
          <w:rFonts w:eastAsia="Arial" w:cs="Arial"/>
          <w:color w:val="000000" w:themeColor="text1"/>
          <w:sz w:val="22"/>
          <w:szCs w:val="22"/>
          <w:highlight w:val="yellow"/>
        </w:rPr>
      </w:pPr>
    </w:p>
    <w:p w:rsidR="54EAD20D" w:rsidP="1BC7CDB2" w:rsidRDefault="5850AD49" w14:paraId="154E1470" w14:textId="79B8C569">
      <w:pPr>
        <w:jc w:val="both"/>
        <w:rPr>
          <w:rFonts w:eastAsia="Arial" w:cs="Arial"/>
          <w:color w:val="000000" w:themeColor="text1"/>
          <w:sz w:val="22"/>
          <w:szCs w:val="22"/>
        </w:rPr>
      </w:pPr>
      <w:r w:rsidRPr="334BBF58" w:rsidR="5850AD49">
        <w:rPr>
          <w:rFonts w:eastAsia="Arial" w:cs="Arial"/>
          <w:color w:val="000000" w:themeColor="text1" w:themeTint="FF" w:themeShade="FF"/>
          <w:sz w:val="22"/>
          <w:szCs w:val="22"/>
        </w:rPr>
        <w:t>Colombia</w:t>
      </w:r>
      <w:r w:rsidRPr="334BBF58" w:rsidR="69BD193D">
        <w:rPr>
          <w:rFonts w:eastAsia="Arial" w:cs="Arial"/>
          <w:color w:val="000000" w:themeColor="text1" w:themeTint="FF" w:themeShade="FF"/>
          <w:sz w:val="22"/>
          <w:szCs w:val="22"/>
        </w:rPr>
        <w:t>, in particular,</w:t>
      </w:r>
      <w:r w:rsidRPr="334BBF58" w:rsidR="5850AD49">
        <w:rPr>
          <w:rFonts w:eastAsia="Arial" w:cs="Arial"/>
          <w:color w:val="000000" w:themeColor="text1" w:themeTint="FF" w:themeShade="FF"/>
          <w:sz w:val="22"/>
          <w:szCs w:val="22"/>
        </w:rPr>
        <w:t xml:space="preserve"> </w:t>
      </w:r>
      <w:r w:rsidRPr="334BBF58" w:rsidR="005116B3">
        <w:rPr>
          <w:rFonts w:eastAsia="Arial" w:cs="Arial"/>
          <w:color w:val="000000" w:themeColor="text1" w:themeTint="FF" w:themeShade="FF"/>
          <w:sz w:val="22"/>
          <w:szCs w:val="22"/>
        </w:rPr>
        <w:t>has</w:t>
      </w:r>
      <w:r w:rsidRPr="334BBF58" w:rsidR="005116B3">
        <w:rPr>
          <w:rFonts w:eastAsia="Arial" w:cs="Arial"/>
          <w:color w:val="000000" w:themeColor="text1" w:themeTint="FF" w:themeShade="FF"/>
          <w:sz w:val="22"/>
          <w:szCs w:val="22"/>
        </w:rPr>
        <w:t xml:space="preserve"> </w:t>
      </w:r>
      <w:r w:rsidRPr="334BBF58" w:rsidR="5850AD49">
        <w:rPr>
          <w:rFonts w:eastAsia="Arial" w:cs="Arial"/>
          <w:color w:val="000000" w:themeColor="text1" w:themeTint="FF" w:themeShade="FF"/>
          <w:sz w:val="22"/>
          <w:szCs w:val="22"/>
        </w:rPr>
        <w:t xml:space="preserve">achieved </w:t>
      </w:r>
      <w:r w:rsidRPr="334BBF58" w:rsidR="79FA7E99">
        <w:rPr>
          <w:rFonts w:eastAsia="Arial" w:cs="Arial"/>
          <w:color w:val="000000" w:themeColor="text1" w:themeTint="FF" w:themeShade="FF"/>
          <w:sz w:val="22"/>
          <w:szCs w:val="22"/>
        </w:rPr>
        <w:t>strong</w:t>
      </w:r>
      <w:r w:rsidRPr="334BBF58" w:rsidR="5850AD49">
        <w:rPr>
          <w:rFonts w:eastAsia="Arial" w:cs="Arial"/>
          <w:color w:val="000000" w:themeColor="text1" w:themeTint="FF" w:themeShade="FF"/>
          <w:sz w:val="22"/>
          <w:szCs w:val="22"/>
        </w:rPr>
        <w:t xml:space="preserve"> results</w:t>
      </w:r>
      <w:r w:rsidRPr="334BBF58" w:rsidR="005116B3">
        <w:rPr>
          <w:rFonts w:eastAsia="Arial" w:cs="Arial"/>
          <w:color w:val="000000" w:themeColor="text1" w:themeTint="FF" w:themeShade="FF"/>
          <w:sz w:val="22"/>
          <w:szCs w:val="22"/>
        </w:rPr>
        <w:t xml:space="preserve"> in recent years</w:t>
      </w:r>
      <w:r w:rsidRPr="334BBF58" w:rsidR="5850AD49">
        <w:rPr>
          <w:rFonts w:eastAsia="Arial" w:cs="Arial"/>
          <w:color w:val="000000" w:themeColor="text1" w:themeTint="FF" w:themeShade="FF"/>
          <w:sz w:val="22"/>
          <w:szCs w:val="22"/>
        </w:rPr>
        <w:t xml:space="preserve"> due to the success of </w:t>
      </w:r>
      <w:r w:rsidRPr="334BBF58" w:rsidR="78E5B11D">
        <w:rPr>
          <w:rFonts w:eastAsia="Arial" w:cs="Arial"/>
          <w:color w:val="000000" w:themeColor="text1" w:themeTint="FF" w:themeShade="FF"/>
          <w:sz w:val="22"/>
          <w:szCs w:val="22"/>
        </w:rPr>
        <w:t xml:space="preserve">its </w:t>
      </w:r>
      <w:r w:rsidRPr="334BBF58" w:rsidR="5850AD49">
        <w:rPr>
          <w:rFonts w:eastAsia="Arial" w:cs="Arial"/>
          <w:color w:val="000000" w:themeColor="text1" w:themeTint="FF" w:themeShade="FF"/>
          <w:sz w:val="22"/>
          <w:szCs w:val="22"/>
        </w:rPr>
        <w:t>private sector strategy</w:t>
      </w:r>
      <w:r w:rsidRPr="334BBF58" w:rsidR="67749A0E">
        <w:rPr>
          <w:rFonts w:eastAsia="Arial" w:cs="Arial"/>
          <w:color w:val="000000" w:themeColor="text1" w:themeTint="FF" w:themeShade="FF"/>
          <w:sz w:val="22"/>
          <w:szCs w:val="22"/>
        </w:rPr>
        <w:t xml:space="preserve">, which supports </w:t>
      </w:r>
      <w:r w:rsidRPr="334BBF58" w:rsidR="5850AD49">
        <w:rPr>
          <w:rFonts w:eastAsia="Arial" w:cs="Arial"/>
          <w:color w:val="000000" w:themeColor="text1" w:themeTint="FF" w:themeShade="FF"/>
          <w:sz w:val="22"/>
          <w:szCs w:val="22"/>
        </w:rPr>
        <w:t>the implementation and scale-up of 41 agricultural, livestock and forestry GHG-mitigation measures</w:t>
      </w:r>
      <w:r w:rsidRPr="334BBF58" w:rsidR="2DD88C0E">
        <w:rPr>
          <w:rFonts w:eastAsia="Arial" w:cs="Arial"/>
          <w:color w:val="000000" w:themeColor="text1" w:themeTint="FF" w:themeShade="FF"/>
          <w:sz w:val="22"/>
          <w:szCs w:val="22"/>
        </w:rPr>
        <w:t xml:space="preserve"> in the</w:t>
      </w:r>
      <w:r w:rsidRPr="334BBF58" w:rsidR="5850AD49">
        <w:rPr>
          <w:rFonts w:eastAsia="Arial" w:cs="Arial"/>
          <w:color w:val="000000" w:themeColor="text1" w:themeTint="FF" w:themeShade="FF"/>
          <w:sz w:val="22"/>
          <w:szCs w:val="22"/>
        </w:rPr>
        <w:t xml:space="preserve"> </w:t>
      </w:r>
      <w:r w:rsidRPr="334BBF58" w:rsidR="5850AD49">
        <w:rPr>
          <w:rFonts w:eastAsia="Arial" w:cs="Arial"/>
          <w:color w:val="000000" w:themeColor="text1" w:themeTint="FF" w:themeShade="FF"/>
          <w:sz w:val="22"/>
          <w:szCs w:val="22"/>
        </w:rPr>
        <w:t>Orinoquía</w:t>
      </w:r>
      <w:r w:rsidRPr="334BBF58" w:rsidR="78185FA6">
        <w:rPr>
          <w:rFonts w:eastAsia="Arial" w:cs="Arial"/>
          <w:color w:val="000000" w:themeColor="text1" w:themeTint="FF" w:themeShade="FF"/>
          <w:sz w:val="22"/>
          <w:szCs w:val="22"/>
        </w:rPr>
        <w:t xml:space="preserve"> region</w:t>
      </w:r>
      <w:r w:rsidRPr="334BBF58" w:rsidR="5850AD49">
        <w:rPr>
          <w:rFonts w:eastAsia="Arial" w:cs="Arial"/>
          <w:color w:val="000000" w:themeColor="text1" w:themeTint="FF" w:themeShade="FF"/>
          <w:sz w:val="22"/>
          <w:szCs w:val="22"/>
        </w:rPr>
        <w:t xml:space="preserve">. </w:t>
      </w:r>
      <w:r w:rsidRPr="334BBF58" w:rsidR="31C50394">
        <w:rPr>
          <w:rFonts w:eastAsia="Arial" w:cs="Arial"/>
          <w:color w:val="000000" w:themeColor="text1" w:themeTint="FF" w:themeShade="FF"/>
          <w:sz w:val="22"/>
          <w:szCs w:val="22"/>
        </w:rPr>
        <w:t xml:space="preserve">One such innovation includes the deforestation traceability system piloted in Colombia’s cocoa sector. Developed in partnership with IFC, tech firms, and agribusinesses, the system combines Near Field Communication (NFC) tagging, geolocation, and geospatial change detection to track deforestation risks across supply chains. Despite </w:t>
      </w:r>
      <w:r w:rsidRPr="334BBF58" w:rsidR="31C50394">
        <w:rPr>
          <w:rFonts w:eastAsia="Arial" w:cs="Arial"/>
          <w:color w:val="000000" w:themeColor="text1" w:themeTint="FF" w:themeShade="FF"/>
          <w:sz w:val="22"/>
          <w:szCs w:val="22"/>
        </w:rPr>
        <w:t>initial</w:t>
      </w:r>
      <w:r w:rsidRPr="334BBF58" w:rsidR="31C50394">
        <w:rPr>
          <w:rFonts w:eastAsia="Arial" w:cs="Arial"/>
          <w:color w:val="000000" w:themeColor="text1" w:themeTint="FF" w:themeShade="FF"/>
          <w:sz w:val="22"/>
          <w:szCs w:val="22"/>
        </w:rPr>
        <w:t xml:space="preserve"> challenges, the pilot has proved effective, and in FY26 will expand to new regions and commodities, particularly in East Asia, the Pacific, and REDD+ countries. The initiative aims to help smallholders meet sustainability standards, </w:t>
      </w:r>
      <w:r w:rsidRPr="334BBF58" w:rsidR="31C50394">
        <w:rPr>
          <w:rFonts w:eastAsia="Arial" w:cs="Arial"/>
          <w:color w:val="000000" w:themeColor="text1" w:themeTint="FF" w:themeShade="FF"/>
          <w:sz w:val="22"/>
          <w:szCs w:val="22"/>
        </w:rPr>
        <w:t>comply with</w:t>
      </w:r>
      <w:r w:rsidRPr="334BBF58" w:rsidR="31C50394">
        <w:rPr>
          <w:rFonts w:eastAsia="Arial" w:cs="Arial"/>
          <w:color w:val="000000" w:themeColor="text1" w:themeTint="FF" w:themeShade="FF"/>
          <w:sz w:val="22"/>
          <w:szCs w:val="22"/>
        </w:rPr>
        <w:t xml:space="preserve"> regulations such as the EU Deforestation Regulatio</w:t>
      </w:r>
      <w:r w:rsidRPr="334BBF58" w:rsidR="45B1CF60">
        <w:rPr>
          <w:rFonts w:eastAsia="Arial" w:cs="Arial"/>
          <w:color w:val="000000" w:themeColor="text1" w:themeTint="FF" w:themeShade="FF"/>
          <w:sz w:val="22"/>
          <w:szCs w:val="22"/>
        </w:rPr>
        <w:t xml:space="preserve">n </w:t>
      </w:r>
      <w:r w:rsidRPr="334BBF58" w:rsidR="00BD58C7">
        <w:rPr>
          <w:rFonts w:eastAsia="Arial" w:cs="Arial"/>
          <w:color w:val="000000" w:themeColor="text1" w:themeTint="FF" w:themeShade="FF"/>
          <w:sz w:val="22"/>
          <w:szCs w:val="22"/>
        </w:rPr>
        <w:t>(EUDR)</w:t>
      </w:r>
      <w:r w:rsidRPr="334BBF58" w:rsidR="31C50394">
        <w:rPr>
          <w:rFonts w:eastAsia="Arial" w:cs="Arial"/>
          <w:color w:val="000000" w:themeColor="text1" w:themeTint="FF" w:themeShade="FF"/>
          <w:sz w:val="22"/>
          <w:szCs w:val="22"/>
        </w:rPr>
        <w:t>, and access premium markets, supporting both forest conservation and rural livelihoods.</w:t>
      </w:r>
    </w:p>
    <w:p w:rsidR="54EAD20D" w:rsidP="1BC7CDB2" w:rsidRDefault="54EAD20D" w14:paraId="0844FBCB" w14:textId="76D1DD96">
      <w:pPr>
        <w:jc w:val="both"/>
        <w:rPr>
          <w:rFonts w:eastAsia="Arial" w:cs="Arial"/>
          <w:color w:val="000000" w:themeColor="text1"/>
          <w:sz w:val="22"/>
          <w:szCs w:val="22"/>
        </w:rPr>
      </w:pPr>
    </w:p>
    <w:p w:rsidR="5ED299E2" w:rsidP="79A0D5E9" w:rsidRDefault="5ED299E2" w14:paraId="4C49835F" w14:textId="58B6D9FD">
      <w:pPr>
        <w:jc w:val="both"/>
        <w:rPr>
          <w:rFonts w:eastAsia="Arial" w:cs="Arial"/>
          <w:color w:val="000000" w:themeColor="text1" w:themeTint="FF" w:themeShade="FF"/>
          <w:sz w:val="22"/>
          <w:szCs w:val="22"/>
        </w:rPr>
      </w:pPr>
      <w:r w:rsidRPr="79A0D5E9" w:rsidR="5ED299E2">
        <w:rPr>
          <w:rFonts w:eastAsia="Arial" w:cs="Arial"/>
          <w:color w:val="000000" w:themeColor="text1" w:themeTint="FF" w:themeShade="FF"/>
          <w:sz w:val="22"/>
          <w:szCs w:val="22"/>
        </w:rPr>
        <w:t xml:space="preserve">In Ethiopia, ISFL </w:t>
      </w:r>
      <w:r w:rsidRPr="79A0D5E9" w:rsidR="7EDC6AFF">
        <w:rPr>
          <w:rFonts w:eastAsia="Arial" w:cs="Arial"/>
          <w:color w:val="000000" w:themeColor="text1" w:themeTint="FF" w:themeShade="FF"/>
          <w:sz w:val="22"/>
          <w:szCs w:val="22"/>
        </w:rPr>
        <w:t xml:space="preserve">has </w:t>
      </w:r>
      <w:r w:rsidRPr="79A0D5E9" w:rsidR="5ED299E2">
        <w:rPr>
          <w:rFonts w:eastAsia="Arial" w:cs="Arial"/>
          <w:color w:val="000000" w:themeColor="text1" w:themeTint="FF" w:themeShade="FF"/>
          <w:sz w:val="22"/>
          <w:szCs w:val="22"/>
        </w:rPr>
        <w:t xml:space="preserve">supported the </w:t>
      </w:r>
      <w:r w:rsidRPr="79A0D5E9" w:rsidR="5ED299E2">
        <w:rPr>
          <w:rFonts w:eastAsia="Arial" w:cs="Arial"/>
          <w:color w:val="000000" w:themeColor="text1" w:themeTint="FF" w:themeShade="FF"/>
          <w:sz w:val="22"/>
          <w:szCs w:val="22"/>
        </w:rPr>
        <w:t>Technoserve</w:t>
      </w:r>
      <w:r w:rsidRPr="79A0D5E9" w:rsidR="5ED299E2">
        <w:rPr>
          <w:rFonts w:eastAsia="Arial" w:cs="Arial"/>
          <w:color w:val="000000" w:themeColor="text1" w:themeTint="FF" w:themeShade="FF"/>
          <w:sz w:val="22"/>
          <w:szCs w:val="22"/>
        </w:rPr>
        <w:t>-led “</w:t>
      </w:r>
      <w:r w:rsidRPr="79A0D5E9" w:rsidR="5ED299E2">
        <w:rPr>
          <w:rFonts w:eastAsia="Arial" w:cs="Arial"/>
          <w:color w:val="000000" w:themeColor="text1" w:themeTint="FF" w:themeShade="FF"/>
          <w:sz w:val="22"/>
          <w:szCs w:val="22"/>
        </w:rPr>
        <w:t>HereWeGrow</w:t>
      </w:r>
      <w:r w:rsidRPr="79A0D5E9" w:rsidR="5ED299E2">
        <w:rPr>
          <w:rFonts w:eastAsia="Arial" w:cs="Arial"/>
          <w:color w:val="000000" w:themeColor="text1" w:themeTint="FF" w:themeShade="FF"/>
          <w:sz w:val="22"/>
          <w:szCs w:val="22"/>
        </w:rPr>
        <w:t>” coffee rejuvenation initiative</w:t>
      </w:r>
      <w:r w:rsidRPr="79A0D5E9" w:rsidR="7EDC6AFF">
        <w:rPr>
          <w:rFonts w:eastAsia="Arial" w:cs="Arial"/>
          <w:color w:val="000000" w:themeColor="text1" w:themeTint="FF" w:themeShade="FF"/>
          <w:sz w:val="22"/>
          <w:szCs w:val="22"/>
        </w:rPr>
        <w:t xml:space="preserve"> in recent years</w:t>
      </w:r>
      <w:r w:rsidRPr="79A0D5E9" w:rsidR="5ED299E2">
        <w:rPr>
          <w:rFonts w:eastAsia="Arial" w:cs="Arial"/>
          <w:color w:val="000000" w:themeColor="text1" w:themeTint="FF" w:themeShade="FF"/>
          <w:sz w:val="22"/>
          <w:szCs w:val="22"/>
        </w:rPr>
        <w:t xml:space="preserve">. This project promotes the practice of coffee stumping: removing old stems to stimulate regrowth, which can triple yields within three years. Supported by private investors such as Nespresso and JDE Peet’s (contributing over $10 million), the initiative has reached over </w:t>
      </w:r>
      <w:r w:rsidRPr="79A0D5E9" w:rsidR="5ED299E2">
        <w:rPr>
          <w:rFonts w:eastAsia="Arial" w:cs="Arial"/>
          <w:color w:val="000000" w:themeColor="text1" w:themeTint="FF" w:themeShade="FF"/>
          <w:sz w:val="22"/>
          <w:szCs w:val="22"/>
        </w:rPr>
        <w:t xml:space="preserve">63,000 </w:t>
      </w:r>
      <w:r w:rsidRPr="79A0D5E9" w:rsidR="5ED299E2">
        <w:rPr>
          <w:rFonts w:eastAsia="Arial" w:cs="Arial"/>
          <w:color w:val="000000" w:themeColor="text1" w:themeTint="FF" w:themeShade="FF"/>
          <w:sz w:val="22"/>
          <w:szCs w:val="22"/>
        </w:rPr>
        <w:t xml:space="preserve">households and stumped 6.7 million trees. It is expected to scale to 360,000 households, increasing farmer incomes by $105 million annually (an 88% increase), generating an </w:t>
      </w:r>
      <w:r w:rsidRPr="79A0D5E9" w:rsidR="5ED299E2">
        <w:rPr>
          <w:rFonts w:eastAsia="Arial" w:cs="Arial"/>
          <w:color w:val="000000" w:themeColor="text1" w:themeTint="FF" w:themeShade="FF"/>
          <w:sz w:val="22"/>
          <w:szCs w:val="22"/>
        </w:rPr>
        <w:t>additional</w:t>
      </w:r>
      <w:r w:rsidRPr="79A0D5E9" w:rsidR="5ED299E2">
        <w:rPr>
          <w:rFonts w:eastAsia="Arial" w:cs="Arial"/>
          <w:color w:val="000000" w:themeColor="text1" w:themeTint="FF" w:themeShade="FF"/>
          <w:sz w:val="22"/>
          <w:szCs w:val="22"/>
        </w:rPr>
        <w:t xml:space="preserve"> $112 million in exports, and avoiding an estimated 5.5 </w:t>
      </w:r>
      <w:r w:rsidRPr="79A0D5E9" w:rsidR="5ED299E2">
        <w:rPr>
          <w:rFonts w:eastAsia="Arial" w:cs="Arial"/>
          <w:color w:val="000000" w:themeColor="text1" w:themeTint="FF" w:themeShade="FF"/>
          <w:sz w:val="22"/>
          <w:szCs w:val="22"/>
        </w:rPr>
        <w:t>MtCO₂e</w:t>
      </w:r>
      <w:r w:rsidRPr="79A0D5E9" w:rsidR="5ED299E2">
        <w:rPr>
          <w:rFonts w:eastAsia="Arial" w:cs="Arial"/>
          <w:color w:val="000000" w:themeColor="text1" w:themeTint="FF" w:themeShade="FF"/>
          <w:sz w:val="22"/>
          <w:szCs w:val="22"/>
        </w:rPr>
        <w:t>.</w:t>
      </w:r>
      <w:r w:rsidRPr="79A0D5E9">
        <w:rPr>
          <w:rStyle w:val="FootnoteReference"/>
          <w:rFonts w:eastAsia="Arial" w:cs="Arial"/>
          <w:color w:val="000000" w:themeColor="text1" w:themeTint="FF" w:themeShade="FF"/>
          <w:sz w:val="22"/>
          <w:szCs w:val="22"/>
        </w:rPr>
        <w:footnoteReference w:id="12775"/>
      </w:r>
    </w:p>
    <w:p w:rsidR="229B1F0A" w:rsidP="6A234BCB" w:rsidRDefault="229B1F0A" w14:paraId="37A86D84" w14:textId="482C91A0">
      <w:pPr>
        <w:jc w:val="both"/>
        <w:rPr>
          <w:rFonts w:eastAsia="Arial" w:cs="Arial"/>
          <w:b/>
          <w:bCs/>
          <w:color w:val="000000" w:themeColor="text1"/>
          <w:sz w:val="22"/>
          <w:szCs w:val="22"/>
        </w:rPr>
      </w:pPr>
    </w:p>
    <w:p w:rsidR="229B1F0A" w:rsidP="6A234BCB" w:rsidRDefault="4C3C7EA5" w14:paraId="14058952" w14:textId="64703AE2">
      <w:pPr>
        <w:jc w:val="both"/>
        <w:rPr>
          <w:rFonts w:eastAsia="Arial" w:cs="Arial"/>
          <w:sz w:val="22"/>
          <w:szCs w:val="22"/>
        </w:rPr>
      </w:pPr>
      <w:r w:rsidRPr="6A234BCB">
        <w:rPr>
          <w:rFonts w:eastAsia="Arial" w:cs="Arial"/>
          <w:b/>
          <w:bCs/>
          <w:color w:val="000000" w:themeColor="text1"/>
          <w:sz w:val="22"/>
          <w:szCs w:val="22"/>
        </w:rPr>
        <w:t>Describe any changes to this output, and any planned changes as a result of this review.</w:t>
      </w:r>
    </w:p>
    <w:p w:rsidR="229B1F0A" w:rsidP="4BC39BC2" w:rsidRDefault="229B1F0A" w14:paraId="186942F8" w14:textId="59086BFD">
      <w:pPr>
        <w:jc w:val="both"/>
        <w:rPr>
          <w:rFonts w:eastAsia="Arial" w:cs="Arial"/>
          <w:b/>
          <w:bCs/>
          <w:color w:val="000000" w:themeColor="text1"/>
          <w:sz w:val="22"/>
          <w:szCs w:val="22"/>
          <w:highlight w:val="yellow"/>
        </w:rPr>
      </w:pPr>
    </w:p>
    <w:p w:rsidRPr="00414720" w:rsidR="2A024B1A" w:rsidP="2A024B1A" w:rsidRDefault="5DBC9D4E" w14:paraId="7988A4D7" w14:textId="31963C10">
      <w:pPr>
        <w:jc w:val="both"/>
        <w:rPr>
          <w:rFonts w:eastAsia="Arial" w:cs="Arial"/>
          <w:b/>
          <w:bCs/>
          <w:color w:val="000000" w:themeColor="text1"/>
          <w:sz w:val="22"/>
          <w:szCs w:val="22"/>
          <w:highlight w:val="yellow"/>
        </w:rPr>
      </w:pPr>
      <w:r w:rsidRPr="1C048116">
        <w:rPr>
          <w:rFonts w:eastAsia="Arial" w:cs="Arial"/>
          <w:color w:val="000000" w:themeColor="text1"/>
          <w:sz w:val="22"/>
          <w:szCs w:val="22"/>
        </w:rPr>
        <w:t xml:space="preserve">The end-of-programme target was increased for Output Indicator 3.1 in line with the World Bank’s target, and milestones revised accordingly. The World Bank increased their end-of-programme target to reflect </w:t>
      </w:r>
      <w:r w:rsidRPr="7DBB7232" w:rsidR="7F76FA08">
        <w:rPr>
          <w:rFonts w:eastAsia="Arial" w:cs="Arial"/>
          <w:color w:val="000000" w:themeColor="text1"/>
          <w:sz w:val="22"/>
          <w:szCs w:val="22"/>
        </w:rPr>
        <w:t xml:space="preserve">the </w:t>
      </w:r>
      <w:r w:rsidRPr="1C048116">
        <w:rPr>
          <w:rFonts w:eastAsia="Arial" w:cs="Arial"/>
          <w:color w:val="000000" w:themeColor="text1"/>
          <w:sz w:val="22"/>
          <w:szCs w:val="22"/>
        </w:rPr>
        <w:t>fact that the Zambia emission reductions programme will be reporting on this indicator going forward.</w:t>
      </w:r>
    </w:p>
    <w:p w:rsidR="229B1F0A" w:rsidP="6A234BCB" w:rsidRDefault="229B1F0A" w14:paraId="54859BF5" w14:textId="0292FCA5">
      <w:pPr>
        <w:jc w:val="both"/>
        <w:rPr>
          <w:rFonts w:eastAsia="Arial" w:cs="Arial"/>
          <w:b/>
          <w:bCs/>
          <w:color w:val="000000" w:themeColor="text1"/>
          <w:sz w:val="22"/>
          <w:szCs w:val="22"/>
        </w:rPr>
      </w:pPr>
    </w:p>
    <w:p w:rsidR="229B1F0A" w:rsidP="6A234BCB" w:rsidRDefault="4C3C7EA5" w14:paraId="2B6EA7CA" w14:textId="46D96A18">
      <w:pPr>
        <w:jc w:val="both"/>
        <w:rPr>
          <w:rFonts w:eastAsia="Arial" w:cs="Arial"/>
          <w:b/>
          <w:bCs/>
          <w:color w:val="000000" w:themeColor="text1"/>
          <w:sz w:val="22"/>
          <w:szCs w:val="22"/>
        </w:rPr>
      </w:pPr>
      <w:r w:rsidRPr="6A234BCB">
        <w:rPr>
          <w:rFonts w:eastAsia="Arial" w:cs="Arial"/>
          <w:b/>
          <w:bCs/>
          <w:color w:val="000000" w:themeColor="text1"/>
          <w:sz w:val="22"/>
          <w:szCs w:val="22"/>
        </w:rPr>
        <w:t>Progress on recommendations from the previous AR (if completed), lessons learned this year and recommendations for the year ahead</w:t>
      </w:r>
    </w:p>
    <w:p w:rsidR="00414720" w:rsidP="6A234BCB" w:rsidRDefault="00414720" w14:paraId="04DECE47" w14:textId="77777777">
      <w:pPr>
        <w:jc w:val="both"/>
        <w:rPr>
          <w:rFonts w:eastAsia="Arial" w:cs="Arial"/>
          <w:b/>
          <w:bCs/>
          <w:color w:val="000000" w:themeColor="text1"/>
          <w:sz w:val="22"/>
          <w:szCs w:val="22"/>
        </w:rPr>
      </w:pPr>
    </w:p>
    <w:p w:rsidR="00414720" w:rsidP="6A234BCB" w:rsidRDefault="00414720" w14:paraId="6A7EF8E3" w14:textId="296B26EE">
      <w:pPr>
        <w:jc w:val="both"/>
        <w:rPr>
          <w:rFonts w:eastAsia="Arial" w:cs="Arial"/>
          <w:sz w:val="22"/>
          <w:szCs w:val="22"/>
        </w:rPr>
      </w:pPr>
      <w:r>
        <w:rPr>
          <w:rFonts w:eastAsia="Arial" w:cs="Arial"/>
          <w:b/>
          <w:bCs/>
          <w:color w:val="000000" w:themeColor="text1"/>
          <w:sz w:val="22"/>
          <w:szCs w:val="22"/>
        </w:rPr>
        <w:t>Recommendations from FY24</w:t>
      </w:r>
    </w:p>
    <w:p w:rsidR="229B1F0A" w:rsidP="4DC7D3F5" w:rsidRDefault="229B1F0A" w14:paraId="1037ED34" w14:textId="047AF447">
      <w:pPr>
        <w:jc w:val="both"/>
        <w:rPr>
          <w:rFonts w:eastAsia="Arial" w:cs="Arial"/>
          <w:b/>
          <w:bCs/>
          <w:color w:val="000000" w:themeColor="text1"/>
          <w:sz w:val="22"/>
          <w:szCs w:val="22"/>
        </w:rPr>
      </w:pPr>
    </w:p>
    <w:p w:rsidR="00BF1FE2" w:rsidP="00BF1FE2" w:rsidRDefault="00BF1FE2" w14:paraId="05AF9FE7" w14:textId="2C31D692">
      <w:pPr>
        <w:jc w:val="both"/>
        <w:rPr>
          <w:rFonts w:eastAsia="Arial" w:cs="Arial"/>
          <w:color w:val="000000" w:themeColor="text1"/>
          <w:sz w:val="22"/>
          <w:szCs w:val="22"/>
        </w:rPr>
      </w:pPr>
      <w:r w:rsidRPr="009253A1">
        <w:rPr>
          <w:rFonts w:eastAsia="Arial" w:cs="Arial"/>
          <w:color w:val="000000" w:themeColor="text1"/>
          <w:sz w:val="22"/>
          <w:szCs w:val="22"/>
        </w:rPr>
        <w:t>As highlighted above, the FY24 Annual Review recommended revisions to the following indicators</w:t>
      </w:r>
      <w:r w:rsidR="00675E70">
        <w:rPr>
          <w:rFonts w:eastAsia="Arial" w:cs="Arial"/>
          <w:color w:val="000000" w:themeColor="text1"/>
          <w:sz w:val="22"/>
          <w:szCs w:val="22"/>
        </w:rPr>
        <w:t xml:space="preserve"> </w:t>
      </w:r>
      <w:r w:rsidR="00675E70">
        <w:rPr>
          <w:rFonts w:eastAsia="Arial" w:cs="Arial"/>
          <w:b/>
          <w:bCs/>
          <w:color w:val="000000" w:themeColor="text1"/>
          <w:sz w:val="22"/>
          <w:szCs w:val="22"/>
        </w:rPr>
        <w:t>(Recommendations [1] and [2])</w:t>
      </w:r>
      <w:r w:rsidR="00675E70">
        <w:rPr>
          <w:rFonts w:eastAsia="Arial" w:cs="Arial"/>
          <w:color w:val="000000" w:themeColor="text1"/>
          <w:sz w:val="22"/>
          <w:szCs w:val="22"/>
        </w:rPr>
        <w:t>, which were actioned</w:t>
      </w:r>
      <w:r w:rsidRPr="009253A1">
        <w:rPr>
          <w:rFonts w:eastAsia="Arial" w:cs="Arial"/>
          <w:color w:val="000000" w:themeColor="text1"/>
          <w:sz w:val="22"/>
          <w:szCs w:val="22"/>
        </w:rPr>
        <w:t>:</w:t>
      </w:r>
    </w:p>
    <w:p w:rsidR="00BF1FE2" w:rsidP="00756B4F" w:rsidRDefault="00BF1FE2" w14:paraId="7D091BB2" w14:textId="00A2D76A">
      <w:pPr>
        <w:pStyle w:val="ListParagraph"/>
        <w:numPr>
          <w:ilvl w:val="0"/>
          <w:numId w:val="7"/>
        </w:numPr>
        <w:jc w:val="both"/>
        <w:rPr>
          <w:rFonts w:eastAsia="Arial" w:cs="Arial"/>
          <w:color w:val="000000" w:themeColor="text1"/>
          <w:sz w:val="22"/>
          <w:szCs w:val="22"/>
        </w:rPr>
      </w:pPr>
      <w:r>
        <w:rPr>
          <w:rFonts w:eastAsia="Arial" w:cs="Arial"/>
          <w:color w:val="000000" w:themeColor="text1"/>
          <w:sz w:val="22"/>
          <w:szCs w:val="22"/>
        </w:rPr>
        <w:t xml:space="preserve">DESNZ to revise its logframe to reflect changes made to the WB logframe in FY23 and FY24, specifically to increase the EOP target for </w:t>
      </w:r>
      <w:r>
        <w:rPr>
          <w:rFonts w:eastAsia="Arial" w:cs="Arial"/>
          <w:b/>
          <w:bCs/>
          <w:color w:val="000000" w:themeColor="text1"/>
          <w:sz w:val="22"/>
          <w:szCs w:val="22"/>
        </w:rPr>
        <w:t>Output Indicator 3.1</w:t>
      </w:r>
      <w:r>
        <w:rPr>
          <w:rFonts w:eastAsia="Arial" w:cs="Arial"/>
          <w:color w:val="000000" w:themeColor="text1"/>
          <w:sz w:val="22"/>
          <w:szCs w:val="22"/>
        </w:rPr>
        <w:t xml:space="preserve"> and revise interim milestones accordingly. </w:t>
      </w:r>
      <w:r w:rsidR="0097023B">
        <w:rPr>
          <w:rFonts w:eastAsia="Arial" w:cs="Arial"/>
          <w:color w:val="000000" w:themeColor="text1"/>
          <w:sz w:val="22"/>
          <w:szCs w:val="22"/>
        </w:rPr>
        <w:t xml:space="preserve">As such, in FY25 the EOP target for this output was increased to match the WB target, with revised interim milestones set. </w:t>
      </w:r>
    </w:p>
    <w:p w:rsidR="0097023B" w:rsidP="00756B4F" w:rsidRDefault="0097023B" w14:paraId="54EBBB38" w14:textId="1D73FB6F">
      <w:pPr>
        <w:pStyle w:val="ListParagraph"/>
        <w:numPr>
          <w:ilvl w:val="0"/>
          <w:numId w:val="7"/>
        </w:numPr>
        <w:jc w:val="both"/>
        <w:rPr>
          <w:rFonts w:eastAsia="Arial" w:cs="Arial"/>
          <w:color w:val="000000" w:themeColor="text1"/>
          <w:sz w:val="22"/>
          <w:szCs w:val="22"/>
        </w:rPr>
      </w:pPr>
      <w:r>
        <w:rPr>
          <w:rFonts w:eastAsia="Arial" w:cs="Arial"/>
          <w:color w:val="000000" w:themeColor="text1"/>
          <w:sz w:val="22"/>
          <w:szCs w:val="22"/>
        </w:rPr>
        <w:t xml:space="preserve">DESNZ and WB to discuss how the CSA delivered in Zambia under the additional grant funding in FY24 will be measured. </w:t>
      </w:r>
      <w:r w:rsidR="00902156">
        <w:rPr>
          <w:rFonts w:eastAsia="Arial" w:cs="Arial"/>
          <w:color w:val="000000" w:themeColor="text1"/>
          <w:sz w:val="22"/>
          <w:szCs w:val="22"/>
        </w:rPr>
        <w:t xml:space="preserve">As described in this section under Output 2, </w:t>
      </w:r>
      <w:r w:rsidR="00980038">
        <w:rPr>
          <w:rFonts w:eastAsia="Arial" w:cs="Arial"/>
          <w:color w:val="000000" w:themeColor="text1"/>
          <w:sz w:val="22"/>
          <w:szCs w:val="22"/>
        </w:rPr>
        <w:t>this will be measured und</w:t>
      </w:r>
      <w:r w:rsidR="00532B15">
        <w:rPr>
          <w:rFonts w:eastAsia="Arial" w:cs="Arial"/>
          <w:color w:val="000000" w:themeColor="text1"/>
          <w:sz w:val="22"/>
          <w:szCs w:val="22"/>
        </w:rPr>
        <w:t>er Output Indicator 1.1b, Output Indicator 3.1 and using qualitative updates.</w:t>
      </w:r>
      <w:r>
        <w:rPr>
          <w:rFonts w:eastAsia="Arial" w:cs="Arial"/>
          <w:color w:val="000000" w:themeColor="text1"/>
          <w:sz w:val="22"/>
          <w:szCs w:val="22"/>
        </w:rPr>
        <w:t xml:space="preserve"> </w:t>
      </w:r>
    </w:p>
    <w:p w:rsidR="00743402" w:rsidP="00743402" w:rsidRDefault="00675E70" w14:paraId="6D5BCE58" w14:textId="03D49BA1">
      <w:pPr>
        <w:jc w:val="both"/>
        <w:rPr>
          <w:sz w:val="22"/>
          <w:szCs w:val="22"/>
        </w:rPr>
      </w:pPr>
      <w:r>
        <w:rPr>
          <w:rFonts w:eastAsia="Arial" w:cs="Arial"/>
          <w:b/>
          <w:bCs/>
          <w:color w:val="000000" w:themeColor="text1"/>
          <w:sz w:val="22"/>
          <w:szCs w:val="22"/>
        </w:rPr>
        <w:t xml:space="preserve">Recommendation [3] </w:t>
      </w:r>
      <w:r>
        <w:rPr>
          <w:rFonts w:eastAsia="Arial" w:cs="Arial"/>
          <w:color w:val="000000" w:themeColor="text1"/>
          <w:sz w:val="22"/>
          <w:szCs w:val="22"/>
        </w:rPr>
        <w:t xml:space="preserve">in the </w:t>
      </w:r>
      <w:r w:rsidR="00C323ED">
        <w:rPr>
          <w:rFonts w:eastAsia="Arial" w:cs="Arial"/>
          <w:color w:val="000000" w:themeColor="text1"/>
          <w:sz w:val="22"/>
          <w:szCs w:val="22"/>
        </w:rPr>
        <w:t xml:space="preserve">FY24 Annual Review </w:t>
      </w:r>
      <w:r w:rsidR="006234DF">
        <w:rPr>
          <w:rFonts w:eastAsia="Arial" w:cs="Arial"/>
          <w:color w:val="000000" w:themeColor="text1"/>
          <w:sz w:val="22"/>
          <w:szCs w:val="22"/>
        </w:rPr>
        <w:t>suggested</w:t>
      </w:r>
      <w:r w:rsidR="00C323ED">
        <w:rPr>
          <w:rFonts w:eastAsia="Arial" w:cs="Arial"/>
          <w:color w:val="000000" w:themeColor="text1"/>
          <w:sz w:val="22"/>
          <w:szCs w:val="22"/>
        </w:rPr>
        <w:t xml:space="preserve"> the WB and DESNZ to appraise and fund alternative grant funding options for the remaining unallocated funding in the UK SDTF. However, this was only partially achieved</w:t>
      </w:r>
      <w:r w:rsidR="00ED3C02">
        <w:rPr>
          <w:rFonts w:eastAsia="Arial" w:cs="Arial"/>
          <w:color w:val="000000" w:themeColor="text1"/>
          <w:sz w:val="22"/>
          <w:szCs w:val="22"/>
        </w:rPr>
        <w:t xml:space="preserve">, explained in more detail in Section A. As such, this recommendation has been rolled forward </w:t>
      </w:r>
      <w:r w:rsidR="003035EC">
        <w:rPr>
          <w:rFonts w:eastAsia="Arial" w:cs="Arial"/>
          <w:color w:val="000000" w:themeColor="text1"/>
          <w:sz w:val="22"/>
          <w:szCs w:val="22"/>
        </w:rPr>
        <w:t>to</w:t>
      </w:r>
      <w:r w:rsidR="00ED3C02">
        <w:rPr>
          <w:rFonts w:eastAsia="Arial" w:cs="Arial"/>
          <w:color w:val="000000" w:themeColor="text1"/>
          <w:sz w:val="22"/>
          <w:szCs w:val="22"/>
        </w:rPr>
        <w:t xml:space="preserve"> FY26, </w:t>
      </w:r>
      <w:r w:rsidR="006234DF">
        <w:rPr>
          <w:rFonts w:eastAsia="Arial" w:cs="Arial"/>
          <w:color w:val="000000" w:themeColor="text1"/>
          <w:sz w:val="22"/>
          <w:szCs w:val="22"/>
        </w:rPr>
        <w:t xml:space="preserve">with the programme to </w:t>
      </w:r>
      <w:r w:rsidR="006234DF">
        <w:rPr>
          <w:sz w:val="22"/>
          <w:szCs w:val="22"/>
        </w:rPr>
        <w:t>a</w:t>
      </w:r>
      <w:r w:rsidRPr="00ED3C02" w:rsidR="00ED3C02">
        <w:rPr>
          <w:sz w:val="22"/>
          <w:szCs w:val="22"/>
        </w:rPr>
        <w:t>ppraise and fund alternative grant funding options for remaining unallocated UK SDTF funds</w:t>
      </w:r>
      <w:r w:rsidR="00E12E42">
        <w:rPr>
          <w:sz w:val="22"/>
          <w:szCs w:val="22"/>
        </w:rPr>
        <w:t>.</w:t>
      </w:r>
    </w:p>
    <w:p w:rsidR="006234DF" w:rsidP="00743402" w:rsidRDefault="006234DF" w14:paraId="369BAFF6" w14:textId="12012D82">
      <w:pPr>
        <w:jc w:val="both"/>
        <w:rPr>
          <w:sz w:val="22"/>
          <w:szCs w:val="22"/>
        </w:rPr>
      </w:pPr>
    </w:p>
    <w:p w:rsidR="0FD33221" w:rsidP="30F94A7D" w:rsidRDefault="0FD33221" w14:paraId="7AD7D74C" w14:textId="6F75D05E">
      <w:pPr>
        <w:jc w:val="both"/>
        <w:rPr>
          <w:rFonts w:cs="Arial"/>
          <w:sz w:val="22"/>
          <w:szCs w:val="22"/>
        </w:rPr>
      </w:pPr>
      <w:r w:rsidRPr="334BBF58" w:rsidR="0FD33221">
        <w:rPr>
          <w:rFonts w:eastAsia="Arial" w:cs="Arial"/>
          <w:color w:val="000000" w:themeColor="text1" w:themeTint="FF" w:themeShade="FF"/>
          <w:sz w:val="22"/>
          <w:szCs w:val="22"/>
        </w:rPr>
        <w:t xml:space="preserve">In the </w:t>
      </w:r>
      <w:r w:rsidRPr="334BBF58" w:rsidR="0FD33221">
        <w:rPr>
          <w:rFonts w:eastAsia="Arial" w:cs="Arial"/>
          <w:b w:val="1"/>
          <w:bCs w:val="1"/>
          <w:color w:val="000000" w:themeColor="text1" w:themeTint="FF" w:themeShade="FF"/>
          <w:sz w:val="22"/>
          <w:szCs w:val="22"/>
        </w:rPr>
        <w:t>FY24</w:t>
      </w:r>
      <w:r w:rsidRPr="334BBF58" w:rsidR="0FD33221">
        <w:rPr>
          <w:rFonts w:eastAsia="Arial" w:cs="Arial"/>
          <w:color w:val="000000" w:themeColor="text1" w:themeTint="FF" w:themeShade="FF"/>
          <w:sz w:val="22"/>
          <w:szCs w:val="22"/>
        </w:rPr>
        <w:t xml:space="preserve"> Annual Review, </w:t>
      </w:r>
      <w:r w:rsidRPr="334BBF58" w:rsidR="0FD33221">
        <w:rPr>
          <w:rFonts w:eastAsia="Arial" w:cs="Arial"/>
          <w:b w:val="1"/>
          <w:bCs w:val="1"/>
          <w:color w:val="000000" w:themeColor="text1" w:themeTint="FF" w:themeShade="FF"/>
          <w:sz w:val="22"/>
          <w:szCs w:val="22"/>
        </w:rPr>
        <w:t>Recommendation [8]</w:t>
      </w:r>
      <w:r w:rsidRPr="334BBF58" w:rsidR="0FD33221">
        <w:rPr>
          <w:rFonts w:eastAsia="Arial" w:cs="Arial"/>
          <w:color w:val="000000" w:themeColor="text1" w:themeTint="FF" w:themeShade="FF"/>
          <w:sz w:val="22"/>
          <w:szCs w:val="22"/>
        </w:rPr>
        <w:t xml:space="preserve"> recommended that the World Bank and contributors discuss how to operationalise the ISFL private sector pilots, including those in Ethiopia, to ensure the sustainability of positive results and findings generated by these pilots. This has now been achieved in FY25, with </w:t>
      </w:r>
      <w:r w:rsidRPr="334BBF58" w:rsidR="0FD33221">
        <w:rPr>
          <w:rFonts w:cs="Arial"/>
          <w:sz w:val="22"/>
          <w:szCs w:val="22"/>
        </w:rPr>
        <w:t>various pilot projects under the ISFL private sector strategy in Ethiopia and Colombia nearing completion. Most of the initiatives in Colombia have been finalised, and teams in both countries are focused on developing a dissemination strategy for the results of these studies and pilots.</w:t>
      </w:r>
    </w:p>
    <w:p w:rsidR="009436C8" w:rsidP="6A234BCB" w:rsidRDefault="009436C8" w14:paraId="624A2AE8" w14:textId="332A31F8">
      <w:pPr>
        <w:jc w:val="both"/>
        <w:rPr>
          <w:rFonts w:eastAsia="Arial"/>
          <w:sz w:val="22"/>
          <w:szCs w:val="22"/>
        </w:rPr>
      </w:pPr>
    </w:p>
    <w:p w:rsidR="009436C8" w:rsidP="6A234BCB" w:rsidRDefault="009436C8" w14:paraId="51EC0177" w14:textId="4384ADFB">
      <w:pPr>
        <w:jc w:val="both"/>
        <w:rPr>
          <w:rFonts w:eastAsia="Arial" w:cs="Arial"/>
          <w:b/>
          <w:bCs/>
          <w:color w:val="000000" w:themeColor="text1"/>
          <w:sz w:val="22"/>
          <w:szCs w:val="22"/>
        </w:rPr>
      </w:pPr>
      <w:r>
        <w:rPr>
          <w:rFonts w:eastAsia="Arial" w:cs="Arial"/>
          <w:b/>
          <w:bCs/>
          <w:color w:val="000000" w:themeColor="text1"/>
          <w:sz w:val="22"/>
          <w:szCs w:val="22"/>
        </w:rPr>
        <w:t>Lessons Learned</w:t>
      </w:r>
    </w:p>
    <w:p w:rsidR="009436C8" w:rsidP="6A234BCB" w:rsidRDefault="009436C8" w14:paraId="01E3BF86" w14:textId="77777777">
      <w:pPr>
        <w:jc w:val="both"/>
        <w:rPr>
          <w:rFonts w:eastAsia="Arial" w:cs="Arial"/>
          <w:b/>
          <w:bCs/>
          <w:color w:val="000000" w:themeColor="text1"/>
          <w:sz w:val="22"/>
          <w:szCs w:val="22"/>
        </w:rPr>
      </w:pPr>
    </w:p>
    <w:p w:rsidR="003035EC" w:rsidP="003035EC" w:rsidRDefault="003035EC" w14:paraId="436606E4" w14:textId="7726B4F7">
      <w:pPr>
        <w:jc w:val="both"/>
        <w:rPr>
          <w:rFonts w:eastAsia="Arial" w:cs="Arial"/>
          <w:color w:val="000000" w:themeColor="text1"/>
          <w:sz w:val="22"/>
          <w:szCs w:val="22"/>
        </w:rPr>
      </w:pPr>
      <w:r w:rsidRPr="005819B4">
        <w:rPr>
          <w:rFonts w:eastAsia="Arial" w:cs="Arial"/>
          <w:color w:val="000000" w:themeColor="text1"/>
          <w:sz w:val="22"/>
          <w:szCs w:val="22"/>
        </w:rPr>
        <w:t xml:space="preserve">Building on the </w:t>
      </w:r>
      <w:r>
        <w:rPr>
          <w:rFonts w:eastAsia="Arial" w:cs="Arial"/>
          <w:color w:val="000000" w:themeColor="text1"/>
          <w:sz w:val="22"/>
          <w:szCs w:val="22"/>
        </w:rPr>
        <w:t xml:space="preserve">same </w:t>
      </w:r>
      <w:r w:rsidRPr="005819B4">
        <w:rPr>
          <w:rFonts w:eastAsia="Arial" w:cs="Arial"/>
          <w:color w:val="000000" w:themeColor="text1"/>
          <w:sz w:val="22"/>
          <w:szCs w:val="22"/>
        </w:rPr>
        <w:t>analysis conducted at the conclusion of the Colombia grant programme and insights from stakeholder engagement in Indonesia</w:t>
      </w:r>
      <w:r>
        <w:rPr>
          <w:rFonts w:eastAsia="Arial" w:cs="Arial"/>
          <w:color w:val="000000" w:themeColor="text1"/>
          <w:sz w:val="22"/>
          <w:szCs w:val="22"/>
        </w:rPr>
        <w:t xml:space="preserve">, </w:t>
      </w:r>
      <w:r w:rsidRPr="00224A4A">
        <w:rPr>
          <w:rFonts w:eastAsia="Arial" w:cs="Arial"/>
          <w:color w:val="000000" w:themeColor="text1"/>
          <w:sz w:val="22"/>
          <w:szCs w:val="22"/>
        </w:rPr>
        <w:t>FY2</w:t>
      </w:r>
      <w:r>
        <w:rPr>
          <w:rFonts w:eastAsia="Arial" w:cs="Arial"/>
          <w:color w:val="000000" w:themeColor="text1"/>
          <w:sz w:val="22"/>
          <w:szCs w:val="22"/>
        </w:rPr>
        <w:t>5</w:t>
      </w:r>
      <w:r w:rsidRPr="00224A4A">
        <w:rPr>
          <w:rFonts w:eastAsia="Arial" w:cs="Arial"/>
          <w:color w:val="000000" w:themeColor="text1"/>
          <w:sz w:val="22"/>
          <w:szCs w:val="22"/>
        </w:rPr>
        <w:t xml:space="preserve"> has provided opportunities to reflect upon the key lessons learned on</w:t>
      </w:r>
      <w:r w:rsidR="00BC6B77">
        <w:rPr>
          <w:rFonts w:eastAsia="Arial" w:cs="Arial"/>
          <w:color w:val="000000" w:themeColor="text1"/>
          <w:sz w:val="22"/>
          <w:szCs w:val="22"/>
        </w:rPr>
        <w:t xml:space="preserve"> replicating and scaling models of public-private or private investment.</w:t>
      </w:r>
      <w:r w:rsidRPr="00224A4A">
        <w:rPr>
          <w:rFonts w:eastAsia="Arial" w:cs="Arial"/>
          <w:color w:val="000000" w:themeColor="text1"/>
          <w:sz w:val="22"/>
          <w:szCs w:val="22"/>
        </w:rPr>
        <w:t xml:space="preserve"> </w:t>
      </w:r>
      <w:r w:rsidR="00BC6B77">
        <w:rPr>
          <w:rFonts w:eastAsia="Arial" w:cs="Arial"/>
          <w:color w:val="000000" w:themeColor="text1"/>
          <w:sz w:val="22"/>
          <w:szCs w:val="22"/>
        </w:rPr>
        <w:t>This</w:t>
      </w:r>
      <w:r>
        <w:rPr>
          <w:rFonts w:eastAsia="Arial" w:cs="Arial"/>
          <w:color w:val="000000" w:themeColor="text1"/>
          <w:sz w:val="22"/>
          <w:szCs w:val="22"/>
        </w:rPr>
        <w:t xml:space="preserve"> include</w:t>
      </w:r>
      <w:r w:rsidR="00BC6B77">
        <w:rPr>
          <w:rFonts w:eastAsia="Arial" w:cs="Arial"/>
          <w:color w:val="000000" w:themeColor="text1"/>
          <w:sz w:val="22"/>
          <w:szCs w:val="22"/>
        </w:rPr>
        <w:t>s</w:t>
      </w:r>
      <w:r w:rsidRPr="00224A4A">
        <w:rPr>
          <w:rFonts w:eastAsia="Arial" w:cs="Arial"/>
          <w:color w:val="000000" w:themeColor="text1"/>
          <w:sz w:val="22"/>
          <w:szCs w:val="22"/>
        </w:rPr>
        <w:t>:</w:t>
      </w:r>
    </w:p>
    <w:p w:rsidR="003035EC" w:rsidP="009436C8" w:rsidRDefault="003035EC" w14:paraId="7EE2F1D7" w14:textId="77777777">
      <w:pPr>
        <w:jc w:val="both"/>
        <w:rPr>
          <w:rFonts w:eastAsia="Arial" w:cs="Arial"/>
          <w:color w:val="000000" w:themeColor="text1"/>
          <w:sz w:val="22"/>
          <w:szCs w:val="22"/>
        </w:rPr>
      </w:pPr>
    </w:p>
    <w:p w:rsidR="00BC6B77" w:rsidP="00756B4F" w:rsidRDefault="009436C8" w14:paraId="253AA6CB" w14:textId="77777777">
      <w:pPr>
        <w:pStyle w:val="ListParagraph"/>
        <w:numPr>
          <w:ilvl w:val="0"/>
          <w:numId w:val="7"/>
        </w:numPr>
        <w:jc w:val="both"/>
        <w:rPr>
          <w:rFonts w:eastAsia="Arial" w:cs="Arial"/>
          <w:color w:val="000000" w:themeColor="text1"/>
          <w:sz w:val="22"/>
          <w:szCs w:val="22"/>
        </w:rPr>
      </w:pPr>
      <w:r w:rsidRPr="00BC6B77">
        <w:rPr>
          <w:rFonts w:eastAsia="Arial" w:cs="Arial"/>
          <w:b/>
          <w:bCs/>
          <w:color w:val="000000" w:themeColor="text1"/>
          <w:sz w:val="22"/>
          <w:szCs w:val="22"/>
        </w:rPr>
        <w:t xml:space="preserve">Value Chain Integration </w:t>
      </w:r>
      <w:r w:rsidRPr="00BC6B77" w:rsidR="00BC6B77">
        <w:rPr>
          <w:rFonts w:eastAsia="Arial" w:cs="Arial"/>
          <w:b/>
          <w:bCs/>
          <w:color w:val="000000" w:themeColor="text1"/>
          <w:sz w:val="22"/>
          <w:szCs w:val="22"/>
        </w:rPr>
        <w:t xml:space="preserve">in </w:t>
      </w:r>
      <w:r w:rsidRPr="00BC6B77">
        <w:rPr>
          <w:rFonts w:eastAsia="Arial" w:cs="Arial"/>
          <w:b/>
          <w:bCs/>
          <w:color w:val="000000" w:themeColor="text1"/>
          <w:sz w:val="22"/>
          <w:szCs w:val="22"/>
        </w:rPr>
        <w:t>Colombia</w:t>
      </w:r>
      <w:r w:rsidR="00BC6B77">
        <w:rPr>
          <w:rFonts w:eastAsia="Arial" w:cs="Arial"/>
          <w:color w:val="000000" w:themeColor="text1"/>
          <w:sz w:val="22"/>
          <w:szCs w:val="22"/>
        </w:rPr>
        <w:t>: i</w:t>
      </w:r>
      <w:r w:rsidRPr="00BC6B77">
        <w:rPr>
          <w:rFonts w:eastAsia="Arial" w:cs="Arial"/>
          <w:color w:val="000000" w:themeColor="text1"/>
          <w:sz w:val="22"/>
          <w:szCs w:val="22"/>
        </w:rPr>
        <w:t>ntegrating one agricultural value chain at a time supports learning, reduces complexity, and builds momentum</w:t>
      </w:r>
      <w:r w:rsidR="00BC6B77">
        <w:rPr>
          <w:rFonts w:eastAsia="Arial" w:cs="Arial"/>
          <w:color w:val="000000" w:themeColor="text1"/>
          <w:sz w:val="22"/>
          <w:szCs w:val="22"/>
        </w:rPr>
        <w:t xml:space="preserve">, </w:t>
      </w:r>
      <w:r w:rsidRPr="00BC6B77">
        <w:rPr>
          <w:rFonts w:eastAsia="Arial" w:cs="Arial"/>
          <w:color w:val="000000" w:themeColor="text1"/>
          <w:sz w:val="22"/>
          <w:szCs w:val="22"/>
        </w:rPr>
        <w:t>offering a scalable model for broader adoption.</w:t>
      </w:r>
    </w:p>
    <w:p w:rsidR="00BC6B77" w:rsidP="00756B4F" w:rsidRDefault="009436C8" w14:paraId="702734C5" w14:textId="77777777">
      <w:pPr>
        <w:pStyle w:val="ListParagraph"/>
        <w:numPr>
          <w:ilvl w:val="0"/>
          <w:numId w:val="7"/>
        </w:numPr>
        <w:jc w:val="both"/>
        <w:rPr>
          <w:rFonts w:eastAsia="Arial" w:cs="Arial"/>
          <w:color w:val="000000" w:themeColor="text1"/>
          <w:sz w:val="22"/>
          <w:szCs w:val="22"/>
        </w:rPr>
      </w:pPr>
      <w:r w:rsidRPr="00BC6B77">
        <w:rPr>
          <w:rFonts w:eastAsia="Arial" w:cs="Arial"/>
          <w:b/>
          <w:bCs/>
          <w:color w:val="000000" w:themeColor="text1"/>
          <w:sz w:val="22"/>
          <w:szCs w:val="22"/>
        </w:rPr>
        <w:t xml:space="preserve">Demonstration Farms </w:t>
      </w:r>
      <w:r w:rsidRPr="00BC6B77" w:rsidR="00BC6B77">
        <w:rPr>
          <w:rFonts w:eastAsia="Arial" w:cs="Arial"/>
          <w:b/>
          <w:bCs/>
          <w:color w:val="000000" w:themeColor="text1"/>
          <w:sz w:val="22"/>
          <w:szCs w:val="22"/>
        </w:rPr>
        <w:t xml:space="preserve">in </w:t>
      </w:r>
      <w:r w:rsidRPr="00BC6B77">
        <w:rPr>
          <w:rFonts w:eastAsia="Arial" w:cs="Arial"/>
          <w:b/>
          <w:bCs/>
          <w:color w:val="000000" w:themeColor="text1"/>
          <w:sz w:val="22"/>
          <w:szCs w:val="22"/>
        </w:rPr>
        <w:t>Colombia</w:t>
      </w:r>
      <w:r w:rsidR="00BC6B77">
        <w:rPr>
          <w:rFonts w:eastAsia="Arial" w:cs="Arial"/>
          <w:color w:val="000000" w:themeColor="text1"/>
          <w:sz w:val="22"/>
          <w:szCs w:val="22"/>
        </w:rPr>
        <w:t>: s</w:t>
      </w:r>
      <w:r w:rsidRPr="00BC6B77">
        <w:rPr>
          <w:rFonts w:eastAsia="Arial" w:cs="Arial"/>
          <w:color w:val="000000" w:themeColor="text1"/>
          <w:sz w:val="22"/>
          <w:szCs w:val="22"/>
        </w:rPr>
        <w:t>howcasing economic benefits through demonstration farms helps producers see tangible outcomes, encouraging replication and scaling.</w:t>
      </w:r>
    </w:p>
    <w:p w:rsidR="009436C8" w:rsidP="00756B4F" w:rsidRDefault="009436C8" w14:paraId="58992C56" w14:textId="1951D6A9">
      <w:pPr>
        <w:pStyle w:val="ListParagraph"/>
        <w:numPr>
          <w:ilvl w:val="0"/>
          <w:numId w:val="7"/>
        </w:numPr>
        <w:jc w:val="both"/>
        <w:rPr>
          <w:rFonts w:eastAsia="Arial" w:cs="Arial"/>
          <w:color w:val="000000" w:themeColor="text1"/>
          <w:sz w:val="22"/>
          <w:szCs w:val="22"/>
        </w:rPr>
      </w:pPr>
      <w:r w:rsidRPr="00BC6B77">
        <w:rPr>
          <w:rFonts w:eastAsia="Arial" w:cs="Arial"/>
          <w:b/>
          <w:bCs/>
          <w:color w:val="000000" w:themeColor="text1"/>
          <w:sz w:val="22"/>
          <w:szCs w:val="22"/>
        </w:rPr>
        <w:t xml:space="preserve">Benefit-Sharing Clarity </w:t>
      </w:r>
      <w:r w:rsidRPr="00BC6B77" w:rsidR="00BC6B77">
        <w:rPr>
          <w:rFonts w:eastAsia="Arial" w:cs="Arial"/>
          <w:b/>
          <w:bCs/>
          <w:color w:val="000000" w:themeColor="text1"/>
          <w:sz w:val="22"/>
          <w:szCs w:val="22"/>
        </w:rPr>
        <w:t xml:space="preserve">in </w:t>
      </w:r>
      <w:r w:rsidRPr="00BC6B77">
        <w:rPr>
          <w:rFonts w:eastAsia="Arial" w:cs="Arial"/>
          <w:b/>
          <w:bCs/>
          <w:color w:val="000000" w:themeColor="text1"/>
          <w:sz w:val="22"/>
          <w:szCs w:val="22"/>
        </w:rPr>
        <w:t>Indonesia</w:t>
      </w:r>
      <w:r w:rsidR="00BC6B77">
        <w:rPr>
          <w:rFonts w:eastAsia="Arial" w:cs="Arial"/>
          <w:color w:val="000000" w:themeColor="text1"/>
          <w:sz w:val="22"/>
          <w:szCs w:val="22"/>
        </w:rPr>
        <w:t>: d</w:t>
      </w:r>
      <w:r w:rsidRPr="00BC6B77">
        <w:rPr>
          <w:rFonts w:eastAsia="Arial" w:cs="Arial"/>
          <w:color w:val="000000" w:themeColor="text1"/>
          <w:sz w:val="22"/>
          <w:szCs w:val="22"/>
        </w:rPr>
        <w:t>eveloping standard operating procedures and clarifying funds disbursement arrangements helps avoid bottlenecks and ensures equitable benefit-sharing—critical for scalable investment models.</w:t>
      </w:r>
    </w:p>
    <w:p w:rsidRPr="00C51C84" w:rsidR="00A2235E" w:rsidP="00756B4F" w:rsidRDefault="00A2235E" w14:paraId="405FCFBA" w14:textId="2011FFE7">
      <w:pPr>
        <w:pStyle w:val="ListParagraph"/>
        <w:numPr>
          <w:ilvl w:val="0"/>
          <w:numId w:val="7"/>
        </w:numPr>
        <w:jc w:val="both"/>
        <w:rPr>
          <w:rFonts w:eastAsia="Arial" w:cs="Arial"/>
          <w:color w:val="000000" w:themeColor="text1"/>
          <w:sz w:val="22"/>
          <w:szCs w:val="22"/>
        </w:rPr>
      </w:pPr>
      <w:r>
        <w:rPr>
          <w:rFonts w:eastAsia="Arial" w:cs="Arial"/>
          <w:b/>
          <w:bCs/>
          <w:color w:val="000000" w:themeColor="text1"/>
          <w:sz w:val="22"/>
          <w:szCs w:val="22"/>
        </w:rPr>
        <w:t xml:space="preserve">Resource Leveraging in Ethiopia: </w:t>
      </w:r>
      <w:r w:rsidRPr="00A2235E">
        <w:rPr>
          <w:rFonts w:eastAsia="Arial" w:cs="Arial"/>
          <w:color w:val="000000" w:themeColor="text1"/>
          <w:sz w:val="22"/>
          <w:szCs w:val="22"/>
        </w:rPr>
        <w:t>synergies with other initiatives and inclusion of adequate resources for livelihood interventions in program design are crucial for long-term sustainability and scalability</w:t>
      </w:r>
      <w:r w:rsidR="00893E90">
        <w:rPr>
          <w:rFonts w:eastAsia="Arial" w:cs="Arial"/>
          <w:b/>
          <w:bCs/>
          <w:color w:val="000000" w:themeColor="text1"/>
          <w:sz w:val="22"/>
          <w:szCs w:val="22"/>
        </w:rPr>
        <w:t xml:space="preserve">. </w:t>
      </w:r>
      <w:r w:rsidRPr="00893E90">
        <w:rPr>
          <w:rFonts w:eastAsia="Arial" w:cs="Arial"/>
          <w:color w:val="000000" w:themeColor="text1"/>
          <w:sz w:val="22"/>
          <w:szCs w:val="22"/>
        </w:rPr>
        <w:t>Ongoing leverage of capacities and resources from existing and future projects and initiatives ensures sustained impact and scalability.</w:t>
      </w:r>
    </w:p>
    <w:p w:rsidRPr="00ED3C02" w:rsidR="00512181" w:rsidP="57B97683" w:rsidRDefault="4C3C7EA5" w14:paraId="050A5781" w14:textId="6C42840B">
      <w:pPr>
        <w:jc w:val="both"/>
        <w:rPr>
          <w:rFonts w:eastAsia="Arial" w:cs="Arial"/>
          <w:sz w:val="22"/>
          <w:szCs w:val="22"/>
        </w:rPr>
      </w:pPr>
      <w:r w:rsidRPr="5A4FCF86">
        <w:rPr>
          <w:rFonts w:eastAsia="Arial" w:cs="Arial"/>
          <w:b/>
          <w:bCs/>
          <w:color w:val="000000" w:themeColor="text1"/>
          <w:sz w:val="22"/>
          <w:szCs w:val="22"/>
        </w:rPr>
        <w:t>Recommendations for FY2</w:t>
      </w:r>
      <w:r w:rsidRPr="5A4FCF86" w:rsidR="1DEDD932">
        <w:rPr>
          <w:rFonts w:eastAsia="Arial" w:cs="Arial"/>
          <w:b/>
          <w:bCs/>
          <w:color w:val="000000" w:themeColor="text1"/>
          <w:sz w:val="22"/>
          <w:szCs w:val="22"/>
        </w:rPr>
        <w:t>6</w:t>
      </w:r>
    </w:p>
    <w:p w:rsidR="00564338" w:rsidP="00512181" w:rsidRDefault="00564338" w14:paraId="4F0CEF63" w14:textId="77777777"/>
    <w:p w:rsidR="00564338" w:rsidP="00564338" w:rsidRDefault="002B6941" w14:paraId="3E4888E0" w14:textId="347A9353">
      <w:pPr>
        <w:jc w:val="both"/>
        <w:rPr>
          <w:rFonts w:eastAsia="Arial" w:cs="Arial"/>
          <w:color w:val="000000" w:themeColor="text1"/>
          <w:sz w:val="22"/>
          <w:szCs w:val="22"/>
        </w:rPr>
      </w:pPr>
      <w:r w:rsidRPr="334BBF58" w:rsidR="002B6941">
        <w:rPr>
          <w:rFonts w:eastAsia="Arial" w:cs="Arial"/>
          <w:color w:val="000000" w:themeColor="text1" w:themeTint="FF" w:themeShade="FF"/>
          <w:sz w:val="22"/>
          <w:szCs w:val="22"/>
        </w:rPr>
        <w:t>From a wider perspective</w:t>
      </w:r>
      <w:r w:rsidRPr="334BBF58" w:rsidR="009702C0">
        <w:rPr>
          <w:rFonts w:eastAsia="Arial" w:cs="Arial"/>
          <w:color w:val="000000" w:themeColor="text1" w:themeTint="FF" w:themeShade="FF"/>
          <w:sz w:val="22"/>
          <w:szCs w:val="22"/>
        </w:rPr>
        <w:t>,</w:t>
      </w:r>
      <w:r w:rsidRPr="334BBF58" w:rsidR="00564338">
        <w:rPr>
          <w:rFonts w:eastAsia="Arial" w:cs="Arial"/>
          <w:color w:val="000000" w:themeColor="text1" w:themeTint="FF" w:themeShade="FF"/>
          <w:sz w:val="22"/>
          <w:szCs w:val="22"/>
        </w:rPr>
        <w:t xml:space="preserve"> DESNZ and the World Bank</w:t>
      </w:r>
      <w:r w:rsidRPr="334BBF58" w:rsidR="0037042D">
        <w:rPr>
          <w:rFonts w:eastAsia="Arial" w:cs="Arial"/>
          <w:color w:val="000000" w:themeColor="text1" w:themeTint="FF" w:themeShade="FF"/>
          <w:sz w:val="22"/>
          <w:szCs w:val="22"/>
        </w:rPr>
        <w:t xml:space="preserve"> have also been recommended to</w:t>
      </w:r>
      <w:r w:rsidRPr="334BBF58" w:rsidR="00564338">
        <w:rPr>
          <w:rFonts w:eastAsia="Arial" w:cs="Arial"/>
          <w:color w:val="000000" w:themeColor="text1" w:themeTint="FF" w:themeShade="FF"/>
          <w:sz w:val="22"/>
          <w:szCs w:val="22"/>
        </w:rPr>
        <w:t xml:space="preserve"> formalise the change of Output Indicator 3.4 from a quantitative to a qualitative indicator, to better reflect country-level variation in private sector engagement. This adjustment should be documented in the ISFL logframe and communicated to contributors. To reflect this change in the current reporting period, this FY25 Annual Review used a 70:30 qualitative-to-quantitative weighting, to support a more nuanced assessment of environmental and social benefits delivered through ISFL-supported private sector engagement.</w:t>
      </w:r>
    </w:p>
    <w:p w:rsidRPr="008F2C68" w:rsidR="229B1F0A" w:rsidP="008F2C68" w:rsidRDefault="229B1F0A" w14:paraId="1426F741" w14:textId="0066490A"/>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CB2873" w:rsidTr="376EB76A" w14:paraId="625A7711" w14:textId="77777777">
        <w:tc>
          <w:tcPr>
            <w:tcW w:w="9016" w:type="dxa"/>
            <w:shd w:val="clear" w:color="auto" w:fill="DEEAF6" w:themeFill="accent5" w:themeFillTint="33"/>
            <w:tcMar/>
          </w:tcPr>
          <w:p w:rsidR="00CB2873" w:rsidP="11614349" w:rsidRDefault="426AC465" w14:paraId="78474CCE" w14:textId="53A94B22">
            <w:pPr>
              <w:jc w:val="both"/>
              <w:rPr>
                <w:rStyle w:val="Heading1Char"/>
                <w:rFonts w:ascii="Arial" w:hAnsi="Arial" w:cs="Arial"/>
                <w:b w:val="1"/>
                <w:bCs w:val="1"/>
                <w:color w:val="auto"/>
              </w:rPr>
            </w:pPr>
            <w:bookmarkStart w:name="_Toc269262350" w:id="912553218"/>
            <w:r w:rsidRPr="376EB76A" w:rsidR="18A9D9D0">
              <w:rPr>
                <w:rStyle w:val="Heading1Char"/>
                <w:rFonts w:ascii="Arial" w:hAnsi="Arial" w:cs="Arial"/>
                <w:b w:val="1"/>
                <w:bCs w:val="1"/>
                <w:color w:val="auto"/>
              </w:rPr>
              <w:t>Section D: Pro</w:t>
            </w:r>
            <w:r w:rsidRPr="376EB76A" w:rsidR="1E6B55E2">
              <w:rPr>
                <w:rStyle w:val="Heading1Char"/>
                <w:rFonts w:ascii="Arial" w:hAnsi="Arial" w:cs="Arial"/>
                <w:b w:val="1"/>
                <w:bCs w:val="1"/>
                <w:color w:val="auto"/>
              </w:rPr>
              <w:t xml:space="preserve">gramme </w:t>
            </w:r>
            <w:r w:rsidRPr="376EB76A" w:rsidR="18A9D9D0">
              <w:rPr>
                <w:rStyle w:val="Heading1Char"/>
                <w:rFonts w:ascii="Arial" w:hAnsi="Arial" w:cs="Arial"/>
                <w:b w:val="1"/>
                <w:bCs w:val="1"/>
                <w:color w:val="auto"/>
              </w:rPr>
              <w:t>performance not captured by outputs</w:t>
            </w:r>
            <w:bookmarkEnd w:id="912553218"/>
          </w:p>
        </w:tc>
      </w:tr>
    </w:tbl>
    <w:p w:rsidR="39BA2A06" w:rsidP="39BA2A06" w:rsidRDefault="39BA2A06" w14:paraId="57AC9F57" w14:textId="6CA38779">
      <w:pPr>
        <w:jc w:val="both"/>
        <w:rPr>
          <w:rFonts w:cs="Arial"/>
          <w:sz w:val="22"/>
          <w:szCs w:val="22"/>
          <w:highlight w:val="yellow"/>
        </w:rPr>
      </w:pPr>
    </w:p>
    <w:p w:rsidR="0B2845DF" w:rsidP="63100E7E" w:rsidRDefault="062E9633" w14:paraId="5862FA46" w14:textId="39EB6778">
      <w:pPr>
        <w:jc w:val="both"/>
        <w:rPr>
          <w:rFonts w:eastAsia="Arial" w:cs="Arial"/>
          <w:color w:val="000000" w:themeColor="text1"/>
          <w:sz w:val="22"/>
          <w:szCs w:val="22"/>
        </w:rPr>
      </w:pPr>
      <w:r w:rsidRPr="334BBF58" w:rsidR="062E9633">
        <w:rPr>
          <w:rFonts w:eastAsia="Arial" w:cs="Arial"/>
          <w:color w:val="000000" w:themeColor="text1" w:themeTint="FF" w:themeShade="FF"/>
          <w:sz w:val="22"/>
          <w:szCs w:val="22"/>
        </w:rPr>
        <w:t>Outside of the outputs assessed above</w:t>
      </w:r>
      <w:r w:rsidRPr="334BBF58" w:rsidR="062E9633">
        <w:rPr>
          <w:rFonts w:eastAsia="Arial" w:cs="Arial"/>
          <w:color w:val="000000" w:themeColor="text1" w:themeTint="FF" w:themeShade="FF"/>
          <w:sz w:val="22"/>
          <w:szCs w:val="22"/>
        </w:rPr>
        <w:t xml:space="preserve">, the ISFL made </w:t>
      </w:r>
      <w:r w:rsidRPr="334BBF58" w:rsidR="062E9633">
        <w:rPr>
          <w:rFonts w:eastAsia="Arial" w:cs="Arial"/>
          <w:color w:val="000000" w:themeColor="text1" w:themeTint="FF" w:themeShade="FF"/>
          <w:sz w:val="22"/>
          <w:szCs w:val="22"/>
        </w:rPr>
        <w:t>significant progress</w:t>
      </w:r>
      <w:r w:rsidRPr="334BBF58" w:rsidR="062E9633">
        <w:rPr>
          <w:rFonts w:eastAsia="Arial" w:cs="Arial"/>
          <w:color w:val="000000" w:themeColor="text1" w:themeTint="FF" w:themeShade="FF"/>
          <w:sz w:val="22"/>
          <w:szCs w:val="22"/>
        </w:rPr>
        <w:t xml:space="preserve"> in several areas during FY25. </w:t>
      </w:r>
      <w:r w:rsidRPr="334BBF58" w:rsidR="001E4B3A">
        <w:rPr>
          <w:rFonts w:eastAsia="Arial" w:cs="Arial"/>
          <w:color w:val="000000" w:themeColor="text1" w:themeTint="FF" w:themeShade="FF"/>
          <w:sz w:val="22"/>
          <w:szCs w:val="22"/>
        </w:rPr>
        <w:t>Several of the recommendations from FY24</w:t>
      </w:r>
      <w:r w:rsidRPr="334BBF58" w:rsidR="00BE3322">
        <w:rPr>
          <w:rFonts w:eastAsia="Arial" w:cs="Arial"/>
          <w:color w:val="000000" w:themeColor="text1" w:themeTint="FF" w:themeShade="FF"/>
          <w:sz w:val="22"/>
          <w:szCs w:val="22"/>
        </w:rPr>
        <w:t xml:space="preserve">, and the progress </w:t>
      </w:r>
      <w:r w:rsidRPr="334BBF58" w:rsidR="003F0CE2">
        <w:rPr>
          <w:rFonts w:eastAsia="Arial" w:cs="Arial"/>
          <w:color w:val="000000" w:themeColor="text1" w:themeTint="FF" w:themeShade="FF"/>
          <w:sz w:val="22"/>
          <w:szCs w:val="22"/>
        </w:rPr>
        <w:t>made against them,</w:t>
      </w:r>
      <w:r w:rsidRPr="334BBF58" w:rsidR="001E4B3A">
        <w:rPr>
          <w:rFonts w:eastAsia="Arial" w:cs="Arial"/>
          <w:color w:val="000000" w:themeColor="text1" w:themeTint="FF" w:themeShade="FF"/>
          <w:sz w:val="22"/>
          <w:szCs w:val="22"/>
        </w:rPr>
        <w:t xml:space="preserve"> </w:t>
      </w:r>
      <w:r w:rsidRPr="334BBF58" w:rsidR="00BE3322">
        <w:rPr>
          <w:rFonts w:eastAsia="Arial" w:cs="Arial"/>
          <w:color w:val="000000" w:themeColor="text1" w:themeTint="FF" w:themeShade="FF"/>
          <w:sz w:val="22"/>
          <w:szCs w:val="22"/>
        </w:rPr>
        <w:t>relate to areas outside of the core programme logframe.</w:t>
      </w:r>
    </w:p>
    <w:p w:rsidR="001C44B2" w:rsidP="63100E7E" w:rsidRDefault="001C44B2" w14:paraId="6C9AEF7B" w14:textId="77777777">
      <w:pPr>
        <w:jc w:val="both"/>
        <w:rPr>
          <w:rFonts w:eastAsia="Arial" w:cs="Arial"/>
          <w:color w:val="000000" w:themeColor="text1"/>
          <w:sz w:val="22"/>
          <w:szCs w:val="22"/>
        </w:rPr>
      </w:pPr>
    </w:p>
    <w:p w:rsidR="001C44B2" w:rsidP="2EC08B73" w:rsidRDefault="001C44B2" w14:paraId="5262B425" w14:textId="764F67CC">
      <w:pPr>
        <w:jc w:val="both"/>
        <w:rPr>
          <w:rFonts w:eastAsia="Arial" w:cs="Arial"/>
          <w:color w:val="000000" w:themeColor="text1" w:themeTint="FF" w:themeShade="FF"/>
          <w:sz w:val="22"/>
          <w:szCs w:val="22"/>
        </w:rPr>
      </w:pPr>
      <w:r w:rsidRPr="334BBF58" w:rsidR="001C44B2">
        <w:rPr>
          <w:rFonts w:eastAsia="Arial" w:cs="Arial"/>
          <w:b w:val="1"/>
          <w:bCs w:val="1"/>
          <w:color w:val="000000" w:themeColor="text1" w:themeTint="FF" w:themeShade="FF"/>
          <w:sz w:val="22"/>
          <w:szCs w:val="22"/>
        </w:rPr>
        <w:t xml:space="preserve">Recommendation </w:t>
      </w:r>
      <w:r w:rsidRPr="334BBF58" w:rsidR="00916F69">
        <w:rPr>
          <w:rFonts w:eastAsia="Arial" w:cs="Arial"/>
          <w:b w:val="1"/>
          <w:bCs w:val="1"/>
          <w:color w:val="000000" w:themeColor="text1" w:themeTint="FF" w:themeShade="FF"/>
          <w:sz w:val="22"/>
          <w:szCs w:val="22"/>
        </w:rPr>
        <w:t>[</w:t>
      </w:r>
      <w:r w:rsidRPr="334BBF58" w:rsidR="001C44B2">
        <w:rPr>
          <w:rFonts w:eastAsia="Arial" w:cs="Arial"/>
          <w:b w:val="1"/>
          <w:bCs w:val="1"/>
          <w:color w:val="000000" w:themeColor="text1" w:themeTint="FF" w:themeShade="FF"/>
          <w:sz w:val="22"/>
          <w:szCs w:val="22"/>
        </w:rPr>
        <w:t>3</w:t>
      </w:r>
      <w:r w:rsidRPr="334BBF58" w:rsidR="00916F69">
        <w:rPr>
          <w:rFonts w:eastAsia="Arial" w:cs="Arial"/>
          <w:b w:val="1"/>
          <w:bCs w:val="1"/>
          <w:color w:val="000000" w:themeColor="text1" w:themeTint="FF" w:themeShade="FF"/>
          <w:sz w:val="22"/>
          <w:szCs w:val="22"/>
        </w:rPr>
        <w:t>]</w:t>
      </w:r>
      <w:r w:rsidRPr="334BBF58" w:rsidR="00D81F34">
        <w:rPr>
          <w:rFonts w:eastAsia="Arial" w:cs="Arial"/>
          <w:color w:val="000000" w:themeColor="text1" w:themeTint="FF" w:themeShade="FF"/>
          <w:sz w:val="22"/>
          <w:szCs w:val="22"/>
        </w:rPr>
        <w:t xml:space="preserve"> from the FY24 Annual Review recommended that the </w:t>
      </w:r>
      <w:r w:rsidRPr="334BBF58" w:rsidR="00C5639A">
        <w:rPr>
          <w:rFonts w:eastAsia="Arial" w:cs="Arial"/>
          <w:color w:val="000000" w:themeColor="text1" w:themeTint="FF" w:themeShade="FF"/>
          <w:sz w:val="22"/>
          <w:szCs w:val="22"/>
        </w:rPr>
        <w:t>World Bank and DESNZ appraise and fund alternative grant funding options for the remaining unallocated funding in the UK Single Donor Trust Fund (SDTF).</w:t>
      </w:r>
      <w:r w:rsidRPr="334BBF58" w:rsidR="00793CA5">
        <w:rPr>
          <w:rFonts w:eastAsia="Arial" w:cs="Arial"/>
          <w:color w:val="000000" w:themeColor="text1" w:themeTint="FF" w:themeShade="FF"/>
          <w:sz w:val="22"/>
          <w:szCs w:val="22"/>
        </w:rPr>
        <w:t xml:space="preserve"> This was partially achieved</w:t>
      </w:r>
      <w:r w:rsidRPr="334BBF58" w:rsidR="00DB56D6">
        <w:rPr>
          <w:rFonts w:eastAsia="Arial" w:cs="Arial"/>
          <w:color w:val="000000" w:themeColor="text1" w:themeTint="FF" w:themeShade="FF"/>
          <w:sz w:val="22"/>
          <w:szCs w:val="22"/>
        </w:rPr>
        <w:t xml:space="preserve">. Of the remaining funding, $750,000 has been </w:t>
      </w:r>
      <w:r w:rsidRPr="334BBF58" w:rsidR="00DB56D6">
        <w:rPr>
          <w:rFonts w:eastAsia="Arial" w:cs="Arial"/>
          <w:color w:val="000000" w:themeColor="text1" w:themeTint="FF" w:themeShade="FF"/>
          <w:sz w:val="22"/>
          <w:szCs w:val="22"/>
        </w:rPr>
        <w:t>allocated</w:t>
      </w:r>
      <w:r w:rsidRPr="334BBF58" w:rsidR="00DB56D6">
        <w:rPr>
          <w:rFonts w:eastAsia="Arial" w:cs="Arial"/>
          <w:color w:val="000000" w:themeColor="text1" w:themeTint="FF" w:themeShade="FF"/>
          <w:sz w:val="22"/>
          <w:szCs w:val="22"/>
        </w:rPr>
        <w:t xml:space="preserve"> to legal and market support for countries engaging in third-party transactions</w:t>
      </w:r>
      <w:r w:rsidRPr="334BBF58" w:rsidR="006D4019">
        <w:rPr>
          <w:rFonts w:eastAsia="Arial" w:cs="Arial"/>
          <w:color w:val="000000" w:themeColor="text1" w:themeTint="FF" w:themeShade="FF"/>
          <w:sz w:val="22"/>
          <w:szCs w:val="22"/>
        </w:rPr>
        <w:t>.</w:t>
      </w:r>
      <w:r w:rsidRPr="334BBF58" w:rsidR="00D12378">
        <w:rPr>
          <w:rFonts w:eastAsia="Arial" w:cs="Arial"/>
          <w:color w:val="000000" w:themeColor="text1" w:themeTint="FF" w:themeShade="FF"/>
          <w:sz w:val="22"/>
          <w:szCs w:val="22"/>
        </w:rPr>
        <w:t xml:space="preserve"> The ISFL allows host countries to sell excess ERs to third-party buyers or to opt out of ISFL payments if they can secure higher prices from the market. However, host countries often have limited knowledge of the evolving carbon market conditions and regulatory environment and therefore need </w:t>
      </w:r>
      <w:r w:rsidRPr="334BBF58" w:rsidR="00D12378">
        <w:rPr>
          <w:rFonts w:eastAsia="Arial" w:cs="Arial"/>
          <w:color w:val="000000" w:themeColor="text1" w:themeTint="FF" w:themeShade="FF"/>
          <w:sz w:val="22"/>
          <w:szCs w:val="22"/>
        </w:rPr>
        <w:t>additional</w:t>
      </w:r>
      <w:r w:rsidRPr="334BBF58" w:rsidR="00D12378">
        <w:rPr>
          <w:rFonts w:eastAsia="Arial" w:cs="Arial"/>
          <w:color w:val="000000" w:themeColor="text1" w:themeTint="FF" w:themeShade="FF"/>
          <w:sz w:val="22"/>
          <w:szCs w:val="22"/>
        </w:rPr>
        <w:t xml:space="preserve"> support. Therefore, the support provided by this reallocated funding could allow countries to secure higher prices and generate </w:t>
      </w:r>
      <w:r w:rsidRPr="334BBF58" w:rsidR="00D12378">
        <w:rPr>
          <w:rFonts w:eastAsia="Arial" w:cs="Arial"/>
          <w:color w:val="000000" w:themeColor="text1" w:themeTint="FF" w:themeShade="FF"/>
          <w:sz w:val="22"/>
          <w:szCs w:val="22"/>
        </w:rPr>
        <w:t>additional</w:t>
      </w:r>
      <w:r w:rsidRPr="334BBF58" w:rsidR="00D12378">
        <w:rPr>
          <w:rFonts w:eastAsia="Arial" w:cs="Arial"/>
          <w:color w:val="000000" w:themeColor="text1" w:themeTint="FF" w:themeShade="FF"/>
          <w:sz w:val="22"/>
          <w:szCs w:val="22"/>
        </w:rPr>
        <w:t xml:space="preserve"> revenues from their ERs.</w:t>
      </w:r>
      <w:r w:rsidRPr="334BBF58" w:rsidR="3B155CD3">
        <w:rPr>
          <w:rFonts w:eastAsia="Arial" w:cs="Arial"/>
          <w:color w:val="000000" w:themeColor="text1" w:themeTint="FF" w:themeShade="FF"/>
          <w:sz w:val="22"/>
          <w:szCs w:val="22"/>
        </w:rPr>
        <w:t xml:space="preserve"> At the time of writing, of the $750,000 committed, </w:t>
      </w:r>
      <w:r w:rsidRPr="334BBF58" w:rsidR="57F5E084">
        <w:rPr>
          <w:rFonts w:eastAsia="Arial" w:cs="Arial"/>
          <w:color w:val="000000" w:themeColor="text1" w:themeTint="FF" w:themeShade="FF"/>
          <w:sz w:val="22"/>
          <w:szCs w:val="22"/>
        </w:rPr>
        <w:t>$250</w:t>
      </w:r>
      <w:r w:rsidRPr="334BBF58" w:rsidR="6A22E4FF">
        <w:rPr>
          <w:rFonts w:eastAsia="Arial" w:cs="Arial"/>
          <w:color w:val="000000" w:themeColor="text1" w:themeTint="FF" w:themeShade="FF"/>
          <w:sz w:val="22"/>
          <w:szCs w:val="22"/>
        </w:rPr>
        <w:t>,000</w:t>
      </w:r>
      <w:r w:rsidRPr="334BBF58" w:rsidR="57F5E084">
        <w:rPr>
          <w:rFonts w:eastAsia="Arial" w:cs="Arial"/>
          <w:color w:val="000000" w:themeColor="text1" w:themeTint="FF" w:themeShade="FF"/>
          <w:sz w:val="22"/>
          <w:szCs w:val="22"/>
        </w:rPr>
        <w:t xml:space="preserve"> has been transferred to the </w:t>
      </w:r>
      <w:r w:rsidRPr="334BBF58" w:rsidR="421BBCDA">
        <w:rPr>
          <w:rFonts w:eastAsia="Arial" w:cs="Arial"/>
          <w:color w:val="000000" w:themeColor="text1" w:themeTint="FF" w:themeShade="FF"/>
          <w:sz w:val="22"/>
          <w:szCs w:val="22"/>
        </w:rPr>
        <w:t xml:space="preserve">Ethiopian government </w:t>
      </w:r>
      <w:r w:rsidRPr="334BBF58" w:rsidR="57F5E084">
        <w:rPr>
          <w:rFonts w:eastAsia="Arial" w:cs="Arial"/>
          <w:color w:val="000000" w:themeColor="text1" w:themeTint="FF" w:themeShade="FF"/>
          <w:sz w:val="22"/>
          <w:szCs w:val="22"/>
        </w:rPr>
        <w:t xml:space="preserve">to </w:t>
      </w:r>
      <w:r w:rsidRPr="334BBF58" w:rsidR="6797D202">
        <w:rPr>
          <w:rFonts w:eastAsia="Arial" w:cs="Arial"/>
          <w:color w:val="000000" w:themeColor="text1" w:themeTint="FF" w:themeShade="FF"/>
          <w:sz w:val="22"/>
          <w:szCs w:val="22"/>
        </w:rPr>
        <w:t>hire</w:t>
      </w:r>
      <w:r w:rsidRPr="334BBF58" w:rsidR="57F5E084">
        <w:rPr>
          <w:rFonts w:eastAsia="Arial" w:cs="Arial"/>
          <w:color w:val="000000" w:themeColor="text1" w:themeTint="FF" w:themeShade="FF"/>
          <w:sz w:val="22"/>
          <w:szCs w:val="22"/>
        </w:rPr>
        <w:t xml:space="preserve"> an international firm to provide support to the government once Norway’s contract with </w:t>
      </w:r>
      <w:r w:rsidRPr="334BBF58" w:rsidR="7BF50202">
        <w:rPr>
          <w:rFonts w:eastAsia="Arial" w:cs="Arial"/>
          <w:color w:val="000000" w:themeColor="text1" w:themeTint="FF" w:themeShade="FF"/>
          <w:sz w:val="22"/>
          <w:szCs w:val="22"/>
        </w:rPr>
        <w:t>the Environmental Defence Fund (EDF)</w:t>
      </w:r>
      <w:r w:rsidRPr="334BBF58" w:rsidR="2A22EFE3">
        <w:rPr>
          <w:rFonts w:eastAsia="Arial" w:cs="Arial"/>
          <w:color w:val="000000" w:themeColor="text1" w:themeTint="FF" w:themeShade="FF"/>
          <w:sz w:val="22"/>
          <w:szCs w:val="22"/>
        </w:rPr>
        <w:t>, who have been supported</w:t>
      </w:r>
      <w:r w:rsidRPr="334BBF58" w:rsidR="2A22EFE3">
        <w:rPr>
          <w:rFonts w:eastAsia="Arial" w:cs="Arial"/>
          <w:color w:val="000000" w:themeColor="text1" w:themeTint="FF" w:themeShade="FF"/>
          <w:sz w:val="22"/>
          <w:szCs w:val="22"/>
        </w:rPr>
        <w:t xml:space="preserve"> Ethiopia, ends,</w:t>
      </w:r>
      <w:r w:rsidRPr="334BBF58" w:rsidR="57F5E084">
        <w:rPr>
          <w:rFonts w:eastAsia="Arial" w:cs="Arial"/>
          <w:color w:val="000000" w:themeColor="text1" w:themeTint="FF" w:themeShade="FF"/>
          <w:sz w:val="22"/>
          <w:szCs w:val="22"/>
        </w:rPr>
        <w:t xml:space="preserve"> </w:t>
      </w:r>
      <w:r w:rsidRPr="334BBF58" w:rsidR="57F5E084">
        <w:rPr>
          <w:rFonts w:eastAsia="Arial" w:cs="Arial"/>
          <w:color w:val="000000" w:themeColor="text1" w:themeTint="FF" w:themeShade="FF"/>
          <w:sz w:val="22"/>
          <w:szCs w:val="22"/>
        </w:rPr>
        <w:t>and prior to the operationali</w:t>
      </w:r>
      <w:r w:rsidRPr="334BBF58" w:rsidR="284977CC">
        <w:rPr>
          <w:rFonts w:eastAsia="Arial" w:cs="Arial"/>
          <w:color w:val="000000" w:themeColor="text1" w:themeTint="FF" w:themeShade="FF"/>
          <w:sz w:val="22"/>
          <w:szCs w:val="22"/>
        </w:rPr>
        <w:t>s</w:t>
      </w:r>
      <w:r w:rsidRPr="334BBF58" w:rsidR="57F5E084">
        <w:rPr>
          <w:rFonts w:eastAsia="Arial" w:cs="Arial"/>
          <w:color w:val="000000" w:themeColor="text1" w:themeTint="FF" w:themeShade="FF"/>
          <w:sz w:val="22"/>
          <w:szCs w:val="22"/>
        </w:rPr>
        <w:t xml:space="preserve">ation of the regional transaction support facility. Another $110,000 is committed to a contract with Climate Focus to support Zambia in a transaction of its ISFL credits, and $90,000 is committed to a contract with Arden Climate for legal services to the World Bank to develop a transaction structure for CORSIA-eligible units and prepare the necessary legal documentation. </w:t>
      </w:r>
    </w:p>
    <w:p w:rsidR="57F5E084" w:rsidP="2EC08B73" w:rsidRDefault="57F5E084" w14:paraId="5A88C2D5" w14:textId="769AE37C">
      <w:pPr>
        <w:pStyle w:val="Normal"/>
        <w:jc w:val="both"/>
      </w:pPr>
      <w:r w:rsidRPr="2EC08B73" w:rsidR="57F5E084">
        <w:rPr>
          <w:rFonts w:eastAsia="Arial" w:cs="Arial"/>
          <w:color w:val="000000" w:themeColor="text1" w:themeTint="FF" w:themeShade="FF"/>
          <w:sz w:val="22"/>
          <w:szCs w:val="22"/>
        </w:rPr>
        <w:t xml:space="preserve"> </w:t>
      </w:r>
    </w:p>
    <w:p w:rsidR="006B0A6C" w:rsidP="38262AA5" w:rsidRDefault="00F258C2" w14:paraId="3017D7C2" w14:textId="6E5CFDB1">
      <w:pPr>
        <w:pStyle w:val="Normal"/>
        <w:suppressLineNumbers w:val="0"/>
        <w:spacing w:before="0" w:beforeAutospacing="off" w:after="0" w:afterAutospacing="off" w:line="240" w:lineRule="auto"/>
        <w:ind w:left="0" w:right="0"/>
        <w:jc w:val="both"/>
        <w:rPr>
          <w:rFonts w:eastAsia="Arial" w:cs="Arial"/>
          <w:color w:val="000000" w:themeColor="text1"/>
          <w:sz w:val="22"/>
          <w:szCs w:val="22"/>
          <w:lang w:val="en-US"/>
        </w:rPr>
      </w:pPr>
      <w:r w:rsidRPr="38262AA5" w:rsidR="00F258C2">
        <w:rPr>
          <w:rFonts w:eastAsia="Arial" w:cs="Arial"/>
          <w:color w:val="000000" w:themeColor="text1" w:themeTint="FF" w:themeShade="FF"/>
          <w:sz w:val="22"/>
          <w:szCs w:val="22"/>
        </w:rPr>
        <w:t xml:space="preserve">A further $150,000 </w:t>
      </w:r>
      <w:r w:rsidRPr="38262AA5" w:rsidR="006E6059">
        <w:rPr>
          <w:rFonts w:eastAsia="Arial" w:cs="Arial"/>
          <w:color w:val="000000" w:themeColor="text1" w:themeTint="FF" w:themeShade="FF"/>
          <w:sz w:val="22"/>
          <w:szCs w:val="22"/>
        </w:rPr>
        <w:t xml:space="preserve">from the SDTF was </w:t>
      </w:r>
      <w:r w:rsidRPr="38262AA5" w:rsidR="006E6059">
        <w:rPr>
          <w:rFonts w:eastAsia="Arial" w:cs="Arial"/>
          <w:color w:val="000000" w:themeColor="text1" w:themeTint="FF" w:themeShade="FF"/>
          <w:sz w:val="22"/>
          <w:szCs w:val="22"/>
        </w:rPr>
        <w:t>allocated</w:t>
      </w:r>
      <w:r w:rsidRPr="38262AA5" w:rsidR="006E6059">
        <w:rPr>
          <w:rFonts w:eastAsia="Arial" w:cs="Arial"/>
          <w:color w:val="000000" w:themeColor="text1" w:themeTint="FF" w:themeShade="FF"/>
          <w:sz w:val="22"/>
          <w:szCs w:val="22"/>
        </w:rPr>
        <w:t xml:space="preserve"> to developing a soil organic carbon methodological approach. </w:t>
      </w:r>
      <w:r w:rsidRPr="38262AA5" w:rsidR="00621B92">
        <w:rPr>
          <w:rFonts w:eastAsia="Arial" w:cs="Arial"/>
          <w:color w:val="000000" w:themeColor="text1" w:themeTint="FF" w:themeShade="FF"/>
          <w:sz w:val="22"/>
          <w:szCs w:val="22"/>
          <w:lang w:val="en-US"/>
        </w:rPr>
        <w:t>The Zambian ISFL progra</w:t>
      </w:r>
      <w:r w:rsidRPr="38262AA5" w:rsidR="008417B0">
        <w:rPr>
          <w:rFonts w:eastAsia="Arial" w:cs="Arial"/>
          <w:color w:val="000000" w:themeColor="text1" w:themeTint="FF" w:themeShade="FF"/>
          <w:sz w:val="22"/>
          <w:szCs w:val="22"/>
          <w:lang w:val="en-US"/>
        </w:rPr>
        <w:t>m</w:t>
      </w:r>
      <w:r w:rsidRPr="38262AA5" w:rsidR="00621B92">
        <w:rPr>
          <w:rFonts w:eastAsia="Arial" w:cs="Arial"/>
          <w:color w:val="000000" w:themeColor="text1" w:themeTint="FF" w:themeShade="FF"/>
          <w:sz w:val="22"/>
          <w:szCs w:val="22"/>
          <w:lang w:val="en-US"/>
        </w:rPr>
        <w:t>m</w:t>
      </w:r>
      <w:r w:rsidRPr="38262AA5" w:rsidR="008417B0">
        <w:rPr>
          <w:rFonts w:eastAsia="Arial" w:cs="Arial"/>
          <w:color w:val="000000" w:themeColor="text1" w:themeTint="FF" w:themeShade="FF"/>
          <w:sz w:val="22"/>
          <w:szCs w:val="22"/>
          <w:lang w:val="en-US"/>
        </w:rPr>
        <w:t>e</w:t>
      </w:r>
      <w:r w:rsidRPr="38262AA5" w:rsidR="00621B92">
        <w:rPr>
          <w:rFonts w:eastAsia="Arial" w:cs="Arial"/>
          <w:color w:val="000000" w:themeColor="text1" w:themeTint="FF" w:themeShade="FF"/>
          <w:sz w:val="22"/>
          <w:szCs w:val="22"/>
          <w:lang w:val="en-US"/>
        </w:rPr>
        <w:t xml:space="preserve"> is the first to </w:t>
      </w:r>
      <w:r w:rsidRPr="38262AA5" w:rsidR="00621B92">
        <w:rPr>
          <w:rFonts w:eastAsia="Arial" w:cs="Arial"/>
          <w:color w:val="000000" w:themeColor="text1" w:themeTint="FF" w:themeShade="FF"/>
          <w:sz w:val="22"/>
          <w:szCs w:val="22"/>
          <w:lang w:val="en-US"/>
        </w:rPr>
        <w:t>utilise</w:t>
      </w:r>
      <w:r w:rsidRPr="38262AA5" w:rsidR="00621B92">
        <w:rPr>
          <w:rFonts w:eastAsia="Arial" w:cs="Arial"/>
          <w:color w:val="000000" w:themeColor="text1" w:themeTint="FF" w:themeShade="FF"/>
          <w:sz w:val="22"/>
          <w:szCs w:val="22"/>
          <w:lang w:val="en-US"/>
        </w:rPr>
        <w:t xml:space="preserve"> soil carbon accounting. This is </w:t>
      </w:r>
      <w:r w:rsidRPr="38262AA5" w:rsidR="001A3BB1">
        <w:rPr>
          <w:rFonts w:eastAsia="Arial" w:cs="Arial"/>
          <w:color w:val="000000" w:themeColor="text1" w:themeTint="FF" w:themeShade="FF"/>
          <w:sz w:val="22"/>
          <w:szCs w:val="22"/>
          <w:lang w:val="en-US"/>
        </w:rPr>
        <w:t>important for</w:t>
      </w:r>
      <w:r w:rsidRPr="38262AA5" w:rsidR="00621B92">
        <w:rPr>
          <w:rFonts w:eastAsia="Arial" w:cs="Arial"/>
          <w:color w:val="000000" w:themeColor="text1" w:themeTint="FF" w:themeShade="FF"/>
          <w:sz w:val="22"/>
          <w:szCs w:val="22"/>
          <w:lang w:val="en-US"/>
        </w:rPr>
        <w:t xml:space="preserve"> supporting smallholder farmers in </w:t>
      </w:r>
      <w:r w:rsidRPr="38262AA5" w:rsidR="00621B92">
        <w:rPr>
          <w:rFonts w:eastAsia="Arial" w:cs="Arial"/>
          <w:color w:val="000000" w:themeColor="text1" w:themeTint="FF" w:themeShade="FF"/>
          <w:sz w:val="22"/>
          <w:szCs w:val="22"/>
          <w:lang w:val="en-US"/>
        </w:rPr>
        <w:t>relatively marginal</w:t>
      </w:r>
      <w:r w:rsidRPr="38262AA5" w:rsidR="00621B92">
        <w:rPr>
          <w:rFonts w:eastAsia="Arial" w:cs="Arial"/>
          <w:color w:val="000000" w:themeColor="text1" w:themeTint="FF" w:themeShade="FF"/>
          <w:sz w:val="22"/>
          <w:szCs w:val="22"/>
          <w:lang w:val="en-US"/>
        </w:rPr>
        <w:t xml:space="preserve"> environments in adopting </w:t>
      </w:r>
      <w:r w:rsidRPr="38262AA5" w:rsidR="00916F69">
        <w:rPr>
          <w:rFonts w:eastAsia="Arial" w:cs="Arial"/>
          <w:color w:val="000000" w:themeColor="text1" w:themeTint="FF" w:themeShade="FF"/>
          <w:sz w:val="22"/>
          <w:szCs w:val="22"/>
          <w:lang w:val="en-US"/>
        </w:rPr>
        <w:t>C</w:t>
      </w:r>
      <w:r w:rsidRPr="38262AA5" w:rsidR="00621B92">
        <w:rPr>
          <w:rFonts w:eastAsia="Arial" w:cs="Arial"/>
          <w:color w:val="000000" w:themeColor="text1" w:themeTint="FF" w:themeShade="FF"/>
          <w:sz w:val="22"/>
          <w:szCs w:val="22"/>
          <w:lang w:val="en-US"/>
        </w:rPr>
        <w:t xml:space="preserve">limate </w:t>
      </w:r>
      <w:r w:rsidRPr="38262AA5" w:rsidR="00916F69">
        <w:rPr>
          <w:rFonts w:eastAsia="Arial" w:cs="Arial"/>
          <w:color w:val="000000" w:themeColor="text1" w:themeTint="FF" w:themeShade="FF"/>
          <w:sz w:val="22"/>
          <w:szCs w:val="22"/>
          <w:lang w:val="en-US"/>
        </w:rPr>
        <w:t>S</w:t>
      </w:r>
      <w:r w:rsidRPr="38262AA5" w:rsidR="00621B92">
        <w:rPr>
          <w:rFonts w:eastAsia="Arial" w:cs="Arial"/>
          <w:color w:val="000000" w:themeColor="text1" w:themeTint="FF" w:themeShade="FF"/>
          <w:sz w:val="22"/>
          <w:szCs w:val="22"/>
          <w:lang w:val="en-US"/>
        </w:rPr>
        <w:t>mart technologies which both result in improved resilience and in mitigation. However, at the current time there is a limited approach to measuring and accounting for soil organic carbon (SOC)</w:t>
      </w:r>
      <w:r w:rsidRPr="38262AA5" w:rsidR="00400D9F">
        <w:rPr>
          <w:rFonts w:eastAsia="Arial" w:cs="Arial"/>
          <w:color w:val="000000" w:themeColor="text1" w:themeTint="FF" w:themeShade="FF"/>
          <w:sz w:val="22"/>
          <w:szCs w:val="22"/>
          <w:lang w:val="en-US"/>
        </w:rPr>
        <w:t>, which means</w:t>
      </w:r>
      <w:r w:rsidRPr="38262AA5" w:rsidR="00621B92">
        <w:rPr>
          <w:rFonts w:eastAsia="Arial" w:cs="Arial"/>
          <w:color w:val="000000" w:themeColor="text1" w:themeTint="FF" w:themeShade="FF"/>
          <w:sz w:val="22"/>
          <w:szCs w:val="22"/>
          <w:lang w:val="en-US"/>
        </w:rPr>
        <w:t xml:space="preserve"> that there is a </w:t>
      </w:r>
      <w:r w:rsidRPr="38262AA5" w:rsidR="00621B92">
        <w:rPr>
          <w:rFonts w:eastAsia="Arial" w:cs="Arial"/>
          <w:color w:val="000000" w:themeColor="text1" w:themeTint="FF" w:themeShade="FF"/>
          <w:sz w:val="22"/>
          <w:szCs w:val="22"/>
          <w:lang w:val="en-US"/>
        </w:rPr>
        <w:t>likely shortfall</w:t>
      </w:r>
      <w:r w:rsidRPr="38262AA5" w:rsidR="00621B92">
        <w:rPr>
          <w:rFonts w:eastAsia="Arial" w:cs="Arial"/>
          <w:color w:val="000000" w:themeColor="text1" w:themeTint="FF" w:themeShade="FF"/>
          <w:sz w:val="22"/>
          <w:szCs w:val="22"/>
          <w:lang w:val="en-US"/>
        </w:rPr>
        <w:t xml:space="preserve"> in carbon accounting, and a limited scope for rolling out SOC outside of more holistic REDD+ (AFOLU) </w:t>
      </w:r>
      <w:r w:rsidRPr="38262AA5" w:rsidR="00621B92">
        <w:rPr>
          <w:rFonts w:eastAsia="Arial" w:cs="Arial"/>
          <w:color w:val="000000" w:themeColor="text1" w:themeTint="FF" w:themeShade="FF"/>
          <w:sz w:val="22"/>
          <w:szCs w:val="22"/>
          <w:lang w:val="en-US"/>
        </w:rPr>
        <w:t>program</w:t>
      </w:r>
      <w:r w:rsidRPr="38262AA5" w:rsidR="00032E0D">
        <w:rPr>
          <w:rFonts w:eastAsia="Arial" w:cs="Arial"/>
          <w:color w:val="000000" w:themeColor="text1" w:themeTint="FF" w:themeShade="FF"/>
          <w:sz w:val="22"/>
          <w:szCs w:val="22"/>
          <w:lang w:val="en-US"/>
        </w:rPr>
        <w:t>me</w:t>
      </w:r>
      <w:r w:rsidRPr="38262AA5" w:rsidR="00621B92">
        <w:rPr>
          <w:rFonts w:eastAsia="Arial" w:cs="Arial"/>
          <w:color w:val="000000" w:themeColor="text1" w:themeTint="FF" w:themeShade="FF"/>
          <w:sz w:val="22"/>
          <w:szCs w:val="22"/>
          <w:lang w:val="en-US"/>
        </w:rPr>
        <w:t>s</w:t>
      </w:r>
      <w:r w:rsidRPr="38262AA5" w:rsidR="00621B92">
        <w:rPr>
          <w:rFonts w:eastAsia="Arial" w:cs="Arial"/>
          <w:color w:val="000000" w:themeColor="text1" w:themeTint="FF" w:themeShade="FF"/>
          <w:sz w:val="22"/>
          <w:szCs w:val="22"/>
          <w:lang w:val="en-US"/>
        </w:rPr>
        <w:t>.</w:t>
      </w:r>
      <w:r w:rsidRPr="38262AA5" w:rsidR="001C3F41">
        <w:rPr>
          <w:rFonts w:eastAsia="Arial" w:cs="Arial"/>
          <w:color w:val="000000" w:themeColor="text1" w:themeTint="FF" w:themeShade="FF"/>
          <w:sz w:val="22"/>
          <w:szCs w:val="22"/>
          <w:lang w:val="en-US"/>
        </w:rPr>
        <w:t xml:space="preserve"> T</w:t>
      </w:r>
      <w:r w:rsidRPr="38262AA5" w:rsidR="00621B92">
        <w:rPr>
          <w:rFonts w:eastAsia="Arial" w:cs="Arial"/>
          <w:color w:val="000000" w:themeColor="text1" w:themeTint="FF" w:themeShade="FF"/>
          <w:sz w:val="22"/>
          <w:szCs w:val="22"/>
          <w:lang w:val="en-US"/>
        </w:rPr>
        <w:t>his</w:t>
      </w:r>
      <w:r w:rsidRPr="38262AA5" w:rsidR="00032E0D">
        <w:rPr>
          <w:rFonts w:eastAsia="Arial" w:cs="Arial"/>
          <w:color w:val="000000" w:themeColor="text1" w:themeTint="FF" w:themeShade="FF"/>
          <w:sz w:val="22"/>
          <w:szCs w:val="22"/>
          <w:lang w:val="en-US"/>
        </w:rPr>
        <w:t xml:space="preserve"> </w:t>
      </w:r>
      <w:r w:rsidRPr="38262AA5" w:rsidR="0067284B">
        <w:rPr>
          <w:rFonts w:eastAsia="Arial" w:cs="Arial"/>
          <w:color w:val="000000" w:themeColor="text1" w:themeTint="FF" w:themeShade="FF"/>
          <w:sz w:val="22"/>
          <w:szCs w:val="22"/>
          <w:lang w:val="en-US"/>
        </w:rPr>
        <w:t>activity will</w:t>
      </w:r>
      <w:r w:rsidRPr="38262AA5" w:rsidR="00032E0D">
        <w:rPr>
          <w:rFonts w:eastAsia="Arial" w:cs="Arial"/>
          <w:color w:val="000000" w:themeColor="text1" w:themeTint="FF" w:themeShade="FF"/>
          <w:sz w:val="22"/>
          <w:szCs w:val="22"/>
          <w:lang w:val="en-US"/>
        </w:rPr>
        <w:t xml:space="preserve"> </w:t>
      </w:r>
      <w:r w:rsidRPr="38262AA5" w:rsidR="0067284B">
        <w:rPr>
          <w:rFonts w:eastAsia="Arial" w:cs="Arial"/>
          <w:color w:val="000000" w:themeColor="text1" w:themeTint="FF" w:themeShade="FF"/>
          <w:sz w:val="22"/>
          <w:szCs w:val="22"/>
          <w:lang w:val="en-US"/>
        </w:rPr>
        <w:t xml:space="preserve">use </w:t>
      </w:r>
      <w:r w:rsidRPr="38262AA5" w:rsidR="00621B92">
        <w:rPr>
          <w:rFonts w:eastAsia="Arial" w:cs="Arial"/>
          <w:color w:val="000000" w:themeColor="text1" w:themeTint="FF" w:themeShade="FF"/>
          <w:sz w:val="22"/>
          <w:szCs w:val="22"/>
          <w:lang w:val="en-US"/>
        </w:rPr>
        <w:t xml:space="preserve">the soil carbon accounting </w:t>
      </w:r>
      <w:r w:rsidRPr="38262AA5" w:rsidR="00621B92">
        <w:rPr>
          <w:rFonts w:eastAsia="Arial" w:cs="Arial"/>
          <w:color w:val="000000" w:themeColor="text1" w:themeTint="FF" w:themeShade="FF"/>
          <w:sz w:val="22"/>
          <w:szCs w:val="22"/>
          <w:lang w:val="en-US"/>
        </w:rPr>
        <w:t>methodology</w:t>
      </w:r>
      <w:r w:rsidRPr="38262AA5" w:rsidR="00621B92">
        <w:rPr>
          <w:rFonts w:eastAsia="Arial" w:cs="Arial"/>
          <w:color w:val="000000" w:themeColor="text1" w:themeTint="FF" w:themeShade="FF"/>
          <w:sz w:val="22"/>
          <w:szCs w:val="22"/>
          <w:lang w:val="en-US"/>
        </w:rPr>
        <w:t xml:space="preserve"> used in Zambia for the ISFL program</w:t>
      </w:r>
      <w:r w:rsidRPr="38262AA5" w:rsidR="0067284B">
        <w:rPr>
          <w:rFonts w:eastAsia="Arial" w:cs="Arial"/>
          <w:color w:val="000000" w:themeColor="text1" w:themeTint="FF" w:themeShade="FF"/>
          <w:sz w:val="22"/>
          <w:szCs w:val="22"/>
          <w:lang w:val="en-US"/>
        </w:rPr>
        <w:t>me to propose areas o</w:t>
      </w:r>
      <w:r w:rsidRPr="38262AA5" w:rsidR="006F57B8">
        <w:rPr>
          <w:rFonts w:eastAsia="Arial" w:cs="Arial"/>
          <w:color w:val="000000" w:themeColor="text1" w:themeTint="FF" w:themeShade="FF"/>
          <w:sz w:val="22"/>
          <w:szCs w:val="22"/>
          <w:lang w:val="en-US"/>
        </w:rPr>
        <w:t xml:space="preserve">f improvement </w:t>
      </w:r>
      <w:r w:rsidRPr="38262AA5" w:rsidR="00755C9B">
        <w:rPr>
          <w:rFonts w:eastAsia="Arial" w:cs="Arial"/>
          <w:color w:val="000000" w:themeColor="text1" w:themeTint="FF" w:themeShade="FF"/>
          <w:sz w:val="22"/>
          <w:szCs w:val="22"/>
          <w:lang w:val="en-US"/>
        </w:rPr>
        <w:t xml:space="preserve">as well as areas </w:t>
      </w:r>
      <w:r w:rsidRPr="38262AA5" w:rsidR="00517F91">
        <w:rPr>
          <w:rFonts w:eastAsia="Arial" w:cs="Arial"/>
          <w:color w:val="000000" w:themeColor="text1" w:themeTint="FF" w:themeShade="FF"/>
          <w:sz w:val="22"/>
          <w:szCs w:val="22"/>
          <w:lang w:val="en-US"/>
        </w:rPr>
        <w:t xml:space="preserve">that should be adopted more broadly. This </w:t>
      </w:r>
      <w:r w:rsidRPr="38262AA5" w:rsidR="00371B03">
        <w:rPr>
          <w:rFonts w:eastAsia="Arial" w:cs="Arial"/>
          <w:color w:val="000000" w:themeColor="text1" w:themeTint="FF" w:themeShade="FF"/>
          <w:sz w:val="22"/>
          <w:szCs w:val="22"/>
          <w:lang w:val="en-US"/>
        </w:rPr>
        <w:t xml:space="preserve">will then be </w:t>
      </w:r>
      <w:r w:rsidRPr="38262AA5" w:rsidR="00371B03">
        <w:rPr>
          <w:rFonts w:eastAsia="Arial" w:cs="Arial"/>
          <w:color w:val="000000" w:themeColor="text1" w:themeTint="FF" w:themeShade="FF"/>
          <w:sz w:val="22"/>
          <w:szCs w:val="22"/>
          <w:lang w:val="en-US"/>
        </w:rPr>
        <w:t>disseminated</w:t>
      </w:r>
      <w:r w:rsidRPr="38262AA5" w:rsidR="00371B03">
        <w:rPr>
          <w:rFonts w:eastAsia="Arial" w:cs="Arial"/>
          <w:color w:val="000000" w:themeColor="text1" w:themeTint="FF" w:themeShade="FF"/>
          <w:sz w:val="22"/>
          <w:szCs w:val="22"/>
          <w:lang w:val="en-US"/>
        </w:rPr>
        <w:t xml:space="preserve"> and discussed with leading global experts.</w:t>
      </w:r>
      <w:r w:rsidRPr="38262AA5" w:rsidR="00621B92">
        <w:rPr>
          <w:rFonts w:eastAsia="Arial" w:cs="Arial"/>
          <w:color w:val="000000" w:themeColor="text1" w:themeTint="FF" w:themeShade="FF"/>
          <w:sz w:val="22"/>
          <w:szCs w:val="22"/>
          <w:lang w:val="en-US"/>
        </w:rPr>
        <w:t xml:space="preserve"> </w:t>
      </w:r>
      <w:r w:rsidRPr="38262AA5" w:rsidR="0C5F39DF">
        <w:rPr>
          <w:rFonts w:eastAsia="Arial" w:cs="Arial"/>
          <w:color w:val="000000" w:themeColor="text1" w:themeTint="FF" w:themeShade="FF"/>
          <w:sz w:val="22"/>
          <w:szCs w:val="22"/>
          <w:lang w:val="en-US"/>
        </w:rPr>
        <w:t>Of the $150,000 committed, at the time of w</w:t>
      </w:r>
      <w:r w:rsidRPr="38262AA5" w:rsidR="0C5F39DF">
        <w:rPr>
          <w:rFonts w:eastAsia="Arial" w:cs="Arial"/>
          <w:color w:val="000000" w:themeColor="text1" w:themeTint="FF" w:themeShade="FF"/>
          <w:sz w:val="22"/>
          <w:szCs w:val="22"/>
          <w:lang w:val="en-US"/>
        </w:rPr>
        <w:t>riting, the World Bank</w:t>
      </w:r>
      <w:r w:rsidRPr="38262AA5" w:rsidR="0C5F39DF">
        <w:rPr>
          <w:rFonts w:eastAsia="Arial" w:cs="Arial"/>
          <w:color w:val="000000" w:themeColor="text1" w:themeTint="FF" w:themeShade="FF"/>
          <w:sz w:val="22"/>
          <w:szCs w:val="22"/>
        </w:rPr>
        <w:t xml:space="preserve"> team has developed a set of Terms of Reference (TORs) to hire the consultant(s) that will develop the </w:t>
      </w:r>
      <w:r w:rsidRPr="38262AA5" w:rsidR="0C5F39DF">
        <w:rPr>
          <w:rFonts w:eastAsia="Arial" w:cs="Arial"/>
          <w:color w:val="000000" w:themeColor="text1" w:themeTint="FF" w:themeShade="FF"/>
          <w:sz w:val="22"/>
          <w:szCs w:val="22"/>
        </w:rPr>
        <w:t>methodology</w:t>
      </w:r>
      <w:r w:rsidRPr="38262AA5" w:rsidR="0C5F39DF">
        <w:rPr>
          <w:rFonts w:eastAsia="Arial" w:cs="Arial"/>
          <w:color w:val="000000" w:themeColor="text1" w:themeTint="FF" w:themeShade="FF"/>
          <w:sz w:val="22"/>
          <w:szCs w:val="22"/>
        </w:rPr>
        <w:t>. The activity is expected to start before the end of calendar year 2025 and to be concluded during 2026.</w:t>
      </w:r>
    </w:p>
    <w:p w:rsidR="006B0A6C" w:rsidP="001C3F41" w:rsidRDefault="006B0A6C" w14:paraId="73A41E76" w14:textId="77777777">
      <w:pPr>
        <w:jc w:val="both"/>
        <w:rPr>
          <w:rFonts w:eastAsia="Arial" w:cs="Arial"/>
          <w:color w:val="000000" w:themeColor="text1"/>
          <w:sz w:val="22"/>
          <w:szCs w:val="22"/>
        </w:rPr>
      </w:pPr>
    </w:p>
    <w:p w:rsidRPr="00621B92" w:rsidR="00621B92" w:rsidP="001C3F41" w:rsidRDefault="00A14AC2" w14:paraId="4943D357" w14:textId="1DBCEB85">
      <w:pPr>
        <w:jc w:val="both"/>
        <w:rPr>
          <w:rFonts w:eastAsia="Arial" w:cs="Arial"/>
          <w:color w:val="000000" w:themeColor="text1"/>
          <w:sz w:val="22"/>
          <w:szCs w:val="22"/>
        </w:rPr>
      </w:pPr>
      <w:r w:rsidRPr="334BBF58" w:rsidR="00A14AC2">
        <w:rPr>
          <w:rFonts w:eastAsia="Arial" w:cs="Arial"/>
          <w:color w:val="000000" w:themeColor="text1" w:themeTint="FF" w:themeShade="FF"/>
          <w:sz w:val="22"/>
          <w:szCs w:val="22"/>
        </w:rPr>
        <w:t xml:space="preserve">Since the end of the reporting period, the UK has allocated a further </w:t>
      </w:r>
      <w:r w:rsidRPr="334BBF58" w:rsidR="00F90C0C">
        <w:rPr>
          <w:rFonts w:eastAsia="Arial" w:cs="Arial"/>
          <w:color w:val="000000" w:themeColor="text1" w:themeTint="FF" w:themeShade="FF"/>
          <w:sz w:val="22"/>
          <w:szCs w:val="22"/>
        </w:rPr>
        <w:t xml:space="preserve">$4 million to the new Mexico private sector strategy, which aims to engage </w:t>
      </w:r>
      <w:r w:rsidRPr="334BBF58" w:rsidR="00A718E8">
        <w:rPr>
          <w:rFonts w:eastAsia="Arial" w:cs="Arial"/>
          <w:color w:val="000000" w:themeColor="text1" w:themeTint="FF" w:themeShade="FF"/>
          <w:sz w:val="22"/>
          <w:szCs w:val="22"/>
        </w:rPr>
        <w:t xml:space="preserve">the private sector </w:t>
      </w:r>
      <w:r w:rsidRPr="334BBF58" w:rsidR="00F90C0C">
        <w:rPr>
          <w:rFonts w:eastAsia="Arial" w:cs="Arial"/>
          <w:color w:val="000000" w:themeColor="text1" w:themeTint="FF" w:themeShade="FF"/>
          <w:sz w:val="22"/>
          <w:szCs w:val="22"/>
        </w:rPr>
        <w:t>in sustainable practical value chain-related development to facilitate the transition towards low-carbon and economically viable production systems on the ground while the government creates the policy environment for sustainable landscape management. </w:t>
      </w:r>
      <w:r w:rsidRPr="334BBF58" w:rsidR="00DC67C5">
        <w:rPr>
          <w:rFonts w:eastAsia="Arial" w:cs="Arial"/>
          <w:color w:val="000000" w:themeColor="text1" w:themeTint="FF" w:themeShade="FF"/>
          <w:sz w:val="22"/>
          <w:szCs w:val="22"/>
        </w:rPr>
        <w:t xml:space="preserve">At the time of writing, there </w:t>
      </w:r>
      <w:r w:rsidRPr="334BBF58" w:rsidR="00DC67C5">
        <w:rPr>
          <w:rFonts w:eastAsia="Arial" w:cs="Arial"/>
          <w:color w:val="000000" w:themeColor="text1" w:themeTint="FF" w:themeShade="FF"/>
          <w:sz w:val="22"/>
          <w:szCs w:val="22"/>
        </w:rPr>
        <w:t>remains</w:t>
      </w:r>
      <w:r w:rsidRPr="334BBF58" w:rsidR="00DC67C5">
        <w:rPr>
          <w:rFonts w:eastAsia="Arial" w:cs="Arial"/>
          <w:color w:val="000000" w:themeColor="text1" w:themeTint="FF" w:themeShade="FF"/>
          <w:sz w:val="22"/>
          <w:szCs w:val="22"/>
        </w:rPr>
        <w:t xml:space="preserve"> £2.5 million in the UK SDTF, so it has been taken forward in </w:t>
      </w:r>
      <w:r w:rsidRPr="334BBF58" w:rsidR="00DC67C5">
        <w:rPr>
          <w:rFonts w:eastAsia="Arial" w:cs="Arial"/>
          <w:b w:val="1"/>
          <w:bCs w:val="1"/>
          <w:color w:val="000000" w:themeColor="text1" w:themeTint="FF" w:themeShade="FF"/>
          <w:sz w:val="22"/>
          <w:szCs w:val="22"/>
        </w:rPr>
        <w:t xml:space="preserve">Recommendation </w:t>
      </w:r>
      <w:r w:rsidRPr="334BBF58" w:rsidR="001E2374">
        <w:rPr>
          <w:rFonts w:eastAsia="Arial" w:cs="Arial"/>
          <w:b w:val="1"/>
          <w:bCs w:val="1"/>
          <w:color w:val="000000" w:themeColor="text1" w:themeTint="FF" w:themeShade="FF"/>
          <w:sz w:val="22"/>
          <w:szCs w:val="22"/>
        </w:rPr>
        <w:t>[</w:t>
      </w:r>
      <w:r w:rsidRPr="334BBF58" w:rsidR="000F6D6E">
        <w:rPr>
          <w:rFonts w:eastAsia="Arial" w:cs="Arial"/>
          <w:b w:val="1"/>
          <w:bCs w:val="1"/>
          <w:color w:val="000000" w:themeColor="text1" w:themeTint="FF" w:themeShade="FF"/>
          <w:sz w:val="22"/>
          <w:szCs w:val="22"/>
        </w:rPr>
        <w:t>2</w:t>
      </w:r>
      <w:r w:rsidRPr="334BBF58" w:rsidR="001E2374">
        <w:rPr>
          <w:rFonts w:eastAsia="Arial" w:cs="Arial"/>
          <w:b w:val="1"/>
          <w:bCs w:val="1"/>
          <w:color w:val="000000" w:themeColor="text1" w:themeTint="FF" w:themeShade="FF"/>
          <w:sz w:val="22"/>
          <w:szCs w:val="22"/>
        </w:rPr>
        <w:t>]</w:t>
      </w:r>
      <w:r w:rsidRPr="334BBF58" w:rsidR="001E2374">
        <w:rPr>
          <w:rFonts w:eastAsia="Arial" w:cs="Arial"/>
          <w:color w:val="000000" w:themeColor="text1" w:themeTint="FF" w:themeShade="FF"/>
          <w:sz w:val="22"/>
          <w:szCs w:val="22"/>
        </w:rPr>
        <w:t xml:space="preserve"> for this funding to be </w:t>
      </w:r>
      <w:r w:rsidRPr="334BBF58" w:rsidR="00A4050A">
        <w:rPr>
          <w:rFonts w:eastAsia="Arial" w:cs="Arial"/>
          <w:color w:val="000000" w:themeColor="text1" w:themeTint="FF" w:themeShade="FF"/>
          <w:sz w:val="22"/>
          <w:szCs w:val="22"/>
        </w:rPr>
        <w:t>reprogrammed in FY26.</w:t>
      </w:r>
    </w:p>
    <w:p w:rsidR="00C5639A" w:rsidP="63100E7E" w:rsidRDefault="00C5639A" w14:paraId="0967C7B0" w14:textId="4A0F7E75">
      <w:pPr>
        <w:jc w:val="both"/>
        <w:rPr>
          <w:rFonts w:eastAsia="Arial" w:cs="Arial"/>
          <w:color w:val="000000" w:themeColor="text1"/>
          <w:sz w:val="22"/>
          <w:szCs w:val="22"/>
        </w:rPr>
      </w:pPr>
    </w:p>
    <w:p w:rsidR="000C4D31" w:rsidP="63100E7E" w:rsidRDefault="00262A27" w14:paraId="7BB1994A" w14:textId="10BA0FD5">
      <w:pPr>
        <w:jc w:val="both"/>
        <w:rPr>
          <w:rFonts w:eastAsia="Arial" w:cs="Arial"/>
          <w:color w:val="000000" w:themeColor="text1"/>
          <w:sz w:val="22"/>
          <w:szCs w:val="22"/>
        </w:rPr>
      </w:pPr>
      <w:r>
        <w:rPr>
          <w:rFonts w:eastAsia="Arial" w:cs="Arial"/>
          <w:color w:val="000000" w:themeColor="text1"/>
          <w:sz w:val="22"/>
          <w:szCs w:val="22"/>
        </w:rPr>
        <w:t xml:space="preserve">Regarding </w:t>
      </w:r>
      <w:r w:rsidRPr="00CD1447">
        <w:rPr>
          <w:rFonts w:eastAsia="Arial" w:cs="Arial"/>
          <w:b/>
          <w:bCs/>
          <w:color w:val="000000" w:themeColor="text1"/>
          <w:sz w:val="22"/>
          <w:szCs w:val="22"/>
        </w:rPr>
        <w:t xml:space="preserve">Recommendations </w:t>
      </w:r>
      <w:r>
        <w:rPr>
          <w:rFonts w:eastAsia="Arial" w:cs="Arial"/>
          <w:b/>
          <w:bCs/>
          <w:color w:val="000000" w:themeColor="text1"/>
          <w:sz w:val="22"/>
          <w:szCs w:val="22"/>
        </w:rPr>
        <w:t>[</w:t>
      </w:r>
      <w:r w:rsidRPr="00CD1447">
        <w:rPr>
          <w:rFonts w:eastAsia="Arial" w:cs="Arial"/>
          <w:b/>
          <w:bCs/>
          <w:color w:val="000000" w:themeColor="text1"/>
          <w:sz w:val="22"/>
          <w:szCs w:val="22"/>
        </w:rPr>
        <w:t>4</w:t>
      </w:r>
      <w:r>
        <w:rPr>
          <w:rFonts w:eastAsia="Arial" w:cs="Arial"/>
          <w:b/>
          <w:bCs/>
          <w:color w:val="000000" w:themeColor="text1"/>
          <w:sz w:val="22"/>
          <w:szCs w:val="22"/>
        </w:rPr>
        <w:t>]</w:t>
      </w:r>
      <w:r w:rsidRPr="00CD1447">
        <w:rPr>
          <w:rFonts w:eastAsia="Arial" w:cs="Arial"/>
          <w:b/>
          <w:bCs/>
          <w:color w:val="000000" w:themeColor="text1"/>
          <w:sz w:val="22"/>
          <w:szCs w:val="22"/>
        </w:rPr>
        <w:t xml:space="preserve"> and </w:t>
      </w:r>
      <w:r>
        <w:rPr>
          <w:rFonts w:eastAsia="Arial" w:cs="Arial"/>
          <w:b/>
          <w:bCs/>
          <w:color w:val="000000" w:themeColor="text1"/>
          <w:sz w:val="22"/>
          <w:szCs w:val="22"/>
        </w:rPr>
        <w:t>[</w:t>
      </w:r>
      <w:r w:rsidRPr="00CD1447">
        <w:rPr>
          <w:rFonts w:eastAsia="Arial" w:cs="Arial"/>
          <w:b/>
          <w:bCs/>
          <w:color w:val="000000" w:themeColor="text1"/>
          <w:sz w:val="22"/>
          <w:szCs w:val="22"/>
        </w:rPr>
        <w:t>5</w:t>
      </w:r>
      <w:r>
        <w:rPr>
          <w:rFonts w:eastAsia="Arial" w:cs="Arial"/>
          <w:b/>
          <w:bCs/>
          <w:color w:val="000000" w:themeColor="text1"/>
          <w:sz w:val="22"/>
          <w:szCs w:val="22"/>
        </w:rPr>
        <w:t xml:space="preserve">] </w:t>
      </w:r>
      <w:r w:rsidRPr="002139F7">
        <w:rPr>
          <w:rFonts w:eastAsia="Arial" w:cs="Arial"/>
          <w:color w:val="000000" w:themeColor="text1"/>
          <w:sz w:val="22"/>
          <w:szCs w:val="22"/>
        </w:rPr>
        <w:t>from the FY24 Review</w:t>
      </w:r>
      <w:r>
        <w:rPr>
          <w:rFonts w:eastAsia="Arial" w:cs="Arial"/>
          <w:b/>
          <w:bCs/>
          <w:color w:val="000000" w:themeColor="text1"/>
          <w:sz w:val="22"/>
          <w:szCs w:val="22"/>
        </w:rPr>
        <w:t xml:space="preserve">, </w:t>
      </w:r>
      <w:r w:rsidR="002139F7">
        <w:rPr>
          <w:rFonts w:eastAsia="Arial" w:cs="Arial"/>
          <w:color w:val="000000" w:themeColor="text1"/>
          <w:sz w:val="22"/>
          <w:szCs w:val="22"/>
        </w:rPr>
        <w:t>k</w:t>
      </w:r>
      <w:r w:rsidRPr="00CD1447" w:rsidR="002139F7">
        <w:rPr>
          <w:rFonts w:eastAsia="Arial" w:cs="Arial"/>
          <w:color w:val="000000" w:themeColor="text1"/>
          <w:sz w:val="22"/>
          <w:szCs w:val="22"/>
        </w:rPr>
        <w:t>ey lessons from the ISFL Mid-Term Evaluation and related strategic reviews have been actively integrated into both ISFL and the emerging SCALE programm</w:t>
      </w:r>
      <w:r>
        <w:rPr>
          <w:rFonts w:eastAsia="Arial" w:cs="Arial"/>
          <w:color w:val="000000" w:themeColor="text1"/>
          <w:sz w:val="22"/>
          <w:szCs w:val="22"/>
        </w:rPr>
        <w:t>e</w:t>
      </w:r>
      <w:r w:rsidRPr="00CD1447" w:rsidR="002139F7">
        <w:rPr>
          <w:rFonts w:eastAsia="Arial" w:cs="Arial"/>
          <w:color w:val="000000" w:themeColor="text1"/>
          <w:sz w:val="22"/>
          <w:szCs w:val="22"/>
        </w:rPr>
        <w:t xml:space="preserve">. Within ISFL, these lessons have informed improvements such as enhanced environmental and social safeguards, the piloting of automated MRV systems, and targeted support for transitioning grant activities to the ERPA stage, particularly in Colombia and Mexico. </w:t>
      </w:r>
      <w:r w:rsidR="000C4D31">
        <w:rPr>
          <w:rFonts w:eastAsia="Arial" w:cs="Arial"/>
          <w:color w:val="000000" w:themeColor="text1"/>
          <w:sz w:val="22"/>
          <w:szCs w:val="22"/>
        </w:rPr>
        <w:t xml:space="preserve">As such, </w:t>
      </w:r>
      <w:r w:rsidR="000C4D31">
        <w:rPr>
          <w:rFonts w:eastAsia="Arial" w:cs="Arial"/>
          <w:b/>
          <w:bCs/>
          <w:color w:val="000000" w:themeColor="text1"/>
          <w:sz w:val="22"/>
          <w:szCs w:val="22"/>
        </w:rPr>
        <w:t xml:space="preserve">Recommendation [4] </w:t>
      </w:r>
      <w:r w:rsidR="000C4D31">
        <w:rPr>
          <w:rFonts w:eastAsia="Arial" w:cs="Arial"/>
          <w:color w:val="000000" w:themeColor="text1"/>
          <w:sz w:val="22"/>
          <w:szCs w:val="22"/>
        </w:rPr>
        <w:t xml:space="preserve">has </w:t>
      </w:r>
      <w:r w:rsidR="007E7B96">
        <w:rPr>
          <w:rFonts w:eastAsia="Arial" w:cs="Arial"/>
          <w:color w:val="000000" w:themeColor="text1"/>
          <w:sz w:val="22"/>
          <w:szCs w:val="22"/>
        </w:rPr>
        <w:t xml:space="preserve">now been achieved and </w:t>
      </w:r>
      <w:r w:rsidR="000C4D31">
        <w:rPr>
          <w:rFonts w:eastAsia="Arial" w:cs="Arial"/>
          <w:color w:val="000000" w:themeColor="text1"/>
          <w:sz w:val="22"/>
          <w:szCs w:val="22"/>
        </w:rPr>
        <w:t>closed</w:t>
      </w:r>
      <w:r w:rsidR="007E7B96">
        <w:rPr>
          <w:rFonts w:eastAsia="Arial" w:cs="Arial"/>
          <w:color w:val="000000" w:themeColor="text1"/>
          <w:sz w:val="22"/>
          <w:szCs w:val="22"/>
        </w:rPr>
        <w:t>,</w:t>
      </w:r>
      <w:r w:rsidR="000C4D31">
        <w:rPr>
          <w:rFonts w:eastAsia="Arial" w:cs="Arial"/>
          <w:color w:val="000000" w:themeColor="text1"/>
          <w:sz w:val="22"/>
          <w:szCs w:val="22"/>
        </w:rPr>
        <w:t xml:space="preserve"> and </w:t>
      </w:r>
      <w:r w:rsidR="000C4D31">
        <w:rPr>
          <w:rFonts w:eastAsia="Arial" w:cs="Arial"/>
          <w:b/>
          <w:bCs/>
          <w:color w:val="000000" w:themeColor="text1"/>
          <w:sz w:val="22"/>
          <w:szCs w:val="22"/>
        </w:rPr>
        <w:t>Recommendation [5]</w:t>
      </w:r>
      <w:r w:rsidRPr="00CD1447" w:rsidR="002139F7">
        <w:rPr>
          <w:rFonts w:eastAsia="Arial" w:cs="Arial"/>
          <w:color w:val="000000" w:themeColor="text1"/>
          <w:sz w:val="22"/>
          <w:szCs w:val="22"/>
        </w:rPr>
        <w:t xml:space="preserve"> </w:t>
      </w:r>
      <w:r w:rsidR="000C4D31">
        <w:rPr>
          <w:rFonts w:eastAsia="Arial" w:cs="Arial"/>
          <w:color w:val="000000" w:themeColor="text1"/>
          <w:sz w:val="22"/>
          <w:szCs w:val="22"/>
        </w:rPr>
        <w:t>has</w:t>
      </w:r>
      <w:r w:rsidRPr="00CD1447" w:rsidR="002139F7">
        <w:rPr>
          <w:rFonts w:eastAsia="Arial" w:cs="Arial"/>
          <w:color w:val="000000" w:themeColor="text1"/>
          <w:sz w:val="22"/>
          <w:szCs w:val="22"/>
        </w:rPr>
        <w:t xml:space="preserve"> been rolled over from FY24 to ensure actions demonstrate a clear commitment to adaptive learning across both ISFL and SCALE.</w:t>
      </w:r>
      <w:r w:rsidR="002139F7">
        <w:rPr>
          <w:rFonts w:eastAsia="Arial" w:cs="Arial"/>
          <w:color w:val="000000" w:themeColor="text1"/>
          <w:sz w:val="22"/>
          <w:szCs w:val="22"/>
        </w:rPr>
        <w:t xml:space="preserve"> </w:t>
      </w:r>
    </w:p>
    <w:p w:rsidR="007E7B96" w:rsidP="63100E7E" w:rsidRDefault="007E7B96" w14:paraId="4D35EB3E" w14:textId="77777777">
      <w:pPr>
        <w:jc w:val="both"/>
        <w:rPr>
          <w:rFonts w:eastAsia="Arial" w:cs="Arial"/>
          <w:color w:val="000000" w:themeColor="text1"/>
          <w:sz w:val="22"/>
          <w:szCs w:val="22"/>
        </w:rPr>
      </w:pPr>
    </w:p>
    <w:p w:rsidRPr="00A0652C" w:rsidR="00CA4A33" w:rsidP="009A3A4B" w:rsidRDefault="00D74BBB" w14:paraId="1D407A0A" w14:textId="44DD9B37">
      <w:pPr>
        <w:jc w:val="both"/>
        <w:rPr>
          <w:sz w:val="22"/>
          <w:szCs w:val="22"/>
        </w:rPr>
      </w:pPr>
      <w:r w:rsidRPr="334BBF58" w:rsidR="00D74BBB">
        <w:rPr>
          <w:sz w:val="22"/>
          <w:szCs w:val="22"/>
        </w:rPr>
        <w:t xml:space="preserve">Finally, </w:t>
      </w:r>
      <w:r w:rsidRPr="334BBF58" w:rsidR="00D74BBB">
        <w:rPr>
          <w:b w:val="1"/>
          <w:bCs w:val="1"/>
          <w:sz w:val="22"/>
          <w:szCs w:val="22"/>
        </w:rPr>
        <w:t xml:space="preserve">Recommendation [7] </w:t>
      </w:r>
      <w:r w:rsidRPr="334BBF58" w:rsidR="00D74BBB">
        <w:rPr>
          <w:sz w:val="22"/>
          <w:szCs w:val="22"/>
        </w:rPr>
        <w:t>in the FY24 Review recommended the WB and contributors discuss and plan for the future of ISFL beyond the programme. This was not achieved in FY25. The ISFL FMT has held discussions with standards managers ART and VERRA to discuss their potential interest in managing the ISFL standard. These discussions are ongoing. As such, this recommendation has been rolled forward to FY26, with ISFL to create a pathway for the future of the ISFL standard beyond the ISFL programme.</w:t>
      </w:r>
      <w:r w:rsidRPr="334BBF58" w:rsidR="00F142BD">
        <w:rPr>
          <w:sz w:val="22"/>
          <w:szCs w:val="22"/>
        </w:rPr>
        <w:t xml:space="preserve"> This recommendation is </w:t>
      </w:r>
      <w:r w:rsidRPr="334BBF58" w:rsidR="00CA4A33">
        <w:rPr>
          <w:sz w:val="22"/>
          <w:szCs w:val="22"/>
        </w:rPr>
        <w:t>critical to</w:t>
      </w:r>
      <w:r w:rsidRPr="334BBF58" w:rsidR="009F7EEF">
        <w:rPr>
          <w:sz w:val="22"/>
          <w:szCs w:val="22"/>
        </w:rPr>
        <w:t xml:space="preserve"> ensur</w:t>
      </w:r>
      <w:r w:rsidRPr="334BBF58" w:rsidR="00CA4A33">
        <w:rPr>
          <w:sz w:val="22"/>
          <w:szCs w:val="22"/>
        </w:rPr>
        <w:t>ing</w:t>
      </w:r>
      <w:r w:rsidRPr="334BBF58" w:rsidR="009F7EEF">
        <w:rPr>
          <w:sz w:val="22"/>
          <w:szCs w:val="22"/>
        </w:rPr>
        <w:t xml:space="preserve"> </w:t>
      </w:r>
      <w:r w:rsidRPr="334BBF58" w:rsidR="00A0652C">
        <w:rPr>
          <w:sz w:val="22"/>
          <w:szCs w:val="22"/>
        </w:rPr>
        <w:t xml:space="preserve">that </w:t>
      </w:r>
      <w:r w:rsidRPr="334BBF58" w:rsidR="009F7EEF">
        <w:rPr>
          <w:sz w:val="22"/>
          <w:szCs w:val="22"/>
        </w:rPr>
        <w:t>there is an independent ISFL standard after the programme’s closure in 2031</w:t>
      </w:r>
      <w:r w:rsidRPr="334BBF58" w:rsidR="00A0652C">
        <w:rPr>
          <w:sz w:val="22"/>
          <w:szCs w:val="22"/>
        </w:rPr>
        <w:t xml:space="preserve">, </w:t>
      </w:r>
      <w:r w:rsidRPr="334BBF58" w:rsidR="009F7EEF">
        <w:rPr>
          <w:sz w:val="22"/>
          <w:szCs w:val="22"/>
        </w:rPr>
        <w:t xml:space="preserve">so that countries </w:t>
      </w:r>
      <w:r w:rsidRPr="334BBF58" w:rsidR="009F7EEF">
        <w:rPr>
          <w:sz w:val="22"/>
          <w:szCs w:val="22"/>
        </w:rPr>
        <w:t>are able to</w:t>
      </w:r>
      <w:r w:rsidRPr="334BBF58" w:rsidR="009F7EEF">
        <w:rPr>
          <w:sz w:val="22"/>
          <w:szCs w:val="22"/>
        </w:rPr>
        <w:t xml:space="preserve"> use this high-integrity integrated land use standard in the future (for example, under the SCALE programme). </w:t>
      </w:r>
    </w:p>
    <w:p w:rsidR="0B2845DF" w:rsidP="7D35D69B" w:rsidRDefault="0B2845DF" w14:paraId="35713349" w14:textId="1D66F901">
      <w:pPr>
        <w:jc w:val="both"/>
        <w:rPr>
          <w:rFonts w:eastAsia="Arial" w:cs="Arial"/>
          <w:color w:val="000000" w:themeColor="text1"/>
          <w:sz w:val="22"/>
          <w:szCs w:val="22"/>
        </w:rPr>
      </w:pPr>
    </w:p>
    <w:p w:rsidR="00D077AB" w:rsidP="0B9C48D2" w:rsidRDefault="00C17545" w14:paraId="369C3F72" w14:textId="0D7A715E">
      <w:pPr>
        <w:jc w:val="both"/>
        <w:rPr>
          <w:sz w:val="22"/>
          <w:szCs w:val="22"/>
        </w:rPr>
      </w:pPr>
      <w:r w:rsidRPr="334BBF58" w:rsidR="00C17545">
        <w:rPr>
          <w:sz w:val="22"/>
          <w:szCs w:val="22"/>
        </w:rPr>
        <w:t xml:space="preserve">Outside of </w:t>
      </w:r>
      <w:r w:rsidRPr="334BBF58" w:rsidR="0017695C">
        <w:rPr>
          <w:sz w:val="22"/>
          <w:szCs w:val="22"/>
        </w:rPr>
        <w:t xml:space="preserve">the FY24 recommendations, there </w:t>
      </w:r>
      <w:r w:rsidRPr="334BBF58" w:rsidR="001E4B3A">
        <w:rPr>
          <w:sz w:val="22"/>
          <w:szCs w:val="22"/>
        </w:rPr>
        <w:t xml:space="preserve">has been </w:t>
      </w:r>
      <w:r w:rsidRPr="334BBF58" w:rsidR="001E4B3A">
        <w:rPr>
          <w:sz w:val="22"/>
          <w:szCs w:val="22"/>
        </w:rPr>
        <w:t>significant progress</w:t>
      </w:r>
      <w:r w:rsidRPr="334BBF58" w:rsidR="001E4B3A">
        <w:rPr>
          <w:sz w:val="22"/>
          <w:szCs w:val="22"/>
        </w:rPr>
        <w:t xml:space="preserve"> in </w:t>
      </w:r>
      <w:r w:rsidRPr="334BBF58" w:rsidR="000F6D6E">
        <w:rPr>
          <w:sz w:val="22"/>
          <w:szCs w:val="22"/>
        </w:rPr>
        <w:t xml:space="preserve">several </w:t>
      </w:r>
      <w:r w:rsidRPr="334BBF58" w:rsidR="001E4B3A">
        <w:rPr>
          <w:sz w:val="22"/>
          <w:szCs w:val="22"/>
        </w:rPr>
        <w:t xml:space="preserve">other areas. </w:t>
      </w:r>
      <w:r w:rsidRPr="334BBF58" w:rsidR="7CF69BE5">
        <w:rPr>
          <w:sz w:val="22"/>
          <w:szCs w:val="22"/>
        </w:rPr>
        <w:t>ISFL ha</w:t>
      </w:r>
      <w:r w:rsidRPr="334BBF58" w:rsidR="1D47B215">
        <w:rPr>
          <w:sz w:val="22"/>
          <w:szCs w:val="22"/>
        </w:rPr>
        <w:t>s</w:t>
      </w:r>
      <w:r w:rsidRPr="334BBF58" w:rsidR="7CF69BE5">
        <w:rPr>
          <w:sz w:val="22"/>
          <w:szCs w:val="22"/>
        </w:rPr>
        <w:t xml:space="preserve"> contributed towards knowledge sharing</w:t>
      </w:r>
      <w:r w:rsidRPr="334BBF58" w:rsidR="5EFEC088">
        <w:rPr>
          <w:sz w:val="22"/>
          <w:szCs w:val="22"/>
        </w:rPr>
        <w:t xml:space="preserve"> </w:t>
      </w:r>
      <w:r w:rsidRPr="334BBF58" w:rsidR="7CF69BE5">
        <w:rPr>
          <w:sz w:val="22"/>
          <w:szCs w:val="22"/>
        </w:rPr>
        <w:t xml:space="preserve">and capacity building. </w:t>
      </w:r>
      <w:r w:rsidRPr="334BBF58" w:rsidR="1392A457">
        <w:rPr>
          <w:sz w:val="22"/>
          <w:szCs w:val="22"/>
        </w:rPr>
        <w:t xml:space="preserve">The ISFL has prioritised regional and South-South knowledge exchange, </w:t>
      </w:r>
      <w:r w:rsidRPr="334BBF58" w:rsidR="3F7EEF75">
        <w:rPr>
          <w:sz w:val="22"/>
          <w:szCs w:val="22"/>
        </w:rPr>
        <w:t xml:space="preserve">with the aim of sharing knowledge from the carbon fund’s past decade. ISFL has hosted events such as a coffee stumping knowledge event in September </w:t>
      </w:r>
      <w:r w:rsidRPr="334BBF58" w:rsidR="3F7EEF75">
        <w:rPr>
          <w:sz w:val="22"/>
          <w:szCs w:val="22"/>
        </w:rPr>
        <w:t>2</w:t>
      </w:r>
      <w:r w:rsidRPr="334BBF58" w:rsidR="1ED25FBD">
        <w:rPr>
          <w:sz w:val="22"/>
          <w:szCs w:val="22"/>
        </w:rPr>
        <w:t>02</w:t>
      </w:r>
      <w:r w:rsidRPr="334BBF58" w:rsidR="146DC195">
        <w:rPr>
          <w:sz w:val="22"/>
          <w:szCs w:val="22"/>
        </w:rPr>
        <w:t>4</w:t>
      </w:r>
      <w:r w:rsidRPr="334BBF58" w:rsidR="1ED25FBD">
        <w:rPr>
          <w:sz w:val="22"/>
          <w:szCs w:val="22"/>
        </w:rPr>
        <w:t>, ASA products and output dissemination in Colombia in October 2024, the Regional Latin American Livestock event in April 2025</w:t>
      </w:r>
      <w:r w:rsidRPr="334BBF58" w:rsidR="719050ED">
        <w:rPr>
          <w:sz w:val="22"/>
          <w:szCs w:val="22"/>
        </w:rPr>
        <w:t>, and private sector roundtables</w:t>
      </w:r>
      <w:r w:rsidRPr="334BBF58" w:rsidR="5EF21B56">
        <w:rPr>
          <w:sz w:val="22"/>
          <w:szCs w:val="22"/>
        </w:rPr>
        <w:t xml:space="preserve"> (London alongside the IFC, and an Asia roadshow (Korea Singapore Japan) jointly with MIGA)</w:t>
      </w:r>
      <w:r w:rsidRPr="334BBF58" w:rsidR="1963435F">
        <w:rPr>
          <w:sz w:val="22"/>
          <w:szCs w:val="22"/>
        </w:rPr>
        <w:t xml:space="preserve"> </w:t>
      </w:r>
      <w:r w:rsidRPr="334BBF58" w:rsidR="719050ED">
        <w:rPr>
          <w:sz w:val="22"/>
          <w:szCs w:val="22"/>
        </w:rPr>
        <w:t>in March 2025.</w:t>
      </w:r>
      <w:r w:rsidRPr="334BBF58" w:rsidR="62BCFCCF">
        <w:rPr>
          <w:sz w:val="22"/>
          <w:szCs w:val="22"/>
        </w:rPr>
        <w:t xml:space="preserve"> These exchanges have enabled countries to share practical experiences and lessons learned</w:t>
      </w:r>
      <w:r w:rsidRPr="334BBF58" w:rsidR="6E154E62">
        <w:rPr>
          <w:sz w:val="22"/>
          <w:szCs w:val="22"/>
        </w:rPr>
        <w:t xml:space="preserve">, as well as promote ISFL credits as high-integrity options for both voluntary and compliance markets. </w:t>
      </w:r>
    </w:p>
    <w:p w:rsidR="00D077AB" w:rsidP="0B9C48D2" w:rsidRDefault="00D077AB" w14:paraId="1EAA26F1" w14:textId="77777777">
      <w:pPr>
        <w:jc w:val="both"/>
        <w:rPr>
          <w:sz w:val="22"/>
          <w:szCs w:val="22"/>
        </w:rPr>
      </w:pPr>
    </w:p>
    <w:p w:rsidR="5AE02232" w:rsidP="0B9C48D2" w:rsidRDefault="017B71DC" w14:paraId="10412D85" w14:textId="233AB7CE">
      <w:pPr>
        <w:jc w:val="both"/>
        <w:rPr>
          <w:sz w:val="22"/>
          <w:szCs w:val="22"/>
        </w:rPr>
      </w:pPr>
      <w:r w:rsidRPr="06225B27">
        <w:rPr>
          <w:sz w:val="22"/>
          <w:szCs w:val="22"/>
        </w:rPr>
        <w:t xml:space="preserve">Moreover, ISFL aided the creation and dissemination of practical knowledge products, such as the “How to write an ERPA” guide, </w:t>
      </w:r>
      <w:r w:rsidRPr="06225B27" w:rsidR="71CFB313">
        <w:rPr>
          <w:sz w:val="22"/>
          <w:szCs w:val="22"/>
        </w:rPr>
        <w:t>and thematic learning modules, in order to build capacity across countries. ISFL has further progressed in modernising their communications techniques, updating the websi</w:t>
      </w:r>
      <w:r w:rsidRPr="06225B27" w:rsidR="56268AE6">
        <w:rPr>
          <w:sz w:val="22"/>
          <w:szCs w:val="22"/>
        </w:rPr>
        <w:t>te and comms materials, and coordinating videos, webinars and podcasts to maximise outreach and</w:t>
      </w:r>
      <w:r w:rsidR="004952E8">
        <w:rPr>
          <w:sz w:val="22"/>
          <w:szCs w:val="22"/>
        </w:rPr>
        <w:t xml:space="preserve"> impact</w:t>
      </w:r>
      <w:r w:rsidRPr="06225B27" w:rsidR="56268AE6">
        <w:rPr>
          <w:sz w:val="22"/>
          <w:szCs w:val="22"/>
        </w:rPr>
        <w:t>.</w:t>
      </w:r>
    </w:p>
    <w:p w:rsidR="00C40227" w:rsidP="0B9C48D2" w:rsidRDefault="00C40227" w14:paraId="6B497CC0" w14:textId="77777777">
      <w:pPr>
        <w:jc w:val="both"/>
        <w:rPr>
          <w:sz w:val="22"/>
          <w:szCs w:val="22"/>
        </w:rPr>
      </w:pPr>
    </w:p>
    <w:p w:rsidR="00C40227" w:rsidP="4860F852" w:rsidRDefault="00C40227" w14:paraId="05D7ECB9" w14:textId="726649EC">
      <w:pPr>
        <w:pStyle w:val="Normal"/>
        <w:suppressLineNumbers w:val="0"/>
        <w:bidi w:val="0"/>
        <w:spacing w:before="0" w:beforeAutospacing="off" w:after="0" w:afterAutospacing="off" w:line="240" w:lineRule="auto"/>
        <w:ind w:left="0" w:right="0"/>
        <w:jc w:val="both"/>
        <w:rPr>
          <w:sz w:val="22"/>
          <w:szCs w:val="22"/>
        </w:rPr>
      </w:pPr>
      <w:r w:rsidRPr="5EB3D44F" w:rsidR="00C40227">
        <w:rPr>
          <w:sz w:val="22"/>
          <w:szCs w:val="22"/>
        </w:rPr>
        <w:t>ISFL countries</w:t>
      </w:r>
      <w:r w:rsidRPr="5EB3D44F" w:rsidR="00C40227">
        <w:rPr>
          <w:sz w:val="22"/>
          <w:szCs w:val="22"/>
        </w:rPr>
        <w:t xml:space="preserve"> are actively exploring market options to monetise carbon credits and expand revenue streams beyond traditional </w:t>
      </w:r>
      <w:r w:rsidRPr="5EB3D44F" w:rsidR="00C40227">
        <w:rPr>
          <w:sz w:val="22"/>
          <w:szCs w:val="22"/>
        </w:rPr>
        <w:t>ERPAs.</w:t>
      </w:r>
      <w:r w:rsidRPr="5EB3D44F" w:rsidR="00C40227">
        <w:rPr>
          <w:sz w:val="22"/>
          <w:szCs w:val="22"/>
        </w:rPr>
        <w:t xml:space="preserve"> In Indonesia, efforts are underway to assess opportunities in voluntary carbon markets and engage third-party buyers. </w:t>
      </w:r>
      <w:r w:rsidRPr="5EB3D44F" w:rsidR="00C40227">
        <w:rPr>
          <w:sz w:val="22"/>
          <w:szCs w:val="22"/>
        </w:rPr>
        <w:t xml:space="preserve">Additionally, the Norwegian government has contracted a service provider to support the monetisation and transaction of excess </w:t>
      </w:r>
      <w:r w:rsidRPr="5EB3D44F" w:rsidR="00C40227">
        <w:rPr>
          <w:sz w:val="22"/>
          <w:szCs w:val="22"/>
        </w:rPr>
        <w:t>ER</w:t>
      </w:r>
      <w:r w:rsidRPr="5EB3D44F" w:rsidR="00C40227">
        <w:rPr>
          <w:sz w:val="22"/>
          <w:szCs w:val="22"/>
        </w:rPr>
        <w:t xml:space="preserve"> credits in Ethiopia.</w:t>
      </w:r>
      <w:r w:rsidRPr="5EB3D44F" w:rsidR="00C40227">
        <w:rPr>
          <w:sz w:val="22"/>
          <w:szCs w:val="22"/>
        </w:rPr>
        <w:t xml:space="preserve"> </w:t>
      </w:r>
      <w:r w:rsidRPr="5EB3D44F" w:rsidR="00C40227">
        <w:rPr>
          <w:sz w:val="22"/>
          <w:szCs w:val="22"/>
        </w:rPr>
        <w:t>Recognising that some countries lack the resources or capacity to fully engage in carbon credit monetisation, ISFL is actively working to secure external support and address these gaps, ensuring broader participation and success in emerging carbon markets</w:t>
      </w:r>
      <w:r w:rsidRPr="5EB3D44F" w:rsidR="00C40227">
        <w:rPr>
          <w:sz w:val="22"/>
          <w:szCs w:val="22"/>
        </w:rPr>
        <w:t xml:space="preserve"> (see </w:t>
      </w:r>
      <w:r w:rsidRPr="5EB3D44F" w:rsidR="00C40227">
        <w:rPr>
          <w:b w:val="1"/>
          <w:bCs w:val="1"/>
          <w:sz w:val="22"/>
          <w:szCs w:val="22"/>
        </w:rPr>
        <w:t>Recommendation [9]</w:t>
      </w:r>
      <w:r w:rsidRPr="5EB3D44F" w:rsidR="00C40227">
        <w:rPr>
          <w:sz w:val="22"/>
          <w:szCs w:val="22"/>
        </w:rPr>
        <w:t>)</w:t>
      </w:r>
      <w:r w:rsidRPr="5EB3D44F" w:rsidR="00C40227">
        <w:rPr>
          <w:sz w:val="22"/>
          <w:szCs w:val="22"/>
        </w:rPr>
        <w:t>.</w:t>
      </w:r>
    </w:p>
    <w:p w:rsidR="00EE30D7" w:rsidP="0B9C48D2" w:rsidRDefault="00EE30D7" w14:paraId="02EDAC43" w14:textId="77777777">
      <w:pPr>
        <w:jc w:val="both"/>
        <w:rPr>
          <w:sz w:val="22"/>
          <w:szCs w:val="22"/>
        </w:rPr>
      </w:pPr>
    </w:p>
    <w:p w:rsidR="00EE30D7" w:rsidP="0B9C48D2" w:rsidRDefault="003B043C" w14:paraId="6CD8244B" w14:textId="4317B14F">
      <w:pPr>
        <w:jc w:val="both"/>
        <w:rPr>
          <w:sz w:val="22"/>
          <w:szCs w:val="22"/>
        </w:rPr>
      </w:pPr>
      <w:r w:rsidRPr="334BBF58" w:rsidR="003B043C">
        <w:rPr>
          <w:sz w:val="22"/>
          <w:szCs w:val="22"/>
        </w:rPr>
        <w:t xml:space="preserve">ISFL has </w:t>
      </w:r>
      <w:r w:rsidRPr="334BBF58" w:rsidR="00BD7ABA">
        <w:rPr>
          <w:sz w:val="22"/>
          <w:szCs w:val="22"/>
        </w:rPr>
        <w:t xml:space="preserve">had </w:t>
      </w:r>
      <w:r w:rsidRPr="334BBF58" w:rsidR="00AF370D">
        <w:rPr>
          <w:sz w:val="22"/>
          <w:szCs w:val="22"/>
        </w:rPr>
        <w:t xml:space="preserve">heterogenous </w:t>
      </w:r>
      <w:r w:rsidRPr="334BBF58" w:rsidR="000B55D8">
        <w:rPr>
          <w:sz w:val="22"/>
          <w:szCs w:val="22"/>
        </w:rPr>
        <w:t>impacts in different country programmes</w:t>
      </w:r>
      <w:r w:rsidRPr="334BBF58" w:rsidR="00BF139C">
        <w:rPr>
          <w:sz w:val="22"/>
          <w:szCs w:val="22"/>
        </w:rPr>
        <w:t xml:space="preserve">. </w:t>
      </w:r>
      <w:r w:rsidRPr="334BBF58" w:rsidR="00AF370D">
        <w:rPr>
          <w:sz w:val="22"/>
          <w:szCs w:val="22"/>
        </w:rPr>
        <w:t>I</w:t>
      </w:r>
      <w:r w:rsidRPr="334BBF58" w:rsidR="00BF139C">
        <w:rPr>
          <w:sz w:val="22"/>
          <w:szCs w:val="22"/>
        </w:rPr>
        <w:t xml:space="preserve">n Colombia </w:t>
      </w:r>
      <w:r w:rsidRPr="334BBF58" w:rsidR="00EE30D7">
        <w:rPr>
          <w:sz w:val="22"/>
          <w:szCs w:val="22"/>
        </w:rPr>
        <w:t xml:space="preserve">ISFL has further helped foster strong regional engagement and political support to help coordinate efforts and build trust amongst stakeholders. </w:t>
      </w:r>
      <w:r w:rsidRPr="334BBF58" w:rsidR="00EE30D7">
        <w:rPr>
          <w:sz w:val="22"/>
          <w:szCs w:val="22"/>
        </w:rPr>
        <w:t xml:space="preserve">Before ISFL, Colombia’s agriculture and environment sectors </w:t>
      </w:r>
      <w:r w:rsidRPr="334BBF58" w:rsidR="00EE30D7">
        <w:rPr>
          <w:sz w:val="22"/>
          <w:szCs w:val="22"/>
        </w:rPr>
        <w:t>operated</w:t>
      </w:r>
      <w:r w:rsidRPr="334BBF58" w:rsidR="00EE30D7">
        <w:rPr>
          <w:sz w:val="22"/>
          <w:szCs w:val="22"/>
        </w:rPr>
        <w:t xml:space="preserve"> in silos, with fragmented stakeholder interests and no shared vision for sustainable land use in the </w:t>
      </w:r>
      <w:r w:rsidRPr="334BBF58" w:rsidR="00EE30D7">
        <w:rPr>
          <w:sz w:val="22"/>
          <w:szCs w:val="22"/>
        </w:rPr>
        <w:t>Orinoquía</w:t>
      </w:r>
      <w:r w:rsidRPr="334BBF58" w:rsidR="00EE30D7">
        <w:rPr>
          <w:sz w:val="22"/>
          <w:szCs w:val="22"/>
        </w:rPr>
        <w:t xml:space="preserve"> region. Regional buy-in</w:t>
      </w:r>
      <w:r w:rsidRPr="334BBF58" w:rsidR="00EE30D7">
        <w:rPr>
          <w:sz w:val="22"/>
          <w:szCs w:val="22"/>
        </w:rPr>
        <w:t xml:space="preserve"> (</w:t>
      </w:r>
      <w:r w:rsidRPr="334BBF58" w:rsidR="00EE30D7">
        <w:rPr>
          <w:sz w:val="22"/>
          <w:szCs w:val="22"/>
        </w:rPr>
        <w:t>especially from departmental and local authorities</w:t>
      </w:r>
      <w:r w:rsidRPr="334BBF58" w:rsidR="00EE30D7">
        <w:rPr>
          <w:sz w:val="22"/>
          <w:szCs w:val="22"/>
        </w:rPr>
        <w:t xml:space="preserve">) </w:t>
      </w:r>
      <w:r w:rsidRPr="334BBF58" w:rsidR="00EE30D7">
        <w:rPr>
          <w:sz w:val="22"/>
          <w:szCs w:val="22"/>
        </w:rPr>
        <w:t xml:space="preserve">enabled the formation of public-private partnerships, multi-stakeholder roundtables, and locally driven policies. Clear national-level guidance ensured alignment with regional priorities, promoting ownership and sustained collaboration across sectors. Colombia’s experience highlights the critical role of early and consistent government commitment in successfully implementing integrated landscape and </w:t>
      </w:r>
      <w:r w:rsidRPr="334BBF58" w:rsidR="00D077AB">
        <w:rPr>
          <w:sz w:val="22"/>
          <w:szCs w:val="22"/>
        </w:rPr>
        <w:t>ER</w:t>
      </w:r>
      <w:r w:rsidRPr="334BBF58" w:rsidR="00EE30D7">
        <w:rPr>
          <w:sz w:val="22"/>
          <w:szCs w:val="22"/>
        </w:rPr>
        <w:t xml:space="preserve"> program</w:t>
      </w:r>
      <w:r w:rsidRPr="334BBF58" w:rsidR="00D077AB">
        <w:rPr>
          <w:sz w:val="22"/>
          <w:szCs w:val="22"/>
        </w:rPr>
        <w:t>me</w:t>
      </w:r>
      <w:r w:rsidRPr="334BBF58" w:rsidR="00EE30D7">
        <w:rPr>
          <w:sz w:val="22"/>
          <w:szCs w:val="22"/>
        </w:rPr>
        <w:t>s.</w:t>
      </w:r>
    </w:p>
    <w:p w:rsidR="06225B27" w:rsidP="06225B27" w:rsidRDefault="06225B27" w14:paraId="1F887A09" w14:textId="752E2D01">
      <w:pPr>
        <w:jc w:val="both"/>
        <w:rPr>
          <w:sz w:val="22"/>
          <w:szCs w:val="22"/>
        </w:rPr>
      </w:pPr>
    </w:p>
    <w:p w:rsidR="456501E1" w:rsidP="06225B27" w:rsidRDefault="00BF139C" w14:paraId="5EEA9526" w14:textId="741ADBDA">
      <w:pPr>
        <w:jc w:val="both"/>
        <w:rPr>
          <w:rFonts w:eastAsia="Arial" w:cs="Arial"/>
          <w:color w:val="000000" w:themeColor="text1"/>
          <w:sz w:val="22"/>
          <w:szCs w:val="22"/>
        </w:rPr>
      </w:pPr>
      <w:r w:rsidRPr="334BBF58" w:rsidR="00BF139C">
        <w:rPr>
          <w:rFonts w:eastAsia="Arial" w:cs="Arial"/>
          <w:color w:val="000000" w:themeColor="text1" w:themeTint="FF" w:themeShade="FF"/>
          <w:sz w:val="22"/>
          <w:szCs w:val="22"/>
        </w:rPr>
        <w:t>In Zambia</w:t>
      </w:r>
      <w:r w:rsidRPr="334BBF58" w:rsidR="00C16875">
        <w:rPr>
          <w:rFonts w:eastAsia="Arial" w:cs="Arial"/>
          <w:color w:val="000000" w:themeColor="text1" w:themeTint="FF" w:themeShade="FF"/>
          <w:sz w:val="22"/>
          <w:szCs w:val="22"/>
        </w:rPr>
        <w:t>,</w:t>
      </w:r>
      <w:r w:rsidRPr="334BBF58" w:rsidR="00BF139C">
        <w:rPr>
          <w:rFonts w:eastAsia="Arial" w:cs="Arial"/>
          <w:color w:val="000000" w:themeColor="text1" w:themeTint="FF" w:themeShade="FF"/>
          <w:sz w:val="22"/>
          <w:szCs w:val="22"/>
        </w:rPr>
        <w:t xml:space="preserve"> the</w:t>
      </w:r>
      <w:r w:rsidRPr="334BBF58" w:rsidR="00C16875">
        <w:rPr>
          <w:rFonts w:eastAsia="Arial" w:cs="Arial"/>
          <w:color w:val="000000" w:themeColor="text1" w:themeTint="FF" w:themeShade="FF"/>
          <w:sz w:val="22"/>
          <w:szCs w:val="22"/>
        </w:rPr>
        <w:t xml:space="preserve"> ISFL </w:t>
      </w:r>
      <w:r w:rsidRPr="334BBF58" w:rsidR="009B5136">
        <w:rPr>
          <w:rFonts w:eastAsia="Arial" w:cs="Arial"/>
          <w:color w:val="000000" w:themeColor="text1" w:themeTint="FF" w:themeShade="FF"/>
          <w:sz w:val="22"/>
          <w:szCs w:val="22"/>
        </w:rPr>
        <w:t>has</w:t>
      </w:r>
      <w:r w:rsidRPr="334BBF58" w:rsidR="00C16875">
        <w:rPr>
          <w:rFonts w:eastAsia="Arial" w:cs="Arial"/>
          <w:color w:val="000000" w:themeColor="text1" w:themeTint="FF" w:themeShade="FF"/>
          <w:sz w:val="22"/>
          <w:szCs w:val="22"/>
        </w:rPr>
        <w:t xml:space="preserve"> mi</w:t>
      </w:r>
      <w:r w:rsidRPr="334BBF58" w:rsidR="00D10104">
        <w:rPr>
          <w:rFonts w:eastAsia="Arial" w:cs="Arial"/>
          <w:color w:val="000000" w:themeColor="text1" w:themeTint="FF" w:themeShade="FF"/>
          <w:sz w:val="22"/>
          <w:szCs w:val="22"/>
        </w:rPr>
        <w:t xml:space="preserve">nimised risks from natural disasters and emergencies. </w:t>
      </w:r>
      <w:r w:rsidRPr="334BBF58" w:rsidR="456501E1">
        <w:rPr>
          <w:rFonts w:eastAsia="Arial" w:cs="Arial"/>
          <w:color w:val="000000" w:themeColor="text1" w:themeTint="FF" w:themeShade="FF"/>
          <w:sz w:val="22"/>
          <w:szCs w:val="22"/>
        </w:rPr>
        <w:t xml:space="preserve">ISFL’s investments in </w:t>
      </w:r>
      <w:r w:rsidRPr="334BBF58" w:rsidR="00C34350">
        <w:rPr>
          <w:rFonts w:eastAsia="Arial" w:cs="Arial"/>
          <w:color w:val="000000" w:themeColor="text1" w:themeTint="FF" w:themeShade="FF"/>
          <w:sz w:val="22"/>
          <w:szCs w:val="22"/>
        </w:rPr>
        <w:t>CSA</w:t>
      </w:r>
      <w:r w:rsidRPr="334BBF58" w:rsidR="456501E1">
        <w:rPr>
          <w:rFonts w:eastAsia="Arial" w:cs="Arial"/>
          <w:color w:val="000000" w:themeColor="text1" w:themeTint="FF" w:themeShade="FF"/>
          <w:sz w:val="22"/>
          <w:szCs w:val="22"/>
        </w:rPr>
        <w:t xml:space="preserve"> proved critical during the 2024 </w:t>
      </w:r>
      <w:r w:rsidRPr="334BBF58" w:rsidR="456501E1">
        <w:rPr>
          <w:rFonts w:eastAsia="Arial" w:cs="Arial"/>
          <w:color w:val="000000" w:themeColor="text1" w:themeTint="FF" w:themeShade="FF"/>
          <w:sz w:val="22"/>
          <w:szCs w:val="22"/>
        </w:rPr>
        <w:t>drought</w:t>
      </w:r>
      <w:r w:rsidRPr="334BBF58" w:rsidR="456501E1">
        <w:rPr>
          <w:rFonts w:eastAsia="Arial" w:cs="Arial"/>
          <w:color w:val="000000" w:themeColor="text1" w:themeTint="FF" w:themeShade="FF"/>
          <w:sz w:val="22"/>
          <w:szCs w:val="22"/>
        </w:rPr>
        <w:t xml:space="preserve">, which caused </w:t>
      </w:r>
      <w:r w:rsidRPr="334BBF58" w:rsidR="456501E1">
        <w:rPr>
          <w:rFonts w:eastAsia="Arial" w:cs="Arial"/>
          <w:color w:val="000000" w:themeColor="text1" w:themeTint="FF" w:themeShade="FF"/>
          <w:sz w:val="22"/>
          <w:szCs w:val="22"/>
        </w:rPr>
        <w:t>nearly 50%</w:t>
      </w:r>
      <w:r w:rsidRPr="334BBF58" w:rsidR="456501E1">
        <w:rPr>
          <w:rFonts w:eastAsia="Arial" w:cs="Arial"/>
          <w:color w:val="000000" w:themeColor="text1" w:themeTint="FF" w:themeShade="FF"/>
          <w:sz w:val="22"/>
          <w:szCs w:val="22"/>
        </w:rPr>
        <w:t xml:space="preserve"> of the national maize crop to fail and left over 70% of affected households struggling with food consumption. Beneficiaries of the ZIFL-P programme fared significantly better due to the adoption of CSA and irrigation techniques. </w:t>
      </w:r>
      <w:r w:rsidRPr="334BBF58" w:rsidR="5C000255">
        <w:rPr>
          <w:rFonts w:eastAsia="Arial" w:cs="Arial"/>
          <w:color w:val="000000" w:themeColor="text1" w:themeTint="FF" w:themeShade="FF"/>
          <w:sz w:val="22"/>
          <w:szCs w:val="22"/>
        </w:rPr>
        <w:t>Over its full life</w:t>
      </w:r>
      <w:r w:rsidRPr="334BBF58" w:rsidR="3F168BFF">
        <w:rPr>
          <w:rFonts w:eastAsia="Arial" w:cs="Arial"/>
          <w:color w:val="000000" w:themeColor="text1" w:themeTint="FF" w:themeShade="FF"/>
          <w:sz w:val="22"/>
          <w:szCs w:val="22"/>
        </w:rPr>
        <w:t xml:space="preserve"> </w:t>
      </w:r>
      <w:r w:rsidRPr="334BBF58" w:rsidR="5C000255">
        <w:rPr>
          <w:rFonts w:eastAsia="Arial" w:cs="Arial"/>
          <w:color w:val="000000" w:themeColor="text1" w:themeTint="FF" w:themeShade="FF"/>
          <w:sz w:val="22"/>
          <w:szCs w:val="22"/>
        </w:rPr>
        <w:t xml:space="preserve">cycle, the programme </w:t>
      </w:r>
      <w:r w:rsidRPr="334BBF58" w:rsidR="456501E1">
        <w:rPr>
          <w:rFonts w:eastAsia="Arial" w:cs="Arial"/>
          <w:color w:val="000000" w:themeColor="text1" w:themeTint="FF" w:themeShade="FF"/>
          <w:sz w:val="22"/>
          <w:szCs w:val="22"/>
        </w:rPr>
        <w:t xml:space="preserve">trained 338 extension officers, 10,755 lead farmers, and 107,550 farmers, and </w:t>
      </w:r>
      <w:r w:rsidRPr="334BBF58" w:rsidR="456501E1">
        <w:rPr>
          <w:rFonts w:eastAsia="Arial" w:cs="Arial"/>
          <w:color w:val="000000" w:themeColor="text1" w:themeTint="FF" w:themeShade="FF"/>
          <w:sz w:val="22"/>
          <w:szCs w:val="22"/>
        </w:rPr>
        <w:t>established</w:t>
      </w:r>
      <w:r w:rsidRPr="334BBF58" w:rsidR="456501E1">
        <w:rPr>
          <w:rFonts w:eastAsia="Arial" w:cs="Arial"/>
          <w:color w:val="000000" w:themeColor="text1" w:themeTint="FF" w:themeShade="FF"/>
          <w:sz w:val="22"/>
          <w:szCs w:val="22"/>
        </w:rPr>
        <w:t xml:space="preserve"> 478 farmer field schools. These efforts led to a 34% increase in maize yields and a 19% increase in soybean yields, with gross profit margins rising by 69% for maize and 20% for soybeans. Sustainable irrigation systems also provided clean drinking water and enabled youth to grow and sell produce. These outcomes </w:t>
      </w:r>
      <w:r w:rsidRPr="334BBF58" w:rsidR="456501E1">
        <w:rPr>
          <w:rFonts w:eastAsia="Arial" w:cs="Arial"/>
          <w:color w:val="000000" w:themeColor="text1" w:themeTint="FF" w:themeShade="FF"/>
          <w:sz w:val="22"/>
          <w:szCs w:val="22"/>
        </w:rPr>
        <w:t>demonstrate</w:t>
      </w:r>
      <w:r w:rsidRPr="334BBF58" w:rsidR="456501E1">
        <w:rPr>
          <w:rFonts w:eastAsia="Arial" w:cs="Arial"/>
          <w:color w:val="000000" w:themeColor="text1" w:themeTint="FF" w:themeShade="FF"/>
          <w:sz w:val="22"/>
          <w:szCs w:val="22"/>
        </w:rPr>
        <w:t xml:space="preserve"> how targeted investments in CSA and community-led solutions can transform even the most vulnerable areas, empowering rural communities to adapt, thr</w:t>
      </w:r>
      <w:r w:rsidRPr="334BBF58" w:rsidR="456501E1">
        <w:rPr>
          <w:rFonts w:eastAsia="Arial" w:cs="Arial"/>
          <w:color w:val="000000" w:themeColor="text1" w:themeTint="FF" w:themeShade="FF"/>
          <w:sz w:val="22"/>
          <w:szCs w:val="22"/>
        </w:rPr>
        <w:t xml:space="preserve">ive, and </w:t>
      </w:r>
      <w:r w:rsidRPr="334BBF58" w:rsidR="456501E1">
        <w:rPr>
          <w:rFonts w:eastAsia="Arial" w:cs="Arial"/>
          <w:color w:val="000000" w:themeColor="text1" w:themeTint="FF" w:themeShade="FF"/>
          <w:sz w:val="22"/>
          <w:szCs w:val="22"/>
        </w:rPr>
        <w:t>secure their livelihoods in the face of climate shocks.</w:t>
      </w:r>
    </w:p>
    <w:p w:rsidR="009B5136" w:rsidP="06225B27" w:rsidRDefault="009B5136" w14:paraId="009812C6" w14:textId="77777777">
      <w:pPr>
        <w:jc w:val="both"/>
        <w:rPr>
          <w:rFonts w:eastAsia="Arial" w:cs="Arial"/>
          <w:color w:val="000000" w:themeColor="text1"/>
          <w:sz w:val="22"/>
          <w:szCs w:val="22"/>
        </w:rPr>
      </w:pPr>
    </w:p>
    <w:p w:rsidRPr="002078FD" w:rsidR="009B5136" w:rsidP="06225B27" w:rsidRDefault="009B5136" w14:paraId="6FFA390E" w14:textId="69B98066">
      <w:pPr>
        <w:jc w:val="both"/>
        <w:rPr>
          <w:rFonts w:eastAsia="Arial" w:cs="Arial"/>
          <w:color w:val="000000" w:themeColor="text1"/>
          <w:sz w:val="22"/>
          <w:szCs w:val="22"/>
        </w:rPr>
      </w:pPr>
      <w:r w:rsidRPr="00725AFE">
        <w:rPr>
          <w:rFonts w:eastAsia="Arial" w:cs="Arial"/>
          <w:color w:val="000000" w:themeColor="text1"/>
          <w:sz w:val="22"/>
          <w:szCs w:val="22"/>
        </w:rPr>
        <w:t>Mexico’s ISFL program</w:t>
      </w:r>
      <w:r>
        <w:rPr>
          <w:rFonts w:eastAsia="Arial" w:cs="Arial"/>
          <w:color w:val="000000" w:themeColor="text1"/>
          <w:sz w:val="22"/>
          <w:szCs w:val="22"/>
        </w:rPr>
        <w:t>me</w:t>
      </w:r>
      <w:r w:rsidRPr="00725AFE">
        <w:rPr>
          <w:rFonts w:eastAsia="Arial" w:cs="Arial"/>
          <w:color w:val="000000" w:themeColor="text1"/>
          <w:sz w:val="22"/>
          <w:szCs w:val="22"/>
        </w:rPr>
        <w:t xml:space="preserve"> </w:t>
      </w:r>
      <w:r>
        <w:rPr>
          <w:rFonts w:eastAsia="Arial" w:cs="Arial"/>
          <w:color w:val="000000" w:themeColor="text1"/>
          <w:sz w:val="22"/>
          <w:szCs w:val="22"/>
        </w:rPr>
        <w:t>has placed</w:t>
      </w:r>
      <w:r w:rsidRPr="00725AFE">
        <w:rPr>
          <w:rFonts w:eastAsia="Arial" w:cs="Arial"/>
          <w:color w:val="000000" w:themeColor="text1"/>
          <w:sz w:val="22"/>
          <w:szCs w:val="22"/>
        </w:rPr>
        <w:t xml:space="preserve"> strong emphasis on empowering rural women and Indigenous communities, who play a vital role in forest conservation and climate resilience but often face exclusion from decision-making and benefits</w:t>
      </w:r>
      <w:r w:rsidR="005C1BD0">
        <w:rPr>
          <w:rFonts w:eastAsia="Arial" w:cs="Arial"/>
          <w:color w:val="000000" w:themeColor="text1"/>
          <w:sz w:val="22"/>
          <w:szCs w:val="22"/>
        </w:rPr>
        <w:t xml:space="preserve"> – </w:t>
      </w:r>
      <w:r>
        <w:rPr>
          <w:rFonts w:eastAsia="Arial" w:cs="Arial"/>
          <w:color w:val="000000" w:themeColor="text1"/>
          <w:sz w:val="22"/>
          <w:szCs w:val="22"/>
        </w:rPr>
        <w:t>o</w:t>
      </w:r>
      <w:r w:rsidRPr="008A01D6">
        <w:rPr>
          <w:rFonts w:eastAsia="Arial" w:cs="Arial"/>
          <w:color w:val="000000" w:themeColor="text1"/>
          <w:sz w:val="22"/>
          <w:szCs w:val="22"/>
        </w:rPr>
        <w:t xml:space="preserve">nly </w:t>
      </w:r>
      <w:r>
        <w:rPr>
          <w:rFonts w:eastAsia="Arial" w:cs="Arial"/>
          <w:color w:val="000000" w:themeColor="text1"/>
          <w:sz w:val="22"/>
          <w:szCs w:val="22"/>
        </w:rPr>
        <w:t>27%</w:t>
      </w:r>
      <w:r w:rsidRPr="008A01D6">
        <w:rPr>
          <w:rFonts w:eastAsia="Arial" w:cs="Arial"/>
          <w:color w:val="000000" w:themeColor="text1"/>
          <w:sz w:val="22"/>
          <w:szCs w:val="22"/>
        </w:rPr>
        <w:t xml:space="preserve"> of agrarian rights holders are women, with limited representation in leadership roles</w:t>
      </w:r>
      <w:r w:rsidRPr="00725AFE">
        <w:rPr>
          <w:rFonts w:eastAsia="Arial" w:cs="Arial"/>
          <w:color w:val="000000" w:themeColor="text1"/>
          <w:sz w:val="22"/>
          <w:szCs w:val="22"/>
        </w:rPr>
        <w:t>. Mexico developed a participatory National Strategy on Gender and Social Inclusion in the forest sector, supported by ISFL.</w:t>
      </w:r>
      <w:r>
        <w:rPr>
          <w:rFonts w:eastAsia="Arial" w:cs="Arial"/>
          <w:color w:val="000000" w:themeColor="text1"/>
          <w:sz w:val="22"/>
          <w:szCs w:val="22"/>
        </w:rPr>
        <w:t xml:space="preserve"> </w:t>
      </w:r>
      <w:r w:rsidRPr="00725AFE">
        <w:rPr>
          <w:rFonts w:eastAsia="Arial" w:cs="Arial"/>
          <w:color w:val="000000" w:themeColor="text1"/>
          <w:sz w:val="22"/>
          <w:szCs w:val="22"/>
        </w:rPr>
        <w:t>The strategy integrates gender and human rights perspectives into forest governance and is built around five pillars: capacity building, equality in forest development, inclusive governance, a culture of peace, and institutional strengthening. It promotes equal participation of women, Indigenous peoples, and landless forest users, aiming to improve access to technical and financial support, public financing mechanisms, and forest-related benefits.</w:t>
      </w:r>
      <w:r>
        <w:rPr>
          <w:rFonts w:eastAsia="Arial" w:cs="Arial"/>
          <w:color w:val="000000" w:themeColor="text1"/>
          <w:sz w:val="22"/>
          <w:szCs w:val="22"/>
        </w:rPr>
        <w:t xml:space="preserve"> </w:t>
      </w:r>
      <w:r w:rsidRPr="00725AFE">
        <w:rPr>
          <w:rFonts w:eastAsia="Arial" w:cs="Arial"/>
          <w:color w:val="000000" w:themeColor="text1"/>
          <w:sz w:val="22"/>
          <w:szCs w:val="22"/>
        </w:rPr>
        <w:t xml:space="preserve">Through its </w:t>
      </w:r>
      <w:r>
        <w:rPr>
          <w:rFonts w:eastAsia="Arial" w:cs="Arial"/>
          <w:color w:val="000000" w:themeColor="text1"/>
          <w:sz w:val="22"/>
          <w:szCs w:val="22"/>
        </w:rPr>
        <w:t>BSP</w:t>
      </w:r>
      <w:r w:rsidRPr="00725AFE">
        <w:rPr>
          <w:rFonts w:eastAsia="Arial" w:cs="Arial"/>
          <w:color w:val="000000" w:themeColor="text1"/>
          <w:sz w:val="22"/>
          <w:szCs w:val="22"/>
        </w:rPr>
        <w:t>, the program</w:t>
      </w:r>
      <w:r>
        <w:rPr>
          <w:rFonts w:eastAsia="Arial" w:cs="Arial"/>
          <w:color w:val="000000" w:themeColor="text1"/>
          <w:sz w:val="22"/>
          <w:szCs w:val="22"/>
        </w:rPr>
        <w:t>me</w:t>
      </w:r>
      <w:r w:rsidRPr="00725AFE">
        <w:rPr>
          <w:rFonts w:eastAsia="Arial" w:cs="Arial"/>
          <w:color w:val="000000" w:themeColor="text1"/>
          <w:sz w:val="22"/>
          <w:szCs w:val="22"/>
        </w:rPr>
        <w:t xml:space="preserve"> seeks to enhance women’s roles in land governance and ensure more equitable access to resources and opportunities across forest value chains.</w:t>
      </w:r>
    </w:p>
    <w:p w:rsidR="00725AFE" w:rsidP="000A11B4" w:rsidRDefault="00725AFE" w14:paraId="7AD8F204" w14:textId="77777777">
      <w:pPr>
        <w:jc w:val="both"/>
        <w:rPr>
          <w:rFonts w:eastAsia="Arial" w:cs="Arial"/>
          <w:color w:val="000000" w:themeColor="text1"/>
          <w:sz w:val="22"/>
          <w:szCs w:val="22"/>
        </w:rPr>
      </w:pPr>
    </w:p>
    <w:p w:rsidR="00FB36A1" w:rsidP="30105D62" w:rsidRDefault="00FB36A1" w14:paraId="0734F1FE" w14:textId="59D6B2B6">
      <w:pPr>
        <w:jc w:val="both"/>
        <w:rPr>
          <w:rFonts w:eastAsia="Arial" w:cs="Arial"/>
          <w:color w:val="000000" w:themeColor="text1" w:themeTint="FF" w:themeShade="FF"/>
          <w:sz w:val="22"/>
          <w:szCs w:val="22"/>
        </w:rPr>
      </w:pPr>
      <w:r w:rsidRPr="334BBF58" w:rsidR="000A11B4">
        <w:rPr>
          <w:rFonts w:eastAsia="Arial" w:cs="Arial"/>
          <w:color w:val="000000" w:themeColor="text1" w:themeTint="FF" w:themeShade="FF"/>
          <w:sz w:val="22"/>
          <w:szCs w:val="22"/>
        </w:rPr>
        <w:t xml:space="preserve">Although these workstreams are not included in the core ISFL logframe, they contribute to the positive enabling environment for the programme’s success, as well as supporting broader goals such as GHG emissions reduction, low-carbon development, biodiversity conservation, and </w:t>
      </w:r>
      <w:r w:rsidRPr="334BBF58" w:rsidR="000A11B4">
        <w:rPr>
          <w:rFonts w:eastAsia="Arial" w:cs="Arial"/>
          <w:color w:val="000000" w:themeColor="text1" w:themeTint="FF" w:themeShade="FF"/>
          <w:sz w:val="22"/>
          <w:szCs w:val="22"/>
        </w:rPr>
        <w:t>equitable</w:t>
      </w:r>
      <w:r w:rsidRPr="334BBF58" w:rsidR="000A11B4">
        <w:rPr>
          <w:rFonts w:eastAsia="Arial" w:cs="Arial"/>
          <w:color w:val="000000" w:themeColor="text1" w:themeTint="FF" w:themeShade="FF"/>
          <w:sz w:val="22"/>
          <w:szCs w:val="22"/>
        </w:rPr>
        <w:t xml:space="preserve"> and inclusive benefits to </w:t>
      </w:r>
      <w:r w:rsidRPr="334BBF58" w:rsidR="000A11B4">
        <w:rPr>
          <w:rFonts w:eastAsia="Arial" w:cs="Arial"/>
          <w:color w:val="000000" w:themeColor="text1" w:themeTint="FF" w:themeShade="FF"/>
          <w:sz w:val="22"/>
          <w:szCs w:val="22"/>
        </w:rPr>
        <w:t>communities</w:t>
      </w:r>
      <w:r w:rsidRPr="334BBF58" w:rsidR="000A11B4">
        <w:rPr>
          <w:rFonts w:eastAsia="Arial" w:cs="Arial"/>
          <w:color w:val="000000" w:themeColor="text1" w:themeTint="FF" w:themeShade="FF"/>
          <w:sz w:val="22"/>
          <w:szCs w:val="22"/>
        </w:rPr>
        <w:t>.</w:t>
      </w:r>
    </w:p>
    <w:p w:rsidRPr="00D421B8" w:rsidR="00FB36A1" w:rsidP="30105D62" w:rsidRDefault="00FB36A1" w14:paraId="03FA3482" w14:textId="46525020">
      <w:pPr>
        <w:pStyle w:val="Normal"/>
        <w:spacing w:after="160" w:line="259" w:lineRule="auto"/>
        <w:rPr>
          <w:sz w:val="22"/>
          <w:szCs w:val="22"/>
        </w:rPr>
      </w:pPr>
    </w:p>
    <w:p w:rsidR="5FC9A526" w:rsidRDefault="5FC9A526" w14:paraId="3A30EC56" w14:textId="3C45DA0E">
      <w:r>
        <w:br w:type="page"/>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CB2873" w:rsidTr="376EB76A" w14:paraId="406A1DDB" w14:textId="77777777">
        <w:tc>
          <w:tcPr>
            <w:tcW w:w="9016" w:type="dxa"/>
            <w:shd w:val="clear" w:color="auto" w:fill="DEEAF6" w:themeFill="accent5" w:themeFillTint="33"/>
            <w:tcMar/>
          </w:tcPr>
          <w:p w:rsidR="00CB2873" w:rsidP="004D5FD5" w:rsidRDefault="2C7057B1" w14:paraId="5F18405D" w14:textId="4616211D">
            <w:pPr>
              <w:jc w:val="both"/>
            </w:pPr>
            <w:bookmarkStart w:name="_Toc659235548" w:id="1949500251"/>
            <w:bookmarkStart w:name="_Toc2056865465" w:id="850381309"/>
            <w:r w:rsidRPr="376EB76A" w:rsidR="442FA347">
              <w:rPr>
                <w:rStyle w:val="Heading1Char"/>
                <w:rFonts w:ascii="Arial" w:hAnsi="Arial" w:cs="Arial"/>
                <w:b w:val="1"/>
                <w:bCs w:val="1"/>
                <w:color w:val="auto"/>
              </w:rPr>
              <w:t>Section E: Risk</w:t>
            </w:r>
            <w:bookmarkEnd w:id="1949500251"/>
            <w:bookmarkEnd w:id="850381309"/>
            <w:r w:rsidR="442FA347">
              <w:rPr/>
              <w:t xml:space="preserve"> </w:t>
            </w:r>
          </w:p>
        </w:tc>
      </w:tr>
    </w:tbl>
    <w:p w:rsidRPr="00D80C6C" w:rsidR="003D222C" w:rsidP="004D5FD5" w:rsidRDefault="003D222C" w14:paraId="7D07A5C2" w14:textId="77777777">
      <w:pPr>
        <w:jc w:val="both"/>
        <w:rPr>
          <w:rFonts w:cs="Arial"/>
          <w:b/>
          <w:bCs/>
          <w:sz w:val="22"/>
          <w:szCs w:val="22"/>
        </w:rPr>
      </w:pPr>
    </w:p>
    <w:p w:rsidRPr="00D80C6C" w:rsidR="00B74143" w:rsidP="3B0240E3" w:rsidRDefault="02E7B3A5" w14:paraId="7CBD3830" w14:textId="77777777">
      <w:pPr>
        <w:spacing/>
        <w:contextualSpacing w:val="1"/>
        <w:jc w:val="both"/>
        <w:rPr>
          <w:rFonts w:cs="Arial"/>
          <w:b w:val="1"/>
          <w:bCs w:val="1"/>
          <w:sz w:val="22"/>
          <w:szCs w:val="22"/>
        </w:rPr>
      </w:pPr>
      <w:bookmarkStart w:name="_Toc2112504939" w:id="1142512407"/>
      <w:r w:rsidRPr="376EB76A" w:rsidR="33BCA1A1">
        <w:rPr>
          <w:rStyle w:val="Heading2Char"/>
        </w:rPr>
        <w:t>Overall risk rating</w:t>
      </w:r>
      <w:bookmarkEnd w:id="1142512407"/>
      <w:r w:rsidRPr="376EB76A" w:rsidR="33BCA1A1">
        <w:rPr>
          <w:rFonts w:cs="Arial"/>
          <w:b w:val="1"/>
          <w:bCs w:val="1"/>
          <w:sz w:val="22"/>
          <w:szCs w:val="22"/>
        </w:rPr>
        <w:t xml:space="preserve">:  </w:t>
      </w:r>
    </w:p>
    <w:p w:rsidR="489AF8A9" w:rsidP="489AF8A9" w:rsidRDefault="489AF8A9" w14:paraId="249D32A7" w14:textId="1D4407E4">
      <w:pPr>
        <w:contextualSpacing/>
        <w:jc w:val="both"/>
        <w:rPr>
          <w:rFonts w:cs="Arial"/>
          <w:sz w:val="22"/>
          <w:szCs w:val="22"/>
        </w:rPr>
      </w:pPr>
    </w:p>
    <w:p w:rsidR="502184AC" w:rsidP="489AF8A9" w:rsidRDefault="502184AC" w14:paraId="50887580" w14:textId="50010C73">
      <w:pPr>
        <w:contextualSpacing/>
        <w:jc w:val="both"/>
        <w:rPr>
          <w:rFonts w:eastAsia="Arial" w:cs="Arial"/>
          <w:color w:val="000000" w:themeColor="text1"/>
          <w:sz w:val="22"/>
          <w:szCs w:val="22"/>
        </w:rPr>
      </w:pPr>
      <w:r w:rsidRPr="489AF8A9">
        <w:rPr>
          <w:rFonts w:eastAsia="Arial" w:cs="Arial"/>
          <w:b/>
          <w:bCs/>
          <w:color w:val="000000" w:themeColor="text1"/>
          <w:sz w:val="22"/>
          <w:szCs w:val="22"/>
        </w:rPr>
        <w:t>Overall risk rating: Moderate</w:t>
      </w:r>
    </w:p>
    <w:p w:rsidR="489AF8A9" w:rsidP="489AF8A9" w:rsidRDefault="489AF8A9" w14:paraId="33A0D71E" w14:textId="785C0643">
      <w:pPr>
        <w:jc w:val="both"/>
        <w:rPr>
          <w:rFonts w:eastAsia="Arial" w:cs="Arial"/>
          <w:color w:val="000000" w:themeColor="text1"/>
          <w:sz w:val="22"/>
          <w:szCs w:val="22"/>
        </w:rPr>
      </w:pPr>
    </w:p>
    <w:p w:rsidR="502184AC" w:rsidP="489AF8A9" w:rsidRDefault="502184AC" w14:paraId="77AF501F" w14:textId="6061CC83">
      <w:pPr>
        <w:jc w:val="both"/>
        <w:rPr>
          <w:rFonts w:eastAsia="Arial" w:cs="Arial"/>
          <w:color w:val="000000" w:themeColor="text1"/>
          <w:sz w:val="22"/>
          <w:szCs w:val="22"/>
        </w:rPr>
      </w:pPr>
      <w:r w:rsidRPr="489AF8A9">
        <w:rPr>
          <w:rFonts w:eastAsia="Arial" w:cs="Arial"/>
          <w:b/>
          <w:bCs/>
          <w:color w:val="000000" w:themeColor="text1"/>
          <w:sz w:val="22"/>
          <w:szCs w:val="22"/>
        </w:rPr>
        <w:t>Overview of risk management</w:t>
      </w:r>
    </w:p>
    <w:p w:rsidR="489AF8A9" w:rsidP="489AF8A9" w:rsidRDefault="489AF8A9" w14:paraId="1BC0A6FD" w14:textId="75A83B8A">
      <w:pPr>
        <w:spacing w:before="40" w:after="40"/>
        <w:jc w:val="both"/>
        <w:rPr>
          <w:rFonts w:eastAsia="Arial" w:cs="Arial"/>
          <w:color w:val="000000" w:themeColor="text1"/>
          <w:sz w:val="20"/>
          <w:szCs w:val="20"/>
        </w:rPr>
      </w:pPr>
    </w:p>
    <w:p w:rsidR="502184AC" w:rsidP="0ED41EF3" w:rsidRDefault="7C981340" w14:paraId="07830AAF" w14:textId="4B2578B3">
      <w:pPr>
        <w:spacing w:before="40" w:after="40"/>
        <w:jc w:val="both"/>
        <w:rPr>
          <w:rFonts w:eastAsia="Arial" w:cs="Arial"/>
          <w:color w:val="000000" w:themeColor="text1"/>
          <w:sz w:val="22"/>
          <w:szCs w:val="22"/>
        </w:rPr>
      </w:pPr>
      <w:r w:rsidRPr="220887DD" w:rsidR="7C981340">
        <w:rPr>
          <w:rFonts w:eastAsia="Arial" w:cs="Arial"/>
          <w:color w:val="000000" w:themeColor="text1" w:themeTint="FF" w:themeShade="FF"/>
          <w:sz w:val="22"/>
          <w:szCs w:val="22"/>
        </w:rPr>
        <w:t>The overall risk rating for the ISFL programme is Mode</w:t>
      </w:r>
      <w:r w:rsidRPr="220887DD" w:rsidR="7C981340">
        <w:rPr>
          <w:rFonts w:eastAsia="Arial" w:cs="Arial"/>
          <w:color w:val="000000" w:themeColor="text1" w:themeTint="FF" w:themeShade="FF"/>
          <w:sz w:val="22"/>
          <w:szCs w:val="22"/>
        </w:rPr>
        <w:t xml:space="preserve">rate, which has been </w:t>
      </w:r>
      <w:r w:rsidRPr="220887DD" w:rsidR="7C981340">
        <w:rPr>
          <w:rFonts w:eastAsia="Arial" w:cs="Arial"/>
          <w:color w:val="000000" w:themeColor="text1" w:themeTint="FF" w:themeShade="FF"/>
          <w:sz w:val="22"/>
          <w:szCs w:val="22"/>
        </w:rPr>
        <w:t>maintained</w:t>
      </w:r>
      <w:r w:rsidRPr="220887DD" w:rsidR="7C981340">
        <w:rPr>
          <w:rFonts w:eastAsia="Arial" w:cs="Arial"/>
          <w:color w:val="000000" w:themeColor="text1" w:themeTint="FF" w:themeShade="FF"/>
          <w:sz w:val="22"/>
          <w:szCs w:val="22"/>
        </w:rPr>
        <w:t xml:space="preserve"> since FY23. </w:t>
      </w:r>
      <w:r w:rsidRPr="220887DD" w:rsidR="0CC50643">
        <w:rPr>
          <w:rFonts w:eastAsia="Arial" w:cs="Arial"/>
          <w:color w:val="000000" w:themeColor="text1" w:themeTint="FF" w:themeShade="FF"/>
          <w:sz w:val="22"/>
          <w:szCs w:val="22"/>
        </w:rPr>
        <w:t>In FY25</w:t>
      </w:r>
      <w:r w:rsidRPr="220887DD" w:rsidR="65E2712A">
        <w:rPr>
          <w:rFonts w:eastAsia="Arial" w:cs="Arial"/>
          <w:color w:val="000000" w:themeColor="text1" w:themeTint="FF" w:themeShade="FF"/>
          <w:sz w:val="22"/>
          <w:szCs w:val="22"/>
        </w:rPr>
        <w:t xml:space="preserve">, </w:t>
      </w:r>
      <w:r w:rsidRPr="220887DD" w:rsidR="00F12832">
        <w:rPr>
          <w:rFonts w:eastAsia="Arial" w:cs="Arial"/>
          <w:color w:val="000000" w:themeColor="text1" w:themeTint="FF" w:themeShade="FF"/>
          <w:sz w:val="22"/>
          <w:szCs w:val="22"/>
        </w:rPr>
        <w:t xml:space="preserve">some progress was </w:t>
      </w:r>
      <w:r w:rsidRPr="220887DD" w:rsidR="00F12832">
        <w:rPr>
          <w:rFonts w:eastAsia="Arial" w:cs="Arial"/>
          <w:color w:val="000000" w:themeColor="text1" w:themeTint="FF" w:themeShade="FF"/>
          <w:sz w:val="22"/>
          <w:szCs w:val="22"/>
        </w:rPr>
        <w:t>observed</w:t>
      </w:r>
      <w:r w:rsidRPr="220887DD" w:rsidR="00F12832">
        <w:rPr>
          <w:rFonts w:eastAsia="Arial" w:cs="Arial"/>
          <w:color w:val="000000" w:themeColor="text1" w:themeTint="FF" w:themeShade="FF"/>
          <w:sz w:val="22"/>
          <w:szCs w:val="22"/>
        </w:rPr>
        <w:t xml:space="preserve"> around </w:t>
      </w:r>
      <w:r w:rsidRPr="220887DD" w:rsidR="006203F5">
        <w:rPr>
          <w:rFonts w:eastAsia="Arial" w:cs="Arial"/>
          <w:color w:val="000000" w:themeColor="text1" w:themeTint="FF" w:themeShade="FF"/>
          <w:sz w:val="22"/>
          <w:szCs w:val="22"/>
        </w:rPr>
        <w:t xml:space="preserve">the remaining grant programmes, </w:t>
      </w:r>
      <w:r w:rsidRPr="220887DD" w:rsidR="00DB5CDF">
        <w:rPr>
          <w:rFonts w:eastAsia="Arial" w:cs="Arial"/>
          <w:color w:val="000000" w:themeColor="text1" w:themeTint="FF" w:themeShade="FF"/>
          <w:sz w:val="22"/>
          <w:szCs w:val="22"/>
        </w:rPr>
        <w:t xml:space="preserve">the </w:t>
      </w:r>
      <w:r w:rsidRPr="220887DD" w:rsidR="00F2611D">
        <w:rPr>
          <w:rFonts w:eastAsia="Arial" w:cs="Arial"/>
          <w:color w:val="000000" w:themeColor="text1" w:themeTint="FF" w:themeShade="FF"/>
          <w:sz w:val="22"/>
          <w:szCs w:val="22"/>
        </w:rPr>
        <w:t>submission of ER monitoring reports</w:t>
      </w:r>
      <w:r w:rsidRPr="220887DD" w:rsidR="00587EA2">
        <w:rPr>
          <w:rFonts w:eastAsia="Arial" w:cs="Arial"/>
          <w:color w:val="000000" w:themeColor="text1" w:themeTint="FF" w:themeShade="FF"/>
          <w:sz w:val="22"/>
          <w:szCs w:val="22"/>
        </w:rPr>
        <w:t xml:space="preserve"> in Ethiopia and Zambia</w:t>
      </w:r>
      <w:r w:rsidRPr="220887DD" w:rsidR="00F2611D">
        <w:rPr>
          <w:rFonts w:eastAsia="Arial" w:cs="Arial"/>
          <w:color w:val="000000" w:themeColor="text1" w:themeTint="FF" w:themeShade="FF"/>
          <w:sz w:val="22"/>
          <w:szCs w:val="22"/>
        </w:rPr>
        <w:t xml:space="preserve"> and </w:t>
      </w:r>
      <w:r w:rsidRPr="220887DD" w:rsidR="009847FD">
        <w:rPr>
          <w:rFonts w:eastAsia="Arial" w:cs="Arial"/>
          <w:color w:val="000000" w:themeColor="text1" w:themeTint="FF" w:themeShade="FF"/>
          <w:sz w:val="22"/>
          <w:szCs w:val="22"/>
        </w:rPr>
        <w:t xml:space="preserve">ERPA negotiations in Colombia and Mexico. </w:t>
      </w:r>
      <w:r w:rsidRPr="220887DD" w:rsidR="7D1C6ACD">
        <w:rPr>
          <w:rFonts w:eastAsia="Arial" w:cs="Arial"/>
          <w:color w:val="000000" w:themeColor="text1" w:themeTint="FF" w:themeShade="FF"/>
          <w:sz w:val="22"/>
          <w:szCs w:val="22"/>
        </w:rPr>
        <w:t>However, there</w:t>
      </w:r>
      <w:r w:rsidRPr="220887DD" w:rsidR="7C981340">
        <w:rPr>
          <w:rFonts w:eastAsia="Arial" w:cs="Arial"/>
          <w:color w:val="000000" w:themeColor="text1" w:themeTint="FF" w:themeShade="FF"/>
          <w:sz w:val="22"/>
          <w:szCs w:val="22"/>
        </w:rPr>
        <w:t xml:space="preserve"> </w:t>
      </w:r>
      <w:r w:rsidRPr="220887DD" w:rsidR="7C981340">
        <w:rPr>
          <w:rFonts w:eastAsia="Arial" w:cs="Arial"/>
          <w:color w:val="000000" w:themeColor="text1" w:themeTint="FF" w:themeShade="FF"/>
          <w:sz w:val="22"/>
          <w:szCs w:val="22"/>
        </w:rPr>
        <w:t>still remain</w:t>
      </w:r>
      <w:r w:rsidRPr="220887DD" w:rsidR="7C981340">
        <w:rPr>
          <w:rFonts w:eastAsia="Arial" w:cs="Arial"/>
          <w:color w:val="000000" w:themeColor="text1" w:themeTint="FF" w:themeShade="FF"/>
          <w:sz w:val="22"/>
          <w:szCs w:val="22"/>
        </w:rPr>
        <w:t xml:space="preserve"> a variety of risks, some of which are major. </w:t>
      </w:r>
    </w:p>
    <w:p w:rsidR="502184AC" w:rsidP="489AF8A9" w:rsidRDefault="502184AC" w14:paraId="3B834FF1" w14:textId="70CA41E4">
      <w:pPr>
        <w:spacing w:before="40" w:after="40"/>
        <w:jc w:val="both"/>
        <w:rPr>
          <w:rFonts w:eastAsia="Arial" w:cs="Arial"/>
          <w:color w:val="000000" w:themeColor="text1"/>
          <w:sz w:val="22"/>
          <w:szCs w:val="22"/>
        </w:rPr>
      </w:pPr>
      <w:r w:rsidRPr="489AF8A9">
        <w:rPr>
          <w:rFonts w:eastAsia="Arial" w:cs="Arial"/>
          <w:color w:val="000000" w:themeColor="text1"/>
          <w:sz w:val="22"/>
          <w:szCs w:val="22"/>
        </w:rPr>
        <w:t> </w:t>
      </w:r>
    </w:p>
    <w:p w:rsidR="502184AC" w:rsidP="7202E0B3" w:rsidRDefault="502184AC" w14:paraId="5E9F63FB" w14:textId="0CB96695">
      <w:pPr>
        <w:spacing w:before="40" w:after="40"/>
        <w:jc w:val="both"/>
        <w:rPr>
          <w:rFonts w:eastAsia="Arial" w:cs="Arial"/>
          <w:color w:val="000000" w:themeColor="text1"/>
          <w:sz w:val="22"/>
          <w:szCs w:val="22"/>
        </w:rPr>
      </w:pPr>
      <w:r w:rsidRPr="334BBF58" w:rsidR="502184AC">
        <w:rPr>
          <w:rFonts w:eastAsia="Arial" w:cs="Arial"/>
          <w:color w:val="000000" w:themeColor="text1" w:themeTint="FF" w:themeShade="FF"/>
          <w:sz w:val="22"/>
          <w:szCs w:val="22"/>
        </w:rPr>
        <w:t xml:space="preserve">The most </w:t>
      </w:r>
      <w:r w:rsidRPr="334BBF58" w:rsidR="502184AC">
        <w:rPr>
          <w:rFonts w:eastAsia="Arial" w:cs="Arial"/>
          <w:color w:val="000000" w:themeColor="text1" w:themeTint="FF" w:themeShade="FF"/>
          <w:sz w:val="22"/>
          <w:szCs w:val="22"/>
        </w:rPr>
        <w:t xml:space="preserve">significant of these risks include the ongoing delays to the signing of ERPAs and what that may mean for delivery and complete monitoring of benefit-sharing before programme close. </w:t>
      </w:r>
      <w:r w:rsidRPr="334BBF58" w:rsidR="502184AC">
        <w:rPr>
          <w:rFonts w:eastAsia="Arial" w:cs="Arial"/>
          <w:color w:val="000000" w:themeColor="text1" w:themeTint="FF" w:themeShade="FF"/>
          <w:sz w:val="22"/>
          <w:szCs w:val="22"/>
        </w:rPr>
        <w:t xml:space="preserve">Other risks include the possible impact of the cancellation of private sector strategies in Zambia, </w:t>
      </w:r>
      <w:r w:rsidRPr="334BBF58" w:rsidR="502184AC">
        <w:rPr>
          <w:rFonts w:eastAsia="Arial" w:cs="Arial"/>
          <w:color w:val="000000" w:themeColor="text1" w:themeTint="FF" w:themeShade="FF"/>
          <w:sz w:val="22"/>
          <w:szCs w:val="22"/>
        </w:rPr>
        <w:t>Mexico</w:t>
      </w:r>
      <w:r w:rsidRPr="334BBF58" w:rsidR="502184AC">
        <w:rPr>
          <w:rFonts w:eastAsia="Arial" w:cs="Arial"/>
          <w:color w:val="000000" w:themeColor="text1" w:themeTint="FF" w:themeShade="FF"/>
          <w:sz w:val="22"/>
          <w:szCs w:val="22"/>
        </w:rPr>
        <w:t xml:space="preserve"> and Indonesia on the overall impact of leading to transformational change, and exogenous risks such as macro-economic conditions and conflict. </w:t>
      </w:r>
      <w:r w:rsidRPr="334BBF58" w:rsidR="502184AC">
        <w:rPr>
          <w:rFonts w:eastAsia="Arial" w:cs="Arial"/>
          <w:color w:val="000000" w:themeColor="text1" w:themeTint="FF" w:themeShade="FF"/>
          <w:sz w:val="22"/>
          <w:szCs w:val="22"/>
        </w:rPr>
        <w:t>As outlined below, mitigation</w:t>
      </w:r>
      <w:r w:rsidRPr="334BBF58" w:rsidR="502184AC">
        <w:rPr>
          <w:rFonts w:eastAsia="Arial" w:cs="Arial"/>
          <w:color w:val="000000" w:themeColor="text1" w:themeTint="FF" w:themeShade="FF"/>
          <w:sz w:val="22"/>
          <w:szCs w:val="22"/>
        </w:rPr>
        <w:t xml:space="preserve"> strategies are in place for these risks, and they will continue to be </w:t>
      </w:r>
      <w:r w:rsidRPr="334BBF58" w:rsidR="502184AC">
        <w:rPr>
          <w:rFonts w:eastAsia="Arial" w:cs="Arial"/>
          <w:color w:val="000000" w:themeColor="text1" w:themeTint="FF" w:themeShade="FF"/>
          <w:sz w:val="22"/>
          <w:szCs w:val="22"/>
        </w:rPr>
        <w:t>monitored</w:t>
      </w:r>
      <w:r w:rsidRPr="334BBF58" w:rsidR="502184AC">
        <w:rPr>
          <w:rFonts w:eastAsia="Arial" w:cs="Arial"/>
          <w:color w:val="000000" w:themeColor="text1" w:themeTint="FF" w:themeShade="FF"/>
          <w:sz w:val="22"/>
          <w:szCs w:val="22"/>
        </w:rPr>
        <w:t xml:space="preserve"> throughout FY2</w:t>
      </w:r>
      <w:r w:rsidRPr="334BBF58" w:rsidR="4A5BCB3C">
        <w:rPr>
          <w:rFonts w:eastAsia="Arial" w:cs="Arial"/>
          <w:color w:val="000000" w:themeColor="text1" w:themeTint="FF" w:themeShade="FF"/>
          <w:sz w:val="22"/>
          <w:szCs w:val="22"/>
        </w:rPr>
        <w:t>6</w:t>
      </w:r>
      <w:r w:rsidRPr="334BBF58" w:rsidR="502184AC">
        <w:rPr>
          <w:rFonts w:eastAsia="Arial" w:cs="Arial"/>
          <w:color w:val="000000" w:themeColor="text1" w:themeTint="FF" w:themeShade="FF"/>
          <w:sz w:val="22"/>
          <w:szCs w:val="22"/>
        </w:rPr>
        <w:t xml:space="preserve">. The World Bank sends us monthly Portfolio Reports which detail risks both at the fund level and for each of the five programmes. They also flag specific risks to us on an ad-hoc basis and, where </w:t>
      </w:r>
      <w:r w:rsidRPr="334BBF58" w:rsidR="502184AC">
        <w:rPr>
          <w:rFonts w:eastAsia="Arial" w:cs="Arial"/>
          <w:color w:val="000000" w:themeColor="text1" w:themeTint="FF" w:themeShade="FF"/>
          <w:sz w:val="22"/>
          <w:szCs w:val="22"/>
        </w:rPr>
        <w:t>appropriate</w:t>
      </w:r>
      <w:r w:rsidRPr="334BBF58" w:rsidR="502184AC">
        <w:rPr>
          <w:rFonts w:eastAsia="Arial" w:cs="Arial"/>
          <w:color w:val="000000" w:themeColor="text1" w:themeTint="FF" w:themeShade="FF"/>
          <w:sz w:val="22"/>
          <w:szCs w:val="22"/>
        </w:rPr>
        <w:t>, arrange meetings with contributors to discuss these.</w:t>
      </w:r>
    </w:p>
    <w:p w:rsidR="489AF8A9" w:rsidP="489AF8A9" w:rsidRDefault="489AF8A9" w14:paraId="50B455BB" w14:textId="19A97460">
      <w:pPr>
        <w:spacing w:before="40" w:after="40"/>
        <w:jc w:val="both"/>
        <w:rPr>
          <w:rFonts w:eastAsia="Arial" w:cs="Arial"/>
          <w:color w:val="000000" w:themeColor="text1"/>
          <w:sz w:val="20"/>
          <w:szCs w:val="20"/>
        </w:rPr>
      </w:pPr>
    </w:p>
    <w:p w:rsidR="502184AC" w:rsidP="489AF8A9" w:rsidRDefault="502184AC" w14:paraId="4DCED9FA" w14:textId="14B9A20E">
      <w:pPr>
        <w:contextualSpacing/>
        <w:rPr>
          <w:rFonts w:eastAsia="Arial" w:cs="Arial"/>
          <w:color w:val="000000" w:themeColor="text1"/>
          <w:sz w:val="22"/>
          <w:szCs w:val="22"/>
        </w:rPr>
      </w:pPr>
      <w:r w:rsidRPr="489AF8A9">
        <w:rPr>
          <w:rFonts w:eastAsia="Arial" w:cs="Arial"/>
          <w:b/>
          <w:bCs/>
          <w:color w:val="000000" w:themeColor="text1"/>
          <w:sz w:val="22"/>
          <w:szCs w:val="22"/>
        </w:rPr>
        <w:t>Current risks</w:t>
      </w:r>
    </w:p>
    <w:p w:rsidR="489AF8A9" w:rsidP="489AF8A9" w:rsidRDefault="489AF8A9" w14:paraId="414A6594" w14:textId="47F8E424">
      <w:pPr>
        <w:contextualSpacing/>
        <w:rPr>
          <w:rFonts w:eastAsia="Arial" w:cs="Arial"/>
          <w:color w:val="000000" w:themeColor="text1"/>
          <w:sz w:val="20"/>
          <w:szCs w:val="20"/>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25"/>
        <w:gridCol w:w="3075"/>
        <w:gridCol w:w="2985"/>
      </w:tblGrid>
      <w:tr w:rsidR="489AF8A9" w:rsidTr="334BBF58" w14:paraId="40D05B44" w14:textId="77777777">
        <w:trPr>
          <w:trHeight w:val="285"/>
        </w:trPr>
        <w:tc>
          <w:tcPr>
            <w:tcW w:w="2925"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489AF8A9" w:rsidP="489AF8A9" w:rsidRDefault="489AF8A9" w14:paraId="777E42B6" w14:textId="41297EE8">
            <w:pPr>
              <w:spacing w:before="40" w:after="40"/>
              <w:rPr>
                <w:rFonts w:eastAsia="Arial" w:cs="Arial"/>
                <w:sz w:val="20"/>
                <w:szCs w:val="20"/>
              </w:rPr>
            </w:pPr>
            <w:r w:rsidRPr="489AF8A9">
              <w:rPr>
                <w:rFonts w:eastAsia="Arial" w:cs="Arial"/>
                <w:b/>
                <w:bCs/>
                <w:sz w:val="20"/>
                <w:szCs w:val="20"/>
              </w:rPr>
              <w:t>Risk description </w:t>
            </w:r>
            <w:r w:rsidRPr="489AF8A9">
              <w:rPr>
                <w:rFonts w:eastAsia="Arial" w:cs="Arial"/>
                <w:sz w:val="20"/>
                <w:szCs w:val="20"/>
              </w:rPr>
              <w:t> </w:t>
            </w:r>
          </w:p>
        </w:tc>
        <w:tc>
          <w:tcPr>
            <w:tcW w:w="3075"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489AF8A9" w:rsidP="489AF8A9" w:rsidRDefault="489AF8A9" w14:paraId="7DFB7ACF" w14:textId="672EFB95">
            <w:pPr>
              <w:spacing w:before="40" w:after="40"/>
              <w:rPr>
                <w:rFonts w:eastAsia="Arial" w:cs="Arial"/>
                <w:sz w:val="20"/>
                <w:szCs w:val="20"/>
              </w:rPr>
            </w:pPr>
            <w:r w:rsidRPr="489AF8A9">
              <w:rPr>
                <w:rFonts w:eastAsia="Arial" w:cs="Arial"/>
                <w:b/>
                <w:bCs/>
                <w:sz w:val="20"/>
                <w:szCs w:val="20"/>
              </w:rPr>
              <w:t>Mitigation strategy </w:t>
            </w:r>
            <w:r w:rsidRPr="489AF8A9">
              <w:rPr>
                <w:rFonts w:eastAsia="Arial" w:cs="Arial"/>
                <w:sz w:val="20"/>
                <w:szCs w:val="20"/>
              </w:rPr>
              <w:t> </w:t>
            </w:r>
          </w:p>
        </w:tc>
        <w:tc>
          <w:tcPr>
            <w:tcW w:w="2985"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489AF8A9" w:rsidP="489AF8A9" w:rsidRDefault="489AF8A9" w14:paraId="648220A9" w14:textId="515C6F52">
            <w:pPr>
              <w:spacing w:before="40" w:after="40"/>
              <w:rPr>
                <w:rFonts w:eastAsia="Arial" w:cs="Arial"/>
                <w:sz w:val="20"/>
                <w:szCs w:val="20"/>
              </w:rPr>
            </w:pPr>
            <w:r w:rsidRPr="489AF8A9">
              <w:rPr>
                <w:rFonts w:eastAsia="Arial" w:cs="Arial"/>
                <w:b/>
                <w:bCs/>
                <w:sz w:val="20"/>
                <w:szCs w:val="20"/>
              </w:rPr>
              <w:t>Residual Risk rating</w:t>
            </w:r>
            <w:r w:rsidRPr="489AF8A9">
              <w:rPr>
                <w:rFonts w:eastAsia="Arial" w:cs="Arial"/>
                <w:sz w:val="20"/>
                <w:szCs w:val="20"/>
              </w:rPr>
              <w:t> </w:t>
            </w:r>
          </w:p>
        </w:tc>
      </w:tr>
      <w:tr w:rsidR="489AF8A9" w:rsidTr="334BBF58" w14:paraId="0EBF1314"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7D696D03" w14:textId="5D314931">
            <w:pPr>
              <w:spacing w:before="40" w:after="40"/>
              <w:rPr>
                <w:rFonts w:eastAsia="Arial" w:cs="Arial"/>
                <w:sz w:val="20"/>
                <w:szCs w:val="20"/>
              </w:rPr>
            </w:pPr>
            <w:r w:rsidRPr="489AF8A9">
              <w:rPr>
                <w:rFonts w:eastAsia="Arial" w:cs="Arial"/>
                <w:b/>
                <w:bCs/>
                <w:sz w:val="20"/>
                <w:szCs w:val="20"/>
              </w:rPr>
              <w:t>Macro-economic/fiscal</w:t>
            </w:r>
            <w:r w:rsidRPr="489AF8A9">
              <w:rPr>
                <w:rFonts w:eastAsia="Arial" w:cs="Arial"/>
                <w:sz w:val="20"/>
                <w:szCs w:val="20"/>
              </w:rPr>
              <w:t> </w:t>
            </w:r>
          </w:p>
          <w:p w:rsidR="489AF8A9" w:rsidP="489AF8A9" w:rsidRDefault="489AF8A9" w14:paraId="04112096" w14:textId="1178180A">
            <w:pPr>
              <w:spacing w:before="40" w:after="40"/>
              <w:rPr>
                <w:rFonts w:eastAsia="Arial" w:cs="Arial"/>
                <w:sz w:val="20"/>
                <w:szCs w:val="20"/>
              </w:rPr>
            </w:pPr>
            <w:r w:rsidRPr="489AF8A9">
              <w:rPr>
                <w:rFonts w:eastAsia="Arial" w:cs="Arial"/>
                <w:sz w:val="20"/>
                <w:szCs w:val="20"/>
              </w:rPr>
              <w:t>Downturns in national and/or state economies reduce public spending and appetite for forest protection, or for working with international donor community. </w:t>
            </w:r>
          </w:p>
          <w:p w:rsidR="489AF8A9" w:rsidP="489AF8A9" w:rsidRDefault="489AF8A9" w14:paraId="3747CAB1" w14:textId="32E508AD">
            <w:pPr>
              <w:spacing w:before="40" w:after="40"/>
              <w:rPr>
                <w:rFonts w:eastAsia="Arial" w:cs="Arial"/>
                <w:sz w:val="20"/>
                <w:szCs w:val="20"/>
              </w:rPr>
            </w:pPr>
            <w:r w:rsidRPr="489AF8A9">
              <w:rPr>
                <w:rFonts w:eastAsia="Arial" w:cs="Arial"/>
                <w:sz w:val="20"/>
                <w:szCs w:val="20"/>
              </w:rPr>
              <w:t> </w:t>
            </w:r>
          </w:p>
          <w:p w:rsidR="489AF8A9" w:rsidP="489AF8A9" w:rsidRDefault="489AF8A9" w14:paraId="13298BB4" w14:textId="0D9B8D3B">
            <w:pPr>
              <w:spacing w:before="40" w:after="40"/>
              <w:rPr>
                <w:rFonts w:eastAsia="Arial" w:cs="Arial"/>
                <w:sz w:val="20"/>
                <w:szCs w:val="20"/>
              </w:rPr>
            </w:pPr>
            <w:r w:rsidRPr="489AF8A9">
              <w:rPr>
                <w:rFonts w:eastAsia="Arial" w:cs="Arial"/>
                <w:sz w:val="20"/>
                <w:szCs w:val="20"/>
              </w:rPr>
              <w:t>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5CF7C651" w14:textId="21E3089F">
            <w:pPr>
              <w:spacing w:before="40" w:after="40"/>
              <w:rPr>
                <w:rFonts w:eastAsia="Arial" w:cs="Arial"/>
                <w:sz w:val="20"/>
                <w:szCs w:val="20"/>
              </w:rPr>
            </w:pPr>
            <w:r w:rsidRPr="489AF8A9">
              <w:rPr>
                <w:rFonts w:eastAsia="Arial" w:cs="Arial"/>
                <w:sz w:val="20"/>
                <w:szCs w:val="20"/>
              </w:rPr>
              <w:t>Seek information with World Bank and Post and continue to monitor situation. </w:t>
            </w:r>
          </w:p>
          <w:p w:rsidR="489AF8A9" w:rsidP="489AF8A9" w:rsidRDefault="489AF8A9" w14:paraId="752BC1B3" w14:textId="23652A8F">
            <w:pPr>
              <w:spacing w:before="40" w:after="40"/>
              <w:rPr>
                <w:rFonts w:eastAsia="Arial" w:cs="Arial"/>
                <w:sz w:val="20"/>
                <w:szCs w:val="20"/>
              </w:rPr>
            </w:pPr>
            <w:r w:rsidRPr="489AF8A9">
              <w:rPr>
                <w:rFonts w:eastAsia="Arial" w:cs="Arial"/>
                <w:sz w:val="20"/>
                <w:szCs w:val="20"/>
              </w:rPr>
              <w:t> </w:t>
            </w:r>
          </w:p>
          <w:p w:rsidR="489AF8A9" w:rsidP="489AF8A9" w:rsidRDefault="489AF8A9" w14:paraId="68B0B0CF" w14:textId="2A336323">
            <w:pPr>
              <w:spacing w:before="40" w:after="40"/>
              <w:rPr>
                <w:rFonts w:eastAsia="Arial" w:cs="Arial"/>
                <w:sz w:val="20"/>
                <w:szCs w:val="20"/>
              </w:rPr>
            </w:pPr>
            <w:r w:rsidRPr="489AF8A9">
              <w:rPr>
                <w:rFonts w:eastAsia="Arial" w:cs="Arial"/>
                <w:sz w:val="20"/>
                <w:szCs w:val="20"/>
              </w:rPr>
              <w:t> </w:t>
            </w:r>
          </w:p>
        </w:tc>
        <w:tc>
          <w:tcPr>
            <w:tcW w:w="2985" w:type="dxa"/>
            <w:tcBorders>
              <w:top w:val="single" w:color="auto" w:sz="6" w:space="0"/>
              <w:left w:val="single" w:color="auto" w:sz="6" w:space="0"/>
              <w:bottom w:val="single" w:color="auto" w:sz="6" w:space="0"/>
              <w:right w:val="single" w:color="auto" w:sz="6" w:space="0"/>
            </w:tcBorders>
            <w:shd w:val="clear" w:color="auto" w:fill="FF7979"/>
            <w:tcMar/>
          </w:tcPr>
          <w:p w:rsidR="489AF8A9" w:rsidP="489AF8A9" w:rsidRDefault="489AF8A9" w14:paraId="7D0A14C1" w14:textId="7D941C7F">
            <w:pPr>
              <w:spacing w:before="40" w:after="40"/>
              <w:rPr>
                <w:rFonts w:eastAsia="Arial" w:cs="Arial"/>
                <w:sz w:val="20"/>
                <w:szCs w:val="20"/>
              </w:rPr>
            </w:pPr>
            <w:r w:rsidRPr="489AF8A9">
              <w:rPr>
                <w:rFonts w:eastAsia="Arial" w:cs="Arial"/>
                <w:b/>
                <w:bCs/>
                <w:sz w:val="20"/>
                <w:szCs w:val="20"/>
                <w:u w:val="single"/>
              </w:rPr>
              <w:t>Major</w:t>
            </w:r>
            <w:r w:rsidRPr="489AF8A9">
              <w:rPr>
                <w:rFonts w:eastAsia="Arial" w:cs="Arial"/>
                <w:sz w:val="20"/>
                <w:szCs w:val="20"/>
              </w:rPr>
              <w:t> </w:t>
            </w:r>
          </w:p>
          <w:p w:rsidR="489AF8A9" w:rsidP="489AF8A9" w:rsidRDefault="489AF8A9" w14:paraId="1F9F0DCD" w14:textId="37A7DAD2">
            <w:pPr>
              <w:spacing w:before="40" w:after="40"/>
              <w:rPr>
                <w:rFonts w:eastAsia="Arial" w:cs="Arial"/>
                <w:sz w:val="20"/>
                <w:szCs w:val="20"/>
              </w:rPr>
            </w:pPr>
            <w:r w:rsidRPr="489AF8A9">
              <w:rPr>
                <w:rFonts w:eastAsia="Arial" w:cs="Arial"/>
                <w:sz w:val="20"/>
                <w:szCs w:val="20"/>
              </w:rPr>
              <w:t>We consider this a major risk due to forest country governments’ budgets being impacted by general economic downturns. </w:t>
            </w:r>
          </w:p>
          <w:p w:rsidR="489AF8A9" w:rsidP="489AF8A9" w:rsidRDefault="489AF8A9" w14:paraId="294DDBE6" w14:textId="37A8D925">
            <w:pPr>
              <w:spacing w:before="40" w:after="40"/>
              <w:rPr>
                <w:rFonts w:eastAsia="Arial" w:cs="Arial"/>
                <w:sz w:val="20"/>
                <w:szCs w:val="20"/>
              </w:rPr>
            </w:pPr>
            <w:r w:rsidRPr="489AF8A9">
              <w:rPr>
                <w:rFonts w:eastAsia="Arial" w:cs="Arial"/>
                <w:sz w:val="20"/>
                <w:szCs w:val="20"/>
              </w:rPr>
              <w:t> </w:t>
            </w:r>
          </w:p>
          <w:p w:rsidR="00A24B9A" w:rsidP="0E88F1FB" w:rsidRDefault="489AF8A9" w14:paraId="7D9CC95F" w14:textId="0578CDC0">
            <w:pPr>
              <w:spacing w:before="40" w:after="40"/>
              <w:rPr>
                <w:rFonts w:eastAsia="Arial" w:cs="Arial"/>
                <w:sz w:val="20"/>
                <w:szCs w:val="20"/>
              </w:rPr>
            </w:pPr>
            <w:r w:rsidRPr="334BBF58" w:rsidR="7AD98E9B">
              <w:rPr>
                <w:rFonts w:eastAsia="Arial" w:cs="Arial"/>
                <w:sz w:val="20"/>
                <w:szCs w:val="20"/>
              </w:rPr>
              <w:t>FY2</w:t>
            </w:r>
            <w:r w:rsidRPr="334BBF58" w:rsidR="13916FD1">
              <w:rPr>
                <w:rFonts w:eastAsia="Arial" w:cs="Arial"/>
                <w:sz w:val="20"/>
                <w:szCs w:val="20"/>
              </w:rPr>
              <w:t>5</w:t>
            </w:r>
            <w:r w:rsidRPr="334BBF58" w:rsidR="7AD98E9B">
              <w:rPr>
                <w:rFonts w:eastAsia="Arial" w:cs="Arial"/>
                <w:sz w:val="20"/>
                <w:szCs w:val="20"/>
              </w:rPr>
              <w:t>: Major </w:t>
            </w:r>
          </w:p>
          <w:p w:rsidR="489AF8A9" w:rsidP="0E88F1FB" w:rsidRDefault="00A24B9A" w14:paraId="269C2058" w14:textId="6D5F5716">
            <w:pPr>
              <w:spacing w:before="40" w:after="40"/>
              <w:rPr>
                <w:rFonts w:eastAsia="Arial" w:cs="Arial"/>
                <w:sz w:val="20"/>
                <w:szCs w:val="20"/>
              </w:rPr>
            </w:pPr>
            <w:r>
              <w:rPr>
                <w:rFonts w:eastAsia="Arial" w:cs="Arial"/>
                <w:sz w:val="20"/>
                <w:szCs w:val="20"/>
              </w:rPr>
              <w:t>(unchanged from FY24)</w:t>
            </w:r>
          </w:p>
        </w:tc>
      </w:tr>
      <w:tr w:rsidR="489AF8A9" w:rsidTr="334BBF58" w14:paraId="4BF1170B"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400020D0" w14:textId="1B124E5D">
            <w:pPr>
              <w:spacing w:before="40" w:after="40"/>
              <w:rPr>
                <w:rFonts w:eastAsia="Arial" w:cs="Arial"/>
                <w:sz w:val="20"/>
                <w:szCs w:val="20"/>
              </w:rPr>
            </w:pPr>
            <w:r w:rsidRPr="489AF8A9">
              <w:rPr>
                <w:rFonts w:eastAsia="Arial" w:cs="Arial"/>
                <w:b/>
                <w:bCs/>
                <w:sz w:val="20"/>
                <w:szCs w:val="20"/>
              </w:rPr>
              <w:t>Conflict/Political </w:t>
            </w:r>
            <w:r w:rsidRPr="489AF8A9">
              <w:rPr>
                <w:rFonts w:eastAsia="Arial" w:cs="Arial"/>
                <w:sz w:val="20"/>
                <w:szCs w:val="20"/>
              </w:rPr>
              <w:t> </w:t>
            </w:r>
          </w:p>
          <w:p w:rsidR="489AF8A9" w:rsidP="489AF8A9" w:rsidRDefault="489AF8A9" w14:paraId="0A303DBC" w14:textId="330F0DC9">
            <w:pPr>
              <w:spacing w:before="40" w:after="40"/>
              <w:rPr>
                <w:rFonts w:eastAsia="Arial" w:cs="Arial"/>
                <w:sz w:val="20"/>
                <w:szCs w:val="20"/>
              </w:rPr>
            </w:pPr>
            <w:r w:rsidRPr="489AF8A9">
              <w:rPr>
                <w:rFonts w:eastAsia="Arial" w:cs="Arial"/>
                <w:sz w:val="20"/>
                <w:szCs w:val="20"/>
              </w:rPr>
              <w:t>Conflict in countries escalates or changes in political leadership causes criticism/weakening of environmental protection legislation at national/state level and reduced jurisdictional progress on avoiding deforestation (a potential example could be the Omnibus legislation in Indonesia).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66461E97" w14:textId="71E6D09C">
            <w:pPr>
              <w:spacing w:before="40" w:after="40"/>
              <w:rPr>
                <w:rFonts w:eastAsia="Arial" w:cs="Arial"/>
                <w:sz w:val="20"/>
                <w:szCs w:val="20"/>
              </w:rPr>
            </w:pPr>
            <w:r w:rsidRPr="489AF8A9">
              <w:rPr>
                <w:rFonts w:eastAsia="Arial" w:cs="Arial"/>
                <w:sz w:val="20"/>
                <w:szCs w:val="20"/>
              </w:rPr>
              <w:t>Engage with Post and World Bank task teams in countries for identification and monitoring of conflict and political risks at national and state level to reduce likelihood of these. Encourage an adaptive approach to ERPA negotiations to support better cooperation. </w:t>
            </w:r>
          </w:p>
        </w:tc>
        <w:tc>
          <w:tcPr>
            <w:tcW w:w="2985" w:type="dxa"/>
            <w:tcBorders>
              <w:top w:val="single" w:color="auto" w:sz="6" w:space="0"/>
              <w:left w:val="single" w:color="auto" w:sz="6" w:space="0"/>
              <w:bottom w:val="single" w:color="auto" w:sz="6" w:space="0"/>
              <w:right w:val="single" w:color="auto" w:sz="6" w:space="0"/>
            </w:tcBorders>
            <w:shd w:val="clear" w:color="auto" w:fill="FF7979"/>
            <w:tcMar/>
          </w:tcPr>
          <w:p w:rsidR="489AF8A9" w:rsidP="489AF8A9" w:rsidRDefault="489AF8A9" w14:paraId="709E953F" w14:textId="68F4C396">
            <w:pPr>
              <w:spacing w:before="40" w:after="40"/>
              <w:rPr>
                <w:rFonts w:eastAsia="Arial" w:cs="Arial"/>
                <w:sz w:val="20"/>
                <w:szCs w:val="20"/>
              </w:rPr>
            </w:pPr>
            <w:r w:rsidRPr="489AF8A9">
              <w:rPr>
                <w:rFonts w:eastAsia="Arial" w:cs="Arial"/>
                <w:b/>
                <w:bCs/>
                <w:sz w:val="20"/>
                <w:szCs w:val="20"/>
                <w:u w:val="single"/>
              </w:rPr>
              <w:t>Major</w:t>
            </w:r>
          </w:p>
          <w:p w:rsidR="489AF8A9" w:rsidP="489AF8A9" w:rsidRDefault="489AF8A9" w14:paraId="79ABE0AE" w14:textId="2A17F5C9">
            <w:pPr>
              <w:spacing w:before="40" w:after="40"/>
              <w:rPr>
                <w:rFonts w:eastAsia="Arial" w:cs="Arial"/>
                <w:sz w:val="20"/>
                <w:szCs w:val="20"/>
              </w:rPr>
            </w:pPr>
            <w:r w:rsidRPr="489AF8A9">
              <w:rPr>
                <w:rFonts w:eastAsia="Arial" w:cs="Arial"/>
                <w:sz w:val="20"/>
                <w:szCs w:val="20"/>
              </w:rPr>
              <w:t>The risk rating varies between the ISFL countries. In Ethiopia, we consider there to be a Major risk related to conflict, and a Moderate risk in Colombia and Mexico, and a Minor risk in Zambia and Indonesia.  </w:t>
            </w:r>
          </w:p>
          <w:p w:rsidR="489AF8A9" w:rsidP="489AF8A9" w:rsidRDefault="489AF8A9" w14:paraId="22F498BD" w14:textId="673A511C">
            <w:pPr>
              <w:spacing w:before="40" w:after="40"/>
              <w:rPr>
                <w:rFonts w:eastAsia="Arial" w:cs="Arial"/>
                <w:sz w:val="20"/>
                <w:szCs w:val="20"/>
              </w:rPr>
            </w:pPr>
            <w:r w:rsidRPr="489AF8A9">
              <w:rPr>
                <w:rFonts w:eastAsia="Arial" w:cs="Arial"/>
                <w:sz w:val="20"/>
                <w:szCs w:val="20"/>
              </w:rPr>
              <w:t> </w:t>
            </w:r>
          </w:p>
          <w:p w:rsidR="489AF8A9" w:rsidP="489AF8A9" w:rsidRDefault="489AF8A9" w14:paraId="2984756D" w14:textId="2B9FFB3C">
            <w:pPr>
              <w:spacing w:before="40" w:after="40"/>
              <w:rPr>
                <w:rFonts w:eastAsia="Arial" w:cs="Arial"/>
                <w:sz w:val="20"/>
                <w:szCs w:val="20"/>
              </w:rPr>
            </w:pPr>
            <w:r w:rsidRPr="489AF8A9">
              <w:rPr>
                <w:rFonts w:eastAsia="Arial" w:cs="Arial"/>
                <w:b/>
                <w:bCs/>
                <w:sz w:val="20"/>
                <w:szCs w:val="20"/>
              </w:rPr>
              <w:t>Ethiopia:</w:t>
            </w:r>
            <w:r w:rsidRPr="489AF8A9">
              <w:rPr>
                <w:rFonts w:eastAsia="Arial" w:cs="Arial"/>
                <w:sz w:val="20"/>
                <w:szCs w:val="20"/>
              </w:rPr>
              <w:t xml:space="preserve"> Political risks remain with the Tigray conflict taking place, some areas in west Oromia still having some security issues which may impact programme activities.   </w:t>
            </w:r>
          </w:p>
          <w:p w:rsidR="489AF8A9" w:rsidP="489AF8A9" w:rsidRDefault="489AF8A9" w14:paraId="4CA4BA4F" w14:textId="79369272">
            <w:pPr>
              <w:spacing w:before="40" w:after="40"/>
              <w:rPr>
                <w:rFonts w:eastAsia="Arial" w:cs="Arial"/>
                <w:sz w:val="20"/>
                <w:szCs w:val="20"/>
              </w:rPr>
            </w:pPr>
            <w:r w:rsidRPr="489AF8A9">
              <w:rPr>
                <w:rFonts w:eastAsia="Arial" w:cs="Arial"/>
                <w:b/>
                <w:bCs/>
                <w:sz w:val="20"/>
                <w:szCs w:val="20"/>
              </w:rPr>
              <w:t>Colombia</w:t>
            </w:r>
            <w:r w:rsidRPr="489AF8A9">
              <w:rPr>
                <w:rFonts w:eastAsia="Arial" w:cs="Arial"/>
                <w:sz w:val="20"/>
                <w:szCs w:val="20"/>
              </w:rPr>
              <w:t xml:space="preserve">: Monitoring FARC influence in </w:t>
            </w:r>
            <w:proofErr w:type="spellStart"/>
            <w:r w:rsidRPr="489AF8A9">
              <w:rPr>
                <w:rFonts w:eastAsia="Arial" w:cs="Arial"/>
                <w:sz w:val="20"/>
                <w:szCs w:val="20"/>
              </w:rPr>
              <w:t>Orinoquía</w:t>
            </w:r>
            <w:proofErr w:type="spellEnd"/>
            <w:r w:rsidRPr="489AF8A9">
              <w:rPr>
                <w:rFonts w:eastAsia="Arial" w:cs="Arial"/>
                <w:sz w:val="20"/>
                <w:szCs w:val="20"/>
              </w:rPr>
              <w:t xml:space="preserve"> and impacts of changing regional and local governments.  </w:t>
            </w:r>
          </w:p>
          <w:p w:rsidR="489AF8A9" w:rsidP="489AF8A9" w:rsidRDefault="489AF8A9" w14:paraId="5DF0D076" w14:textId="526673B1">
            <w:pPr>
              <w:spacing w:before="40" w:after="40"/>
              <w:rPr>
                <w:rFonts w:eastAsia="Arial" w:cs="Arial"/>
                <w:sz w:val="20"/>
                <w:szCs w:val="20"/>
              </w:rPr>
            </w:pPr>
            <w:r w:rsidRPr="489AF8A9">
              <w:rPr>
                <w:rFonts w:eastAsia="Arial" w:cs="Arial"/>
                <w:b/>
                <w:bCs/>
                <w:sz w:val="20"/>
                <w:szCs w:val="20"/>
              </w:rPr>
              <w:t>Mexico:</w:t>
            </w:r>
            <w:r w:rsidRPr="489AF8A9">
              <w:rPr>
                <w:rFonts w:eastAsia="Arial" w:cs="Arial"/>
                <w:sz w:val="20"/>
                <w:szCs w:val="20"/>
              </w:rPr>
              <w:t xml:space="preserve"> Internal political changes continue to cause delays, and interinstitutional governance arrangements are proving challenging. We will discuss with Post and consider wider potential influences. </w:t>
            </w:r>
          </w:p>
          <w:p w:rsidR="489AF8A9" w:rsidP="489AF8A9" w:rsidRDefault="489AF8A9" w14:paraId="024AE0D0" w14:textId="62C782BF">
            <w:pPr>
              <w:spacing w:before="40" w:after="40"/>
              <w:rPr>
                <w:rFonts w:eastAsia="Arial" w:cs="Arial"/>
                <w:sz w:val="20"/>
                <w:szCs w:val="20"/>
              </w:rPr>
            </w:pPr>
            <w:r w:rsidRPr="489AF8A9">
              <w:rPr>
                <w:rFonts w:eastAsia="Arial" w:cs="Arial"/>
                <w:sz w:val="20"/>
                <w:szCs w:val="20"/>
              </w:rPr>
              <w:t> </w:t>
            </w:r>
          </w:p>
          <w:p w:rsidR="489AF8A9" w:rsidP="509E3DF8" w:rsidRDefault="489AF8A9" w14:paraId="213628C2" w14:textId="77777777">
            <w:pPr>
              <w:spacing w:before="40" w:after="40"/>
              <w:rPr>
                <w:rFonts w:eastAsia="Arial" w:cs="Arial"/>
                <w:sz w:val="20"/>
                <w:szCs w:val="20"/>
              </w:rPr>
            </w:pPr>
            <w:r w:rsidRPr="509E3DF8">
              <w:rPr>
                <w:rFonts w:eastAsia="Arial" w:cs="Arial"/>
                <w:sz w:val="20"/>
                <w:szCs w:val="20"/>
              </w:rPr>
              <w:t>FY2</w:t>
            </w:r>
            <w:r w:rsidR="00DA700E">
              <w:rPr>
                <w:rFonts w:eastAsia="Arial" w:cs="Arial"/>
                <w:sz w:val="20"/>
                <w:szCs w:val="20"/>
              </w:rPr>
              <w:t>5</w:t>
            </w:r>
            <w:r w:rsidRPr="509E3DF8">
              <w:rPr>
                <w:rFonts w:eastAsia="Arial" w:cs="Arial"/>
                <w:sz w:val="20"/>
                <w:szCs w:val="20"/>
              </w:rPr>
              <w:t>: Major/Moderate </w:t>
            </w:r>
          </w:p>
          <w:p w:rsidR="00A24B9A" w:rsidP="509E3DF8" w:rsidRDefault="00A24B9A" w14:paraId="48A6411A" w14:textId="35C65166">
            <w:pPr>
              <w:spacing w:before="40" w:after="40"/>
              <w:rPr>
                <w:rFonts w:eastAsia="Arial" w:cs="Arial"/>
                <w:sz w:val="20"/>
                <w:szCs w:val="20"/>
              </w:rPr>
            </w:pPr>
            <w:r>
              <w:rPr>
                <w:rFonts w:eastAsia="Arial" w:cs="Arial"/>
                <w:sz w:val="20"/>
                <w:szCs w:val="20"/>
              </w:rPr>
              <w:t>(unchanged from FY24)</w:t>
            </w:r>
          </w:p>
        </w:tc>
      </w:tr>
      <w:tr w:rsidR="489AF8A9" w:rsidTr="334BBF58" w14:paraId="10E0F8AC"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3D62F607" w14:textId="2FE9995B">
            <w:pPr>
              <w:spacing w:before="40" w:after="40"/>
              <w:rPr>
                <w:rFonts w:eastAsia="Arial" w:cs="Arial"/>
                <w:sz w:val="20"/>
                <w:szCs w:val="20"/>
              </w:rPr>
            </w:pPr>
            <w:r w:rsidRPr="489AF8A9">
              <w:rPr>
                <w:rFonts w:eastAsia="Arial" w:cs="Arial"/>
                <w:b/>
                <w:bCs/>
                <w:sz w:val="20"/>
                <w:szCs w:val="20"/>
              </w:rPr>
              <w:t xml:space="preserve">Delivery failure/delays </w:t>
            </w:r>
          </w:p>
          <w:p w:rsidR="489AF8A9" w:rsidP="489AF8A9" w:rsidRDefault="489AF8A9" w14:paraId="5C06200E" w14:textId="52B819D1">
            <w:pPr>
              <w:spacing w:before="40" w:after="40"/>
              <w:rPr>
                <w:rFonts w:eastAsia="Arial" w:cs="Arial"/>
                <w:sz w:val="20"/>
                <w:szCs w:val="20"/>
              </w:rPr>
            </w:pPr>
            <w:r w:rsidRPr="489AF8A9">
              <w:rPr>
                <w:rFonts w:eastAsia="Arial" w:cs="Arial"/>
                <w:sz w:val="20"/>
                <w:szCs w:val="20"/>
              </w:rPr>
              <w:t>ERPA negotiations fail or are significantly delayed due to – contributors not reaching consensus due to differing policy positions; countries not wishing to agree to ERPA terms (e.g., pricing), political upheaval; and difficulty in reaching compromise (e.g., wariness about transferring title/forward-commitments; price).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7C1548F3" w14:textId="6E0C6EBD">
            <w:pPr>
              <w:spacing w:before="40" w:after="40"/>
              <w:rPr>
                <w:rFonts w:eastAsia="Arial" w:cs="Arial"/>
                <w:sz w:val="20"/>
                <w:szCs w:val="20"/>
              </w:rPr>
            </w:pPr>
            <w:r w:rsidRPr="489AF8A9">
              <w:rPr>
                <w:rFonts w:eastAsia="Arial" w:cs="Arial"/>
                <w:sz w:val="20"/>
                <w:szCs w:val="20"/>
              </w:rPr>
              <w:t>Contributors to increase frequency of coordination discussions in order to help build consensus on policy positions.  </w:t>
            </w:r>
          </w:p>
          <w:p w:rsidR="489AF8A9" w:rsidP="489AF8A9" w:rsidRDefault="489AF8A9" w14:paraId="359D6089" w14:textId="6E10DF9A">
            <w:pPr>
              <w:spacing w:before="40" w:after="40"/>
              <w:rPr>
                <w:rFonts w:eastAsia="Arial" w:cs="Arial"/>
                <w:sz w:val="20"/>
                <w:szCs w:val="20"/>
              </w:rPr>
            </w:pPr>
            <w:r w:rsidRPr="489AF8A9">
              <w:rPr>
                <w:rFonts w:eastAsia="Arial" w:cs="Arial"/>
                <w:sz w:val="20"/>
                <w:szCs w:val="20"/>
              </w:rPr>
              <w:t> </w:t>
            </w:r>
          </w:p>
          <w:p w:rsidR="489AF8A9" w:rsidP="489AF8A9" w:rsidRDefault="489AF8A9" w14:paraId="27BFD683" w14:textId="09055446">
            <w:pPr>
              <w:spacing w:before="40" w:after="40"/>
              <w:rPr>
                <w:rFonts w:eastAsia="Arial" w:cs="Arial"/>
                <w:sz w:val="20"/>
                <w:szCs w:val="20"/>
              </w:rPr>
            </w:pPr>
            <w:r w:rsidRPr="489AF8A9">
              <w:rPr>
                <w:rFonts w:eastAsia="Arial" w:cs="Arial"/>
                <w:sz w:val="20"/>
                <w:szCs w:val="20"/>
              </w:rPr>
              <w:t>Contributors and World Bank to consider mechanisms to improve timeliness/effectiveness of delivery.</w:t>
            </w:r>
          </w:p>
        </w:tc>
        <w:tc>
          <w:tcPr>
            <w:tcW w:w="2985" w:type="dxa"/>
            <w:tcBorders>
              <w:top w:val="single" w:color="auto" w:sz="6" w:space="0"/>
              <w:left w:val="single" w:color="auto" w:sz="6" w:space="0"/>
              <w:bottom w:val="single" w:color="auto" w:sz="6" w:space="0"/>
              <w:right w:val="single" w:color="auto" w:sz="6" w:space="0"/>
            </w:tcBorders>
            <w:shd w:val="clear" w:color="auto" w:fill="FF7979"/>
            <w:tcMar/>
          </w:tcPr>
          <w:p w:rsidR="489AF8A9" w:rsidP="489AF8A9" w:rsidRDefault="489AF8A9" w14:paraId="15F8B92B" w14:textId="1C9CEC7C">
            <w:pPr>
              <w:spacing w:before="40" w:after="40"/>
              <w:rPr>
                <w:rFonts w:eastAsia="Arial" w:cs="Arial"/>
                <w:sz w:val="20"/>
                <w:szCs w:val="20"/>
              </w:rPr>
            </w:pPr>
            <w:r w:rsidRPr="489AF8A9">
              <w:rPr>
                <w:rFonts w:eastAsia="Arial" w:cs="Arial"/>
                <w:b/>
                <w:bCs/>
                <w:sz w:val="20"/>
                <w:szCs w:val="20"/>
                <w:u w:val="single"/>
              </w:rPr>
              <w:t>Major </w:t>
            </w:r>
            <w:r w:rsidRPr="489AF8A9">
              <w:rPr>
                <w:rFonts w:eastAsia="Arial" w:cs="Arial"/>
                <w:sz w:val="20"/>
                <w:szCs w:val="20"/>
              </w:rPr>
              <w:t> </w:t>
            </w:r>
          </w:p>
          <w:p w:rsidRPr="00C54D89" w:rsidR="489AF8A9" w:rsidP="6B1D19E2" w:rsidRDefault="00B71A4D" w14:paraId="2B7B4269" w14:textId="21426E97">
            <w:pPr>
              <w:spacing w:before="40" w:after="40"/>
              <w:rPr>
                <w:rFonts w:eastAsia="Arial" w:cs="Arial"/>
                <w:sz w:val="20"/>
                <w:szCs w:val="20"/>
              </w:rPr>
            </w:pPr>
            <w:r w:rsidRPr="334BBF58" w:rsidR="0E4C4C59">
              <w:rPr>
                <w:rFonts w:eastAsia="Arial" w:cs="Arial"/>
                <w:sz w:val="20"/>
                <w:szCs w:val="20"/>
              </w:rPr>
              <w:t xml:space="preserve">A range of delays continue to </w:t>
            </w:r>
            <w:r w:rsidRPr="334BBF58" w:rsidR="3F33B538">
              <w:rPr>
                <w:rFonts w:eastAsia="Arial" w:cs="Arial"/>
                <w:sz w:val="20"/>
                <w:szCs w:val="20"/>
              </w:rPr>
              <w:t xml:space="preserve">stall ERPA signatures. </w:t>
            </w:r>
            <w:r w:rsidRPr="334BBF58" w:rsidR="517F983A">
              <w:rPr>
                <w:rFonts w:eastAsia="Arial" w:cs="Arial"/>
                <w:sz w:val="20"/>
                <w:szCs w:val="20"/>
              </w:rPr>
              <w:t>Until all ERPAs</w:t>
            </w:r>
            <w:r w:rsidRPr="334BBF58" w:rsidR="517F983A">
              <w:rPr>
                <w:rFonts w:eastAsia="Arial" w:cs="Arial"/>
                <w:sz w:val="20"/>
                <w:szCs w:val="20"/>
              </w:rPr>
              <w:t xml:space="preserve"> are signed, this risk will remain Major. </w:t>
            </w:r>
          </w:p>
          <w:p w:rsidR="2FCBFD83" w:rsidP="2FCBFD83" w:rsidRDefault="2FCBFD83" w14:paraId="75620153" w14:textId="3117ABCF">
            <w:pPr>
              <w:spacing w:before="40" w:after="40"/>
              <w:rPr>
                <w:rFonts w:eastAsia="Arial" w:cs="Arial"/>
                <w:sz w:val="20"/>
                <w:szCs w:val="20"/>
              </w:rPr>
            </w:pPr>
          </w:p>
          <w:p w:rsidR="764B2448" w:rsidP="2FCBFD83" w:rsidRDefault="764B2448" w14:paraId="1195D3CB" w14:textId="3EEB3151">
            <w:pPr>
              <w:spacing w:before="40" w:after="40"/>
              <w:rPr>
                <w:rFonts w:eastAsia="Arial" w:cs="Arial"/>
                <w:sz w:val="20"/>
                <w:szCs w:val="20"/>
              </w:rPr>
            </w:pPr>
            <w:r w:rsidRPr="32E1F54A" w:rsidR="764B2448">
              <w:rPr>
                <w:rFonts w:eastAsia="Arial" w:cs="Arial"/>
                <w:sz w:val="20"/>
                <w:szCs w:val="20"/>
              </w:rPr>
              <w:t>The Indonesia ERPA signing has been indefinitely paused due to a complaint made a</w:t>
            </w:r>
            <w:r w:rsidRPr="32E1F54A" w:rsidR="7B4DF8DF">
              <w:rPr>
                <w:rFonts w:eastAsia="Arial" w:cs="Arial"/>
                <w:sz w:val="20"/>
                <w:szCs w:val="20"/>
              </w:rPr>
              <w:t>gainst</w:t>
            </w:r>
            <w:r w:rsidRPr="32E1F54A" w:rsidR="764B2448">
              <w:rPr>
                <w:rFonts w:eastAsia="Arial" w:cs="Arial"/>
                <w:sz w:val="20"/>
                <w:szCs w:val="20"/>
              </w:rPr>
              <w:t xml:space="preserve"> the FCPF East Kalimantan programme around safeguards and benefit sharing. We are continuing to engage with the World Bank on this.</w:t>
            </w:r>
          </w:p>
          <w:p w:rsidR="489AF8A9" w:rsidP="3956614C" w:rsidRDefault="489AF8A9" w14:paraId="5E8C1719" w14:textId="4A4945C0">
            <w:pPr>
              <w:spacing w:before="40" w:after="40"/>
              <w:rPr>
                <w:rFonts w:eastAsia="Arial" w:cs="Arial"/>
                <w:sz w:val="20"/>
                <w:szCs w:val="20"/>
              </w:rPr>
            </w:pPr>
            <w:r w:rsidRPr="3956614C" w:rsidR="489AF8A9">
              <w:rPr>
                <w:rFonts w:eastAsia="Arial" w:cs="Arial"/>
                <w:sz w:val="20"/>
                <w:szCs w:val="20"/>
              </w:rPr>
              <w:t> </w:t>
            </w:r>
          </w:p>
          <w:p w:rsidR="489AF8A9" w:rsidP="3956614C" w:rsidRDefault="489AF8A9" w14:paraId="0CECEBBA" w14:textId="1C815CE1">
            <w:pPr>
              <w:spacing w:before="40" w:after="40"/>
              <w:rPr>
                <w:rFonts w:eastAsia="Arial" w:cs="Arial"/>
                <w:sz w:val="20"/>
                <w:szCs w:val="20"/>
              </w:rPr>
            </w:pPr>
            <w:r w:rsidRPr="334BBF58" w:rsidR="489AF8A9">
              <w:rPr>
                <w:rFonts w:eastAsia="Arial" w:cs="Arial"/>
                <w:sz w:val="20"/>
                <w:szCs w:val="20"/>
              </w:rPr>
              <w:t>FY2</w:t>
            </w:r>
            <w:r w:rsidRPr="334BBF58" w:rsidR="00DA700E">
              <w:rPr>
                <w:rFonts w:eastAsia="Arial" w:cs="Arial"/>
                <w:sz w:val="20"/>
                <w:szCs w:val="20"/>
              </w:rPr>
              <w:t>5</w:t>
            </w:r>
            <w:r w:rsidRPr="334BBF58" w:rsidR="489AF8A9">
              <w:rPr>
                <w:rFonts w:eastAsia="Arial" w:cs="Arial"/>
                <w:sz w:val="20"/>
                <w:szCs w:val="20"/>
              </w:rPr>
              <w:t>: Major</w:t>
            </w:r>
          </w:p>
          <w:p w:rsidR="00A24B9A" w:rsidP="6B1D19E2" w:rsidRDefault="009968CE" w14:paraId="27B1ABFB" w14:textId="67D66939">
            <w:pPr>
              <w:spacing w:before="40" w:after="40"/>
              <w:rPr>
                <w:rFonts w:eastAsia="Arial" w:cs="Arial"/>
                <w:sz w:val="20"/>
                <w:szCs w:val="20"/>
                <w:highlight w:val="yellow"/>
              </w:rPr>
            </w:pPr>
            <w:r w:rsidRPr="3956614C" w:rsidR="009968CE">
              <w:rPr>
                <w:rFonts w:eastAsia="Arial" w:cs="Arial"/>
                <w:sz w:val="20"/>
                <w:szCs w:val="20"/>
              </w:rPr>
              <w:t>(unchan</w:t>
            </w:r>
            <w:r w:rsidRPr="3956614C" w:rsidR="009968CE">
              <w:rPr>
                <w:rFonts w:eastAsia="Arial" w:cs="Arial"/>
                <w:sz w:val="20"/>
                <w:szCs w:val="20"/>
              </w:rPr>
              <w:t>ged from</w:t>
            </w:r>
            <w:r w:rsidRPr="3956614C" w:rsidR="009968CE">
              <w:rPr>
                <w:rFonts w:eastAsia="Arial" w:cs="Arial"/>
                <w:sz w:val="20"/>
                <w:szCs w:val="20"/>
              </w:rPr>
              <w:t xml:space="preserve"> FY24)</w:t>
            </w:r>
          </w:p>
          <w:p w:rsidR="489AF8A9" w:rsidP="489AF8A9" w:rsidRDefault="489AF8A9" w14:paraId="63E91F32" w14:textId="491E6EF8">
            <w:pPr>
              <w:spacing w:before="40" w:after="40"/>
              <w:rPr>
                <w:rFonts w:eastAsia="Arial" w:cs="Arial"/>
                <w:sz w:val="20"/>
                <w:szCs w:val="20"/>
              </w:rPr>
            </w:pPr>
            <w:r w:rsidRPr="489AF8A9">
              <w:rPr>
                <w:rFonts w:eastAsia="Arial" w:cs="Arial"/>
                <w:sz w:val="20"/>
                <w:szCs w:val="20"/>
              </w:rPr>
              <w:t> </w:t>
            </w:r>
          </w:p>
        </w:tc>
      </w:tr>
      <w:tr w:rsidR="489AF8A9" w:rsidTr="334BBF58" w14:paraId="6459B07E"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5D86A531" w14:textId="4ABDDD87">
            <w:pPr>
              <w:spacing w:before="40" w:after="40"/>
              <w:rPr>
                <w:rFonts w:eastAsia="Arial" w:cs="Arial"/>
                <w:sz w:val="20"/>
                <w:szCs w:val="20"/>
              </w:rPr>
            </w:pPr>
            <w:r w:rsidRPr="334BBF58" w:rsidR="7AD98E9B">
              <w:rPr>
                <w:rFonts w:eastAsia="Arial" w:cs="Arial"/>
                <w:b w:val="1"/>
                <w:bCs w:val="1"/>
                <w:sz w:val="20"/>
                <w:szCs w:val="20"/>
              </w:rPr>
              <w:t>Exchange rate risk</w:t>
            </w:r>
            <w:r w:rsidRPr="334BBF58" w:rsidR="7AD98E9B">
              <w:rPr>
                <w:rFonts w:eastAsia="Arial" w:cs="Arial"/>
                <w:sz w:val="20"/>
                <w:szCs w:val="20"/>
              </w:rPr>
              <w:t> </w:t>
            </w:r>
          </w:p>
          <w:p w:rsidR="489AF8A9" w:rsidP="59F41DAA" w:rsidRDefault="489AF8A9" w14:paraId="38DE5D3E" w14:textId="12E32265">
            <w:pPr>
              <w:spacing w:before="40" w:after="40"/>
              <w:rPr>
                <w:rFonts w:eastAsia="Arial" w:cs="Arial"/>
                <w:sz w:val="20"/>
                <w:szCs w:val="20"/>
              </w:rPr>
            </w:pPr>
            <w:r w:rsidRPr="59F41DAA">
              <w:rPr>
                <w:rFonts w:eastAsia="Arial" w:cs="Arial"/>
                <w:sz w:val="20"/>
                <w:szCs w:val="20"/>
              </w:rPr>
              <w:t>GBP:USD exchange rate - UK contribution and overall financial resourcing to ISFL could reduce as a result of GBP weakening, leading to lower-than-expected results / not maximising GBP value to contribution.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6AF43B6D" w14:textId="6DECE90C">
            <w:pPr>
              <w:spacing w:before="40" w:after="40"/>
              <w:rPr>
                <w:rFonts w:eastAsia="Arial" w:cs="Arial"/>
                <w:sz w:val="20"/>
                <w:szCs w:val="20"/>
              </w:rPr>
            </w:pPr>
            <w:r w:rsidRPr="489AF8A9">
              <w:rPr>
                <w:rFonts w:eastAsia="Arial" w:cs="Arial"/>
                <w:sz w:val="20"/>
                <w:szCs w:val="20"/>
              </w:rPr>
              <w:t>Agreed approach with World Bank - fixed day exchange rate to determine pro-rated shares, which World Bank will sign ERPAs based on (and therefore request drawdown of UK funding). Encashments utilise day spot rates. </w:t>
            </w:r>
          </w:p>
          <w:p w:rsidR="489AF8A9" w:rsidP="489AF8A9" w:rsidRDefault="489AF8A9" w14:paraId="18492457" w14:textId="4D4DAC23">
            <w:pPr>
              <w:spacing w:before="40" w:after="40"/>
              <w:rPr>
                <w:rFonts w:eastAsia="Arial" w:cs="Arial"/>
                <w:sz w:val="20"/>
                <w:szCs w:val="20"/>
              </w:rPr>
            </w:pPr>
            <w:r w:rsidRPr="489AF8A9">
              <w:rPr>
                <w:rFonts w:eastAsia="Arial" w:cs="Arial"/>
                <w:sz w:val="20"/>
                <w:szCs w:val="20"/>
              </w:rPr>
              <w:t> </w:t>
            </w:r>
          </w:p>
          <w:p w:rsidR="489AF8A9" w:rsidP="489AF8A9" w:rsidRDefault="489AF8A9" w14:paraId="1CDABEFE" w14:textId="4914C3EB">
            <w:pPr>
              <w:spacing w:before="40" w:after="40"/>
              <w:rPr>
                <w:rFonts w:eastAsia="Arial" w:cs="Arial"/>
                <w:sz w:val="20"/>
                <w:szCs w:val="20"/>
              </w:rPr>
            </w:pPr>
            <w:r w:rsidRPr="489AF8A9">
              <w:rPr>
                <w:rFonts w:eastAsia="Arial" w:cs="Arial"/>
                <w:sz w:val="20"/>
                <w:szCs w:val="20"/>
              </w:rPr>
              <w:t> </w:t>
            </w:r>
          </w:p>
        </w:tc>
        <w:tc>
          <w:tcPr>
            <w:tcW w:w="2985" w:type="dxa"/>
            <w:tcBorders>
              <w:top w:val="single" w:color="auto" w:sz="6" w:space="0"/>
              <w:left w:val="single" w:color="auto" w:sz="6" w:space="0"/>
              <w:bottom w:val="single" w:color="auto" w:sz="6" w:space="0"/>
              <w:right w:val="single" w:color="auto" w:sz="6" w:space="0"/>
            </w:tcBorders>
            <w:shd w:val="clear" w:color="auto" w:fill="FFE599" w:themeFill="accent4" w:themeFillTint="66"/>
            <w:tcMar/>
          </w:tcPr>
          <w:p w:rsidR="489AF8A9" w:rsidP="489AF8A9" w:rsidRDefault="009968CE" w14:paraId="4527E3BC" w14:textId="3DD58B5D">
            <w:pPr>
              <w:spacing w:before="40" w:after="40"/>
              <w:rPr>
                <w:rFonts w:eastAsia="Arial" w:cs="Arial"/>
                <w:sz w:val="20"/>
                <w:szCs w:val="20"/>
              </w:rPr>
            </w:pPr>
            <w:r>
              <w:rPr>
                <w:rFonts w:eastAsia="Arial" w:cs="Arial"/>
                <w:b/>
                <w:bCs/>
                <w:sz w:val="20"/>
                <w:szCs w:val="20"/>
                <w:u w:val="single"/>
              </w:rPr>
              <w:t>Minor</w:t>
            </w:r>
          </w:p>
          <w:p w:rsidR="489AF8A9" w:rsidP="489AF8A9" w:rsidRDefault="489AF8A9" w14:paraId="60E0AF53" w14:textId="0604FA72">
            <w:pPr>
              <w:spacing w:before="40" w:after="40"/>
              <w:rPr>
                <w:rFonts w:eastAsia="Arial" w:cs="Arial"/>
                <w:sz w:val="20"/>
                <w:szCs w:val="20"/>
              </w:rPr>
            </w:pPr>
            <w:r w:rsidRPr="489AF8A9">
              <w:rPr>
                <w:rFonts w:eastAsia="Arial" w:cs="Arial"/>
                <w:sz w:val="20"/>
                <w:szCs w:val="20"/>
              </w:rPr>
              <w:t>This risk has occurred already with GBP value falling since 2013. Impact has been mitigated somewhat by allowing credits not purchased due to reduced ERPAs to be purchased by third parties.  </w:t>
            </w:r>
          </w:p>
          <w:p w:rsidR="489AF8A9" w:rsidP="489AF8A9" w:rsidRDefault="489AF8A9" w14:paraId="170E4BD7" w14:textId="5BE5A6B8">
            <w:pPr>
              <w:spacing w:before="40" w:after="40"/>
              <w:rPr>
                <w:rFonts w:eastAsia="Arial" w:cs="Arial"/>
                <w:sz w:val="20"/>
                <w:szCs w:val="20"/>
              </w:rPr>
            </w:pPr>
            <w:r w:rsidRPr="489AF8A9">
              <w:rPr>
                <w:rFonts w:eastAsia="Arial" w:cs="Arial"/>
                <w:sz w:val="20"/>
                <w:szCs w:val="20"/>
              </w:rPr>
              <w:t> </w:t>
            </w:r>
          </w:p>
          <w:p w:rsidR="489AF8A9" w:rsidP="489AF8A9" w:rsidRDefault="489AF8A9" w14:paraId="34422946" w14:textId="4237C6BA">
            <w:pPr>
              <w:spacing w:before="40" w:after="40"/>
              <w:rPr>
                <w:rFonts w:eastAsia="Arial" w:cs="Arial"/>
                <w:sz w:val="20"/>
                <w:szCs w:val="20"/>
              </w:rPr>
            </w:pPr>
            <w:r w:rsidRPr="489AF8A9">
              <w:rPr>
                <w:rFonts w:eastAsia="Arial" w:cs="Arial"/>
                <w:sz w:val="20"/>
                <w:szCs w:val="20"/>
              </w:rPr>
              <w:t>We will monitor for all upcoming payments and review the ongoing situation. We will use the existing mitigation of having a fixed rate for our share of ERPAs, as this provides us and the World Bank with certainty. </w:t>
            </w:r>
          </w:p>
          <w:p w:rsidR="489AF8A9" w:rsidP="489AF8A9" w:rsidRDefault="489AF8A9" w14:paraId="093F4A5E" w14:textId="0DEAF981">
            <w:pPr>
              <w:spacing w:before="40" w:after="40"/>
              <w:rPr>
                <w:rFonts w:eastAsia="Arial" w:cs="Arial"/>
                <w:sz w:val="20"/>
                <w:szCs w:val="20"/>
              </w:rPr>
            </w:pPr>
            <w:r w:rsidRPr="489AF8A9">
              <w:rPr>
                <w:rFonts w:eastAsia="Arial" w:cs="Arial"/>
                <w:sz w:val="20"/>
                <w:szCs w:val="20"/>
              </w:rPr>
              <w:t> </w:t>
            </w:r>
          </w:p>
          <w:p w:rsidR="489AF8A9" w:rsidP="49A2FA1B" w:rsidRDefault="489AF8A9" w14:paraId="554167D7" w14:textId="77777777">
            <w:pPr>
              <w:spacing w:before="40" w:after="40"/>
              <w:rPr>
                <w:rFonts w:eastAsia="Arial" w:cs="Arial"/>
                <w:sz w:val="20"/>
                <w:szCs w:val="20"/>
              </w:rPr>
            </w:pPr>
            <w:r w:rsidRPr="49A2FA1B">
              <w:rPr>
                <w:rFonts w:eastAsia="Arial" w:cs="Arial"/>
                <w:sz w:val="20"/>
                <w:szCs w:val="20"/>
              </w:rPr>
              <w:t>FY2</w:t>
            </w:r>
            <w:r w:rsidR="00DA700E">
              <w:rPr>
                <w:rFonts w:eastAsia="Arial" w:cs="Arial"/>
                <w:sz w:val="20"/>
                <w:szCs w:val="20"/>
              </w:rPr>
              <w:t>5</w:t>
            </w:r>
            <w:r w:rsidRPr="49A2FA1B">
              <w:rPr>
                <w:rFonts w:eastAsia="Arial" w:cs="Arial"/>
                <w:sz w:val="20"/>
                <w:szCs w:val="20"/>
              </w:rPr>
              <w:t xml:space="preserve">: </w:t>
            </w:r>
            <w:r w:rsidRPr="6568678D">
              <w:rPr>
                <w:rFonts w:eastAsia="Arial" w:cs="Arial"/>
                <w:sz w:val="20"/>
                <w:szCs w:val="20"/>
              </w:rPr>
              <w:t>M</w:t>
            </w:r>
            <w:r w:rsidRPr="6568678D" w:rsidR="71354367">
              <w:rPr>
                <w:rFonts w:eastAsia="Arial" w:cs="Arial"/>
                <w:sz w:val="20"/>
                <w:szCs w:val="20"/>
              </w:rPr>
              <w:t>inor</w:t>
            </w:r>
          </w:p>
          <w:p w:rsidR="009968CE" w:rsidP="49A2FA1B" w:rsidRDefault="009968CE" w14:paraId="7B2B199D" w14:textId="6B5A7397">
            <w:pPr>
              <w:spacing w:before="40" w:after="40"/>
              <w:rPr>
                <w:rFonts w:eastAsia="Arial" w:cs="Arial"/>
                <w:sz w:val="20"/>
                <w:szCs w:val="20"/>
              </w:rPr>
            </w:pPr>
            <w:r>
              <w:rPr>
                <w:rFonts w:eastAsia="Arial" w:cs="Arial"/>
                <w:sz w:val="20"/>
                <w:szCs w:val="20"/>
              </w:rPr>
              <w:t>FY24: Moderate</w:t>
            </w:r>
          </w:p>
        </w:tc>
      </w:tr>
      <w:tr w:rsidR="489AF8A9" w:rsidTr="334BBF58" w14:paraId="6317EA98"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719B94EE" w14:textId="5AF05A7D">
            <w:pPr>
              <w:spacing w:before="40" w:after="40"/>
              <w:rPr>
                <w:rFonts w:eastAsia="Arial" w:cs="Arial"/>
                <w:sz w:val="20"/>
                <w:szCs w:val="20"/>
              </w:rPr>
            </w:pPr>
            <w:r w:rsidRPr="489AF8A9">
              <w:rPr>
                <w:rFonts w:eastAsia="Arial" w:cs="Arial"/>
                <w:b/>
                <w:bCs/>
                <w:sz w:val="20"/>
                <w:szCs w:val="20"/>
              </w:rPr>
              <w:t>Delivery sufficiency and underspend </w:t>
            </w:r>
            <w:r w:rsidRPr="489AF8A9">
              <w:rPr>
                <w:rFonts w:eastAsia="Arial" w:cs="Arial"/>
                <w:sz w:val="20"/>
                <w:szCs w:val="20"/>
              </w:rPr>
              <w:t> </w:t>
            </w:r>
          </w:p>
          <w:p w:rsidR="489AF8A9" w:rsidP="489AF8A9" w:rsidRDefault="489AF8A9" w14:paraId="2E0DF52D" w14:textId="00D75A07">
            <w:pPr>
              <w:spacing w:before="40" w:after="40"/>
              <w:rPr>
                <w:rFonts w:eastAsia="Arial" w:cs="Arial"/>
                <w:sz w:val="20"/>
                <w:szCs w:val="20"/>
              </w:rPr>
            </w:pPr>
            <w:r w:rsidRPr="489AF8A9">
              <w:rPr>
                <w:rFonts w:eastAsia="Arial" w:cs="Arial"/>
                <w:sz w:val="20"/>
                <w:szCs w:val="20"/>
              </w:rPr>
              <w:t>BioCF</w:t>
            </w:r>
            <w:r w:rsidRPr="489AF8A9">
              <w:rPr>
                <w:rFonts w:eastAsia="Arial" w:cs="Arial"/>
                <w:i/>
                <w:iCs/>
                <w:sz w:val="20"/>
                <w:szCs w:val="20"/>
              </w:rPr>
              <w:t>T3</w:t>
            </w:r>
            <w:r w:rsidRPr="489AF8A9">
              <w:rPr>
                <w:rFonts w:eastAsia="Arial" w:cs="Arial"/>
                <w:sz w:val="20"/>
                <w:szCs w:val="20"/>
              </w:rPr>
              <w:t xml:space="preserve">: Emission reductions programmes do not deliver sufficient ERs or benefits to communities, resulting in underspend of ISFL funds. </w:t>
            </w:r>
            <w:proofErr w:type="spellStart"/>
            <w:r w:rsidRPr="489AF8A9">
              <w:rPr>
                <w:rFonts w:eastAsia="Arial" w:cs="Arial"/>
                <w:sz w:val="20"/>
                <w:szCs w:val="20"/>
              </w:rPr>
              <w:t>BioCF</w:t>
            </w:r>
            <w:r w:rsidRPr="489AF8A9">
              <w:rPr>
                <w:rFonts w:eastAsia="Arial" w:cs="Arial"/>
                <w:i/>
                <w:iCs/>
                <w:sz w:val="20"/>
                <w:szCs w:val="20"/>
              </w:rPr>
              <w:t>Plus</w:t>
            </w:r>
            <w:proofErr w:type="spellEnd"/>
            <w:r w:rsidRPr="489AF8A9">
              <w:rPr>
                <w:rFonts w:eastAsia="Arial" w:cs="Arial"/>
                <w:sz w:val="20"/>
                <w:szCs w:val="20"/>
              </w:rPr>
              <w:t>: funds are not committed or disbursed. </w:t>
            </w:r>
          </w:p>
          <w:p w:rsidR="489AF8A9" w:rsidP="489AF8A9" w:rsidRDefault="489AF8A9" w14:paraId="4B58B9A9" w14:textId="33494B46">
            <w:pPr>
              <w:spacing w:before="40" w:after="40"/>
              <w:rPr>
                <w:rFonts w:eastAsia="Arial" w:cs="Arial"/>
                <w:sz w:val="20"/>
                <w:szCs w:val="20"/>
              </w:rPr>
            </w:pPr>
            <w:r w:rsidRPr="489AF8A9">
              <w:rPr>
                <w:rFonts w:eastAsia="Arial" w:cs="Arial"/>
                <w:sz w:val="20"/>
                <w:szCs w:val="20"/>
              </w:rPr>
              <w:t> </w:t>
            </w:r>
          </w:p>
          <w:p w:rsidR="489AF8A9" w:rsidP="489AF8A9" w:rsidRDefault="489AF8A9" w14:paraId="020E8F6A" w14:textId="20C8AC7E">
            <w:pPr>
              <w:spacing w:before="40" w:after="40"/>
              <w:rPr>
                <w:rFonts w:eastAsia="Arial" w:cs="Arial"/>
                <w:sz w:val="20"/>
                <w:szCs w:val="20"/>
              </w:rPr>
            </w:pPr>
            <w:r w:rsidRPr="489AF8A9">
              <w:rPr>
                <w:rFonts w:eastAsia="Arial" w:cs="Arial"/>
                <w:sz w:val="20"/>
                <w:szCs w:val="20"/>
              </w:rPr>
              <w:t> </w:t>
            </w:r>
          </w:p>
          <w:p w:rsidR="489AF8A9" w:rsidP="489AF8A9" w:rsidRDefault="489AF8A9" w14:paraId="1D88A039" w14:textId="50231C1B">
            <w:pPr>
              <w:spacing w:before="40" w:after="40"/>
              <w:rPr>
                <w:rFonts w:eastAsia="Arial" w:cs="Arial"/>
                <w:sz w:val="20"/>
                <w:szCs w:val="20"/>
              </w:rPr>
            </w:pPr>
            <w:r w:rsidRPr="489AF8A9">
              <w:rPr>
                <w:rFonts w:eastAsia="Arial" w:cs="Arial"/>
                <w:sz w:val="20"/>
                <w:szCs w:val="20"/>
              </w:rPr>
              <w:t> </w:t>
            </w:r>
          </w:p>
          <w:p w:rsidR="489AF8A9" w:rsidP="489AF8A9" w:rsidRDefault="489AF8A9" w14:paraId="58A1EB6D" w14:textId="1AA13B60">
            <w:pPr>
              <w:spacing w:before="40" w:after="40"/>
              <w:rPr>
                <w:rFonts w:eastAsia="Arial" w:cs="Arial"/>
                <w:sz w:val="20"/>
                <w:szCs w:val="20"/>
              </w:rPr>
            </w:pPr>
            <w:r w:rsidRPr="489AF8A9">
              <w:rPr>
                <w:rFonts w:eastAsia="Arial" w:cs="Arial"/>
                <w:sz w:val="20"/>
                <w:szCs w:val="20"/>
              </w:rPr>
              <w:t> </w:t>
            </w:r>
          </w:p>
          <w:p w:rsidR="489AF8A9" w:rsidP="489AF8A9" w:rsidRDefault="489AF8A9" w14:paraId="60980934" w14:textId="400CAE3C">
            <w:pPr>
              <w:spacing w:before="40" w:after="40"/>
              <w:rPr>
                <w:rFonts w:eastAsia="Arial" w:cs="Arial"/>
                <w:sz w:val="20"/>
                <w:szCs w:val="20"/>
              </w:rPr>
            </w:pPr>
            <w:r w:rsidRPr="489AF8A9">
              <w:rPr>
                <w:rFonts w:eastAsia="Arial" w:cs="Arial"/>
                <w:sz w:val="20"/>
                <w:szCs w:val="20"/>
              </w:rPr>
              <w:t> </w:t>
            </w:r>
          </w:p>
          <w:p w:rsidR="489AF8A9" w:rsidP="489AF8A9" w:rsidRDefault="489AF8A9" w14:paraId="6E3018D7" w14:textId="712FAB81">
            <w:pPr>
              <w:spacing w:before="40" w:after="40"/>
              <w:rPr>
                <w:rFonts w:eastAsia="Arial" w:cs="Arial"/>
                <w:sz w:val="20"/>
                <w:szCs w:val="20"/>
              </w:rPr>
            </w:pPr>
            <w:r w:rsidRPr="489AF8A9">
              <w:rPr>
                <w:rFonts w:eastAsia="Arial" w:cs="Arial"/>
                <w:sz w:val="20"/>
                <w:szCs w:val="20"/>
              </w:rPr>
              <w:t>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6FB6A181" w14:textId="0AC59F44">
            <w:pPr>
              <w:spacing w:before="40" w:after="40"/>
              <w:rPr>
                <w:rFonts w:eastAsia="Arial" w:cs="Arial"/>
                <w:sz w:val="20"/>
                <w:szCs w:val="20"/>
              </w:rPr>
            </w:pPr>
            <w:r w:rsidRPr="489AF8A9">
              <w:rPr>
                <w:rFonts w:eastAsia="Arial" w:cs="Arial"/>
                <w:sz w:val="20"/>
                <w:szCs w:val="20"/>
              </w:rPr>
              <w:t>There is an overprogramming strategy active in fund to allow for this. </w:t>
            </w:r>
          </w:p>
          <w:p w:rsidR="489AF8A9" w:rsidP="489AF8A9" w:rsidRDefault="489AF8A9" w14:paraId="0E2364C7" w14:textId="6C2D36BB">
            <w:pPr>
              <w:spacing w:before="40" w:after="40"/>
              <w:rPr>
                <w:rFonts w:eastAsia="Arial" w:cs="Arial"/>
                <w:sz w:val="20"/>
                <w:szCs w:val="20"/>
              </w:rPr>
            </w:pPr>
            <w:r w:rsidRPr="489AF8A9">
              <w:rPr>
                <w:rFonts w:eastAsia="Arial" w:cs="Arial"/>
                <w:sz w:val="20"/>
                <w:szCs w:val="20"/>
              </w:rPr>
              <w:t> </w:t>
            </w:r>
          </w:p>
          <w:p w:rsidR="489AF8A9" w:rsidP="489AF8A9" w:rsidRDefault="489AF8A9" w14:paraId="652C604D" w14:textId="579AC420">
            <w:pPr>
              <w:spacing w:before="40" w:after="40"/>
              <w:rPr>
                <w:rFonts w:eastAsia="Arial" w:cs="Arial"/>
                <w:sz w:val="20"/>
                <w:szCs w:val="20"/>
              </w:rPr>
            </w:pPr>
            <w:r w:rsidRPr="489AF8A9">
              <w:rPr>
                <w:rFonts w:eastAsia="Arial" w:cs="Arial"/>
                <w:sz w:val="20"/>
                <w:szCs w:val="20"/>
              </w:rPr>
              <w:t>World Bank and contributors are considering T3 structure and ERPA phase negotiations to ensure they do not increase the risk of underspend. </w:t>
            </w:r>
          </w:p>
        </w:tc>
        <w:tc>
          <w:tcPr>
            <w:tcW w:w="2985" w:type="dxa"/>
            <w:tcBorders>
              <w:top w:val="single" w:color="auto" w:sz="6" w:space="0"/>
              <w:left w:val="single" w:color="auto" w:sz="6" w:space="0"/>
              <w:bottom w:val="single" w:color="auto" w:sz="6" w:space="0"/>
              <w:right w:val="single" w:color="auto" w:sz="6" w:space="0"/>
            </w:tcBorders>
            <w:shd w:val="clear" w:color="auto" w:fill="FFE599" w:themeFill="accent4" w:themeFillTint="66"/>
            <w:tcMar/>
          </w:tcPr>
          <w:p w:rsidR="489AF8A9" w:rsidP="489AF8A9" w:rsidRDefault="489AF8A9" w14:paraId="5D768E7B" w14:textId="18D2DFA8">
            <w:pPr>
              <w:spacing w:before="40" w:after="40"/>
              <w:rPr>
                <w:rFonts w:eastAsia="Arial" w:cs="Arial"/>
                <w:sz w:val="20"/>
                <w:szCs w:val="20"/>
              </w:rPr>
            </w:pPr>
            <w:r w:rsidRPr="489AF8A9">
              <w:rPr>
                <w:rFonts w:eastAsia="Arial" w:cs="Arial"/>
                <w:b/>
                <w:bCs/>
                <w:sz w:val="20"/>
                <w:szCs w:val="20"/>
                <w:u w:val="single"/>
              </w:rPr>
              <w:t>Moderate</w:t>
            </w:r>
            <w:r w:rsidRPr="489AF8A9">
              <w:rPr>
                <w:rFonts w:eastAsia="Arial" w:cs="Arial"/>
                <w:sz w:val="20"/>
                <w:szCs w:val="20"/>
              </w:rPr>
              <w:t> </w:t>
            </w:r>
          </w:p>
          <w:p w:rsidR="489AF8A9" w:rsidP="489AF8A9" w:rsidRDefault="489AF8A9" w14:paraId="16025930" w14:textId="6DF81A0E">
            <w:pPr>
              <w:spacing w:before="40" w:after="40"/>
              <w:rPr>
                <w:rFonts w:eastAsia="Arial" w:cs="Arial"/>
                <w:sz w:val="20"/>
                <w:szCs w:val="20"/>
              </w:rPr>
            </w:pPr>
            <w:r w:rsidRPr="489AF8A9">
              <w:rPr>
                <w:rFonts w:eastAsia="Arial" w:cs="Arial"/>
                <w:sz w:val="20"/>
                <w:szCs w:val="20"/>
              </w:rPr>
              <w:t xml:space="preserve">Private sector strategy workstreams in Indonesia and Mexico are not being taken forward, but we </w:t>
            </w:r>
            <w:r w:rsidR="004B6321">
              <w:rPr>
                <w:rFonts w:eastAsia="Arial" w:cs="Arial"/>
                <w:sz w:val="20"/>
                <w:szCs w:val="20"/>
              </w:rPr>
              <w:t>have reprogrammed the majority of funding from this</w:t>
            </w:r>
            <w:r w:rsidR="002A15EF">
              <w:rPr>
                <w:rFonts w:eastAsia="Arial" w:cs="Arial"/>
                <w:sz w:val="20"/>
                <w:szCs w:val="20"/>
              </w:rPr>
              <w:t>,</w:t>
            </w:r>
            <w:r w:rsidR="004B6321">
              <w:rPr>
                <w:rFonts w:eastAsia="Arial" w:cs="Arial"/>
                <w:sz w:val="20"/>
                <w:szCs w:val="20"/>
              </w:rPr>
              <w:t xml:space="preserve"> and plan to </w:t>
            </w:r>
            <w:r w:rsidR="0093686D">
              <w:rPr>
                <w:rFonts w:eastAsia="Arial" w:cs="Arial"/>
                <w:sz w:val="20"/>
                <w:szCs w:val="20"/>
              </w:rPr>
              <w:t>reprogramme the remaining funding in FY26.</w:t>
            </w:r>
            <w:r w:rsidRPr="489AF8A9">
              <w:rPr>
                <w:rFonts w:eastAsia="Arial" w:cs="Arial"/>
                <w:sz w:val="20"/>
                <w:szCs w:val="20"/>
              </w:rPr>
              <w:t>  </w:t>
            </w:r>
          </w:p>
          <w:p w:rsidR="489AF8A9" w:rsidP="489AF8A9" w:rsidRDefault="489AF8A9" w14:paraId="504938CB" w14:textId="61EEF47B">
            <w:pPr>
              <w:spacing w:before="40" w:after="40"/>
              <w:rPr>
                <w:rFonts w:eastAsia="Arial" w:cs="Arial"/>
                <w:sz w:val="20"/>
                <w:szCs w:val="20"/>
              </w:rPr>
            </w:pPr>
            <w:r w:rsidRPr="489AF8A9">
              <w:rPr>
                <w:rFonts w:eastAsia="Arial" w:cs="Arial"/>
                <w:sz w:val="20"/>
                <w:szCs w:val="20"/>
              </w:rPr>
              <w:t> </w:t>
            </w:r>
          </w:p>
          <w:p w:rsidR="489AF8A9" w:rsidP="489AF8A9" w:rsidRDefault="489AF8A9" w14:paraId="33F1A3AE" w14:textId="1C4C08F2">
            <w:pPr>
              <w:spacing w:before="40" w:after="40"/>
              <w:rPr>
                <w:rFonts w:eastAsia="Arial" w:cs="Arial"/>
                <w:sz w:val="20"/>
                <w:szCs w:val="20"/>
              </w:rPr>
            </w:pPr>
            <w:r w:rsidRPr="489AF8A9">
              <w:rPr>
                <w:rFonts w:eastAsia="Arial" w:cs="Arial"/>
                <w:sz w:val="20"/>
                <w:szCs w:val="20"/>
              </w:rPr>
              <w:t xml:space="preserve">For T3, whilst we are still finalising the remaining ERPAs, progress to date would suggest that we are unlikely to have underspend for the programme. The reduction in GBP value since 2013 also reduces this risk. If one of the ERPAs falls through, or a programme under-delivers we are likely to be able to purchase excess ERs from other </w:t>
            </w:r>
            <w:r w:rsidR="00261EBE">
              <w:rPr>
                <w:rFonts w:eastAsia="Arial" w:cs="Arial"/>
                <w:sz w:val="20"/>
                <w:szCs w:val="20"/>
              </w:rPr>
              <w:t>e</w:t>
            </w:r>
            <w:r w:rsidRPr="489AF8A9">
              <w:rPr>
                <w:rFonts w:eastAsia="Arial" w:cs="Arial"/>
                <w:sz w:val="20"/>
                <w:szCs w:val="20"/>
              </w:rPr>
              <w:t>mission reductions programmes. </w:t>
            </w:r>
          </w:p>
          <w:p w:rsidR="489AF8A9" w:rsidP="489AF8A9" w:rsidRDefault="489AF8A9" w14:paraId="4E13B28A" w14:textId="16055660">
            <w:pPr>
              <w:spacing w:before="40" w:after="40"/>
              <w:rPr>
                <w:rFonts w:eastAsia="Arial" w:cs="Arial"/>
                <w:sz w:val="20"/>
                <w:szCs w:val="20"/>
              </w:rPr>
            </w:pPr>
            <w:r w:rsidRPr="489AF8A9">
              <w:rPr>
                <w:rFonts w:eastAsia="Arial" w:cs="Arial"/>
                <w:sz w:val="20"/>
                <w:szCs w:val="20"/>
              </w:rPr>
              <w:t> </w:t>
            </w:r>
          </w:p>
          <w:p w:rsidR="489AF8A9" w:rsidP="6409E5E3" w:rsidRDefault="489AF8A9" w14:paraId="0B26C619" w14:textId="2F683787">
            <w:pPr>
              <w:spacing w:before="40" w:after="40"/>
              <w:rPr>
                <w:rFonts w:eastAsia="Arial" w:cs="Arial"/>
                <w:sz w:val="20"/>
                <w:szCs w:val="20"/>
              </w:rPr>
            </w:pPr>
            <w:r w:rsidRPr="334BBF58" w:rsidR="7AD98E9B">
              <w:rPr>
                <w:rFonts w:eastAsia="Arial" w:cs="Arial"/>
                <w:sz w:val="20"/>
                <w:szCs w:val="20"/>
              </w:rPr>
              <w:t>FY2</w:t>
            </w:r>
            <w:r w:rsidRPr="334BBF58" w:rsidR="13916FD1">
              <w:rPr>
                <w:rFonts w:eastAsia="Arial" w:cs="Arial"/>
                <w:sz w:val="20"/>
                <w:szCs w:val="20"/>
              </w:rPr>
              <w:t>5</w:t>
            </w:r>
            <w:r w:rsidRPr="334BBF58" w:rsidR="7AD98E9B">
              <w:rPr>
                <w:rFonts w:eastAsia="Arial" w:cs="Arial"/>
                <w:sz w:val="20"/>
                <w:szCs w:val="20"/>
              </w:rPr>
              <w:t>: Moderate</w:t>
            </w:r>
          </w:p>
          <w:p w:rsidR="489AF8A9" w:rsidP="489AF8A9" w:rsidRDefault="009968CE" w14:paraId="29A38807" w14:textId="113BFF39">
            <w:pPr>
              <w:spacing w:before="40" w:after="40"/>
              <w:rPr>
                <w:rFonts w:eastAsia="Arial" w:cs="Arial"/>
                <w:sz w:val="20"/>
                <w:szCs w:val="20"/>
              </w:rPr>
            </w:pPr>
            <w:r>
              <w:rPr>
                <w:rFonts w:eastAsia="Arial" w:cs="Arial"/>
                <w:sz w:val="20"/>
                <w:szCs w:val="20"/>
              </w:rPr>
              <w:t>(unchanged from FY24)</w:t>
            </w:r>
          </w:p>
        </w:tc>
      </w:tr>
      <w:tr w:rsidR="489AF8A9" w:rsidTr="334BBF58" w14:paraId="469CADD4"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7CCEFB8E" w:rsidRDefault="4B2B6F83" w14:paraId="45F181CE" w14:textId="620C8764">
            <w:pPr>
              <w:spacing w:before="40" w:after="40"/>
              <w:rPr>
                <w:rFonts w:eastAsia="Arial" w:cs="Arial"/>
                <w:sz w:val="20"/>
                <w:szCs w:val="20"/>
              </w:rPr>
            </w:pPr>
            <w:r w:rsidRPr="7CCEFB8E">
              <w:rPr>
                <w:rFonts w:eastAsia="Arial" w:cs="Arial"/>
                <w:b/>
                <w:bCs/>
                <w:sz w:val="20"/>
                <w:szCs w:val="20"/>
              </w:rPr>
              <w:t xml:space="preserve">Sustainability and leakage </w:t>
            </w:r>
            <w:r w:rsidRPr="7CCEFB8E">
              <w:rPr>
                <w:rFonts w:eastAsia="Arial" w:cs="Arial"/>
                <w:sz w:val="20"/>
                <w:szCs w:val="20"/>
              </w:rPr>
              <w:t>Programmes fail to create changes that are sustainable in the long term, or support for sustainable forestry and agriculture displaces unsustainable activities into other locations. Overall rates of deforestation remain high and the credibility of investments to reduce deforestation is impaired.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65B3B523" w14:textId="29587429">
            <w:pPr>
              <w:spacing w:before="40" w:after="40"/>
              <w:rPr>
                <w:rFonts w:eastAsia="Arial" w:cs="Arial"/>
                <w:sz w:val="20"/>
                <w:szCs w:val="20"/>
              </w:rPr>
            </w:pPr>
            <w:r w:rsidRPr="489AF8A9">
              <w:rPr>
                <w:rFonts w:eastAsia="Arial" w:cs="Arial"/>
                <w:sz w:val="20"/>
                <w:szCs w:val="20"/>
              </w:rPr>
              <w:t>Leakage is a risk with all investments in climate change mitigation and reducing deforestation. Reducing leakage is part of a long-term mitigation strategy. </w:t>
            </w:r>
          </w:p>
          <w:p w:rsidR="489AF8A9" w:rsidP="489AF8A9" w:rsidRDefault="489AF8A9" w14:paraId="0E79A050" w14:textId="72A425BE">
            <w:pPr>
              <w:spacing w:before="40" w:after="40"/>
              <w:rPr>
                <w:rFonts w:eastAsia="Arial" w:cs="Arial"/>
                <w:sz w:val="20"/>
                <w:szCs w:val="20"/>
              </w:rPr>
            </w:pPr>
            <w:r w:rsidRPr="489AF8A9">
              <w:rPr>
                <w:rFonts w:eastAsia="Arial" w:cs="Arial"/>
                <w:sz w:val="20"/>
                <w:szCs w:val="20"/>
              </w:rPr>
              <w:t> </w:t>
            </w:r>
          </w:p>
          <w:p w:rsidR="489AF8A9" w:rsidP="489AF8A9" w:rsidRDefault="489AF8A9" w14:paraId="41B76390" w14:textId="54F0B1B0">
            <w:pPr>
              <w:spacing w:before="40" w:after="40"/>
              <w:rPr>
                <w:rFonts w:eastAsia="Arial" w:cs="Arial"/>
                <w:sz w:val="20"/>
                <w:szCs w:val="20"/>
              </w:rPr>
            </w:pPr>
            <w:r w:rsidRPr="489AF8A9">
              <w:rPr>
                <w:rFonts w:eastAsia="Arial" w:cs="Arial"/>
                <w:sz w:val="20"/>
                <w:szCs w:val="20"/>
              </w:rPr>
              <w:t>ISFL programme includes integrated accounting, so should be better at managing leakage within a province, as it should be cross-sectoral. </w:t>
            </w:r>
          </w:p>
          <w:p w:rsidR="489AF8A9" w:rsidP="489AF8A9" w:rsidRDefault="489AF8A9" w14:paraId="2C43D9B1" w14:textId="0BED6B3E">
            <w:pPr>
              <w:spacing w:before="40" w:after="40"/>
              <w:rPr>
                <w:rFonts w:eastAsia="Arial" w:cs="Arial"/>
                <w:sz w:val="20"/>
                <w:szCs w:val="20"/>
              </w:rPr>
            </w:pPr>
            <w:r w:rsidRPr="489AF8A9">
              <w:rPr>
                <w:rFonts w:eastAsia="Arial" w:cs="Arial"/>
                <w:sz w:val="20"/>
                <w:szCs w:val="20"/>
              </w:rPr>
              <w:t> </w:t>
            </w:r>
          </w:p>
          <w:p w:rsidR="489AF8A9" w:rsidP="489AF8A9" w:rsidRDefault="489AF8A9" w14:paraId="043A4918" w14:textId="2F2D2D20">
            <w:pPr>
              <w:spacing w:before="40" w:after="40"/>
              <w:rPr>
                <w:rFonts w:eastAsia="Arial" w:cs="Arial"/>
                <w:sz w:val="20"/>
                <w:szCs w:val="20"/>
              </w:rPr>
            </w:pPr>
            <w:r w:rsidRPr="489AF8A9">
              <w:rPr>
                <w:rFonts w:eastAsia="Arial" w:cs="Arial"/>
                <w:sz w:val="20"/>
                <w:szCs w:val="20"/>
              </w:rPr>
              <w:t>World Bank and contributors will scrutinise ERPDs to ensure robust financial plans are in place and an integrated approach to leveraging public and private finance, before final approval of programmes. </w:t>
            </w:r>
          </w:p>
        </w:tc>
        <w:tc>
          <w:tcPr>
            <w:tcW w:w="2985" w:type="dxa"/>
            <w:tcBorders>
              <w:top w:val="single" w:color="auto" w:sz="6" w:space="0"/>
              <w:left w:val="single" w:color="auto" w:sz="6" w:space="0"/>
              <w:bottom w:val="single" w:color="auto" w:sz="6" w:space="0"/>
              <w:right w:val="single" w:color="auto" w:sz="6" w:space="0"/>
            </w:tcBorders>
            <w:shd w:val="clear" w:color="auto" w:fill="FFE599" w:themeFill="accent4" w:themeFillTint="66"/>
            <w:tcMar/>
          </w:tcPr>
          <w:p w:rsidR="489AF8A9" w:rsidP="489AF8A9" w:rsidRDefault="489AF8A9" w14:paraId="33F5876A" w14:textId="6A54DF02">
            <w:pPr>
              <w:spacing w:before="40" w:after="40"/>
              <w:rPr>
                <w:rFonts w:eastAsia="Arial" w:cs="Arial"/>
                <w:sz w:val="20"/>
                <w:szCs w:val="20"/>
              </w:rPr>
            </w:pPr>
            <w:r w:rsidRPr="489AF8A9">
              <w:rPr>
                <w:rFonts w:eastAsia="Arial" w:cs="Arial"/>
                <w:b/>
                <w:bCs/>
                <w:sz w:val="20"/>
                <w:szCs w:val="20"/>
                <w:u w:val="single"/>
              </w:rPr>
              <w:t>Moderate</w:t>
            </w:r>
          </w:p>
          <w:p w:rsidRPr="00642C1D" w:rsidR="489AF8A9" w:rsidP="0CE2CB1A" w:rsidRDefault="489AF8A9" w14:paraId="0DD9A2BA" w14:textId="3E0BC466">
            <w:pPr>
              <w:spacing w:before="40" w:after="40"/>
              <w:rPr>
                <w:rFonts w:eastAsia="Arial" w:cs="Arial"/>
                <w:sz w:val="20"/>
                <w:szCs w:val="20"/>
              </w:rPr>
            </w:pPr>
            <w:r w:rsidRPr="00642C1D">
              <w:rPr>
                <w:rFonts w:eastAsia="Arial" w:cs="Arial"/>
                <w:sz w:val="20"/>
                <w:szCs w:val="20"/>
              </w:rPr>
              <w:t>Leakage has been taken into account, particularly with ERPD development. </w:t>
            </w:r>
          </w:p>
          <w:p w:rsidRPr="00642C1D" w:rsidR="489AF8A9" w:rsidP="0CE2CB1A" w:rsidRDefault="489AF8A9" w14:paraId="43F230E8" w14:textId="686E11DD">
            <w:pPr>
              <w:spacing w:before="40" w:after="40"/>
              <w:rPr>
                <w:rFonts w:eastAsia="Arial" w:cs="Arial"/>
                <w:sz w:val="20"/>
                <w:szCs w:val="20"/>
              </w:rPr>
            </w:pPr>
            <w:r w:rsidRPr="00642C1D">
              <w:rPr>
                <w:rFonts w:eastAsia="Arial" w:cs="Arial"/>
                <w:sz w:val="20"/>
                <w:szCs w:val="20"/>
              </w:rPr>
              <w:t> </w:t>
            </w:r>
          </w:p>
          <w:p w:rsidRPr="00642C1D" w:rsidR="489AF8A9" w:rsidP="0CE2CB1A" w:rsidRDefault="489AF8A9" w14:paraId="0B7BC922" w14:textId="056BAFAA">
            <w:pPr>
              <w:spacing w:before="40" w:after="40"/>
              <w:rPr>
                <w:rFonts w:eastAsia="Arial" w:cs="Arial"/>
                <w:sz w:val="20"/>
                <w:szCs w:val="20"/>
              </w:rPr>
            </w:pPr>
            <w:r w:rsidRPr="00642C1D">
              <w:rPr>
                <w:rFonts w:eastAsia="Arial" w:cs="Arial"/>
                <w:sz w:val="20"/>
                <w:szCs w:val="20"/>
              </w:rPr>
              <w:t>The Carbon Assets Tracking System (CATS) will mitigate the risk of double counting—when a single GHG emission reduction or removal is used more than once to demonstrate compliance with mitigation targets. </w:t>
            </w:r>
          </w:p>
          <w:p w:rsidRPr="00642C1D" w:rsidR="489AF8A9" w:rsidP="0CE2CB1A" w:rsidRDefault="489AF8A9" w14:paraId="6E12F976" w14:textId="708716F0">
            <w:pPr>
              <w:spacing w:before="40" w:after="40"/>
              <w:rPr>
                <w:rFonts w:eastAsia="Arial" w:cs="Arial"/>
                <w:sz w:val="20"/>
                <w:szCs w:val="20"/>
              </w:rPr>
            </w:pPr>
            <w:r w:rsidRPr="00642C1D">
              <w:rPr>
                <w:rFonts w:eastAsia="Arial" w:cs="Arial"/>
                <w:sz w:val="20"/>
                <w:szCs w:val="20"/>
              </w:rPr>
              <w:t> </w:t>
            </w:r>
          </w:p>
          <w:p w:rsidR="489AF8A9" w:rsidP="0CE2CB1A" w:rsidRDefault="489AF8A9" w14:paraId="0F18E997" w14:textId="77777777">
            <w:pPr>
              <w:spacing w:before="40" w:after="40"/>
              <w:rPr>
                <w:rFonts w:eastAsia="Arial" w:cs="Arial"/>
                <w:sz w:val="20"/>
                <w:szCs w:val="20"/>
              </w:rPr>
            </w:pPr>
            <w:r w:rsidRPr="00642C1D">
              <w:rPr>
                <w:rFonts w:eastAsia="Arial" w:cs="Arial"/>
                <w:sz w:val="20"/>
                <w:szCs w:val="20"/>
              </w:rPr>
              <w:t>FY2</w:t>
            </w:r>
            <w:r w:rsidRPr="00642C1D" w:rsidR="00DA700E">
              <w:rPr>
                <w:rFonts w:eastAsia="Arial" w:cs="Arial"/>
                <w:sz w:val="20"/>
                <w:szCs w:val="20"/>
              </w:rPr>
              <w:t>5</w:t>
            </w:r>
            <w:r w:rsidRPr="00642C1D">
              <w:rPr>
                <w:rFonts w:eastAsia="Arial" w:cs="Arial"/>
                <w:sz w:val="20"/>
                <w:szCs w:val="20"/>
              </w:rPr>
              <w:t>: Moderate/Minor </w:t>
            </w:r>
          </w:p>
          <w:p w:rsidR="009968CE" w:rsidP="0CE2CB1A" w:rsidRDefault="009968CE" w14:paraId="15558E1E" w14:textId="49C5F955">
            <w:pPr>
              <w:spacing w:before="40" w:after="40"/>
              <w:rPr>
                <w:rFonts w:eastAsia="Arial" w:cs="Arial"/>
                <w:sz w:val="20"/>
                <w:szCs w:val="20"/>
                <w:highlight w:val="yellow"/>
              </w:rPr>
            </w:pPr>
            <w:r>
              <w:rPr>
                <w:rFonts w:eastAsia="Arial" w:cs="Arial"/>
                <w:sz w:val="20"/>
                <w:szCs w:val="20"/>
              </w:rPr>
              <w:t>(unchanged from FY24)</w:t>
            </w:r>
          </w:p>
        </w:tc>
      </w:tr>
      <w:tr w:rsidR="489AF8A9" w:rsidTr="334BBF58" w14:paraId="5757BABB"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6DAE37C4" w14:textId="3FB1E0A8">
            <w:pPr>
              <w:spacing w:before="40" w:after="40"/>
              <w:rPr>
                <w:rFonts w:eastAsia="Arial" w:cs="Arial"/>
                <w:sz w:val="20"/>
                <w:szCs w:val="20"/>
              </w:rPr>
            </w:pPr>
            <w:r w:rsidRPr="489AF8A9">
              <w:rPr>
                <w:rFonts w:eastAsia="Arial" w:cs="Arial"/>
                <w:b/>
                <w:bCs/>
                <w:sz w:val="20"/>
                <w:szCs w:val="20"/>
              </w:rPr>
              <w:t xml:space="preserve">Private Sector Investment </w:t>
            </w:r>
            <w:r w:rsidRPr="489AF8A9">
              <w:rPr>
                <w:rFonts w:eastAsia="Arial" w:cs="Arial"/>
                <w:sz w:val="20"/>
                <w:szCs w:val="20"/>
              </w:rPr>
              <w:t>Delays or difficulty securing private sector involvement in programme to leverage investment. </w:t>
            </w:r>
          </w:p>
          <w:p w:rsidR="489AF8A9" w:rsidP="489AF8A9" w:rsidRDefault="489AF8A9" w14:paraId="78944CCA" w14:textId="6F5CC895">
            <w:pPr>
              <w:spacing w:before="40" w:after="40"/>
              <w:rPr>
                <w:rFonts w:eastAsia="Arial" w:cs="Arial"/>
                <w:sz w:val="20"/>
                <w:szCs w:val="20"/>
              </w:rPr>
            </w:pPr>
            <w:r w:rsidRPr="489AF8A9">
              <w:rPr>
                <w:rFonts w:eastAsia="Arial" w:cs="Arial"/>
                <w:sz w:val="20"/>
                <w:szCs w:val="20"/>
              </w:rPr>
              <w:t> </w:t>
            </w:r>
          </w:p>
          <w:p w:rsidR="489AF8A9" w:rsidP="489AF8A9" w:rsidRDefault="489AF8A9" w14:paraId="4E0E6CA3" w14:textId="00029539">
            <w:pPr>
              <w:spacing w:before="40" w:after="40"/>
              <w:rPr>
                <w:rFonts w:eastAsia="Arial" w:cs="Arial"/>
                <w:sz w:val="20"/>
                <w:szCs w:val="20"/>
              </w:rPr>
            </w:pPr>
            <w:r w:rsidRPr="489AF8A9">
              <w:rPr>
                <w:rFonts w:eastAsia="Arial" w:cs="Arial"/>
                <w:sz w:val="20"/>
                <w:szCs w:val="20"/>
              </w:rPr>
              <w:t>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20AFD0ED" w14:textId="607D92CA">
            <w:pPr>
              <w:spacing w:before="40" w:after="40"/>
              <w:rPr>
                <w:rFonts w:eastAsia="Arial" w:cs="Arial"/>
                <w:sz w:val="20"/>
                <w:szCs w:val="20"/>
              </w:rPr>
            </w:pPr>
            <w:r w:rsidRPr="489AF8A9">
              <w:rPr>
                <w:rFonts w:eastAsia="Arial" w:cs="Arial"/>
                <w:sz w:val="20"/>
                <w:szCs w:val="20"/>
              </w:rPr>
              <w:t>Comprehensive strategies for crowding in private capital were developed by countries. </w:t>
            </w:r>
          </w:p>
          <w:p w:rsidR="489AF8A9" w:rsidP="489AF8A9" w:rsidRDefault="489AF8A9" w14:paraId="661A8D5F" w14:textId="6142DB3A">
            <w:pPr>
              <w:spacing w:before="40" w:after="40"/>
              <w:rPr>
                <w:rFonts w:eastAsia="Arial" w:cs="Arial"/>
                <w:sz w:val="20"/>
                <w:szCs w:val="20"/>
              </w:rPr>
            </w:pPr>
            <w:r w:rsidRPr="489AF8A9">
              <w:rPr>
                <w:rFonts w:eastAsia="Arial" w:cs="Arial"/>
                <w:sz w:val="20"/>
                <w:szCs w:val="20"/>
              </w:rPr>
              <w:t> </w:t>
            </w:r>
          </w:p>
          <w:p w:rsidR="489AF8A9" w:rsidP="489AF8A9" w:rsidRDefault="489AF8A9" w14:paraId="2AD7C26B" w14:textId="3EC7D344">
            <w:pPr>
              <w:spacing w:before="40" w:after="40"/>
              <w:rPr>
                <w:rFonts w:eastAsia="Arial" w:cs="Arial"/>
                <w:sz w:val="20"/>
                <w:szCs w:val="20"/>
              </w:rPr>
            </w:pPr>
            <w:r w:rsidRPr="489AF8A9">
              <w:rPr>
                <w:rFonts w:eastAsia="Arial" w:cs="Arial"/>
                <w:sz w:val="20"/>
                <w:szCs w:val="20"/>
              </w:rPr>
              <w:t>World Bank and contributors have worked together to ensure all contributor leads and contacts are available for ISFL.  </w:t>
            </w:r>
          </w:p>
          <w:p w:rsidR="489AF8A9" w:rsidP="489AF8A9" w:rsidRDefault="489AF8A9" w14:paraId="2A131304" w14:textId="52320E33">
            <w:pPr>
              <w:spacing w:before="40" w:after="40"/>
              <w:rPr>
                <w:rFonts w:eastAsia="Arial" w:cs="Arial"/>
                <w:sz w:val="20"/>
                <w:szCs w:val="20"/>
              </w:rPr>
            </w:pPr>
            <w:r w:rsidRPr="489AF8A9">
              <w:rPr>
                <w:rFonts w:eastAsia="Arial" w:cs="Arial"/>
                <w:sz w:val="20"/>
                <w:szCs w:val="20"/>
              </w:rPr>
              <w:t> </w:t>
            </w:r>
          </w:p>
          <w:p w:rsidR="489AF8A9" w:rsidP="489AF8A9" w:rsidRDefault="489AF8A9" w14:paraId="2E1BC06C" w14:textId="55639B4A">
            <w:pPr>
              <w:spacing w:before="40" w:after="40"/>
              <w:rPr>
                <w:rFonts w:eastAsia="Arial" w:cs="Arial"/>
                <w:sz w:val="20"/>
                <w:szCs w:val="20"/>
              </w:rPr>
            </w:pPr>
            <w:r w:rsidRPr="489AF8A9">
              <w:rPr>
                <w:rFonts w:eastAsia="Arial" w:cs="Arial"/>
                <w:sz w:val="20"/>
                <w:szCs w:val="20"/>
              </w:rPr>
              <w:t>Leveraging wider private sector strategies of ISFL contributors and their partner countries. </w:t>
            </w:r>
          </w:p>
          <w:p w:rsidR="489AF8A9" w:rsidP="489AF8A9" w:rsidRDefault="489AF8A9" w14:paraId="0E93DAE1" w14:textId="52BF9014">
            <w:pPr>
              <w:spacing w:before="40" w:after="40"/>
              <w:rPr>
                <w:rFonts w:eastAsia="Arial" w:cs="Arial"/>
                <w:sz w:val="20"/>
                <w:szCs w:val="20"/>
              </w:rPr>
            </w:pPr>
          </w:p>
          <w:p w:rsidR="489AF8A9" w:rsidP="489AF8A9" w:rsidRDefault="489AF8A9" w14:paraId="1293D270" w14:textId="226CCB5C">
            <w:pPr>
              <w:spacing w:before="40" w:after="40"/>
              <w:rPr>
                <w:rFonts w:eastAsia="Arial" w:cs="Arial"/>
                <w:sz w:val="20"/>
                <w:szCs w:val="20"/>
              </w:rPr>
            </w:pPr>
            <w:r w:rsidRPr="489AF8A9">
              <w:rPr>
                <w:rFonts w:eastAsia="Arial" w:cs="Arial"/>
                <w:sz w:val="20"/>
                <w:szCs w:val="20"/>
              </w:rPr>
              <w:t>The World Bank provides progress updates on private sector strategies in Colombia and Ethiopia.</w:t>
            </w:r>
          </w:p>
        </w:tc>
        <w:tc>
          <w:tcPr>
            <w:tcW w:w="2985" w:type="dxa"/>
            <w:tcBorders>
              <w:top w:val="single" w:color="auto" w:sz="6" w:space="0"/>
              <w:left w:val="single" w:color="auto" w:sz="6" w:space="0"/>
              <w:bottom w:val="single" w:color="auto" w:sz="6" w:space="0"/>
              <w:right w:val="single" w:color="auto" w:sz="6" w:space="0"/>
            </w:tcBorders>
            <w:shd w:val="clear" w:color="auto" w:fill="FFE599" w:themeFill="accent4" w:themeFillTint="66"/>
            <w:tcMar/>
          </w:tcPr>
          <w:p w:rsidR="489AF8A9" w:rsidP="489AF8A9" w:rsidRDefault="489AF8A9" w14:paraId="53F53499" w14:textId="48BB441B">
            <w:pPr>
              <w:spacing w:before="40" w:after="40"/>
              <w:rPr>
                <w:rFonts w:eastAsia="Arial" w:cs="Arial"/>
                <w:sz w:val="20"/>
                <w:szCs w:val="20"/>
              </w:rPr>
            </w:pPr>
            <w:r w:rsidRPr="489AF8A9">
              <w:rPr>
                <w:rFonts w:eastAsia="Arial" w:cs="Arial"/>
                <w:b/>
                <w:bCs/>
                <w:sz w:val="20"/>
                <w:szCs w:val="20"/>
                <w:u w:val="single"/>
              </w:rPr>
              <w:t>Moderate </w:t>
            </w:r>
            <w:r w:rsidRPr="489AF8A9">
              <w:rPr>
                <w:rFonts w:eastAsia="Arial" w:cs="Arial"/>
                <w:sz w:val="20"/>
                <w:szCs w:val="20"/>
              </w:rPr>
              <w:t> </w:t>
            </w:r>
          </w:p>
          <w:p w:rsidR="489AF8A9" w:rsidP="489AF8A9" w:rsidRDefault="489AF8A9" w14:paraId="5AF88F5B" w14:textId="11F3B15E">
            <w:pPr>
              <w:spacing w:before="40" w:after="40"/>
              <w:rPr>
                <w:rFonts w:eastAsia="Arial" w:cs="Arial"/>
                <w:sz w:val="20"/>
                <w:szCs w:val="20"/>
              </w:rPr>
            </w:pPr>
            <w:r w:rsidRPr="489AF8A9">
              <w:rPr>
                <w:rFonts w:eastAsia="Arial" w:cs="Arial"/>
                <w:sz w:val="20"/>
                <w:szCs w:val="20"/>
              </w:rPr>
              <w:t>This risk materialised in Zambia, Indonesia and Mexico.  </w:t>
            </w:r>
          </w:p>
          <w:p w:rsidR="489AF8A9" w:rsidP="489AF8A9" w:rsidRDefault="489AF8A9" w14:paraId="172D53A3" w14:textId="2A1F00B4">
            <w:pPr>
              <w:spacing w:before="40" w:after="40"/>
              <w:rPr>
                <w:rFonts w:eastAsia="Arial" w:cs="Arial"/>
                <w:sz w:val="20"/>
                <w:szCs w:val="20"/>
              </w:rPr>
            </w:pPr>
            <w:r w:rsidRPr="489AF8A9">
              <w:rPr>
                <w:rFonts w:eastAsia="Arial" w:cs="Arial"/>
                <w:sz w:val="20"/>
                <w:szCs w:val="20"/>
              </w:rPr>
              <w:t> </w:t>
            </w:r>
          </w:p>
          <w:p w:rsidR="489AF8A9" w:rsidP="489AF8A9" w:rsidRDefault="489AF8A9" w14:paraId="17DE0A33" w14:textId="1DEED029">
            <w:pPr>
              <w:spacing w:before="40" w:after="40"/>
              <w:rPr>
                <w:rFonts w:eastAsia="Arial" w:cs="Arial"/>
                <w:sz w:val="20"/>
                <w:szCs w:val="20"/>
              </w:rPr>
            </w:pPr>
            <w:r w:rsidRPr="489AF8A9">
              <w:rPr>
                <w:rFonts w:eastAsia="Arial" w:cs="Arial"/>
                <w:sz w:val="20"/>
                <w:szCs w:val="20"/>
              </w:rPr>
              <w:t>Private Sector Strategies are being implemented successfully in Colombia and Ethiopia.  </w:t>
            </w:r>
          </w:p>
          <w:p w:rsidR="002A15EF" w:rsidP="489AF8A9" w:rsidRDefault="002A15EF" w14:paraId="47F42729" w14:textId="77777777">
            <w:pPr>
              <w:spacing w:before="40" w:after="40"/>
              <w:rPr>
                <w:rFonts w:eastAsia="Arial" w:cs="Arial"/>
                <w:sz w:val="20"/>
                <w:szCs w:val="20"/>
              </w:rPr>
            </w:pPr>
          </w:p>
          <w:p w:rsidR="002A15EF" w:rsidP="489AF8A9" w:rsidRDefault="002A15EF" w14:paraId="27C22AD9" w14:textId="727483AF">
            <w:pPr>
              <w:spacing w:before="40" w:after="40"/>
              <w:rPr>
                <w:rFonts w:eastAsia="Arial" w:cs="Arial"/>
                <w:sz w:val="20"/>
                <w:szCs w:val="20"/>
              </w:rPr>
            </w:pPr>
            <w:r>
              <w:rPr>
                <w:rFonts w:eastAsia="Arial" w:cs="Arial"/>
                <w:sz w:val="20"/>
                <w:szCs w:val="20"/>
              </w:rPr>
              <w:t>Since the end of the reporting period, we have allocated $4m of UK funding to the new Mexico private sector strategy.</w:t>
            </w:r>
          </w:p>
          <w:p w:rsidR="489AF8A9" w:rsidP="489AF8A9" w:rsidRDefault="489AF8A9" w14:paraId="23CD1491" w14:textId="157DED59">
            <w:pPr>
              <w:spacing w:before="40" w:after="40"/>
              <w:rPr>
                <w:rFonts w:eastAsia="Arial" w:cs="Arial"/>
                <w:sz w:val="20"/>
                <w:szCs w:val="20"/>
              </w:rPr>
            </w:pPr>
            <w:r w:rsidRPr="489AF8A9">
              <w:rPr>
                <w:rFonts w:eastAsia="Arial" w:cs="Arial"/>
                <w:sz w:val="20"/>
                <w:szCs w:val="20"/>
              </w:rPr>
              <w:t> </w:t>
            </w:r>
          </w:p>
          <w:p w:rsidR="489AF8A9" w:rsidP="36AB8837" w:rsidRDefault="489AF8A9" w14:paraId="63CDCDBF" w14:textId="77777777">
            <w:pPr>
              <w:spacing w:before="40" w:after="40"/>
              <w:rPr>
                <w:rFonts w:eastAsia="Arial" w:cs="Arial"/>
                <w:sz w:val="20"/>
                <w:szCs w:val="20"/>
              </w:rPr>
            </w:pPr>
            <w:r w:rsidRPr="36AB8837">
              <w:rPr>
                <w:rFonts w:eastAsia="Arial" w:cs="Arial"/>
                <w:sz w:val="20"/>
                <w:szCs w:val="20"/>
              </w:rPr>
              <w:t>FY2</w:t>
            </w:r>
            <w:r w:rsidR="00DA700E">
              <w:rPr>
                <w:rFonts w:eastAsia="Arial" w:cs="Arial"/>
                <w:sz w:val="20"/>
                <w:szCs w:val="20"/>
              </w:rPr>
              <w:t>5</w:t>
            </w:r>
            <w:r w:rsidRPr="36AB8837">
              <w:rPr>
                <w:rFonts w:eastAsia="Arial" w:cs="Arial"/>
                <w:sz w:val="20"/>
                <w:szCs w:val="20"/>
              </w:rPr>
              <w:t>: Moderate </w:t>
            </w:r>
          </w:p>
          <w:p w:rsidR="00480A96" w:rsidP="36AB8837" w:rsidRDefault="00480A96" w14:paraId="62B61787" w14:textId="695B0AF3">
            <w:pPr>
              <w:spacing w:before="40" w:after="40"/>
              <w:rPr>
                <w:rFonts w:eastAsia="Arial" w:cs="Arial"/>
                <w:sz w:val="20"/>
                <w:szCs w:val="20"/>
              </w:rPr>
            </w:pPr>
            <w:r>
              <w:rPr>
                <w:rFonts w:eastAsia="Arial" w:cs="Arial"/>
                <w:sz w:val="20"/>
                <w:szCs w:val="20"/>
              </w:rPr>
              <w:t>(unchanged from FY24)</w:t>
            </w:r>
          </w:p>
        </w:tc>
      </w:tr>
      <w:tr w:rsidR="489AF8A9" w:rsidTr="334BBF58" w14:paraId="1F250C1E"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590A19C1" w14:textId="5B3EDEBD">
            <w:pPr>
              <w:spacing w:before="40" w:after="40"/>
              <w:rPr>
                <w:rFonts w:eastAsia="Arial" w:cs="Arial"/>
                <w:sz w:val="20"/>
                <w:szCs w:val="20"/>
              </w:rPr>
            </w:pPr>
            <w:r w:rsidRPr="489AF8A9">
              <w:rPr>
                <w:rFonts w:eastAsia="Arial" w:cs="Arial"/>
                <w:b/>
                <w:bCs/>
                <w:sz w:val="20"/>
                <w:szCs w:val="20"/>
              </w:rPr>
              <w:t>Reputational </w:t>
            </w:r>
            <w:r w:rsidRPr="489AF8A9">
              <w:rPr>
                <w:rFonts w:eastAsia="Arial" w:cs="Arial"/>
                <w:sz w:val="20"/>
                <w:szCs w:val="20"/>
              </w:rPr>
              <w:t> </w:t>
            </w:r>
          </w:p>
          <w:p w:rsidR="489AF8A9" w:rsidP="489AF8A9" w:rsidRDefault="489AF8A9" w14:paraId="76207D8D" w14:textId="1BC8916F">
            <w:pPr>
              <w:spacing w:before="40" w:after="40"/>
              <w:rPr>
                <w:rFonts w:eastAsia="Arial" w:cs="Arial"/>
                <w:sz w:val="20"/>
                <w:szCs w:val="20"/>
              </w:rPr>
            </w:pPr>
            <w:r w:rsidRPr="489AF8A9">
              <w:rPr>
                <w:rFonts w:eastAsia="Arial" w:cs="Arial"/>
                <w:sz w:val="20"/>
                <w:szCs w:val="20"/>
              </w:rPr>
              <w:t>Reputational risks can arise from other risks, such as the ones listed above. These could include reputational risk for programme and contributors if deforestation rates increase, criticism of benefit sharing or mis-purposed funds, and wider negative perceptions of REDD+ performance. </w:t>
            </w:r>
          </w:p>
          <w:p w:rsidR="489AF8A9" w:rsidP="489AF8A9" w:rsidRDefault="489AF8A9" w14:paraId="299FF7DD" w14:textId="696F02BA">
            <w:pPr>
              <w:spacing w:before="40" w:after="40"/>
              <w:rPr>
                <w:rFonts w:eastAsia="Arial" w:cs="Arial"/>
                <w:sz w:val="20"/>
                <w:szCs w:val="20"/>
              </w:rPr>
            </w:pPr>
            <w:r w:rsidRPr="489AF8A9">
              <w:rPr>
                <w:rFonts w:eastAsia="Arial" w:cs="Arial"/>
                <w:sz w:val="20"/>
                <w:szCs w:val="20"/>
              </w:rPr>
              <w:t>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3F4811E0" w14:textId="2353AF94">
            <w:pPr>
              <w:spacing w:before="40" w:after="40"/>
              <w:rPr>
                <w:rFonts w:eastAsia="Arial" w:cs="Arial"/>
                <w:sz w:val="20"/>
                <w:szCs w:val="20"/>
              </w:rPr>
            </w:pPr>
            <w:r w:rsidRPr="489AF8A9">
              <w:rPr>
                <w:rFonts w:eastAsia="Arial" w:cs="Arial"/>
                <w:sz w:val="20"/>
                <w:szCs w:val="20"/>
              </w:rPr>
              <w:t>Should increases in deforestation pose a reputational risk, officials will judge the appropriate response, including drafting defensive lines and engaging with key stakeholders.  </w:t>
            </w:r>
          </w:p>
          <w:p w:rsidR="489AF8A9" w:rsidP="489AF8A9" w:rsidRDefault="489AF8A9" w14:paraId="28B73870" w14:textId="4CB0FA1F">
            <w:pPr>
              <w:spacing w:before="40" w:after="40"/>
              <w:rPr>
                <w:rFonts w:eastAsia="Arial" w:cs="Arial"/>
                <w:sz w:val="20"/>
                <w:szCs w:val="20"/>
              </w:rPr>
            </w:pPr>
            <w:r w:rsidRPr="489AF8A9">
              <w:rPr>
                <w:rFonts w:eastAsia="Arial" w:cs="Arial"/>
                <w:sz w:val="20"/>
                <w:szCs w:val="20"/>
              </w:rPr>
              <w:t> </w:t>
            </w:r>
          </w:p>
          <w:p w:rsidR="489AF8A9" w:rsidP="489AF8A9" w:rsidRDefault="489AF8A9" w14:paraId="03BA6A8B" w14:textId="11DC7572">
            <w:pPr>
              <w:spacing w:before="40" w:after="40"/>
              <w:rPr>
                <w:rFonts w:eastAsia="Arial" w:cs="Arial"/>
                <w:sz w:val="20"/>
                <w:szCs w:val="20"/>
              </w:rPr>
            </w:pPr>
            <w:r w:rsidRPr="489AF8A9">
              <w:rPr>
                <w:rFonts w:eastAsia="Arial" w:cs="Arial"/>
                <w:sz w:val="20"/>
                <w:szCs w:val="20"/>
              </w:rPr>
              <w:t>Track and anticipate political uncertainties within countries. </w:t>
            </w:r>
          </w:p>
          <w:p w:rsidR="489AF8A9" w:rsidP="489AF8A9" w:rsidRDefault="489AF8A9" w14:paraId="55934C69" w14:textId="15C08551">
            <w:pPr>
              <w:spacing w:before="40" w:after="40"/>
              <w:rPr>
                <w:rFonts w:eastAsia="Arial" w:cs="Arial"/>
                <w:sz w:val="20"/>
                <w:szCs w:val="20"/>
              </w:rPr>
            </w:pPr>
            <w:r w:rsidRPr="489AF8A9">
              <w:rPr>
                <w:rFonts w:eastAsia="Arial" w:cs="Arial"/>
                <w:sz w:val="20"/>
                <w:szCs w:val="20"/>
              </w:rPr>
              <w:t> </w:t>
            </w:r>
          </w:p>
          <w:p w:rsidR="489AF8A9" w:rsidP="489AF8A9" w:rsidRDefault="489AF8A9" w14:paraId="54CEB258" w14:textId="34F1A18A">
            <w:pPr>
              <w:spacing w:before="40" w:after="40"/>
              <w:rPr>
                <w:rFonts w:eastAsia="Arial" w:cs="Arial"/>
                <w:sz w:val="20"/>
                <w:szCs w:val="20"/>
              </w:rPr>
            </w:pPr>
            <w:r w:rsidRPr="489AF8A9">
              <w:rPr>
                <w:rFonts w:eastAsia="Arial" w:cs="Arial"/>
                <w:sz w:val="20"/>
                <w:szCs w:val="20"/>
              </w:rPr>
              <w:t>Positive comms messages around ISFL. </w:t>
            </w:r>
          </w:p>
        </w:tc>
        <w:tc>
          <w:tcPr>
            <w:tcW w:w="2985" w:type="dxa"/>
            <w:tcBorders>
              <w:top w:val="single" w:color="auto" w:sz="6" w:space="0"/>
              <w:left w:val="single" w:color="auto" w:sz="6" w:space="0"/>
              <w:bottom w:val="single" w:color="auto" w:sz="6" w:space="0"/>
              <w:right w:val="single" w:color="auto" w:sz="6" w:space="0"/>
            </w:tcBorders>
            <w:shd w:val="clear" w:color="auto" w:fill="FFE599" w:themeFill="accent4" w:themeFillTint="66"/>
            <w:tcMar/>
          </w:tcPr>
          <w:p w:rsidR="489AF8A9" w:rsidP="489AF8A9" w:rsidRDefault="489AF8A9" w14:paraId="55862324" w14:textId="487B472C">
            <w:pPr>
              <w:spacing w:before="40" w:after="40"/>
              <w:rPr>
                <w:rFonts w:eastAsia="Arial" w:cs="Arial"/>
                <w:sz w:val="20"/>
                <w:szCs w:val="20"/>
              </w:rPr>
            </w:pPr>
            <w:r w:rsidRPr="489AF8A9">
              <w:rPr>
                <w:rFonts w:eastAsia="Arial" w:cs="Arial"/>
                <w:b/>
                <w:bCs/>
                <w:sz w:val="20"/>
                <w:szCs w:val="20"/>
                <w:u w:val="single"/>
              </w:rPr>
              <w:t>Moderate</w:t>
            </w:r>
            <w:r w:rsidRPr="489AF8A9">
              <w:rPr>
                <w:rFonts w:eastAsia="Arial" w:cs="Arial"/>
                <w:sz w:val="20"/>
                <w:szCs w:val="20"/>
              </w:rPr>
              <w:t> </w:t>
            </w:r>
          </w:p>
          <w:p w:rsidR="489AF8A9" w:rsidP="489AF8A9" w:rsidRDefault="489AF8A9" w14:paraId="6BA2F422" w14:textId="49CE4ACC">
            <w:pPr>
              <w:spacing w:before="40" w:after="40"/>
              <w:rPr>
                <w:rFonts w:eastAsia="Arial" w:cs="Arial"/>
                <w:sz w:val="20"/>
                <w:szCs w:val="20"/>
              </w:rPr>
            </w:pPr>
            <w:r w:rsidRPr="489AF8A9">
              <w:rPr>
                <w:rFonts w:eastAsia="Arial" w:cs="Arial"/>
                <w:sz w:val="20"/>
                <w:szCs w:val="20"/>
              </w:rPr>
              <w:t>Strong management processes and the high-integrity nature of the programme mitigates this risk. </w:t>
            </w:r>
          </w:p>
          <w:p w:rsidR="489AF8A9" w:rsidP="489AF8A9" w:rsidRDefault="489AF8A9" w14:paraId="305FD7E5" w14:textId="6D85282A">
            <w:pPr>
              <w:spacing w:before="40" w:after="40"/>
              <w:rPr>
                <w:rFonts w:eastAsia="Arial" w:cs="Arial"/>
                <w:sz w:val="20"/>
                <w:szCs w:val="20"/>
              </w:rPr>
            </w:pPr>
            <w:r w:rsidRPr="489AF8A9">
              <w:rPr>
                <w:rFonts w:eastAsia="Arial" w:cs="Arial"/>
                <w:sz w:val="20"/>
                <w:szCs w:val="20"/>
              </w:rPr>
              <w:t> </w:t>
            </w:r>
          </w:p>
          <w:p w:rsidR="489AF8A9" w:rsidP="36035951" w:rsidRDefault="489AF8A9" w14:paraId="4553C69B" w14:textId="77777777">
            <w:pPr>
              <w:spacing w:before="40" w:after="40"/>
              <w:rPr>
                <w:rFonts w:eastAsia="Arial" w:cs="Arial"/>
                <w:sz w:val="20"/>
                <w:szCs w:val="20"/>
              </w:rPr>
            </w:pPr>
            <w:r w:rsidRPr="36035951">
              <w:rPr>
                <w:rFonts w:eastAsia="Arial" w:cs="Arial"/>
                <w:sz w:val="20"/>
                <w:szCs w:val="20"/>
              </w:rPr>
              <w:t>FY2</w:t>
            </w:r>
            <w:r w:rsidR="00DA700E">
              <w:rPr>
                <w:rFonts w:eastAsia="Arial" w:cs="Arial"/>
                <w:sz w:val="20"/>
                <w:szCs w:val="20"/>
              </w:rPr>
              <w:t>5</w:t>
            </w:r>
            <w:r w:rsidRPr="36035951">
              <w:rPr>
                <w:rFonts w:eastAsia="Arial" w:cs="Arial"/>
                <w:sz w:val="20"/>
                <w:szCs w:val="20"/>
              </w:rPr>
              <w:t>: Moderate </w:t>
            </w:r>
          </w:p>
          <w:p w:rsidR="00480A96" w:rsidP="36035951" w:rsidRDefault="00480A96" w14:paraId="7F8F0ED5" w14:textId="39F6EF57">
            <w:pPr>
              <w:spacing w:before="40" w:after="40"/>
              <w:rPr>
                <w:rFonts w:eastAsia="Arial" w:cs="Arial"/>
                <w:sz w:val="20"/>
                <w:szCs w:val="20"/>
              </w:rPr>
            </w:pPr>
            <w:r>
              <w:rPr>
                <w:rFonts w:eastAsia="Arial" w:cs="Arial"/>
                <w:sz w:val="20"/>
                <w:szCs w:val="20"/>
              </w:rPr>
              <w:t>(unchanged from FY24)</w:t>
            </w:r>
          </w:p>
        </w:tc>
      </w:tr>
      <w:tr w:rsidR="00480A96" w:rsidTr="334BBF58" w14:paraId="67698685"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00480A96" w:rsidP="00480A96" w:rsidRDefault="00480A96" w14:paraId="02452786" w14:textId="77777777">
            <w:pPr>
              <w:spacing w:before="40" w:after="40"/>
              <w:rPr>
                <w:rFonts w:eastAsia="Arial" w:cs="Arial"/>
                <w:sz w:val="20"/>
                <w:szCs w:val="20"/>
              </w:rPr>
            </w:pPr>
            <w:r w:rsidRPr="334BBF58" w:rsidR="00480A96">
              <w:rPr>
                <w:rFonts w:eastAsia="Arial" w:cs="Arial"/>
                <w:b w:val="1"/>
                <w:bCs w:val="1"/>
                <w:sz w:val="20"/>
                <w:szCs w:val="20"/>
              </w:rPr>
              <w:t>Exchange rate risk</w:t>
            </w:r>
            <w:r w:rsidRPr="334BBF58" w:rsidR="00480A96">
              <w:rPr>
                <w:rFonts w:eastAsia="Arial" w:cs="Arial"/>
                <w:sz w:val="20"/>
                <w:szCs w:val="20"/>
              </w:rPr>
              <w:t> </w:t>
            </w:r>
          </w:p>
          <w:p w:rsidRPr="489AF8A9" w:rsidR="00480A96" w:rsidP="00480A96" w:rsidRDefault="00480A96" w14:paraId="4AD2D909" w14:textId="3209E12C">
            <w:pPr>
              <w:spacing w:before="40" w:after="40"/>
              <w:rPr>
                <w:rFonts w:eastAsia="Arial" w:cs="Arial"/>
                <w:b/>
                <w:bCs/>
                <w:sz w:val="20"/>
                <w:szCs w:val="20"/>
              </w:rPr>
            </w:pPr>
            <w:r w:rsidRPr="59F41DAA">
              <w:rPr>
                <w:rFonts w:eastAsia="Arial" w:cs="Arial"/>
                <w:sz w:val="20"/>
                <w:szCs w:val="20"/>
              </w:rPr>
              <w:t>GBP:USD exchange rate - UK contribution and overall financial resourcing to ISFL could reduce as a result of GBP weakening, leading to lower-than-expected results / not maximising GBP value to contribution. </w:t>
            </w:r>
          </w:p>
        </w:tc>
        <w:tc>
          <w:tcPr>
            <w:tcW w:w="3075" w:type="dxa"/>
            <w:tcBorders>
              <w:top w:val="single" w:color="auto" w:sz="6" w:space="0"/>
              <w:left w:val="single" w:color="auto" w:sz="6" w:space="0"/>
              <w:bottom w:val="single" w:color="auto" w:sz="6" w:space="0"/>
              <w:right w:val="single" w:color="auto" w:sz="6" w:space="0"/>
            </w:tcBorders>
            <w:tcMar/>
          </w:tcPr>
          <w:p w:rsidR="00480A96" w:rsidP="00480A96" w:rsidRDefault="00480A96" w14:paraId="48FDD086" w14:textId="77777777">
            <w:pPr>
              <w:spacing w:before="40" w:after="40"/>
              <w:rPr>
                <w:rFonts w:eastAsia="Arial" w:cs="Arial"/>
                <w:sz w:val="20"/>
                <w:szCs w:val="20"/>
              </w:rPr>
            </w:pPr>
            <w:r w:rsidRPr="489AF8A9">
              <w:rPr>
                <w:rFonts w:eastAsia="Arial" w:cs="Arial"/>
                <w:sz w:val="20"/>
                <w:szCs w:val="20"/>
              </w:rPr>
              <w:t>Agreed approach with World Bank - fixed day exchange rate to determine pro-rated shares, which World Bank will sign ERPAs based on (and therefore request drawdown of UK funding). Encashments utilise day spot rates. </w:t>
            </w:r>
          </w:p>
          <w:p w:rsidR="00480A96" w:rsidP="00480A96" w:rsidRDefault="00480A96" w14:paraId="4C358304" w14:textId="77777777">
            <w:pPr>
              <w:spacing w:before="40" w:after="40"/>
              <w:rPr>
                <w:rFonts w:eastAsia="Arial" w:cs="Arial"/>
                <w:sz w:val="20"/>
                <w:szCs w:val="20"/>
              </w:rPr>
            </w:pPr>
            <w:r w:rsidRPr="489AF8A9">
              <w:rPr>
                <w:rFonts w:eastAsia="Arial" w:cs="Arial"/>
                <w:sz w:val="20"/>
                <w:szCs w:val="20"/>
              </w:rPr>
              <w:t> </w:t>
            </w:r>
          </w:p>
          <w:p w:rsidRPr="489AF8A9" w:rsidR="00480A96" w:rsidP="00480A96" w:rsidRDefault="00480A96" w14:paraId="15DD160C" w14:textId="3BEFFE3B">
            <w:pPr>
              <w:spacing w:before="40" w:after="40"/>
              <w:rPr>
                <w:rFonts w:eastAsia="Arial" w:cs="Arial"/>
                <w:sz w:val="20"/>
                <w:szCs w:val="20"/>
              </w:rPr>
            </w:pPr>
            <w:r w:rsidRPr="489AF8A9">
              <w:rPr>
                <w:rFonts w:eastAsia="Arial" w:cs="Arial"/>
                <w:sz w:val="20"/>
                <w:szCs w:val="20"/>
              </w:rPr>
              <w:t> </w:t>
            </w:r>
          </w:p>
        </w:tc>
        <w:tc>
          <w:tcPr>
            <w:tcW w:w="2985" w:type="dxa"/>
            <w:tcBorders>
              <w:top w:val="single" w:color="auto" w:sz="6" w:space="0"/>
              <w:left w:val="single" w:color="auto" w:sz="6" w:space="0"/>
              <w:bottom w:val="single" w:color="auto" w:sz="6" w:space="0"/>
              <w:right w:val="single" w:color="auto" w:sz="6" w:space="0"/>
            </w:tcBorders>
            <w:shd w:val="clear" w:color="auto" w:fill="C5E0B3" w:themeFill="accent6" w:themeFillTint="66"/>
            <w:tcMar/>
          </w:tcPr>
          <w:p w:rsidR="00480A96" w:rsidP="00480A96" w:rsidRDefault="00480A96" w14:paraId="00F8E5BE" w14:textId="77777777">
            <w:pPr>
              <w:spacing w:before="40" w:after="40"/>
              <w:rPr>
                <w:rFonts w:eastAsia="Arial" w:cs="Arial"/>
                <w:sz w:val="20"/>
                <w:szCs w:val="20"/>
              </w:rPr>
            </w:pPr>
            <w:r>
              <w:rPr>
                <w:rFonts w:eastAsia="Arial" w:cs="Arial"/>
                <w:b/>
                <w:bCs/>
                <w:sz w:val="20"/>
                <w:szCs w:val="20"/>
                <w:u w:val="single"/>
              </w:rPr>
              <w:t>Minor</w:t>
            </w:r>
          </w:p>
          <w:p w:rsidR="00480A96" w:rsidP="00480A96" w:rsidRDefault="00480A96" w14:paraId="6792685D" w14:textId="77777777">
            <w:pPr>
              <w:spacing w:before="40" w:after="40"/>
              <w:rPr>
                <w:rFonts w:eastAsia="Arial" w:cs="Arial"/>
                <w:sz w:val="20"/>
                <w:szCs w:val="20"/>
              </w:rPr>
            </w:pPr>
            <w:r w:rsidRPr="489AF8A9">
              <w:rPr>
                <w:rFonts w:eastAsia="Arial" w:cs="Arial"/>
                <w:sz w:val="20"/>
                <w:szCs w:val="20"/>
              </w:rPr>
              <w:t>This risk has occurred already with GBP value falling since 2013. Impact has been mitigated somewhat by allowing credits not purchased due to reduced ERPAs to be purchased by third parties.  </w:t>
            </w:r>
          </w:p>
          <w:p w:rsidR="00480A96" w:rsidP="00480A96" w:rsidRDefault="00480A96" w14:paraId="76BA966B" w14:textId="77777777">
            <w:pPr>
              <w:spacing w:before="40" w:after="40"/>
              <w:rPr>
                <w:rFonts w:eastAsia="Arial" w:cs="Arial"/>
                <w:sz w:val="20"/>
                <w:szCs w:val="20"/>
              </w:rPr>
            </w:pPr>
            <w:r w:rsidRPr="489AF8A9">
              <w:rPr>
                <w:rFonts w:eastAsia="Arial" w:cs="Arial"/>
                <w:sz w:val="20"/>
                <w:szCs w:val="20"/>
              </w:rPr>
              <w:t> </w:t>
            </w:r>
          </w:p>
          <w:p w:rsidR="00480A96" w:rsidP="00480A96" w:rsidRDefault="00480A96" w14:paraId="6F297BFB" w14:textId="77777777">
            <w:pPr>
              <w:spacing w:before="40" w:after="40"/>
              <w:rPr>
                <w:rFonts w:eastAsia="Arial" w:cs="Arial"/>
                <w:sz w:val="20"/>
                <w:szCs w:val="20"/>
              </w:rPr>
            </w:pPr>
            <w:r w:rsidRPr="489AF8A9">
              <w:rPr>
                <w:rFonts w:eastAsia="Arial" w:cs="Arial"/>
                <w:sz w:val="20"/>
                <w:szCs w:val="20"/>
              </w:rPr>
              <w:t>We will monitor for all upcoming payments and review the ongoing situation. We will use the existing mitigation of having a fixed rate for our share of ERPAs, as this provides us and the World Bank with certainty. </w:t>
            </w:r>
          </w:p>
          <w:p w:rsidR="00480A96" w:rsidP="00480A96" w:rsidRDefault="00480A96" w14:paraId="258648CB" w14:textId="77777777">
            <w:pPr>
              <w:spacing w:before="40" w:after="40"/>
              <w:rPr>
                <w:rFonts w:eastAsia="Arial" w:cs="Arial"/>
                <w:sz w:val="20"/>
                <w:szCs w:val="20"/>
              </w:rPr>
            </w:pPr>
            <w:r w:rsidRPr="489AF8A9">
              <w:rPr>
                <w:rFonts w:eastAsia="Arial" w:cs="Arial"/>
                <w:sz w:val="20"/>
                <w:szCs w:val="20"/>
              </w:rPr>
              <w:t> </w:t>
            </w:r>
          </w:p>
          <w:p w:rsidR="00480A96" w:rsidP="00480A96" w:rsidRDefault="00480A96" w14:paraId="2BA349EC" w14:textId="77777777">
            <w:pPr>
              <w:spacing w:before="40" w:after="40"/>
              <w:rPr>
                <w:rFonts w:eastAsia="Arial" w:cs="Arial"/>
                <w:sz w:val="20"/>
                <w:szCs w:val="20"/>
              </w:rPr>
            </w:pPr>
            <w:r w:rsidRPr="49A2FA1B">
              <w:rPr>
                <w:rFonts w:eastAsia="Arial" w:cs="Arial"/>
                <w:sz w:val="20"/>
                <w:szCs w:val="20"/>
              </w:rPr>
              <w:t>FY2</w:t>
            </w:r>
            <w:r>
              <w:rPr>
                <w:rFonts w:eastAsia="Arial" w:cs="Arial"/>
                <w:sz w:val="20"/>
                <w:szCs w:val="20"/>
              </w:rPr>
              <w:t>5</w:t>
            </w:r>
            <w:r w:rsidRPr="49A2FA1B">
              <w:rPr>
                <w:rFonts w:eastAsia="Arial" w:cs="Arial"/>
                <w:sz w:val="20"/>
                <w:szCs w:val="20"/>
              </w:rPr>
              <w:t xml:space="preserve">: </w:t>
            </w:r>
            <w:r w:rsidRPr="6568678D">
              <w:rPr>
                <w:rFonts w:eastAsia="Arial" w:cs="Arial"/>
                <w:sz w:val="20"/>
                <w:szCs w:val="20"/>
              </w:rPr>
              <w:t>Minor</w:t>
            </w:r>
          </w:p>
          <w:p w:rsidRPr="489AF8A9" w:rsidR="00480A96" w:rsidP="00480A96" w:rsidRDefault="00480A96" w14:paraId="5DA393CA" w14:textId="3257A2B9">
            <w:pPr>
              <w:spacing w:before="40" w:after="40"/>
              <w:rPr>
                <w:rFonts w:eastAsia="Arial" w:cs="Arial"/>
                <w:b/>
                <w:bCs/>
                <w:sz w:val="20"/>
                <w:szCs w:val="20"/>
                <w:u w:val="single"/>
              </w:rPr>
            </w:pPr>
            <w:r>
              <w:rPr>
                <w:rFonts w:eastAsia="Arial" w:cs="Arial"/>
                <w:sz w:val="20"/>
                <w:szCs w:val="20"/>
              </w:rPr>
              <w:t>FY24: Moderate</w:t>
            </w:r>
          </w:p>
        </w:tc>
      </w:tr>
      <w:tr w:rsidR="489AF8A9" w:rsidTr="334BBF58" w14:paraId="3BC92AE7"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205AC3D9" w14:textId="536BD807">
            <w:pPr>
              <w:spacing w:before="40" w:after="40"/>
              <w:rPr>
                <w:rFonts w:eastAsia="Arial" w:cs="Arial"/>
                <w:sz w:val="20"/>
                <w:szCs w:val="20"/>
              </w:rPr>
            </w:pPr>
            <w:r w:rsidRPr="489AF8A9">
              <w:rPr>
                <w:rFonts w:eastAsia="Arial" w:cs="Arial"/>
                <w:b/>
                <w:bCs/>
                <w:sz w:val="20"/>
                <w:szCs w:val="20"/>
              </w:rPr>
              <w:t>Fiduciary risk </w:t>
            </w:r>
            <w:r w:rsidRPr="489AF8A9">
              <w:rPr>
                <w:rFonts w:eastAsia="Arial" w:cs="Arial"/>
                <w:sz w:val="20"/>
                <w:szCs w:val="20"/>
              </w:rPr>
              <w:t> </w:t>
            </w:r>
          </w:p>
          <w:p w:rsidR="489AF8A9" w:rsidP="489AF8A9" w:rsidRDefault="489AF8A9" w14:paraId="603827F7" w14:textId="040B0C6B">
            <w:pPr>
              <w:spacing w:before="40" w:after="40"/>
              <w:rPr>
                <w:rFonts w:eastAsia="Arial" w:cs="Arial"/>
                <w:sz w:val="20"/>
                <w:szCs w:val="20"/>
              </w:rPr>
            </w:pPr>
            <w:r w:rsidRPr="489AF8A9">
              <w:rPr>
                <w:rFonts w:eastAsia="Arial" w:cs="Arial"/>
                <w:sz w:val="20"/>
                <w:szCs w:val="20"/>
              </w:rPr>
              <w:t>Fraud or misused funds mean that UK funds are not used for the intended purpose, resulting in fiduciary and reputation impacts or underperformance on due diligence and management of approaches limits the impact of the programme or carries risk of misuse of funds. Additionally, underperformance from the World Bank on due diligence and management of approaches limits the impact of the programme or exacerbates risk of misuse of funds.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39C478E4" w14:textId="52E571FB">
            <w:pPr>
              <w:spacing w:before="40" w:after="40"/>
              <w:rPr>
                <w:rFonts w:eastAsia="Arial" w:cs="Arial"/>
                <w:sz w:val="20"/>
                <w:szCs w:val="20"/>
              </w:rPr>
            </w:pPr>
            <w:r w:rsidRPr="489AF8A9">
              <w:rPr>
                <w:rFonts w:eastAsia="Arial" w:cs="Arial"/>
                <w:sz w:val="20"/>
                <w:szCs w:val="20"/>
              </w:rPr>
              <w:t>Implementation through well-established multilateral development bank (MDB) trust fund structures with respected fraud checks and balances: </w:t>
            </w:r>
          </w:p>
          <w:p w:rsidR="489AF8A9" w:rsidP="489AF8A9" w:rsidRDefault="489AF8A9" w14:paraId="18FF4653" w14:textId="6FD2F0EF">
            <w:pPr>
              <w:spacing w:before="40" w:after="40"/>
              <w:rPr>
                <w:rFonts w:eastAsia="Arial" w:cs="Arial"/>
                <w:sz w:val="20"/>
                <w:szCs w:val="20"/>
              </w:rPr>
            </w:pPr>
            <w:r w:rsidRPr="489AF8A9">
              <w:rPr>
                <w:rFonts w:eastAsia="Arial" w:cs="Arial"/>
                <w:sz w:val="20"/>
                <w:szCs w:val="20"/>
              </w:rPr>
              <w:t> </w:t>
            </w:r>
          </w:p>
          <w:p w:rsidR="489AF8A9" w:rsidP="489AF8A9" w:rsidRDefault="489AF8A9" w14:paraId="0BA5489B" w14:textId="6D44B6B3">
            <w:pPr>
              <w:spacing w:before="40" w:after="40"/>
              <w:rPr>
                <w:rFonts w:eastAsia="Arial" w:cs="Arial"/>
                <w:sz w:val="20"/>
                <w:szCs w:val="20"/>
              </w:rPr>
            </w:pPr>
            <w:r w:rsidRPr="489AF8A9">
              <w:rPr>
                <w:rFonts w:eastAsia="Arial" w:cs="Arial"/>
                <w:sz w:val="20"/>
                <w:szCs w:val="20"/>
              </w:rPr>
              <w:t>A) The World Bank will independently verify emission reductions before providing payment for results. </w:t>
            </w:r>
          </w:p>
          <w:p w:rsidR="489AF8A9" w:rsidP="489AF8A9" w:rsidRDefault="489AF8A9" w14:paraId="60D13F24" w14:textId="359B6DE4">
            <w:pPr>
              <w:spacing w:before="40" w:after="40"/>
              <w:rPr>
                <w:rFonts w:eastAsia="Arial" w:cs="Arial"/>
                <w:sz w:val="20"/>
                <w:szCs w:val="20"/>
              </w:rPr>
            </w:pPr>
            <w:r w:rsidRPr="489AF8A9">
              <w:rPr>
                <w:rFonts w:eastAsia="Arial" w:cs="Arial"/>
                <w:sz w:val="20"/>
                <w:szCs w:val="20"/>
              </w:rPr>
              <w:t>B) All payments will be registered publicly to avoid overlap.  </w:t>
            </w:r>
          </w:p>
          <w:p w:rsidR="489AF8A9" w:rsidP="489AF8A9" w:rsidRDefault="489AF8A9" w14:paraId="14A95C0D" w14:textId="5D860392">
            <w:pPr>
              <w:spacing w:before="40" w:after="40"/>
              <w:rPr>
                <w:rFonts w:eastAsia="Arial" w:cs="Arial"/>
                <w:sz w:val="20"/>
                <w:szCs w:val="20"/>
              </w:rPr>
            </w:pPr>
            <w:r w:rsidRPr="489AF8A9">
              <w:rPr>
                <w:rFonts w:eastAsia="Arial" w:cs="Arial"/>
                <w:sz w:val="20"/>
                <w:szCs w:val="20"/>
              </w:rPr>
              <w:t>C) Funds channelled according to agreed Benefits-Sharing Plans. </w:t>
            </w:r>
          </w:p>
        </w:tc>
        <w:tc>
          <w:tcPr>
            <w:tcW w:w="2985" w:type="dxa"/>
            <w:tcBorders>
              <w:top w:val="single" w:color="auto" w:sz="6" w:space="0"/>
              <w:left w:val="single" w:color="auto" w:sz="6" w:space="0"/>
              <w:bottom w:val="single" w:color="auto" w:sz="6" w:space="0"/>
              <w:right w:val="single" w:color="auto" w:sz="6" w:space="0"/>
            </w:tcBorders>
            <w:shd w:val="clear" w:color="auto" w:fill="C5E0B3" w:themeFill="accent6" w:themeFillTint="66"/>
            <w:tcMar/>
          </w:tcPr>
          <w:p w:rsidR="489AF8A9" w:rsidP="489AF8A9" w:rsidRDefault="489AF8A9" w14:paraId="7FCCE3CB" w14:textId="03FC8C85">
            <w:pPr>
              <w:spacing w:before="40" w:after="40"/>
              <w:rPr>
                <w:rFonts w:eastAsia="Arial" w:cs="Arial"/>
                <w:sz w:val="20"/>
                <w:szCs w:val="20"/>
              </w:rPr>
            </w:pPr>
            <w:r w:rsidRPr="489AF8A9">
              <w:rPr>
                <w:rFonts w:eastAsia="Arial" w:cs="Arial"/>
                <w:b/>
                <w:bCs/>
                <w:sz w:val="20"/>
                <w:szCs w:val="20"/>
                <w:u w:val="single"/>
              </w:rPr>
              <w:t>Minor</w:t>
            </w:r>
            <w:r w:rsidRPr="489AF8A9">
              <w:rPr>
                <w:rFonts w:eastAsia="Arial" w:cs="Arial"/>
                <w:sz w:val="20"/>
                <w:szCs w:val="20"/>
              </w:rPr>
              <w:t> </w:t>
            </w:r>
          </w:p>
          <w:p w:rsidR="489AF8A9" w:rsidP="489AF8A9" w:rsidRDefault="489AF8A9" w14:paraId="2226DFB0" w14:textId="3B5323FB">
            <w:pPr>
              <w:spacing w:before="40" w:after="40"/>
              <w:rPr>
                <w:rFonts w:eastAsia="Arial" w:cs="Arial"/>
                <w:sz w:val="20"/>
                <w:szCs w:val="20"/>
              </w:rPr>
            </w:pPr>
            <w:r w:rsidRPr="489AF8A9">
              <w:rPr>
                <w:rFonts w:eastAsia="Arial" w:cs="Arial"/>
                <w:sz w:val="20"/>
                <w:szCs w:val="20"/>
              </w:rPr>
              <w:t>We continue to rely on well-established World Bank fiduciary safeguards, and we also provide scrutiny to World Bank financial reports and analyse incoming Call of Funds and funding disbursements.  </w:t>
            </w:r>
          </w:p>
          <w:p w:rsidR="489AF8A9" w:rsidP="489AF8A9" w:rsidRDefault="489AF8A9" w14:paraId="03DE8BFA" w14:textId="6E185764">
            <w:pPr>
              <w:spacing w:before="40" w:after="40"/>
              <w:rPr>
                <w:rFonts w:eastAsia="Arial" w:cs="Arial"/>
                <w:sz w:val="20"/>
                <w:szCs w:val="20"/>
              </w:rPr>
            </w:pPr>
            <w:r w:rsidRPr="489AF8A9">
              <w:rPr>
                <w:rFonts w:eastAsia="Arial" w:cs="Arial"/>
                <w:sz w:val="20"/>
                <w:szCs w:val="20"/>
              </w:rPr>
              <w:t> </w:t>
            </w:r>
          </w:p>
          <w:p w:rsidR="489AF8A9" w:rsidP="36035951" w:rsidRDefault="489AF8A9" w14:paraId="7FDDC77B" w14:textId="77777777">
            <w:pPr>
              <w:spacing w:before="40" w:after="40"/>
              <w:rPr>
                <w:rFonts w:eastAsia="Arial" w:cs="Arial"/>
                <w:sz w:val="20"/>
                <w:szCs w:val="20"/>
              </w:rPr>
            </w:pPr>
            <w:r w:rsidRPr="36035951">
              <w:rPr>
                <w:rFonts w:eastAsia="Arial" w:cs="Arial"/>
                <w:sz w:val="20"/>
                <w:szCs w:val="20"/>
              </w:rPr>
              <w:t>FY2</w:t>
            </w:r>
            <w:r w:rsidR="00DA700E">
              <w:rPr>
                <w:rFonts w:eastAsia="Arial" w:cs="Arial"/>
                <w:sz w:val="20"/>
                <w:szCs w:val="20"/>
              </w:rPr>
              <w:t>5:</w:t>
            </w:r>
            <w:r w:rsidRPr="36035951">
              <w:rPr>
                <w:rFonts w:eastAsia="Arial" w:cs="Arial"/>
                <w:sz w:val="20"/>
                <w:szCs w:val="20"/>
              </w:rPr>
              <w:t xml:space="preserve"> Minor </w:t>
            </w:r>
          </w:p>
          <w:p w:rsidR="00480A96" w:rsidP="36035951" w:rsidRDefault="00480A96" w14:paraId="32965285" w14:textId="4BE8766E">
            <w:pPr>
              <w:spacing w:before="40" w:after="40"/>
              <w:rPr>
                <w:rFonts w:eastAsia="Arial" w:cs="Arial"/>
                <w:sz w:val="20"/>
                <w:szCs w:val="20"/>
              </w:rPr>
            </w:pPr>
            <w:r>
              <w:rPr>
                <w:rFonts w:eastAsia="Arial" w:cs="Arial"/>
                <w:sz w:val="20"/>
                <w:szCs w:val="20"/>
              </w:rPr>
              <w:t>(unchanged from FY24)</w:t>
            </w:r>
          </w:p>
          <w:p w:rsidR="00480A96" w:rsidP="36035951" w:rsidRDefault="00480A96" w14:paraId="6B97FAB8" w14:textId="7D555C98">
            <w:pPr>
              <w:spacing w:before="40" w:after="40"/>
              <w:rPr>
                <w:rFonts w:eastAsia="Arial" w:cs="Arial"/>
                <w:sz w:val="20"/>
                <w:szCs w:val="20"/>
              </w:rPr>
            </w:pPr>
          </w:p>
        </w:tc>
      </w:tr>
      <w:tr w:rsidR="489AF8A9" w:rsidTr="334BBF58" w14:paraId="7EFDDAB4"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55BEC6E1" w14:textId="70B1DB56">
            <w:pPr>
              <w:spacing w:before="40" w:after="40"/>
              <w:rPr>
                <w:rFonts w:eastAsia="Arial" w:cs="Arial"/>
                <w:sz w:val="20"/>
                <w:szCs w:val="20"/>
              </w:rPr>
            </w:pPr>
            <w:r w:rsidRPr="489AF8A9">
              <w:rPr>
                <w:rFonts w:eastAsia="Arial" w:cs="Arial"/>
                <w:b/>
                <w:bCs/>
                <w:sz w:val="20"/>
                <w:szCs w:val="20"/>
              </w:rPr>
              <w:t>Monitoring, Reporting and Verification </w:t>
            </w:r>
            <w:r w:rsidRPr="489AF8A9">
              <w:rPr>
                <w:rFonts w:eastAsia="Arial" w:cs="Arial"/>
                <w:sz w:val="20"/>
                <w:szCs w:val="20"/>
              </w:rPr>
              <w:t> </w:t>
            </w:r>
          </w:p>
          <w:p w:rsidR="489AF8A9" w:rsidP="489AF8A9" w:rsidRDefault="489AF8A9" w14:paraId="753AAF3E" w14:textId="151151B6">
            <w:pPr>
              <w:spacing w:before="40" w:after="40"/>
              <w:rPr>
                <w:rFonts w:eastAsia="Arial" w:cs="Arial"/>
                <w:sz w:val="20"/>
                <w:szCs w:val="20"/>
              </w:rPr>
            </w:pPr>
            <w:r w:rsidRPr="489AF8A9">
              <w:rPr>
                <w:rFonts w:eastAsia="Arial" w:cs="Arial"/>
                <w:sz w:val="20"/>
                <w:szCs w:val="20"/>
              </w:rPr>
              <w:t>Accounting methodology too stringent, challenging or slow, meaning that an insufficient number of pipeline countries develop full Emission reductions programmes. This is especially relevant for livestock baseline development. Outcome of this could be that ERPAs fail or are not signed.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076482DD" w14:textId="53749251">
            <w:pPr>
              <w:spacing w:before="40" w:after="40"/>
              <w:rPr>
                <w:rFonts w:eastAsia="Arial" w:cs="Arial"/>
                <w:sz w:val="20"/>
                <w:szCs w:val="20"/>
              </w:rPr>
            </w:pPr>
            <w:r w:rsidRPr="489AF8A9">
              <w:rPr>
                <w:rFonts w:eastAsia="Arial" w:cs="Arial"/>
                <w:sz w:val="20"/>
                <w:szCs w:val="20"/>
              </w:rPr>
              <w:t>World Bank and contributors have developed a pragmatic, credible approach to livestock emission baselines, which has been approved by contributors. Continued discussion on removals.  </w:t>
            </w:r>
          </w:p>
          <w:p w:rsidR="489AF8A9" w:rsidP="489AF8A9" w:rsidRDefault="489AF8A9" w14:paraId="44527318" w14:textId="703823B4">
            <w:pPr>
              <w:spacing w:before="40" w:after="40"/>
              <w:rPr>
                <w:rFonts w:eastAsia="Arial" w:cs="Arial"/>
                <w:sz w:val="20"/>
                <w:szCs w:val="20"/>
              </w:rPr>
            </w:pPr>
            <w:r w:rsidRPr="489AF8A9">
              <w:rPr>
                <w:rFonts w:eastAsia="Arial" w:cs="Arial"/>
                <w:sz w:val="20"/>
                <w:szCs w:val="20"/>
              </w:rPr>
              <w:t> </w:t>
            </w:r>
          </w:p>
          <w:p w:rsidR="489AF8A9" w:rsidP="489AF8A9" w:rsidRDefault="489AF8A9" w14:paraId="765119B1" w14:textId="6690A624">
            <w:pPr>
              <w:spacing w:before="40" w:after="40"/>
              <w:rPr>
                <w:rFonts w:eastAsia="Arial" w:cs="Arial"/>
                <w:sz w:val="20"/>
                <w:szCs w:val="20"/>
              </w:rPr>
            </w:pPr>
            <w:r w:rsidRPr="489AF8A9">
              <w:rPr>
                <w:rFonts w:eastAsia="Arial" w:cs="Arial"/>
                <w:sz w:val="20"/>
                <w:szCs w:val="20"/>
              </w:rPr>
              <w:t>ISFL is supporting forest nations to develop robust technical proposals and MRV systems. </w:t>
            </w:r>
          </w:p>
        </w:tc>
        <w:tc>
          <w:tcPr>
            <w:tcW w:w="2985" w:type="dxa"/>
            <w:tcBorders>
              <w:top w:val="single" w:color="auto" w:sz="6" w:space="0"/>
              <w:left w:val="single" w:color="auto" w:sz="6" w:space="0"/>
              <w:bottom w:val="single" w:color="auto" w:sz="6" w:space="0"/>
              <w:right w:val="single" w:color="auto" w:sz="6" w:space="0"/>
            </w:tcBorders>
            <w:shd w:val="clear" w:color="auto" w:fill="C5E0B3" w:themeFill="accent6" w:themeFillTint="66"/>
            <w:tcMar/>
          </w:tcPr>
          <w:p w:rsidR="489AF8A9" w:rsidP="489AF8A9" w:rsidRDefault="489AF8A9" w14:paraId="336366EA" w14:textId="17F5B2B0">
            <w:pPr>
              <w:spacing w:before="40" w:after="40"/>
              <w:rPr>
                <w:rFonts w:eastAsia="Arial" w:cs="Arial"/>
                <w:sz w:val="20"/>
                <w:szCs w:val="20"/>
              </w:rPr>
            </w:pPr>
            <w:r w:rsidRPr="489AF8A9">
              <w:rPr>
                <w:rFonts w:eastAsia="Arial" w:cs="Arial"/>
                <w:b/>
                <w:bCs/>
                <w:sz w:val="20"/>
                <w:szCs w:val="20"/>
                <w:u w:val="single"/>
              </w:rPr>
              <w:t>Minor</w:t>
            </w:r>
            <w:r w:rsidRPr="489AF8A9">
              <w:rPr>
                <w:rFonts w:eastAsia="Arial" w:cs="Arial"/>
                <w:sz w:val="20"/>
                <w:szCs w:val="20"/>
              </w:rPr>
              <w:t> </w:t>
            </w:r>
          </w:p>
          <w:p w:rsidR="489AF8A9" w:rsidP="489AF8A9" w:rsidRDefault="489AF8A9" w14:paraId="6949C4A8" w14:textId="707D6B76">
            <w:pPr>
              <w:spacing w:before="40" w:after="40"/>
              <w:rPr>
                <w:rFonts w:eastAsia="Arial" w:cs="Arial"/>
                <w:sz w:val="20"/>
                <w:szCs w:val="20"/>
              </w:rPr>
            </w:pPr>
            <w:r w:rsidRPr="489AF8A9">
              <w:rPr>
                <w:rFonts w:eastAsia="Arial" w:cs="Arial"/>
                <w:sz w:val="20"/>
                <w:szCs w:val="20"/>
              </w:rPr>
              <w:t>ISFL Emission Reductions Program Requirements now includes a new approach to estimate emission. </w:t>
            </w:r>
          </w:p>
          <w:p w:rsidR="489AF8A9" w:rsidP="489AF8A9" w:rsidRDefault="489AF8A9" w14:paraId="22456BA5" w14:textId="171A4A21">
            <w:pPr>
              <w:spacing w:before="40" w:after="40"/>
              <w:rPr>
                <w:rFonts w:eastAsia="Arial" w:cs="Arial"/>
                <w:sz w:val="20"/>
                <w:szCs w:val="20"/>
              </w:rPr>
            </w:pPr>
            <w:r w:rsidRPr="489AF8A9">
              <w:rPr>
                <w:rFonts w:eastAsia="Arial" w:cs="Arial"/>
                <w:sz w:val="20"/>
                <w:szCs w:val="20"/>
              </w:rPr>
              <w:t>reductions from the livestock sector. ISFL MRV support continues within country, and we continue to monitor associated challenges.  </w:t>
            </w:r>
          </w:p>
          <w:p w:rsidR="489AF8A9" w:rsidP="489AF8A9" w:rsidRDefault="489AF8A9" w14:paraId="5C3A2CE8" w14:textId="1C140CF1">
            <w:pPr>
              <w:spacing w:before="40" w:after="40"/>
              <w:rPr>
                <w:rFonts w:eastAsia="Arial" w:cs="Arial"/>
                <w:sz w:val="20"/>
                <w:szCs w:val="20"/>
              </w:rPr>
            </w:pPr>
            <w:r w:rsidRPr="489AF8A9">
              <w:rPr>
                <w:rFonts w:eastAsia="Arial" w:cs="Arial"/>
                <w:sz w:val="20"/>
                <w:szCs w:val="20"/>
              </w:rPr>
              <w:t> </w:t>
            </w:r>
          </w:p>
          <w:p w:rsidR="489AF8A9" w:rsidP="36035951" w:rsidRDefault="489AF8A9" w14:paraId="0A50E573" w14:textId="77777777">
            <w:pPr>
              <w:spacing w:before="40" w:after="40"/>
              <w:rPr>
                <w:rFonts w:eastAsia="Arial" w:cs="Arial"/>
                <w:sz w:val="20"/>
                <w:szCs w:val="20"/>
              </w:rPr>
            </w:pPr>
            <w:r w:rsidRPr="36035951">
              <w:rPr>
                <w:rFonts w:eastAsia="Arial" w:cs="Arial"/>
                <w:sz w:val="20"/>
                <w:szCs w:val="20"/>
              </w:rPr>
              <w:t>FY2</w:t>
            </w:r>
            <w:r w:rsidR="00DA700E">
              <w:rPr>
                <w:rFonts w:eastAsia="Arial" w:cs="Arial"/>
                <w:sz w:val="20"/>
                <w:szCs w:val="20"/>
              </w:rPr>
              <w:t>5</w:t>
            </w:r>
            <w:r w:rsidRPr="36035951">
              <w:rPr>
                <w:rFonts w:eastAsia="Arial" w:cs="Arial"/>
                <w:sz w:val="20"/>
                <w:szCs w:val="20"/>
              </w:rPr>
              <w:t>: Minor </w:t>
            </w:r>
          </w:p>
          <w:p w:rsidR="00480A96" w:rsidP="36035951" w:rsidRDefault="00480A96" w14:paraId="60715626" w14:textId="5C7F2A97">
            <w:pPr>
              <w:spacing w:before="40" w:after="40"/>
              <w:rPr>
                <w:rFonts w:eastAsia="Arial" w:cs="Arial"/>
                <w:sz w:val="20"/>
                <w:szCs w:val="20"/>
              </w:rPr>
            </w:pPr>
            <w:r>
              <w:rPr>
                <w:rFonts w:eastAsia="Arial" w:cs="Arial"/>
                <w:sz w:val="20"/>
                <w:szCs w:val="20"/>
              </w:rPr>
              <w:t>(unchanged from FY24)</w:t>
            </w:r>
          </w:p>
        </w:tc>
      </w:tr>
      <w:tr w:rsidR="489AF8A9" w:rsidTr="334BBF58" w14:paraId="71FE2A69" w14:textId="77777777">
        <w:trPr>
          <w:trHeight w:val="285"/>
        </w:trPr>
        <w:tc>
          <w:tcPr>
            <w:tcW w:w="2925" w:type="dxa"/>
            <w:tcBorders>
              <w:top w:val="single" w:color="auto" w:sz="6" w:space="0"/>
              <w:left w:val="single" w:color="auto" w:sz="6" w:space="0"/>
              <w:bottom w:val="single" w:color="auto" w:sz="6" w:space="0"/>
              <w:right w:val="single" w:color="auto" w:sz="6" w:space="0"/>
            </w:tcBorders>
            <w:tcMar/>
          </w:tcPr>
          <w:p w:rsidR="489AF8A9" w:rsidP="489AF8A9" w:rsidRDefault="489AF8A9" w14:paraId="69416814" w14:textId="05EA8752">
            <w:pPr>
              <w:spacing w:before="40" w:after="40"/>
              <w:rPr>
                <w:rFonts w:eastAsia="Arial" w:cs="Arial"/>
                <w:sz w:val="20"/>
                <w:szCs w:val="20"/>
              </w:rPr>
            </w:pPr>
            <w:r w:rsidRPr="489AF8A9">
              <w:rPr>
                <w:rFonts w:eastAsia="Arial" w:cs="Arial"/>
                <w:b/>
                <w:bCs/>
                <w:sz w:val="20"/>
                <w:szCs w:val="20"/>
              </w:rPr>
              <w:t>Resourcing and capacity </w:t>
            </w:r>
            <w:r w:rsidRPr="489AF8A9">
              <w:rPr>
                <w:rFonts w:eastAsia="Arial" w:cs="Arial"/>
                <w:sz w:val="20"/>
                <w:szCs w:val="20"/>
              </w:rPr>
              <w:t> </w:t>
            </w:r>
          </w:p>
          <w:p w:rsidR="489AF8A9" w:rsidP="489AF8A9" w:rsidRDefault="489AF8A9" w14:paraId="47140CDD" w14:textId="69A7E7E5">
            <w:pPr>
              <w:spacing w:before="40" w:after="40"/>
              <w:rPr>
                <w:rFonts w:eastAsia="Arial" w:cs="Arial"/>
                <w:sz w:val="20"/>
                <w:szCs w:val="20"/>
              </w:rPr>
            </w:pPr>
            <w:r w:rsidRPr="489AF8A9">
              <w:rPr>
                <w:rFonts w:eastAsia="Arial" w:cs="Arial"/>
                <w:sz w:val="20"/>
                <w:szCs w:val="20"/>
              </w:rPr>
              <w:t>Lack of capacity, capability of general structure of, and possible tensions between, the World Bank FMT and country teams, could cause significant delays. </w:t>
            </w:r>
          </w:p>
        </w:tc>
        <w:tc>
          <w:tcPr>
            <w:tcW w:w="3075" w:type="dxa"/>
            <w:tcBorders>
              <w:top w:val="single" w:color="auto" w:sz="6" w:space="0"/>
              <w:left w:val="single" w:color="auto" w:sz="6" w:space="0"/>
              <w:bottom w:val="single" w:color="auto" w:sz="6" w:space="0"/>
              <w:right w:val="single" w:color="auto" w:sz="6" w:space="0"/>
            </w:tcBorders>
            <w:tcMar/>
          </w:tcPr>
          <w:p w:rsidR="489AF8A9" w:rsidP="489AF8A9" w:rsidRDefault="489AF8A9" w14:paraId="0E15B7A6" w14:textId="6314395B">
            <w:pPr>
              <w:spacing w:before="40" w:after="40"/>
              <w:rPr>
                <w:rFonts w:eastAsia="Arial" w:cs="Arial"/>
                <w:sz w:val="20"/>
                <w:szCs w:val="20"/>
              </w:rPr>
            </w:pPr>
            <w:r w:rsidRPr="489AF8A9">
              <w:rPr>
                <w:rFonts w:eastAsia="Arial" w:cs="Arial"/>
                <w:sz w:val="20"/>
                <w:szCs w:val="20"/>
              </w:rPr>
              <w:t>Continue to monitor progress through portfolio reports and seek explanation for delays. </w:t>
            </w:r>
            <w:r>
              <w:br/>
            </w:r>
            <w:r w:rsidRPr="489AF8A9">
              <w:rPr>
                <w:rFonts w:eastAsia="Arial" w:cs="Arial"/>
                <w:sz w:val="20"/>
                <w:szCs w:val="20"/>
              </w:rPr>
              <w:t> </w:t>
            </w:r>
          </w:p>
        </w:tc>
        <w:tc>
          <w:tcPr>
            <w:tcW w:w="2985" w:type="dxa"/>
            <w:tcBorders>
              <w:top w:val="single" w:color="auto" w:sz="6" w:space="0"/>
              <w:left w:val="single" w:color="auto" w:sz="6" w:space="0"/>
              <w:bottom w:val="single" w:color="auto" w:sz="6" w:space="0"/>
              <w:right w:val="single" w:color="auto" w:sz="6" w:space="0"/>
            </w:tcBorders>
            <w:shd w:val="clear" w:color="auto" w:fill="C5E0B3" w:themeFill="accent6" w:themeFillTint="66"/>
            <w:tcMar/>
          </w:tcPr>
          <w:p w:rsidR="489AF8A9" w:rsidP="489AF8A9" w:rsidRDefault="489AF8A9" w14:paraId="787FFBF5" w14:textId="24587E57">
            <w:pPr>
              <w:spacing w:before="40" w:after="40"/>
              <w:rPr>
                <w:rFonts w:eastAsia="Arial" w:cs="Arial"/>
                <w:sz w:val="20"/>
                <w:szCs w:val="20"/>
              </w:rPr>
            </w:pPr>
            <w:r w:rsidRPr="489AF8A9">
              <w:rPr>
                <w:rFonts w:eastAsia="Arial" w:cs="Arial"/>
                <w:b/>
                <w:bCs/>
                <w:sz w:val="20"/>
                <w:szCs w:val="20"/>
                <w:u w:val="single"/>
              </w:rPr>
              <w:t>Minor</w:t>
            </w:r>
            <w:r w:rsidRPr="489AF8A9">
              <w:rPr>
                <w:rFonts w:eastAsia="Arial" w:cs="Arial"/>
                <w:sz w:val="20"/>
                <w:szCs w:val="20"/>
              </w:rPr>
              <w:t> </w:t>
            </w:r>
          </w:p>
          <w:p w:rsidR="489AF8A9" w:rsidP="489AF8A9" w:rsidRDefault="489AF8A9" w14:paraId="2366C56E" w14:textId="15C4FF37">
            <w:pPr>
              <w:spacing w:before="40" w:after="40"/>
              <w:rPr>
                <w:rFonts w:eastAsia="Arial" w:cs="Arial"/>
                <w:sz w:val="20"/>
                <w:szCs w:val="20"/>
              </w:rPr>
            </w:pPr>
            <w:r w:rsidRPr="489AF8A9">
              <w:rPr>
                <w:rFonts w:eastAsia="Arial" w:cs="Arial"/>
                <w:sz w:val="20"/>
                <w:szCs w:val="20"/>
              </w:rPr>
              <w:t>Resourcing and capacity with the programme delivery partner has not been a major cause of delays.  </w:t>
            </w:r>
          </w:p>
          <w:p w:rsidR="489AF8A9" w:rsidP="489AF8A9" w:rsidRDefault="489AF8A9" w14:paraId="73CDA70D" w14:textId="065CDA04">
            <w:pPr>
              <w:spacing w:before="40" w:after="40"/>
              <w:rPr>
                <w:rFonts w:eastAsia="Arial" w:cs="Arial"/>
                <w:sz w:val="20"/>
                <w:szCs w:val="20"/>
              </w:rPr>
            </w:pPr>
            <w:r w:rsidRPr="489AF8A9">
              <w:rPr>
                <w:rFonts w:eastAsia="Arial" w:cs="Arial"/>
                <w:sz w:val="20"/>
                <w:szCs w:val="20"/>
              </w:rPr>
              <w:t> </w:t>
            </w:r>
          </w:p>
          <w:p w:rsidR="489AF8A9" w:rsidP="489AF8A9" w:rsidRDefault="489AF8A9" w14:paraId="580B7E26" w14:textId="0681FECA">
            <w:pPr>
              <w:spacing w:before="40" w:after="40"/>
              <w:rPr>
                <w:rFonts w:eastAsia="Arial" w:cs="Arial"/>
                <w:sz w:val="20"/>
                <w:szCs w:val="20"/>
              </w:rPr>
            </w:pPr>
            <w:r w:rsidRPr="334BBF58" w:rsidR="489AF8A9">
              <w:rPr>
                <w:rFonts w:eastAsia="Arial" w:cs="Arial"/>
                <w:sz w:val="20"/>
                <w:szCs w:val="20"/>
              </w:rPr>
              <w:t xml:space="preserve">The World Bank’s ISFL team works with FCPF to streamline processes to reduce </w:t>
            </w:r>
            <w:r w:rsidRPr="334BBF58" w:rsidR="7AD98E9B">
              <w:rPr>
                <w:rFonts w:eastAsia="Arial" w:cs="Arial"/>
                <w:sz w:val="20"/>
                <w:szCs w:val="20"/>
              </w:rPr>
              <w:t>resourcing pressures.  </w:t>
            </w:r>
          </w:p>
          <w:p w:rsidR="489AF8A9" w:rsidP="489AF8A9" w:rsidRDefault="489AF8A9" w14:paraId="20470E0D" w14:textId="1838CB56">
            <w:pPr>
              <w:spacing w:before="40" w:after="40"/>
              <w:rPr>
                <w:rFonts w:eastAsia="Arial" w:cs="Arial"/>
                <w:sz w:val="20"/>
                <w:szCs w:val="20"/>
              </w:rPr>
            </w:pPr>
            <w:r w:rsidRPr="489AF8A9">
              <w:rPr>
                <w:rFonts w:eastAsia="Arial" w:cs="Arial"/>
                <w:sz w:val="20"/>
                <w:szCs w:val="20"/>
              </w:rPr>
              <w:t> </w:t>
            </w:r>
          </w:p>
          <w:p w:rsidR="489AF8A9" w:rsidP="3A34A19C" w:rsidRDefault="489AF8A9" w14:paraId="523C3397" w14:textId="13D906DF">
            <w:pPr>
              <w:spacing w:before="40" w:after="40"/>
              <w:rPr>
                <w:rFonts w:eastAsia="Arial" w:cs="Arial"/>
                <w:sz w:val="20"/>
                <w:szCs w:val="20"/>
              </w:rPr>
            </w:pPr>
            <w:r w:rsidRPr="3A34A19C">
              <w:rPr>
                <w:rFonts w:eastAsia="Arial" w:cs="Arial"/>
                <w:sz w:val="20"/>
                <w:szCs w:val="20"/>
              </w:rPr>
              <w:t>FY2</w:t>
            </w:r>
            <w:r w:rsidR="00DA700E">
              <w:rPr>
                <w:rFonts w:eastAsia="Arial" w:cs="Arial"/>
                <w:sz w:val="20"/>
                <w:szCs w:val="20"/>
              </w:rPr>
              <w:t>5</w:t>
            </w:r>
            <w:r w:rsidRPr="3A34A19C">
              <w:rPr>
                <w:rFonts w:eastAsia="Arial" w:cs="Arial"/>
                <w:sz w:val="20"/>
                <w:szCs w:val="20"/>
              </w:rPr>
              <w:t>: Minor </w:t>
            </w:r>
          </w:p>
          <w:p w:rsidR="00480A96" w:rsidP="3A34A19C" w:rsidRDefault="00480A96" w14:paraId="2CFCD6AB" w14:textId="7AC42A52">
            <w:pPr>
              <w:spacing w:before="40" w:after="40"/>
              <w:rPr>
                <w:rFonts w:eastAsia="Arial" w:cs="Arial"/>
                <w:sz w:val="20"/>
                <w:szCs w:val="20"/>
              </w:rPr>
            </w:pPr>
            <w:r>
              <w:rPr>
                <w:rFonts w:eastAsia="Arial" w:cs="Arial"/>
                <w:sz w:val="20"/>
                <w:szCs w:val="20"/>
              </w:rPr>
              <w:t>(unchanged from FY24)</w:t>
            </w:r>
          </w:p>
          <w:p w:rsidR="489AF8A9" w:rsidP="489AF8A9" w:rsidRDefault="489AF8A9" w14:paraId="7F8C8E37" w14:textId="219251F4">
            <w:pPr>
              <w:spacing w:before="40" w:after="40"/>
              <w:rPr>
                <w:rFonts w:eastAsia="Arial" w:cs="Arial"/>
                <w:sz w:val="20"/>
                <w:szCs w:val="20"/>
              </w:rPr>
            </w:pPr>
            <w:r w:rsidRPr="489AF8A9">
              <w:rPr>
                <w:rFonts w:eastAsia="Arial" w:cs="Arial"/>
                <w:sz w:val="20"/>
                <w:szCs w:val="20"/>
              </w:rPr>
              <w:t> </w:t>
            </w:r>
          </w:p>
        </w:tc>
      </w:tr>
    </w:tbl>
    <w:p w:rsidR="00480A96" w:rsidRDefault="00480A96" w14:paraId="36234DCF" w14:textId="77777777">
      <w:r>
        <w:br w:type="page"/>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CB2873" w:rsidTr="376EB76A" w14:paraId="3775346F" w14:textId="77777777">
        <w:tc>
          <w:tcPr>
            <w:tcW w:w="9016" w:type="dxa"/>
            <w:shd w:val="clear" w:color="auto" w:fill="DEEAF6" w:themeFill="accent5" w:themeFillTint="33"/>
            <w:tcMar/>
          </w:tcPr>
          <w:p w:rsidR="00480A96" w:rsidP="11614349" w:rsidRDefault="2C7057B1" w14:paraId="48E38592" w14:textId="4A60DFE2">
            <w:pPr>
              <w:jc w:val="both"/>
              <w:rPr>
                <w:rStyle w:val="Heading1Char"/>
                <w:rFonts w:ascii="Arial" w:hAnsi="Arial" w:cs="Arial"/>
                <w:b w:val="1"/>
                <w:bCs w:val="1"/>
                <w:color w:val="auto"/>
              </w:rPr>
            </w:pPr>
            <w:bookmarkStart w:name="_Toc720076425" w:id="1355129065"/>
            <w:bookmarkStart w:name="_Toc1881863059" w:id="1262783999"/>
            <w:r w:rsidRPr="376EB76A" w:rsidR="442FA347">
              <w:rPr>
                <w:rStyle w:val="Heading1Char"/>
                <w:rFonts w:ascii="Arial" w:hAnsi="Arial" w:cs="Arial"/>
                <w:b w:val="1"/>
                <w:bCs w:val="1"/>
                <w:color w:val="auto"/>
              </w:rPr>
              <w:t xml:space="preserve">Section F: Programme management: delivery, </w:t>
            </w:r>
            <w:r w:rsidRPr="376EB76A" w:rsidR="442FA347">
              <w:rPr>
                <w:rStyle w:val="Heading1Char"/>
                <w:rFonts w:ascii="Arial" w:hAnsi="Arial" w:cs="Arial"/>
                <w:b w:val="1"/>
                <w:bCs w:val="1"/>
                <w:color w:val="auto"/>
              </w:rPr>
              <w:t>VfM</w:t>
            </w:r>
            <w:r w:rsidRPr="376EB76A" w:rsidR="442FA347">
              <w:rPr>
                <w:rStyle w:val="Heading1Char"/>
                <w:rFonts w:ascii="Arial" w:hAnsi="Arial" w:cs="Arial"/>
                <w:b w:val="1"/>
                <w:bCs w:val="1"/>
                <w:color w:val="auto"/>
              </w:rPr>
              <w:t>,</w:t>
            </w:r>
            <w:bookmarkEnd w:id="1355129065"/>
            <w:bookmarkEnd w:id="1262783999"/>
            <w:r w:rsidRPr="376EB76A" w:rsidR="442FA347">
              <w:rPr>
                <w:rStyle w:val="Heading1Char"/>
                <w:rFonts w:ascii="Arial" w:hAnsi="Arial" w:cs="Arial"/>
                <w:b w:val="1"/>
                <w:bCs w:val="1"/>
                <w:color w:val="auto"/>
              </w:rPr>
              <w:t xml:space="preserve"> </w:t>
            </w:r>
          </w:p>
          <w:p w:rsidR="00CB2873" w:rsidP="11614349" w:rsidRDefault="2C7057B1" w14:paraId="64B9656F" w14:textId="2675C411">
            <w:pPr>
              <w:jc w:val="both"/>
              <w:rPr>
                <w:rStyle w:val="Heading1Char"/>
                <w:rFonts w:ascii="Arial" w:hAnsi="Arial" w:cs="Arial"/>
                <w:b w:val="1"/>
                <w:bCs w:val="1"/>
                <w:color w:val="auto"/>
              </w:rPr>
            </w:pPr>
            <w:bookmarkStart w:name="_Toc1695409470" w:id="642991143"/>
            <w:bookmarkStart w:name="_Toc729083680" w:id="983314357"/>
            <w:r w:rsidRPr="376EB76A" w:rsidR="442FA347">
              <w:rPr>
                <w:rStyle w:val="Heading1Char"/>
                <w:rFonts w:ascii="Arial" w:hAnsi="Arial" w:cs="Arial"/>
                <w:b w:val="1"/>
                <w:bCs w:val="1"/>
                <w:color w:val="auto"/>
              </w:rPr>
              <w:t>commercial and financial performance</w:t>
            </w:r>
            <w:bookmarkEnd w:id="642991143"/>
            <w:bookmarkEnd w:id="983314357"/>
          </w:p>
        </w:tc>
      </w:tr>
    </w:tbl>
    <w:p w:rsidR="00CB2873" w:rsidP="004D5FD5" w:rsidRDefault="00CB2873" w14:paraId="6268AFF3" w14:textId="7623B8C4">
      <w:pPr>
        <w:jc w:val="both"/>
        <w:rPr>
          <w:rFonts w:cs="Arial"/>
          <w:bCs/>
          <w:sz w:val="22"/>
          <w:szCs w:val="22"/>
        </w:rPr>
      </w:pPr>
    </w:p>
    <w:p w:rsidRPr="00D80C6C" w:rsidR="003D222C" w:rsidP="39F1D2A1" w:rsidRDefault="003D222C" w14:paraId="3B873EA5" w14:textId="7893745D">
      <w:pPr>
        <w:jc w:val="both"/>
        <w:rPr>
          <w:rFonts w:cs="Arial"/>
          <w:sz w:val="22"/>
          <w:szCs w:val="22"/>
        </w:rPr>
      </w:pPr>
      <w:bookmarkStart w:name="_Toc1615726563" w:id="757096176"/>
      <w:r w:rsidRPr="376EB76A" w:rsidR="35EEEB8C">
        <w:rPr>
          <w:rStyle w:val="Heading2Char"/>
        </w:rPr>
        <w:t>Summa</w:t>
      </w:r>
      <w:r w:rsidRPr="376EB76A" w:rsidR="3AFE5F74">
        <w:rPr>
          <w:rStyle w:val="Heading2Char"/>
        </w:rPr>
        <w:t>ry of</w:t>
      </w:r>
      <w:r w:rsidRPr="376EB76A" w:rsidR="35EEEB8C">
        <w:rPr>
          <w:rStyle w:val="Heading2Char"/>
        </w:rPr>
        <w:t xml:space="preserve"> the performance of partners and </w:t>
      </w:r>
      <w:r w:rsidRPr="376EB76A" w:rsidR="5A1A2C17">
        <w:rPr>
          <w:rStyle w:val="Heading2Char"/>
        </w:rPr>
        <w:t>DESNZ</w:t>
      </w:r>
      <w:r w:rsidRPr="376EB76A" w:rsidR="35EEEB8C">
        <w:rPr>
          <w:rStyle w:val="Heading2Char"/>
        </w:rPr>
        <w:t xml:space="preserve">, notably on commercial and financial issues, and including consideration of </w:t>
      </w:r>
      <w:r w:rsidRPr="376EB76A" w:rsidR="35EEEB8C">
        <w:rPr>
          <w:rStyle w:val="Heading2Char"/>
        </w:rPr>
        <w:t>VfM</w:t>
      </w:r>
      <w:r w:rsidRPr="376EB76A" w:rsidR="35EEEB8C">
        <w:rPr>
          <w:rStyle w:val="Heading2Char"/>
        </w:rPr>
        <w:t>.</w:t>
      </w:r>
      <w:bookmarkEnd w:id="757096176"/>
    </w:p>
    <w:p w:rsidR="00D0302B" w:rsidP="004D5FD5" w:rsidRDefault="00D0302B" w14:paraId="2C3EF177" w14:textId="77777777">
      <w:pPr>
        <w:jc w:val="both"/>
        <w:rPr>
          <w:rFonts w:cs="Arial"/>
          <w:bCs/>
          <w:sz w:val="22"/>
          <w:szCs w:val="22"/>
        </w:rPr>
      </w:pPr>
    </w:p>
    <w:p w:rsidRPr="00CF3C00" w:rsidR="003D222C" w:rsidP="6067E52C" w:rsidRDefault="004E5C9A" w14:paraId="49391D5D" w14:textId="25263D26">
      <w:pPr>
        <w:jc w:val="both"/>
        <w:rPr>
          <w:rFonts w:cs="Arial"/>
          <w:sz w:val="22"/>
          <w:szCs w:val="22"/>
          <w:u w:val="single"/>
        </w:rPr>
      </w:pPr>
      <w:r w:rsidRPr="2656C216" w:rsidR="004E5C9A">
        <w:rPr>
          <w:rFonts w:cs="Arial"/>
          <w:sz w:val="22"/>
          <w:szCs w:val="22"/>
          <w:u w:val="single"/>
        </w:rPr>
        <w:t>Delivery Performance</w:t>
      </w:r>
    </w:p>
    <w:p w:rsidRPr="00CF3C00" w:rsidR="004E5C9A" w:rsidP="6067E52C" w:rsidRDefault="004E5C9A" w14:paraId="6B398E46" w14:textId="3067B2FF">
      <w:pPr>
        <w:jc w:val="both"/>
        <w:rPr>
          <w:rFonts w:cs="Arial"/>
          <w:sz w:val="22"/>
          <w:szCs w:val="22"/>
          <w:u w:val="single"/>
        </w:rPr>
      </w:pPr>
    </w:p>
    <w:p w:rsidR="61D10E1D" w:rsidP="6067E52C" w:rsidRDefault="455A1540" w14:paraId="191D69E6" w14:textId="3B0AE1B6">
      <w:pPr>
        <w:jc w:val="both"/>
        <w:rPr>
          <w:rFonts w:cs="Arial"/>
          <w:sz w:val="22"/>
          <w:szCs w:val="22"/>
        </w:rPr>
      </w:pPr>
      <w:r w:rsidRPr="2656C216" w:rsidR="455A1540">
        <w:rPr>
          <w:rFonts w:cs="Arial"/>
          <w:sz w:val="22"/>
          <w:szCs w:val="22"/>
        </w:rPr>
        <w:t xml:space="preserve">As </w:t>
      </w:r>
      <w:r w:rsidRPr="2656C216" w:rsidR="455A1540">
        <w:rPr>
          <w:rFonts w:cs="Arial"/>
          <w:sz w:val="22"/>
          <w:szCs w:val="22"/>
        </w:rPr>
        <w:t>established</w:t>
      </w:r>
      <w:r w:rsidRPr="2656C216" w:rsidR="455A1540">
        <w:rPr>
          <w:rFonts w:cs="Arial"/>
          <w:sz w:val="22"/>
          <w:szCs w:val="22"/>
        </w:rPr>
        <w:t xml:space="preserve"> in prior reviews, at ISFL’s </w:t>
      </w:r>
      <w:r w:rsidRPr="2656C216" w:rsidR="455A1540">
        <w:rPr>
          <w:rFonts w:cs="Arial"/>
          <w:sz w:val="22"/>
          <w:szCs w:val="22"/>
        </w:rPr>
        <w:t>inception</w:t>
      </w:r>
      <w:r w:rsidRPr="2656C216" w:rsidR="455A1540">
        <w:rPr>
          <w:rFonts w:cs="Arial"/>
          <w:sz w:val="22"/>
          <w:szCs w:val="22"/>
        </w:rPr>
        <w:t xml:space="preserve">, it was </w:t>
      </w:r>
      <w:r w:rsidRPr="2656C216" w:rsidR="455A1540">
        <w:rPr>
          <w:rFonts w:cs="Arial"/>
          <w:sz w:val="22"/>
          <w:szCs w:val="22"/>
        </w:rPr>
        <w:t>anticipated</w:t>
      </w:r>
      <w:r w:rsidRPr="2656C216" w:rsidR="455A1540">
        <w:rPr>
          <w:rFonts w:cs="Arial"/>
          <w:sz w:val="22"/>
          <w:szCs w:val="22"/>
        </w:rPr>
        <w:t xml:space="preserve"> that there would be a two-year set up period, with ERPAs signed in 2016, and ISFL T3 programmes delivering results thereafter. This turned out to be overly optimistic, but since then we have revised the expected delivery timeline which the programme is closer to, though delays to ERPA signatures have continued. Monthly Portfolio Reports, prepared by the World Bank, continue to provide a useful </w:t>
      </w:r>
      <w:r w:rsidRPr="2656C216" w:rsidR="455A1540">
        <w:rPr>
          <w:rFonts w:cs="Arial"/>
          <w:sz w:val="22"/>
          <w:szCs w:val="22"/>
        </w:rPr>
        <w:t>indication</w:t>
      </w:r>
      <w:r w:rsidRPr="2656C216" w:rsidR="455A1540">
        <w:rPr>
          <w:rFonts w:cs="Arial"/>
          <w:sz w:val="22"/>
          <w:szCs w:val="22"/>
        </w:rPr>
        <w:t xml:space="preserve"> of progress on milestones, highlighting any </w:t>
      </w:r>
      <w:r w:rsidRPr="2656C216" w:rsidR="455A1540">
        <w:rPr>
          <w:rFonts w:cs="Arial"/>
          <w:sz w:val="22"/>
          <w:szCs w:val="22"/>
        </w:rPr>
        <w:t>particular progress</w:t>
      </w:r>
      <w:r w:rsidRPr="2656C216" w:rsidR="455A1540">
        <w:rPr>
          <w:rFonts w:cs="Arial"/>
          <w:sz w:val="22"/>
          <w:szCs w:val="22"/>
        </w:rPr>
        <w:t xml:space="preserve"> achieved or blockers to progress month-to-month. There is also a qualitative assessment of progress that includes delivery, operational, </w:t>
      </w:r>
      <w:r w:rsidRPr="2656C216" w:rsidR="455A1540">
        <w:rPr>
          <w:rFonts w:cs="Arial"/>
          <w:sz w:val="22"/>
          <w:szCs w:val="22"/>
        </w:rPr>
        <w:t>technical</w:t>
      </w:r>
      <w:r w:rsidRPr="2656C216" w:rsidR="455A1540">
        <w:rPr>
          <w:rFonts w:cs="Arial"/>
          <w:sz w:val="22"/>
          <w:szCs w:val="22"/>
        </w:rPr>
        <w:t xml:space="preserve"> and political risks for each country, and actions being taken on these</w:t>
      </w:r>
      <w:r w:rsidRPr="2656C216" w:rsidR="455A1540">
        <w:rPr>
          <w:rFonts w:cs="Arial"/>
          <w:sz w:val="22"/>
          <w:szCs w:val="22"/>
        </w:rPr>
        <w:t xml:space="preserve">.  </w:t>
      </w:r>
      <w:r w:rsidRPr="2656C216" w:rsidR="455A1540">
        <w:rPr>
          <w:rFonts w:cs="Arial"/>
          <w:sz w:val="22"/>
          <w:szCs w:val="22"/>
        </w:rPr>
        <w:t xml:space="preserve"> </w:t>
      </w:r>
    </w:p>
    <w:p w:rsidR="659A9AE9" w:rsidP="6067E52C" w:rsidRDefault="659A9AE9" w14:paraId="4DCE25E2" w14:textId="3C785784">
      <w:pPr>
        <w:jc w:val="both"/>
        <w:rPr>
          <w:rFonts w:cs="Arial"/>
          <w:sz w:val="22"/>
          <w:szCs w:val="22"/>
        </w:rPr>
      </w:pPr>
    </w:p>
    <w:p w:rsidR="004E5C9A" w:rsidP="6067E52C" w:rsidRDefault="004E5C9A" w14:paraId="09B13A7D" w14:textId="6C566769">
      <w:pPr>
        <w:jc w:val="both"/>
        <w:rPr>
          <w:rFonts w:cs="Arial"/>
          <w:sz w:val="22"/>
          <w:szCs w:val="22"/>
        </w:rPr>
      </w:pPr>
      <w:r w:rsidRPr="3E9E78E7" w:rsidR="68F017E6">
        <w:rPr>
          <w:rFonts w:cs="Arial"/>
          <w:sz w:val="22"/>
          <w:szCs w:val="22"/>
        </w:rPr>
        <w:t xml:space="preserve">On World Bank performance, </w:t>
      </w:r>
      <w:r w:rsidRPr="3E9E78E7" w:rsidR="68F017E6">
        <w:rPr>
          <w:rFonts w:cs="Arial"/>
          <w:color w:val="000000" w:themeColor="text1" w:themeTint="FF" w:themeShade="FF"/>
          <w:sz w:val="22"/>
          <w:szCs w:val="22"/>
        </w:rPr>
        <w:t>the org</w:t>
      </w:r>
      <w:r w:rsidRPr="3E9E78E7" w:rsidR="68F017E6">
        <w:rPr>
          <w:rFonts w:cs="Arial"/>
          <w:color w:val="000000" w:themeColor="text1" w:themeTint="FF" w:themeShade="FF"/>
          <w:sz w:val="22"/>
          <w:szCs w:val="22"/>
        </w:rPr>
        <w:t xml:space="preserve">anisation is a trusted partner for </w:t>
      </w:r>
      <w:r w:rsidRPr="3E9E78E7" w:rsidR="68F017E6">
        <w:rPr>
          <w:rFonts w:cs="Arial"/>
          <w:color w:val="000000" w:themeColor="text1" w:themeTint="FF" w:themeShade="FF"/>
          <w:sz w:val="22"/>
          <w:szCs w:val="22"/>
        </w:rPr>
        <w:t>financial management</w:t>
      </w:r>
      <w:r w:rsidRPr="3E9E78E7" w:rsidR="68F017E6">
        <w:rPr>
          <w:rFonts w:cs="Arial"/>
          <w:color w:val="000000" w:themeColor="text1" w:themeTint="FF" w:themeShade="FF"/>
          <w:sz w:val="22"/>
          <w:szCs w:val="22"/>
        </w:rPr>
        <w:t xml:space="preserve">. ISFL reports budgets for the following </w:t>
      </w:r>
      <w:r w:rsidRPr="3E9E78E7" w:rsidR="68F017E6">
        <w:rPr>
          <w:rFonts w:cs="Arial"/>
          <w:color w:val="000000" w:themeColor="text1" w:themeTint="FF" w:themeShade="FF"/>
          <w:sz w:val="22"/>
          <w:szCs w:val="22"/>
        </w:rPr>
        <w:t>financial year</w:t>
      </w:r>
      <w:r w:rsidRPr="3E9E78E7" w:rsidR="68F017E6">
        <w:rPr>
          <w:rFonts w:cs="Arial"/>
          <w:color w:val="000000" w:themeColor="text1" w:themeTint="FF" w:themeShade="FF"/>
          <w:sz w:val="22"/>
          <w:szCs w:val="22"/>
        </w:rPr>
        <w:t xml:space="preserve"> at each Annual Meeting, with an interim budget for approval prior to this. </w:t>
      </w:r>
      <w:r w:rsidRPr="3E9E78E7" w:rsidR="68F017E6">
        <w:rPr>
          <w:rFonts w:cs="Arial"/>
          <w:color w:val="000000" w:themeColor="text1" w:themeTint="FF" w:themeShade="FF"/>
          <w:sz w:val="22"/>
          <w:szCs w:val="22"/>
        </w:rPr>
        <w:t>Actual</w:t>
      </w:r>
      <w:r w:rsidRPr="3E9E78E7" w:rsidR="68F017E6">
        <w:rPr>
          <w:rFonts w:cs="Arial"/>
          <w:color w:val="000000" w:themeColor="text1" w:themeTint="FF" w:themeShade="FF"/>
          <w:sz w:val="22"/>
          <w:szCs w:val="22"/>
        </w:rPr>
        <w:t xml:space="preserve"> spend against forecast is </w:t>
      </w:r>
      <w:r w:rsidRPr="3E9E78E7" w:rsidR="68F017E6">
        <w:rPr>
          <w:rFonts w:cs="Arial"/>
          <w:color w:val="000000" w:themeColor="text1" w:themeTint="FF" w:themeShade="FF"/>
          <w:sz w:val="22"/>
          <w:szCs w:val="22"/>
        </w:rPr>
        <w:t>monitored</w:t>
      </w:r>
      <w:r w:rsidRPr="3E9E78E7" w:rsidR="68F017E6">
        <w:rPr>
          <w:rFonts w:cs="Arial"/>
          <w:color w:val="000000" w:themeColor="text1" w:themeTint="FF" w:themeShade="FF"/>
          <w:sz w:val="22"/>
          <w:szCs w:val="22"/>
        </w:rPr>
        <w:t xml:space="preserve"> and updated regularly by the World Bank and reported at each Annual Meeting</w:t>
      </w:r>
      <w:r w:rsidRPr="3E9E78E7" w:rsidR="68F017E6">
        <w:rPr>
          <w:rFonts w:cs="Arial"/>
          <w:color w:val="000000" w:themeColor="text1" w:themeTint="FF" w:themeShade="FF"/>
          <w:sz w:val="22"/>
          <w:szCs w:val="22"/>
        </w:rPr>
        <w:t xml:space="preserve">.  </w:t>
      </w:r>
      <w:r w:rsidRPr="3E9E78E7" w:rsidR="68F017E6">
        <w:rPr>
          <w:rFonts w:cs="Arial"/>
          <w:sz w:val="22"/>
          <w:szCs w:val="22"/>
        </w:rPr>
        <w:t xml:space="preserve"> </w:t>
      </w:r>
    </w:p>
    <w:p w:rsidRPr="00CF3C00" w:rsidR="004E5C9A" w:rsidP="6067E52C" w:rsidRDefault="004E5C9A" w14:paraId="75C069A7" w14:textId="54DEBEE1">
      <w:pPr>
        <w:jc w:val="both"/>
        <w:rPr>
          <w:rFonts w:cs="Arial"/>
          <w:sz w:val="22"/>
          <w:szCs w:val="22"/>
          <w:u w:val="single"/>
        </w:rPr>
      </w:pPr>
    </w:p>
    <w:p w:rsidRPr="00CF3C00" w:rsidR="004E5C9A" w:rsidP="6067E52C" w:rsidRDefault="004E549D" w14:paraId="5FF9FD68" w14:textId="4F09DB79">
      <w:pPr>
        <w:jc w:val="both"/>
        <w:rPr>
          <w:rFonts w:cs="Arial"/>
          <w:sz w:val="22"/>
          <w:szCs w:val="22"/>
          <w:u w:val="single"/>
        </w:rPr>
      </w:pPr>
      <w:r w:rsidRPr="2656C216" w:rsidR="004E549D">
        <w:rPr>
          <w:rFonts w:cs="Arial"/>
          <w:sz w:val="22"/>
          <w:szCs w:val="22"/>
          <w:u w:val="single"/>
        </w:rPr>
        <w:t>Value for Money (</w:t>
      </w:r>
      <w:r w:rsidRPr="2656C216" w:rsidR="004E549D">
        <w:rPr>
          <w:rFonts w:cs="Arial"/>
          <w:sz w:val="22"/>
          <w:szCs w:val="22"/>
          <w:u w:val="single"/>
        </w:rPr>
        <w:t>VfM</w:t>
      </w:r>
      <w:r w:rsidRPr="2656C216" w:rsidR="004E549D">
        <w:rPr>
          <w:rFonts w:cs="Arial"/>
          <w:sz w:val="22"/>
          <w:szCs w:val="22"/>
          <w:u w:val="single"/>
        </w:rPr>
        <w:t>)</w:t>
      </w:r>
    </w:p>
    <w:p w:rsidR="004E5C9A" w:rsidP="6067E52C" w:rsidRDefault="004E5C9A" w14:paraId="081F85B1" w14:textId="0999BA4D">
      <w:pPr>
        <w:jc w:val="both"/>
        <w:rPr>
          <w:rFonts w:cs="Arial"/>
          <w:sz w:val="22"/>
          <w:szCs w:val="22"/>
        </w:rPr>
      </w:pPr>
    </w:p>
    <w:p w:rsidRPr="00CF3C00" w:rsidR="008307CB" w:rsidP="6067E52C" w:rsidRDefault="004E549D" w14:paraId="33FF59CB" w14:textId="413ABE7D">
      <w:pPr>
        <w:jc w:val="both"/>
        <w:rPr>
          <w:rFonts w:cs="Arial"/>
          <w:sz w:val="22"/>
          <w:szCs w:val="22"/>
        </w:rPr>
      </w:pPr>
      <w:r w:rsidRPr="2656C216" w:rsidR="004E549D">
        <w:rPr>
          <w:rFonts w:cs="Arial"/>
          <w:sz w:val="22"/>
          <w:szCs w:val="22"/>
        </w:rPr>
        <w:t xml:space="preserve">This is assessed using Economy, Efficiency, Effectiveness, </w:t>
      </w:r>
      <w:r w:rsidRPr="2656C216" w:rsidR="004E549D">
        <w:rPr>
          <w:rFonts w:cs="Arial"/>
          <w:sz w:val="22"/>
          <w:szCs w:val="22"/>
        </w:rPr>
        <w:t>Cost-Effectiveness</w:t>
      </w:r>
      <w:r w:rsidRPr="2656C216" w:rsidR="004E549D">
        <w:rPr>
          <w:rFonts w:cs="Arial"/>
          <w:sz w:val="22"/>
          <w:szCs w:val="22"/>
        </w:rPr>
        <w:t xml:space="preserve"> and Equity indicators. The assessment of these provides insight into connections between input, outcome and impact achieved through th</w:t>
      </w:r>
      <w:r w:rsidRPr="2656C216" w:rsidR="00992859">
        <w:rPr>
          <w:rFonts w:cs="Arial"/>
          <w:sz w:val="22"/>
          <w:szCs w:val="22"/>
        </w:rPr>
        <w:t xml:space="preserve">e ISFL </w:t>
      </w:r>
      <w:r w:rsidRPr="2656C216" w:rsidR="004E549D">
        <w:rPr>
          <w:rFonts w:cs="Arial"/>
          <w:sz w:val="22"/>
          <w:szCs w:val="22"/>
        </w:rPr>
        <w:t xml:space="preserve">and means to maximise impact per input invested. </w:t>
      </w:r>
      <w:r w:rsidRPr="2656C216" w:rsidR="004E549D">
        <w:rPr>
          <w:rFonts w:cs="Arial"/>
          <w:sz w:val="22"/>
          <w:szCs w:val="22"/>
        </w:rPr>
        <w:t>VfM</w:t>
      </w:r>
      <w:r w:rsidRPr="2656C216" w:rsidR="004E549D">
        <w:rPr>
          <w:rFonts w:cs="Arial"/>
          <w:sz w:val="22"/>
          <w:szCs w:val="22"/>
        </w:rPr>
        <w:t xml:space="preserve"> </w:t>
      </w:r>
      <w:r w:rsidRPr="2656C216" w:rsidR="004E549D">
        <w:rPr>
          <w:rFonts w:cs="Arial"/>
          <w:sz w:val="22"/>
          <w:szCs w:val="22"/>
        </w:rPr>
        <w:t>remains</w:t>
      </w:r>
      <w:r w:rsidRPr="2656C216" w:rsidR="004E549D">
        <w:rPr>
          <w:rFonts w:cs="Arial"/>
          <w:sz w:val="22"/>
          <w:szCs w:val="22"/>
        </w:rPr>
        <w:t xml:space="preserve"> in line with expectation set out in the Business Case. </w:t>
      </w:r>
    </w:p>
    <w:p w:rsidR="004E5C9A" w:rsidP="6067E52C" w:rsidRDefault="004E5C9A" w14:paraId="0889E8E5" w14:textId="6DBD3FC3">
      <w:pPr>
        <w:jc w:val="both"/>
        <w:rPr>
          <w:rFonts w:cs="Arial"/>
          <w:sz w:val="22"/>
          <w:szCs w:val="22"/>
          <w:u w:val="single"/>
        </w:rPr>
      </w:pPr>
    </w:p>
    <w:p w:rsidR="09838C22" w:rsidP="6067E52C" w:rsidRDefault="09838C22" w14:paraId="4E70BD4D" w14:textId="5D5AC811">
      <w:pPr>
        <w:jc w:val="both"/>
        <w:rPr>
          <w:rFonts w:cs="Arial"/>
          <w:sz w:val="22"/>
          <w:szCs w:val="22"/>
          <w:u w:val="single"/>
        </w:rPr>
      </w:pPr>
      <w:r w:rsidRPr="2656C216" w:rsidR="09838C22">
        <w:rPr>
          <w:rFonts w:cs="Arial"/>
          <w:sz w:val="22"/>
          <w:szCs w:val="22"/>
          <w:u w:val="single"/>
        </w:rPr>
        <w:t>Economy</w:t>
      </w:r>
    </w:p>
    <w:p w:rsidR="23EDB9E7" w:rsidP="6067E52C" w:rsidRDefault="23EDB9E7" w14:paraId="40D700FA" w14:textId="630DF6FA">
      <w:pPr>
        <w:jc w:val="both"/>
        <w:rPr>
          <w:rFonts w:cs="Arial"/>
          <w:sz w:val="22"/>
          <w:szCs w:val="22"/>
        </w:rPr>
      </w:pPr>
    </w:p>
    <w:p w:rsidR="475693B3" w:rsidP="6067E52C" w:rsidRDefault="09838C22" w14:paraId="340C6AB0" w14:textId="07BB2DD0">
      <w:pPr>
        <w:jc w:val="both"/>
        <w:rPr>
          <w:rFonts w:cs="Arial"/>
          <w:sz w:val="22"/>
          <w:szCs w:val="22"/>
        </w:rPr>
      </w:pPr>
      <w:r w:rsidRPr="2656C216" w:rsidR="02CA527F">
        <w:rPr>
          <w:rFonts w:eastAsia="Arial" w:cs="Arial"/>
          <w:color w:val="000000" w:themeColor="text1" w:themeTint="FF" w:themeShade="FF"/>
          <w:sz w:val="22"/>
          <w:szCs w:val="22"/>
        </w:rPr>
        <w:t>All projected supervision costs and fees for the programme remain consistent with prior reviews. These include the World Bank’s central unit fee on contributions, business development fees, window property fees, and supervision and administration costs.</w:t>
      </w:r>
      <w:r w:rsidRPr="2656C216" w:rsidR="36FE52F1">
        <w:rPr>
          <w:rFonts w:eastAsia="Arial" w:cs="Arial"/>
          <w:color w:val="000000" w:themeColor="text1" w:themeTint="FF" w:themeShade="FF"/>
          <w:sz w:val="22"/>
          <w:szCs w:val="22"/>
        </w:rPr>
        <w:t xml:space="preserve"> The total costs </w:t>
      </w:r>
      <w:r w:rsidRPr="2656C216" w:rsidR="36FE52F1">
        <w:rPr>
          <w:rFonts w:eastAsia="Arial" w:cs="Arial"/>
          <w:color w:val="000000" w:themeColor="text1" w:themeTint="FF" w:themeShade="FF"/>
          <w:sz w:val="22"/>
          <w:szCs w:val="22"/>
        </w:rPr>
        <w:t>a</w:t>
      </w:r>
      <w:r w:rsidRPr="2656C216" w:rsidR="36FE52F1">
        <w:rPr>
          <w:rFonts w:eastAsia="Arial" w:cs="Arial"/>
          <w:color w:val="000000" w:themeColor="text1" w:themeTint="FF" w:themeShade="FF"/>
          <w:sz w:val="22"/>
          <w:szCs w:val="22"/>
        </w:rPr>
        <w:t>r</w:t>
      </w:r>
      <w:r w:rsidRPr="2656C216" w:rsidR="36FE52F1">
        <w:rPr>
          <w:rFonts w:eastAsia="Arial" w:cs="Arial"/>
          <w:color w:val="000000" w:themeColor="text1" w:themeTint="FF" w:themeShade="FF"/>
          <w:sz w:val="22"/>
          <w:szCs w:val="22"/>
        </w:rPr>
        <w:t>e</w:t>
      </w:r>
      <w:r w:rsidRPr="2656C216" w:rsidR="36FE52F1">
        <w:rPr>
          <w:rFonts w:eastAsia="Arial" w:cs="Arial"/>
          <w:color w:val="000000" w:themeColor="text1" w:themeTint="FF" w:themeShade="FF"/>
          <w:sz w:val="22"/>
          <w:szCs w:val="22"/>
        </w:rPr>
        <w:t xml:space="preserve"> </w:t>
      </w:r>
      <w:r w:rsidRPr="2656C216" w:rsidR="36FE52F1">
        <w:rPr>
          <w:rFonts w:eastAsia="Arial" w:cs="Arial"/>
          <w:color w:val="000000" w:themeColor="text1" w:themeTint="FF" w:themeShade="FF"/>
          <w:sz w:val="22"/>
          <w:szCs w:val="22"/>
        </w:rPr>
        <w:t>p</w:t>
      </w:r>
      <w:r w:rsidRPr="2656C216" w:rsidR="36FE52F1">
        <w:rPr>
          <w:rFonts w:eastAsia="Arial" w:cs="Arial"/>
          <w:color w:val="000000" w:themeColor="text1" w:themeTint="FF" w:themeShade="FF"/>
          <w:sz w:val="22"/>
          <w:szCs w:val="22"/>
        </w:rPr>
        <w:t>r</w:t>
      </w:r>
      <w:r w:rsidRPr="2656C216" w:rsidR="36FE52F1">
        <w:rPr>
          <w:rFonts w:eastAsia="Arial" w:cs="Arial"/>
          <w:color w:val="000000" w:themeColor="text1" w:themeTint="FF" w:themeShade="FF"/>
          <w:sz w:val="22"/>
          <w:szCs w:val="22"/>
        </w:rPr>
        <w:t>o</w:t>
      </w:r>
      <w:r w:rsidRPr="2656C216" w:rsidR="36FE52F1">
        <w:rPr>
          <w:rFonts w:eastAsia="Arial" w:cs="Arial"/>
          <w:color w:val="000000" w:themeColor="text1" w:themeTint="FF" w:themeShade="FF"/>
          <w:sz w:val="22"/>
          <w:szCs w:val="22"/>
        </w:rPr>
        <w:t>j</w:t>
      </w:r>
      <w:r w:rsidRPr="2656C216" w:rsidR="36FE52F1">
        <w:rPr>
          <w:rFonts w:eastAsia="Arial" w:cs="Arial"/>
          <w:color w:val="000000" w:themeColor="text1" w:themeTint="FF" w:themeShade="FF"/>
          <w:sz w:val="22"/>
          <w:szCs w:val="22"/>
        </w:rPr>
        <w:t>e</w:t>
      </w:r>
      <w:r w:rsidRPr="2656C216" w:rsidR="36FE52F1">
        <w:rPr>
          <w:rFonts w:eastAsia="Arial" w:cs="Arial"/>
          <w:color w:val="000000" w:themeColor="text1" w:themeTint="FF" w:themeShade="FF"/>
          <w:sz w:val="22"/>
          <w:szCs w:val="22"/>
        </w:rPr>
        <w:t>c</w:t>
      </w:r>
      <w:r w:rsidRPr="2656C216" w:rsidR="36FE52F1">
        <w:rPr>
          <w:rFonts w:eastAsia="Arial" w:cs="Arial"/>
          <w:color w:val="000000" w:themeColor="text1" w:themeTint="FF" w:themeShade="FF"/>
          <w:sz w:val="22"/>
          <w:szCs w:val="22"/>
        </w:rPr>
        <w:t>t</w:t>
      </w:r>
      <w:r w:rsidRPr="2656C216" w:rsidR="36FE52F1">
        <w:rPr>
          <w:rFonts w:eastAsia="Arial" w:cs="Arial"/>
          <w:color w:val="000000" w:themeColor="text1" w:themeTint="FF" w:themeShade="FF"/>
          <w:sz w:val="22"/>
          <w:szCs w:val="22"/>
        </w:rPr>
        <w:t>e</w:t>
      </w:r>
      <w:r w:rsidRPr="2656C216" w:rsidR="36FE52F1">
        <w:rPr>
          <w:rFonts w:eastAsia="Arial" w:cs="Arial"/>
          <w:color w:val="000000" w:themeColor="text1" w:themeTint="FF" w:themeShade="FF"/>
          <w:sz w:val="22"/>
          <w:szCs w:val="22"/>
        </w:rPr>
        <w:t>d</w:t>
      </w:r>
      <w:r w:rsidRPr="2656C216" w:rsidR="36FE52F1">
        <w:rPr>
          <w:rFonts w:eastAsia="Arial" w:cs="Arial"/>
          <w:color w:val="000000" w:themeColor="text1" w:themeTint="FF" w:themeShade="FF"/>
          <w:sz w:val="22"/>
          <w:szCs w:val="22"/>
        </w:rPr>
        <w:t xml:space="preserve"> </w:t>
      </w:r>
      <w:r w:rsidRPr="2656C216" w:rsidR="36FE52F1">
        <w:rPr>
          <w:rFonts w:eastAsia="Arial" w:cs="Arial"/>
          <w:color w:val="000000" w:themeColor="text1" w:themeTint="FF" w:themeShade="FF"/>
          <w:sz w:val="22"/>
          <w:szCs w:val="22"/>
        </w:rPr>
        <w:t>a</w:t>
      </w:r>
      <w:r w:rsidRPr="2656C216" w:rsidR="36FE52F1">
        <w:rPr>
          <w:rFonts w:eastAsia="Arial" w:cs="Arial"/>
          <w:color w:val="000000" w:themeColor="text1" w:themeTint="FF" w:themeShade="FF"/>
          <w:sz w:val="22"/>
          <w:szCs w:val="22"/>
        </w:rPr>
        <w:t>t</w:t>
      </w:r>
      <w:r w:rsidRPr="2656C216" w:rsidR="36FE52F1">
        <w:rPr>
          <w:rFonts w:eastAsia="Arial" w:cs="Arial"/>
          <w:color w:val="000000" w:themeColor="text1" w:themeTint="FF" w:themeShade="FF"/>
          <w:sz w:val="22"/>
          <w:szCs w:val="22"/>
        </w:rPr>
        <w:t xml:space="preserve"> </w:t>
      </w:r>
      <w:r w:rsidRPr="2656C216" w:rsidR="12F87124">
        <w:rPr>
          <w:rFonts w:eastAsia="Arial" w:cs="Arial"/>
          <w:color w:val="000000" w:themeColor="text1" w:themeTint="FF" w:themeShade="FF"/>
          <w:sz w:val="22"/>
          <w:szCs w:val="22"/>
        </w:rPr>
        <w:t>approximately £5.5m.</w:t>
      </w:r>
      <w:r w:rsidRPr="2656C216">
        <w:rPr>
          <w:rStyle w:val="FootnoteReference"/>
          <w:rFonts w:eastAsia="Arial" w:cs="Arial"/>
          <w:color w:val="000000" w:themeColor="text1" w:themeTint="FF" w:themeShade="FF"/>
          <w:sz w:val="22"/>
          <w:szCs w:val="22"/>
        </w:rPr>
        <w:footnoteReference w:id="10494"/>
      </w:r>
      <w:r w:rsidRPr="2656C216" w:rsidR="12F87124">
        <w:rPr>
          <w:rFonts w:eastAsia="Arial" w:cs="Arial"/>
          <w:color w:val="000000" w:themeColor="text1" w:themeTint="FF" w:themeShade="FF"/>
          <w:sz w:val="22"/>
          <w:szCs w:val="22"/>
        </w:rPr>
        <w:t xml:space="preserve"> At </w:t>
      </w:r>
      <w:r w:rsidRPr="2656C216" w:rsidR="5A5AC5EB">
        <w:rPr>
          <w:rFonts w:eastAsia="Arial" w:cs="Arial"/>
          <w:color w:val="000000" w:themeColor="text1" w:themeTint="FF" w:themeShade="FF"/>
          <w:sz w:val="22"/>
          <w:szCs w:val="22"/>
        </w:rPr>
        <w:t xml:space="preserve">4.54%</w:t>
      </w:r>
      <w:r w:rsidRPr="2656C216" w:rsidR="12F87124">
        <w:rPr>
          <w:rFonts w:eastAsia="Arial" w:cs="Arial"/>
          <w:color w:val="000000" w:themeColor="text1" w:themeTint="FF" w:themeShade="FF"/>
          <w:sz w:val="22"/>
          <w:szCs w:val="22"/>
        </w:rPr>
        <w:t xml:space="preserve"> of the </w:t>
      </w:r>
      <w:r w:rsidRPr="2656C216" w:rsidR="12F87124">
        <w:rPr>
          <w:rFonts w:eastAsia="Arial" w:cs="Arial"/>
          <w:color w:val="000000" w:themeColor="text1" w:themeTint="FF" w:themeShade="FF"/>
          <w:sz w:val="22"/>
          <w:szCs w:val="22"/>
        </w:rPr>
        <w:t xml:space="preserve">total</w:t>
      </w:r>
      <w:r w:rsidRPr="2656C216" w:rsidR="12F87124">
        <w:rPr>
          <w:rFonts w:eastAsia="Arial" w:cs="Arial"/>
          <w:color w:val="000000" w:themeColor="text1" w:themeTint="FF" w:themeShade="FF"/>
          <w:sz w:val="22"/>
          <w:szCs w:val="22"/>
        </w:rPr>
        <w:t xml:space="preserve"> £121.1m</w:t>
      </w:r>
      <w:r w:rsidRPr="2656C216" w:rsidR="726F282E">
        <w:rPr>
          <w:rFonts w:eastAsia="Arial" w:cs="Arial"/>
          <w:color w:val="000000" w:themeColor="text1" w:themeTint="FF" w:themeShade="FF"/>
          <w:sz w:val="22"/>
          <w:szCs w:val="22"/>
        </w:rPr>
        <w:t>,</w:t>
      </w:r>
      <w:r w:rsidRPr="2656C216" w:rsidR="726F282E">
        <w:rPr>
          <w:rFonts w:eastAsia="Arial" w:cs="Arial"/>
          <w:color w:val="000000" w:themeColor="text1" w:themeTint="FF" w:themeShade="FF"/>
          <w:sz w:val="22"/>
          <w:szCs w:val="22"/>
        </w:rPr>
        <w:t xml:space="preserve"> </w:t>
      </w:r>
      <w:r w:rsidRPr="2656C216" w:rsidR="726F282E">
        <w:rPr>
          <w:rFonts w:eastAsia="Arial" w:cs="Arial"/>
          <w:color w:val="000000" w:themeColor="text1" w:themeTint="FF" w:themeShade="FF"/>
          <w:sz w:val="22"/>
          <w:szCs w:val="22"/>
        </w:rPr>
        <w:t>t</w:t>
      </w:r>
      <w:r w:rsidRPr="2656C216" w:rsidR="726F282E">
        <w:rPr>
          <w:rFonts w:eastAsia="Arial" w:cs="Arial"/>
          <w:color w:val="000000" w:themeColor="text1" w:themeTint="FF" w:themeShade="FF"/>
          <w:sz w:val="22"/>
          <w:szCs w:val="22"/>
        </w:rPr>
        <w:t>h</w:t>
      </w:r>
      <w:r w:rsidRPr="2656C216" w:rsidR="726F282E">
        <w:rPr>
          <w:rFonts w:eastAsia="Arial" w:cs="Arial"/>
          <w:color w:val="000000" w:themeColor="text1" w:themeTint="FF" w:themeShade="FF"/>
          <w:sz w:val="22"/>
          <w:szCs w:val="22"/>
        </w:rPr>
        <w:t>i</w:t>
      </w:r>
      <w:r w:rsidRPr="2656C216" w:rsidR="726F282E">
        <w:rPr>
          <w:rFonts w:eastAsia="Arial" w:cs="Arial"/>
          <w:color w:val="000000" w:themeColor="text1" w:themeTint="FF" w:themeShade="FF"/>
          <w:sz w:val="22"/>
          <w:szCs w:val="22"/>
        </w:rPr>
        <w:t>s</w:t>
      </w:r>
      <w:r w:rsidRPr="2656C216" w:rsidR="726F282E">
        <w:rPr>
          <w:rFonts w:eastAsia="Arial" w:cs="Arial"/>
          <w:color w:val="000000" w:themeColor="text1" w:themeTint="FF" w:themeShade="FF"/>
          <w:sz w:val="22"/>
          <w:szCs w:val="22"/>
        </w:rPr>
        <w:t xml:space="preserve"> is</w:t>
      </w:r>
      <w:r w:rsidRPr="2656C216" w:rsidR="12F87124">
        <w:rPr>
          <w:rFonts w:eastAsia="Arial" w:cs="Arial"/>
          <w:color w:val="000000" w:themeColor="text1" w:themeTint="FF" w:themeShade="FF"/>
          <w:sz w:val="22"/>
          <w:szCs w:val="22"/>
        </w:rPr>
        <w:t xml:space="preserve"> figure is </w:t>
      </w:r>
      <w:r w:rsidRPr="2656C216" w:rsidR="2A2988AD">
        <w:rPr>
          <w:rFonts w:eastAsia="Arial" w:cs="Arial"/>
          <w:color w:val="000000" w:themeColor="text1" w:themeTint="FF" w:themeShade="FF"/>
          <w:sz w:val="22"/>
          <w:szCs w:val="22"/>
        </w:rPr>
        <w:t>below the</w:t>
      </w:r>
      <w:r w:rsidRPr="2656C216" w:rsidR="12F87124">
        <w:rPr>
          <w:rFonts w:eastAsia="Arial" w:cs="Arial"/>
          <w:color w:val="000000" w:themeColor="text1" w:themeTint="FF" w:themeShade="FF"/>
          <w:sz w:val="22"/>
          <w:szCs w:val="22"/>
        </w:rPr>
        <w:t xml:space="preserve"> </w:t>
      </w:r>
      <w:r w:rsidRPr="2656C216" w:rsidR="3370195A">
        <w:rPr>
          <w:rFonts w:eastAsia="Arial" w:cs="Arial"/>
          <w:color w:val="000000" w:themeColor="text1" w:themeTint="FF" w:themeShade="FF"/>
          <w:sz w:val="22"/>
          <w:szCs w:val="22"/>
        </w:rPr>
        <w:t xml:space="preserve">estimated</w:t>
      </w:r>
      <w:r w:rsidRPr="2656C216" w:rsidR="12F87124">
        <w:rPr>
          <w:rFonts w:eastAsia="Arial" w:cs="Arial"/>
          <w:color w:val="000000" w:themeColor="text1" w:themeTint="FF" w:themeShade="FF"/>
          <w:sz w:val="22"/>
          <w:szCs w:val="22"/>
        </w:rPr>
        <w:t xml:space="preserve"> 6</w:t>
      </w:r>
      <w:r w:rsidRPr="2656C216" w:rsidR="12F87124">
        <w:rPr>
          <w:rFonts w:eastAsia="Arial" w:cs="Arial"/>
          <w:color w:val="000000" w:themeColor="text1" w:themeTint="FF" w:themeShade="FF"/>
          <w:sz w:val="22"/>
          <w:szCs w:val="22"/>
        </w:rPr>
        <w:t xml:space="preserve">.75%</w:t>
      </w:r>
      <w:r w:rsidRPr="2656C216" w:rsidR="12F87124">
        <w:rPr>
          <w:rFonts w:eastAsia="Arial" w:cs="Arial"/>
          <w:color w:val="000000" w:themeColor="text1" w:themeTint="FF" w:themeShade="FF"/>
          <w:sz w:val="22"/>
          <w:szCs w:val="22"/>
        </w:rPr>
        <w:t xml:space="preserve"> s</w:t>
      </w:r>
      <w:r w:rsidRPr="2656C216" w:rsidR="12F87124">
        <w:rPr>
          <w:rFonts w:eastAsia="Arial" w:cs="Arial"/>
          <w:color w:val="000000" w:themeColor="text1" w:themeTint="FF" w:themeShade="FF"/>
          <w:sz w:val="22"/>
          <w:szCs w:val="22"/>
        </w:rPr>
        <w:t>et out in the DESNZ business case.</w:t>
      </w:r>
      <w:r w:rsidRPr="2656C216" w:rsidR="02689B92">
        <w:rPr>
          <w:rFonts w:eastAsia="Arial" w:cs="Arial"/>
          <w:color w:val="000000" w:themeColor="text1" w:themeTint="FF" w:themeShade="FF"/>
          <w:sz w:val="22"/>
          <w:szCs w:val="22"/>
        </w:rPr>
        <w:t xml:space="preserve"> </w:t>
      </w:r>
      <w:r w:rsidRPr="2656C216" w:rsidR="06DFF0D5">
        <w:rPr>
          <w:rFonts w:eastAsia="Arial" w:cs="Arial"/>
          <w:sz w:val="22"/>
          <w:szCs w:val="22"/>
        </w:rPr>
        <w:t>Th</w:t>
      </w:r>
      <w:r w:rsidRPr="2656C216" w:rsidR="7A9AEB6E">
        <w:rPr>
          <w:rFonts w:eastAsia="Arial" w:cs="Arial"/>
          <w:sz w:val="22"/>
          <w:szCs w:val="22"/>
        </w:rPr>
        <w:t xml:space="preserve">is </w:t>
      </w:r>
      <w:r w:rsidRPr="2656C216" w:rsidR="7A9AEB6E">
        <w:rPr>
          <w:rFonts w:eastAsia="Arial" w:cs="Arial"/>
          <w:sz w:val="22"/>
          <w:szCs w:val="22"/>
        </w:rPr>
        <w:t>rate</w:t>
      </w:r>
      <w:r w:rsidRPr="2656C216" w:rsidR="39F455BB">
        <w:rPr>
          <w:rFonts w:eastAsia="Arial" w:cs="Arial"/>
          <w:sz w:val="22"/>
          <w:szCs w:val="22"/>
        </w:rPr>
        <w:t xml:space="preserve"> </w:t>
      </w:r>
      <w:r>
        <w:rPr>
          <w:rStyle w:val="CommentReference"/>
        </w:rPr>
      </w:r>
      <w:r w:rsidRPr="2656C216" w:rsidR="06DFF0D5">
        <w:rPr>
          <w:rFonts w:eastAsia="Arial" w:cs="Arial"/>
          <w:sz w:val="22"/>
          <w:szCs w:val="22"/>
        </w:rPr>
        <w:t>remain</w:t>
      </w:r>
      <w:r w:rsidRPr="2656C216" w:rsidR="62F18CB5">
        <w:rPr>
          <w:rFonts w:eastAsia="Arial" w:cs="Arial"/>
          <w:sz w:val="22"/>
          <w:szCs w:val="22"/>
        </w:rPr>
        <w:t>s</w:t>
      </w:r>
      <w:r w:rsidRPr="2656C216" w:rsidR="06DFF0D5">
        <w:rPr>
          <w:rFonts w:eastAsia="Arial" w:cs="Arial"/>
          <w:sz w:val="22"/>
          <w:szCs w:val="22"/>
        </w:rPr>
        <w:t xml:space="preserve"> within acceptable ranges for international trust fund management. </w:t>
      </w:r>
    </w:p>
    <w:p w:rsidR="7772FA34" w:rsidP="6067E52C" w:rsidRDefault="7772FA34" w14:paraId="65BE0801" w14:textId="6FEFD5A1">
      <w:pPr>
        <w:jc w:val="both"/>
        <w:rPr>
          <w:rFonts w:eastAsia="Arial" w:cs="Arial"/>
          <w:sz w:val="22"/>
          <w:szCs w:val="22"/>
        </w:rPr>
      </w:pPr>
    </w:p>
    <w:p w:rsidR="313517D6" w:rsidP="6067E52C" w:rsidRDefault="313517D6" w14:paraId="65BB2019" w14:textId="6173D1F2">
      <w:pPr>
        <w:jc w:val="both"/>
        <w:rPr>
          <w:rFonts w:cs="Arial"/>
          <w:sz w:val="22"/>
          <w:szCs w:val="22"/>
        </w:rPr>
      </w:pPr>
      <w:r w:rsidRPr="2656C216" w:rsidR="313517D6">
        <w:rPr>
          <w:rFonts w:cs="Arial"/>
          <w:sz w:val="22"/>
          <w:szCs w:val="22"/>
        </w:rPr>
        <w:t xml:space="preserve">As outlined in the ISFL Business Case, procurement processes follow World Bank policies, which are underpinned by principles of economy and efficiency as set out in the Bank’s Articles of Agreement. The Corporate Procurement Unit ensures best value through competitive bidding, assessing price, fitness for use, environmental efficiency, maintenance provisions, operating costs, guarantees, delivery and installation, and payment terms. International competitive bidding is standard for all contracts, with exceptions only </w:t>
      </w:r>
      <w:bookmarkStart w:name="_Int_r4OtNiqu" w:id="187"/>
      <w:r w:rsidRPr="2656C216" w:rsidR="313517D6">
        <w:rPr>
          <w:rFonts w:cs="Arial"/>
          <w:sz w:val="22"/>
          <w:szCs w:val="22"/>
        </w:rPr>
        <w:t>where</w:t>
      </w:r>
      <w:bookmarkEnd w:id="187"/>
      <w:r w:rsidRPr="2656C216" w:rsidR="313517D6">
        <w:rPr>
          <w:rFonts w:cs="Arial"/>
          <w:sz w:val="22"/>
          <w:szCs w:val="22"/>
        </w:rPr>
        <w:t xml:space="preserve"> justified by the nature of goods or services or country context. High ethical standards and fair treatment of suppliers are </w:t>
      </w:r>
      <w:r w:rsidRPr="2656C216" w:rsidR="313517D6">
        <w:rPr>
          <w:rFonts w:cs="Arial"/>
          <w:sz w:val="22"/>
          <w:szCs w:val="22"/>
        </w:rPr>
        <w:t>maintained</w:t>
      </w:r>
      <w:r w:rsidRPr="2656C216" w:rsidR="313517D6">
        <w:rPr>
          <w:rFonts w:cs="Arial"/>
          <w:sz w:val="22"/>
          <w:szCs w:val="22"/>
        </w:rPr>
        <w:t xml:space="preserve"> throughout. For IFC-managed procurement, competitive processes are mandatory for all operational contracts above $50k, supported by a new web-based procurement tool to strengthen compliance. Performance management of contracts is overseen by Fund Management Teams within the Bank, ensuring technical quality and cost-effectiveness.</w:t>
      </w:r>
    </w:p>
    <w:p w:rsidR="064FF2F1" w:rsidP="6067E52C" w:rsidRDefault="064FF2F1" w14:paraId="16777B80" w14:textId="76C7EAD3">
      <w:pPr>
        <w:jc w:val="both"/>
        <w:rPr>
          <w:rFonts w:cs="Arial"/>
          <w:sz w:val="22"/>
          <w:szCs w:val="22"/>
        </w:rPr>
      </w:pPr>
    </w:p>
    <w:p w:rsidR="09838C22" w:rsidP="6067E52C" w:rsidRDefault="09838C22" w14:paraId="2ACB1D98" w14:textId="0328AFD7">
      <w:pPr>
        <w:jc w:val="both"/>
        <w:rPr>
          <w:rFonts w:cs="Arial"/>
          <w:sz w:val="22"/>
          <w:szCs w:val="22"/>
          <w:u w:val="single"/>
        </w:rPr>
      </w:pPr>
      <w:r w:rsidRPr="2656C216" w:rsidR="09838C22">
        <w:rPr>
          <w:rFonts w:cs="Arial"/>
          <w:sz w:val="22"/>
          <w:szCs w:val="22"/>
          <w:u w:val="single"/>
        </w:rPr>
        <w:t>Efficiency</w:t>
      </w:r>
    </w:p>
    <w:p w:rsidR="4D3353F4" w:rsidP="6067E52C" w:rsidRDefault="4D3353F4" w14:paraId="42EC2733" w14:textId="10C2847D">
      <w:pPr>
        <w:jc w:val="both"/>
        <w:rPr>
          <w:rFonts w:cs="Arial"/>
          <w:sz w:val="22"/>
          <w:szCs w:val="22"/>
        </w:rPr>
      </w:pPr>
    </w:p>
    <w:p w:rsidR="5F721C2D" w:rsidP="6067E52C" w:rsidRDefault="38BD0A08" w14:paraId="43545268" w14:textId="083AB26C">
      <w:pPr>
        <w:jc w:val="both"/>
        <w:rPr>
          <w:rFonts w:eastAsia="Arial" w:cs="Arial"/>
          <w:b w:val="1"/>
          <w:bCs w:val="1"/>
          <w:color w:val="000000" w:themeColor="text1"/>
          <w:sz w:val="22"/>
          <w:szCs w:val="22"/>
        </w:rPr>
      </w:pPr>
      <w:r w:rsidRPr="2656C216" w:rsidR="19F497AE">
        <w:rPr>
          <w:rFonts w:cs="Arial"/>
          <w:sz w:val="22"/>
          <w:szCs w:val="22"/>
        </w:rPr>
        <w:t xml:space="preserve">Efficiency looks at </w:t>
      </w:r>
      <w:r w:rsidRPr="2656C216" w:rsidR="19F497AE">
        <w:rPr>
          <w:rFonts w:cs="Arial"/>
          <w:sz w:val="22"/>
          <w:szCs w:val="22"/>
        </w:rPr>
        <w:t>VfM</w:t>
      </w:r>
      <w:r w:rsidRPr="2656C216" w:rsidR="19F497AE">
        <w:rPr>
          <w:rFonts w:cs="Arial"/>
          <w:sz w:val="22"/>
          <w:szCs w:val="22"/>
        </w:rPr>
        <w:t xml:space="preserve"> by assessing how well the programme converts inputs into outputs.</w:t>
      </w:r>
      <w:r w:rsidRPr="2656C216" w:rsidR="4145D4AD">
        <w:rPr>
          <w:rFonts w:cs="Arial"/>
          <w:sz w:val="22"/>
          <w:szCs w:val="22"/>
        </w:rPr>
        <w:t xml:space="preserve"> Since </w:t>
      </w:r>
      <w:r w:rsidRPr="2656C216" w:rsidR="4145D4AD">
        <w:rPr>
          <w:rFonts w:cs="Arial"/>
          <w:sz w:val="22"/>
          <w:szCs w:val="22"/>
        </w:rPr>
        <w:t xml:space="preserve">inception</w:t>
      </w:r>
      <w:r w:rsidRPr="2656C216" w:rsidR="4145D4AD">
        <w:rPr>
          <w:rFonts w:cs="Arial"/>
          <w:sz w:val="22"/>
          <w:szCs w:val="22"/>
        </w:rPr>
        <w:t xml:space="preserve">, the </w:t>
      </w:r>
      <w:r w:rsidRPr="2656C216" w:rsidR="4145D4AD">
        <w:rPr>
          <w:rFonts w:eastAsia="Arial" w:cs="Arial"/>
          <w:color w:val="000000" w:themeColor="text1"/>
          <w:sz w:val="22"/>
          <w:szCs w:val="22"/>
        </w:rPr>
        <w:t>UK Single Donor Trust Fund (SDTF)</w:t>
      </w:r>
      <w:r w:rsidRPr="2656C216" w:rsidR="4145D4AD">
        <w:rPr>
          <w:rFonts w:eastAsia="Arial" w:cs="Arial"/>
          <w:color w:val="000000" w:themeColor="text1"/>
          <w:sz w:val="22"/>
          <w:szCs w:val="22"/>
        </w:rPr>
        <w:t xml:space="preserve"> has provided </w:t>
      </w:r>
      <w:r w:rsidRPr="2656C216" w:rsidR="4145D4AD">
        <w:rPr>
          <w:rFonts w:eastAsia="Arial" w:cs="Arial"/>
          <w:color w:val="000000" w:themeColor="text1"/>
          <w:sz w:val="22"/>
          <w:szCs w:val="22"/>
        </w:rPr>
        <w:t>£100.35m ($125.72</w:t>
      </w:r>
      <w:r w:rsidRPr="2656C216" w:rsidR="4145D4AD">
        <w:rPr>
          <w:rFonts w:eastAsia="Arial" w:cs="Arial"/>
          <w:color w:val="000000" w:themeColor="text1"/>
          <w:sz w:val="22"/>
          <w:szCs w:val="22"/>
        </w:rPr>
        <w:t>m)</w:t>
      </w:r>
      <w:r w:rsidRPr="6067E52C" w:rsidR="5F721C2D">
        <w:rPr>
          <w:rStyle w:val="FootnoteReference"/>
          <w:rFonts w:eastAsia="Arial" w:cs="Arial"/>
          <w:color w:val="000000" w:themeColor="text1"/>
          <w:sz w:val="22"/>
          <w:szCs w:val="22"/>
        </w:rPr>
        <w:footnoteReference w:id="14"/>
      </w:r>
      <w:r w:rsidRPr="2656C216" w:rsidR="4145D4AD">
        <w:rPr>
          <w:rFonts w:eastAsia="Arial" w:cs="Arial"/>
          <w:color w:val="000000" w:themeColor="text1"/>
          <w:sz w:val="22"/>
          <w:szCs w:val="22"/>
        </w:rPr>
        <w:t xml:space="preserve"> out of £121.1m ($151.7m) committed towards </w:t>
      </w:r>
      <w:r w:rsidRPr="2656C216" w:rsidR="4145D4AD">
        <w:rPr>
          <w:rFonts w:eastAsia="Arial" w:cs="Arial"/>
          <w:color w:val="000000" w:themeColor="text1"/>
          <w:sz w:val="22"/>
          <w:szCs w:val="22"/>
        </w:rPr>
        <w:t>BioCF</w:t>
      </w:r>
      <w:r w:rsidRPr="2656C216" w:rsidR="4145D4AD">
        <w:rPr>
          <w:rFonts w:eastAsia="Arial" w:cs="Arial"/>
          <w:color w:val="000000" w:themeColor="text1"/>
          <w:sz w:val="22"/>
          <w:szCs w:val="22"/>
        </w:rPr>
        <w:t xml:space="preserve"> Plus and </w:t>
      </w:r>
      <w:r w:rsidRPr="2656C216" w:rsidR="4145D4AD">
        <w:rPr>
          <w:rFonts w:eastAsia="Arial" w:cs="Arial"/>
          <w:color w:val="000000" w:themeColor="text1"/>
          <w:sz w:val="22"/>
          <w:szCs w:val="22"/>
        </w:rPr>
        <w:t>BioCF</w:t>
      </w:r>
      <w:r w:rsidRPr="2656C216" w:rsidR="4145D4AD">
        <w:rPr>
          <w:rFonts w:eastAsia="Arial" w:cs="Arial"/>
          <w:color w:val="000000" w:themeColor="text1"/>
          <w:sz w:val="22"/>
          <w:szCs w:val="22"/>
        </w:rPr>
        <w:t xml:space="preserve"> T3 </w:t>
      </w:r>
      <w:r w:rsidRPr="2656C216" w:rsidR="4145D4AD">
        <w:rPr>
          <w:rFonts w:eastAsia="Arial" w:cs="Arial"/>
          <w:color w:val="000000" w:themeColor="text1"/>
          <w:sz w:val="22"/>
          <w:szCs w:val="22"/>
        </w:rPr>
        <w:t>(including former Defra contributions)</w:t>
      </w:r>
      <w:r w:rsidRPr="2656C216" w:rsidR="4145D4AD">
        <w:rPr>
          <w:rFonts w:eastAsia="Arial" w:cs="Arial"/>
          <w:color w:val="000000" w:themeColor="text1"/>
          <w:sz w:val="22"/>
          <w:szCs w:val="22"/>
        </w:rPr>
        <w:t>.</w:t>
      </w:r>
      <w:r w:rsidRPr="2656C216" w:rsidR="4145D4AD">
        <w:rPr>
          <w:rFonts w:eastAsia="Arial" w:cs="Arial"/>
          <w:color w:val="000000" w:themeColor="text1"/>
          <w:sz w:val="22"/>
          <w:szCs w:val="22"/>
        </w:rPr>
        <w:t xml:space="preserve"> For </w:t>
      </w:r>
      <w:r w:rsidRPr="2656C216" w:rsidR="4145D4AD">
        <w:rPr>
          <w:rFonts w:eastAsia="Arial" w:cs="Arial"/>
          <w:color w:val="000000" w:themeColor="text1"/>
          <w:sz w:val="22"/>
          <w:szCs w:val="22"/>
        </w:rPr>
        <w:t>BioCF</w:t>
      </w:r>
      <w:r w:rsidRPr="2656C216" w:rsidR="4145D4AD">
        <w:rPr>
          <w:rFonts w:eastAsia="Arial" w:cs="Arial"/>
          <w:color w:val="000000" w:themeColor="text1"/>
          <w:sz w:val="22"/>
          <w:szCs w:val="22"/>
        </w:rPr>
        <w:t xml:space="preserve"> Plus, the UK SDTF has provided $27.19m cumulative to FY25, with $38.34m pledged in total, and $11.15m outstanding. For </w:t>
      </w:r>
      <w:r w:rsidRPr="2656C216" w:rsidR="4145D4AD">
        <w:rPr>
          <w:rFonts w:eastAsia="Arial" w:cs="Arial"/>
          <w:color w:val="000000" w:themeColor="text1"/>
          <w:sz w:val="22"/>
          <w:szCs w:val="22"/>
        </w:rPr>
        <w:t>BioCF</w:t>
      </w:r>
      <w:r w:rsidRPr="2656C216" w:rsidR="4145D4AD">
        <w:rPr>
          <w:rFonts w:eastAsia="Arial" w:cs="Arial"/>
          <w:color w:val="000000" w:themeColor="text1"/>
          <w:sz w:val="22"/>
          <w:szCs w:val="22"/>
        </w:rPr>
        <w:t xml:space="preserve"> T3, the UK SDTF has provided $98.53m (£78.65m) cumulative to FY25, with $117.69m (£93.94m) pledged in total, and $19.16m (£15.29m) outstanding. The UK makes up 43% of total donor pledges, reflecting its significant role in programme financing. </w:t>
      </w:r>
      <w:r w:rsidRPr="2656C216" w:rsidR="6E13E6E8">
        <w:rPr>
          <w:rFonts w:eastAsia="Arial" w:cs="Arial"/>
          <w:color w:val="000000" w:themeColor="text1"/>
          <w:sz w:val="22"/>
          <w:szCs w:val="22"/>
        </w:rPr>
        <w:t xml:space="preserve">Current spend aligns </w:t>
      </w:r>
      <w:r w:rsidRPr="2656C216" w:rsidR="4145D4AD">
        <w:rPr>
          <w:rFonts w:eastAsia="Arial" w:cs="Arial"/>
          <w:color w:val="000000" w:themeColor="text1"/>
          <w:sz w:val="22"/>
          <w:szCs w:val="22"/>
        </w:rPr>
        <w:t xml:space="preserve">with </w:t>
      </w:r>
      <w:r w:rsidRPr="2656C216" w:rsidR="259B040C">
        <w:rPr>
          <w:rFonts w:eastAsia="Arial" w:cs="Arial"/>
          <w:color w:val="000000" w:themeColor="text1"/>
          <w:sz w:val="22"/>
          <w:szCs w:val="22"/>
        </w:rPr>
        <w:t>projections</w:t>
      </w:r>
      <w:r w:rsidRPr="2656C216" w:rsidR="4145D4AD">
        <w:rPr>
          <w:rFonts w:eastAsia="Arial" w:cs="Arial"/>
          <w:color w:val="000000" w:themeColor="text1"/>
          <w:sz w:val="22"/>
          <w:szCs w:val="22"/>
        </w:rPr>
        <w:t xml:space="preserve">, </w:t>
      </w:r>
      <w:r w:rsidRPr="2656C216" w:rsidR="471C3F76">
        <w:rPr>
          <w:rFonts w:eastAsia="Arial" w:cs="Arial"/>
          <w:color w:val="000000" w:themeColor="text1"/>
          <w:sz w:val="22"/>
          <w:szCs w:val="22"/>
        </w:rPr>
        <w:t xml:space="preserve">and </w:t>
      </w:r>
      <w:r w:rsidRPr="2656C216" w:rsidR="471C3F76">
        <w:rPr>
          <w:rFonts w:eastAsia="Arial" w:cs="Arial"/>
          <w:color w:val="000000" w:themeColor="text1"/>
          <w:sz w:val="22"/>
          <w:szCs w:val="22"/>
        </w:rPr>
        <w:t xml:space="preserve">the majority of</w:t>
      </w:r>
      <w:r w:rsidRPr="2656C216" w:rsidR="471C3F76">
        <w:rPr>
          <w:rFonts w:eastAsia="Arial" w:cs="Arial"/>
          <w:color w:val="000000" w:themeColor="text1"/>
          <w:sz w:val="22"/>
          <w:szCs w:val="22"/>
        </w:rPr>
        <w:t xml:space="preserve"> previously unallocated funds have now been assigned, with the remaining balance to be </w:t>
      </w:r>
      <w:r w:rsidRPr="2656C216" w:rsidR="471C3F76">
        <w:rPr>
          <w:rFonts w:eastAsia="Arial" w:cs="Arial"/>
          <w:color w:val="000000" w:themeColor="text1"/>
          <w:sz w:val="22"/>
          <w:szCs w:val="22"/>
        </w:rPr>
        <w:t xml:space="preserve">allocated</w:t>
      </w:r>
      <w:r w:rsidRPr="2656C216" w:rsidR="471C3F76">
        <w:rPr>
          <w:rFonts w:eastAsia="Arial" w:cs="Arial"/>
          <w:color w:val="000000" w:themeColor="text1"/>
          <w:sz w:val="22"/>
          <w:szCs w:val="22"/>
        </w:rPr>
        <w:t xml:space="preserve"> in line with </w:t>
      </w:r>
      <w:r w:rsidRPr="2656C216" w:rsidR="471C3F76">
        <w:rPr>
          <w:rFonts w:eastAsia="Arial" w:cs="Arial"/>
          <w:b w:val="1"/>
          <w:bCs w:val="1"/>
          <w:color w:val="000000" w:themeColor="text1"/>
          <w:sz w:val="22"/>
          <w:szCs w:val="22"/>
        </w:rPr>
        <w:t xml:space="preserve">Recommendation </w:t>
      </w:r>
      <w:r w:rsidRPr="2656C216" w:rsidR="471C3F76">
        <w:rPr>
          <w:rFonts w:eastAsia="Arial" w:cs="Arial"/>
          <w:b w:val="1"/>
          <w:bCs w:val="1"/>
          <w:color w:val="000000" w:themeColor="text1"/>
          <w:sz w:val="22"/>
          <w:szCs w:val="22"/>
        </w:rPr>
        <w:t>[</w:t>
      </w:r>
      <w:r w:rsidRPr="2656C216" w:rsidR="689A453C">
        <w:rPr>
          <w:rFonts w:eastAsia="Arial" w:cs="Arial"/>
          <w:b w:val="1"/>
          <w:bCs w:val="1"/>
          <w:color w:val="000000" w:themeColor="text1"/>
          <w:sz w:val="22"/>
          <w:szCs w:val="22"/>
        </w:rPr>
        <w:t>2</w:t>
      </w:r>
      <w:r w:rsidRPr="2656C216" w:rsidR="471C3F76">
        <w:rPr>
          <w:rFonts w:eastAsia="Arial" w:cs="Arial"/>
          <w:b w:val="1"/>
          <w:bCs w:val="1"/>
          <w:color w:val="000000" w:themeColor="text1"/>
          <w:sz w:val="22"/>
          <w:szCs w:val="22"/>
        </w:rPr>
        <w:t>]</w:t>
      </w:r>
      <w:r w:rsidRPr="2656C216" w:rsidR="48AD182B">
        <w:rPr>
          <w:rFonts w:eastAsia="Arial" w:cs="Arial"/>
          <w:b w:val="1"/>
          <w:bCs w:val="1"/>
          <w:color w:val="000000" w:themeColor="text1"/>
          <w:sz w:val="22"/>
          <w:szCs w:val="22"/>
        </w:rPr>
        <w:t>.</w:t>
      </w:r>
    </w:p>
    <w:p w:rsidR="5F721C2D" w:rsidP="6067E52C" w:rsidRDefault="5F721C2D" w14:paraId="184DB3AE" w14:textId="0EDECD85">
      <w:pPr>
        <w:jc w:val="both"/>
        <w:rPr>
          <w:rFonts w:cs="Arial"/>
          <w:sz w:val="22"/>
          <w:szCs w:val="22"/>
        </w:rPr>
      </w:pPr>
    </w:p>
    <w:p w:rsidR="5F721C2D" w:rsidP="6067E52C" w:rsidRDefault="5AB25466" w14:paraId="44A309C6" w14:textId="23FE0441">
      <w:pPr>
        <w:jc w:val="both"/>
        <w:rPr>
          <w:rFonts w:cs="Arial"/>
          <w:sz w:val="22"/>
          <w:szCs w:val="22"/>
        </w:rPr>
      </w:pPr>
      <w:r w:rsidRPr="334BBF58" w:rsidR="5AB25466">
        <w:rPr>
          <w:rFonts w:cs="Arial"/>
          <w:sz w:val="22"/>
          <w:szCs w:val="22"/>
        </w:rPr>
        <w:t xml:space="preserve">Programme efficiency is </w:t>
      </w:r>
      <w:r w:rsidRPr="334BBF58" w:rsidR="0005F625">
        <w:rPr>
          <w:rFonts w:cs="Arial"/>
          <w:sz w:val="22"/>
          <w:szCs w:val="22"/>
        </w:rPr>
        <w:t xml:space="preserve">predominantly </w:t>
      </w:r>
      <w:r w:rsidRPr="334BBF58" w:rsidR="5AB25466">
        <w:rPr>
          <w:rFonts w:cs="Arial"/>
          <w:sz w:val="22"/>
          <w:szCs w:val="22"/>
        </w:rPr>
        <w:t>reflected</w:t>
      </w:r>
      <w:r w:rsidRPr="334BBF58" w:rsidR="5AB25466">
        <w:rPr>
          <w:rFonts w:cs="Arial"/>
          <w:sz w:val="22"/>
          <w:szCs w:val="22"/>
        </w:rPr>
        <w:t xml:space="preserve"> in the speed and delivery of ISFL’s </w:t>
      </w:r>
      <w:r w:rsidRPr="334BBF58" w:rsidR="531A8BCD">
        <w:rPr>
          <w:rFonts w:cs="Arial"/>
          <w:sz w:val="22"/>
          <w:szCs w:val="22"/>
        </w:rPr>
        <w:t xml:space="preserve">Outputs related to </w:t>
      </w:r>
      <w:r w:rsidRPr="334BBF58" w:rsidR="5AB25466">
        <w:rPr>
          <w:rFonts w:cs="Arial"/>
          <w:sz w:val="22"/>
          <w:szCs w:val="22"/>
        </w:rPr>
        <w:t xml:space="preserve">ERPA signatures and results-based disbursements. </w:t>
      </w:r>
      <w:r w:rsidRPr="334BBF58" w:rsidR="4A04FAB8">
        <w:rPr>
          <w:rFonts w:cs="Arial"/>
          <w:sz w:val="22"/>
          <w:szCs w:val="22"/>
        </w:rPr>
        <w:t xml:space="preserve">As outlined in prior reviews, the ISFL programme depicted a two-year set up period, followed by results-based disbursements (ER purchases) beginning in 2016 and lasting for eight years. Due to continuous delays throughout the lifespan of the programme, </w:t>
      </w:r>
      <w:r w:rsidRPr="334BBF58" w:rsidR="20FE0735">
        <w:rPr>
          <w:rFonts w:cs="Arial"/>
          <w:sz w:val="22"/>
          <w:szCs w:val="22"/>
        </w:rPr>
        <w:t xml:space="preserve">only two ERPAs have been signed so far, for Ethiopia and Zambia in FY23 and </w:t>
      </w:r>
      <w:r w:rsidRPr="334BBF58" w:rsidR="20FE0735">
        <w:rPr>
          <w:rFonts w:cs="Arial"/>
          <w:sz w:val="22"/>
          <w:szCs w:val="22"/>
        </w:rPr>
        <w:t>FY24</w:t>
      </w:r>
      <w:r w:rsidRPr="334BBF58" w:rsidR="20FE0735">
        <w:rPr>
          <w:rFonts w:cs="Arial"/>
          <w:sz w:val="22"/>
          <w:szCs w:val="22"/>
        </w:rPr>
        <w:t xml:space="preserve"> respectively. </w:t>
      </w:r>
      <w:r w:rsidRPr="334BBF58" w:rsidR="6605DDCB">
        <w:rPr>
          <w:rFonts w:cs="Arial"/>
          <w:sz w:val="22"/>
          <w:szCs w:val="22"/>
        </w:rPr>
        <w:t xml:space="preserve">The remaining three ERPAs are expected to be signed in FY26 but come at the cost of significant delays. </w:t>
      </w:r>
      <w:r w:rsidRPr="334BBF58" w:rsidR="2450F21F">
        <w:rPr>
          <w:rFonts w:cs="Arial"/>
          <w:sz w:val="22"/>
          <w:szCs w:val="22"/>
        </w:rPr>
        <w:t>These delays have resulted in opportunity costs, particularly in unrealised emissions reductions, but they reflect the complexity of implementing jurisdictional-scale interventions</w:t>
      </w:r>
      <w:r w:rsidRPr="334BBF58" w:rsidR="1505D98D">
        <w:rPr>
          <w:rFonts w:cs="Arial"/>
          <w:sz w:val="22"/>
          <w:szCs w:val="22"/>
        </w:rPr>
        <w:t xml:space="preserve">. Such delays are indicative of systemic inefficiencies that have undermined the credibility and momentum of the programme, with tangible consequences for climate impact and partner trust. </w:t>
      </w:r>
      <w:r w:rsidRPr="334BBF58" w:rsidR="010D9103">
        <w:rPr>
          <w:rFonts w:cs="Arial"/>
          <w:sz w:val="22"/>
          <w:szCs w:val="22"/>
        </w:rPr>
        <w:t xml:space="preserve">To ensure efficiency, the next review period </w:t>
      </w:r>
      <w:r w:rsidRPr="334BBF58" w:rsidR="27CD7902">
        <w:rPr>
          <w:rFonts w:cs="Arial"/>
          <w:i w:val="1"/>
          <w:iCs w:val="1"/>
          <w:sz w:val="22"/>
          <w:szCs w:val="22"/>
        </w:rPr>
        <w:t xml:space="preserve">must </w:t>
      </w:r>
      <w:r w:rsidRPr="334BBF58" w:rsidR="010D9103">
        <w:rPr>
          <w:rFonts w:cs="Arial"/>
          <w:sz w:val="22"/>
          <w:szCs w:val="22"/>
        </w:rPr>
        <w:t>focus on delivering all ERPA signatures</w:t>
      </w:r>
      <w:r w:rsidRPr="334BBF58" w:rsidR="50EDC03E">
        <w:rPr>
          <w:rFonts w:cs="Arial"/>
          <w:sz w:val="22"/>
          <w:szCs w:val="22"/>
        </w:rPr>
        <w:t xml:space="preserve">; failure to do so may </w:t>
      </w:r>
      <w:r w:rsidRPr="334BBF58" w:rsidR="50EDC03E">
        <w:rPr>
          <w:rFonts w:cs="Arial"/>
          <w:sz w:val="22"/>
          <w:szCs w:val="22"/>
        </w:rPr>
        <w:t>warrant</w:t>
      </w:r>
      <w:r w:rsidRPr="334BBF58" w:rsidR="50EDC03E">
        <w:rPr>
          <w:rFonts w:cs="Arial"/>
          <w:sz w:val="22"/>
          <w:szCs w:val="22"/>
        </w:rPr>
        <w:t xml:space="preserve"> further scrutiny of the programme, and a downgraded output score </w:t>
      </w:r>
      <w:r w:rsidRPr="334BBF58" w:rsidR="010D9103">
        <w:rPr>
          <w:rFonts w:cs="Arial"/>
          <w:sz w:val="22"/>
          <w:szCs w:val="22"/>
        </w:rPr>
        <w:t>(</w:t>
      </w:r>
      <w:r w:rsidRPr="334BBF58" w:rsidR="010D9103">
        <w:rPr>
          <w:rFonts w:cs="Arial"/>
          <w:b w:val="1"/>
          <w:bCs w:val="1"/>
          <w:sz w:val="22"/>
          <w:szCs w:val="22"/>
        </w:rPr>
        <w:t>Recommendatio</w:t>
      </w:r>
      <w:r w:rsidRPr="334BBF58" w:rsidR="010D9103">
        <w:rPr>
          <w:rFonts w:cs="Arial"/>
          <w:b w:val="1"/>
          <w:bCs w:val="1"/>
          <w:sz w:val="22"/>
          <w:szCs w:val="22"/>
        </w:rPr>
        <w:t xml:space="preserve">n </w:t>
      </w:r>
      <w:r w:rsidRPr="334BBF58" w:rsidR="010D9103">
        <w:rPr>
          <w:rFonts w:cs="Arial"/>
          <w:b w:val="1"/>
          <w:bCs w:val="1"/>
          <w:sz w:val="22"/>
          <w:szCs w:val="22"/>
        </w:rPr>
        <w:t>[</w:t>
      </w:r>
      <w:r w:rsidRPr="334BBF58" w:rsidR="5E0E304B">
        <w:rPr>
          <w:rFonts w:cs="Arial"/>
          <w:b w:val="1"/>
          <w:bCs w:val="1"/>
          <w:sz w:val="22"/>
          <w:szCs w:val="22"/>
        </w:rPr>
        <w:t>8</w:t>
      </w:r>
      <w:r w:rsidRPr="334BBF58" w:rsidR="010D9103">
        <w:rPr>
          <w:rFonts w:cs="Arial"/>
          <w:b w:val="1"/>
          <w:bCs w:val="1"/>
          <w:sz w:val="22"/>
          <w:szCs w:val="22"/>
        </w:rPr>
        <w:t>]</w:t>
      </w:r>
      <w:r w:rsidRPr="334BBF58" w:rsidR="010D9103">
        <w:rPr>
          <w:rFonts w:cs="Arial"/>
          <w:b w:val="1"/>
          <w:bCs w:val="1"/>
          <w:sz w:val="22"/>
          <w:szCs w:val="22"/>
        </w:rPr>
        <w:t>).</w:t>
      </w:r>
    </w:p>
    <w:p w:rsidR="38B3B81F" w:rsidP="6067E52C" w:rsidRDefault="38B3B81F" w14:paraId="60AF8A54" w14:textId="43B42223">
      <w:pPr>
        <w:jc w:val="both"/>
        <w:rPr>
          <w:rFonts w:cs="Arial"/>
          <w:b w:val="1"/>
          <w:bCs w:val="1"/>
          <w:sz w:val="22"/>
          <w:szCs w:val="22"/>
        </w:rPr>
      </w:pPr>
    </w:p>
    <w:p w:rsidR="0272749D" w:rsidP="334BBF58" w:rsidRDefault="5CC0FC4F" w14:paraId="7C9B50F9" w14:textId="463B0690">
      <w:pPr>
        <w:jc w:val="both"/>
        <w:rPr>
          <w:rFonts w:cs="Arial"/>
          <w:i w:val="1"/>
          <w:iCs w:val="1"/>
          <w:sz w:val="22"/>
          <w:szCs w:val="22"/>
        </w:rPr>
      </w:pPr>
      <w:r w:rsidRPr="334BBF58" w:rsidR="5CC0FC4F">
        <w:rPr>
          <w:rFonts w:cs="Arial"/>
          <w:sz w:val="22"/>
          <w:szCs w:val="22"/>
        </w:rPr>
        <w:t xml:space="preserve">Encouragingly, FY25 has seen sustained grant disbursements, innovative new initiatives, and progression in private sector partnerships. </w:t>
      </w:r>
      <w:r w:rsidRPr="334BBF58" w:rsidR="4266F69C">
        <w:rPr>
          <w:rFonts w:cs="Arial"/>
          <w:sz w:val="22"/>
          <w:szCs w:val="22"/>
        </w:rPr>
        <w:t xml:space="preserve">Examples of interventions include a $43m private investment in the cocoa sector catalysed through IFC’s upstream engagement, income-generating activities for women in Ethiopia, and global engagement and innovation </w:t>
      </w:r>
      <w:r w:rsidRPr="334BBF58" w:rsidR="4266F69C">
        <w:rPr>
          <w:rFonts w:cs="Arial"/>
          <w:sz w:val="22"/>
          <w:szCs w:val="22"/>
        </w:rPr>
        <w:t>by means of</w:t>
      </w:r>
      <w:r w:rsidRPr="334BBF58" w:rsidR="4266F69C">
        <w:rPr>
          <w:rFonts w:cs="Arial"/>
          <w:sz w:val="22"/>
          <w:szCs w:val="22"/>
        </w:rPr>
        <w:t xml:space="preserve"> carbon market roundtables </w:t>
      </w:r>
      <w:r w:rsidRPr="334BBF58" w:rsidR="48E9905B">
        <w:rPr>
          <w:rFonts w:cs="Arial"/>
          <w:sz w:val="22"/>
          <w:szCs w:val="22"/>
        </w:rPr>
        <w:t>and South-South knowledge exchanges.</w:t>
      </w:r>
      <w:r w:rsidRPr="334BBF58" w:rsidR="530B3A53">
        <w:rPr>
          <w:rFonts w:cs="Arial"/>
          <w:sz w:val="22"/>
          <w:szCs w:val="22"/>
        </w:rPr>
        <w:t xml:space="preserve"> </w:t>
      </w:r>
      <w:r w:rsidRPr="334BBF58" w:rsidR="785D61AC">
        <w:rPr>
          <w:rFonts w:cs="Arial"/>
          <w:sz w:val="22"/>
          <w:szCs w:val="22"/>
        </w:rPr>
        <w:t>Moreover, progress has been substantial in Output 2, with 143,785 lan</w:t>
      </w:r>
      <w:r w:rsidRPr="334BBF58" w:rsidR="1E579DE9">
        <w:rPr>
          <w:rFonts w:cs="Arial"/>
          <w:sz w:val="22"/>
          <w:szCs w:val="22"/>
        </w:rPr>
        <w:t>d users adopting sustainable management practices (36% of which are women), surpassing expectation</w:t>
      </w:r>
      <w:r w:rsidRPr="334BBF58" w:rsidR="0FDDF67B">
        <w:rPr>
          <w:rFonts w:cs="Arial"/>
          <w:sz w:val="22"/>
          <w:szCs w:val="22"/>
        </w:rPr>
        <w:t>s, and g</w:t>
      </w:r>
      <w:r w:rsidRPr="334BBF58" w:rsidR="1E579DE9">
        <w:rPr>
          <w:rFonts w:cs="Arial"/>
          <w:sz w:val="22"/>
          <w:szCs w:val="22"/>
        </w:rPr>
        <w:t>rant disbursements totall</w:t>
      </w:r>
      <w:r w:rsidRPr="334BBF58" w:rsidR="43E2C03A">
        <w:rPr>
          <w:rFonts w:cs="Arial"/>
          <w:sz w:val="22"/>
          <w:szCs w:val="22"/>
        </w:rPr>
        <w:t xml:space="preserve">ing </w:t>
      </w:r>
      <w:r w:rsidRPr="334BBF58" w:rsidR="1E579DE9">
        <w:rPr>
          <w:rFonts w:cs="Arial"/>
          <w:sz w:val="22"/>
          <w:szCs w:val="22"/>
        </w:rPr>
        <w:t>$69.3m, exceeding milestones</w:t>
      </w:r>
      <w:r w:rsidRPr="334BBF58" w:rsidR="4D2F58A0">
        <w:rPr>
          <w:rFonts w:cs="Arial"/>
          <w:sz w:val="22"/>
          <w:szCs w:val="22"/>
        </w:rPr>
        <w:t xml:space="preserve">. For Output 3.3 and 3.4 the number of engagements and partnerships </w:t>
      </w:r>
      <w:r w:rsidRPr="334BBF58" w:rsidR="4D2F58A0">
        <w:rPr>
          <w:rFonts w:cs="Arial"/>
          <w:sz w:val="22"/>
          <w:szCs w:val="22"/>
        </w:rPr>
        <w:t>established</w:t>
      </w:r>
      <w:r w:rsidRPr="334BBF58" w:rsidR="4D2F58A0">
        <w:rPr>
          <w:rFonts w:cs="Arial"/>
          <w:sz w:val="22"/>
          <w:szCs w:val="22"/>
        </w:rPr>
        <w:t xml:space="preserve"> with for-profit and not-for-profit organisations also surpassed expectation. </w:t>
      </w:r>
      <w:r w:rsidRPr="334BBF58" w:rsidR="48E9905B">
        <w:rPr>
          <w:rFonts w:cs="Arial"/>
          <w:sz w:val="22"/>
          <w:szCs w:val="22"/>
        </w:rPr>
        <w:t xml:space="preserve">Together, these interventions </w:t>
      </w:r>
      <w:r w:rsidRPr="334BBF58" w:rsidR="48E9905B">
        <w:rPr>
          <w:rFonts w:cs="Arial"/>
          <w:sz w:val="22"/>
          <w:szCs w:val="22"/>
        </w:rPr>
        <w:t>demonstrate</w:t>
      </w:r>
      <w:r w:rsidRPr="334BBF58" w:rsidR="48E9905B">
        <w:rPr>
          <w:rFonts w:cs="Arial"/>
          <w:sz w:val="22"/>
          <w:szCs w:val="22"/>
        </w:rPr>
        <w:t xml:space="preserve"> a commitment to maximising programme outputs. </w:t>
      </w:r>
    </w:p>
    <w:p w:rsidR="7CFE1082" w:rsidP="6067E52C" w:rsidRDefault="7CFE1082" w14:paraId="67F1916E" w14:textId="6FF39CAD">
      <w:pPr>
        <w:jc w:val="both"/>
        <w:rPr>
          <w:rFonts w:cs="Arial"/>
          <w:sz w:val="22"/>
          <w:szCs w:val="22"/>
        </w:rPr>
      </w:pPr>
    </w:p>
    <w:p w:rsidR="1BC29A30" w:rsidP="6067E52C" w:rsidRDefault="1BC29A30" w14:paraId="0CF13361" w14:textId="67E0B526">
      <w:pPr>
        <w:jc w:val="both"/>
        <w:rPr>
          <w:rFonts w:cs="Arial"/>
          <w:sz w:val="22"/>
          <w:szCs w:val="22"/>
        </w:rPr>
      </w:pPr>
      <w:r w:rsidRPr="2656C216" w:rsidR="1BC29A30">
        <w:rPr>
          <w:rFonts w:cs="Arial"/>
          <w:sz w:val="22"/>
          <w:szCs w:val="22"/>
        </w:rPr>
        <w:t xml:space="preserve">However, Output 1.1 (total land area under sustainable landscape management plans and practices) and Output 3.1 (number of people in private sector schemes adopting sustainable practices) have fallen significantly short of expectations. For Output 1.1, this is primarily due to </w:t>
      </w:r>
      <w:r w:rsidRPr="2656C216" w:rsidR="00754AE5">
        <w:rPr>
          <w:rFonts w:cs="Arial"/>
          <w:sz w:val="22"/>
          <w:szCs w:val="22"/>
        </w:rPr>
        <w:t>a regression in</w:t>
      </w:r>
      <w:r w:rsidRPr="2656C216" w:rsidR="1BC29A30">
        <w:rPr>
          <w:rFonts w:cs="Arial"/>
          <w:sz w:val="22"/>
          <w:szCs w:val="22"/>
        </w:rPr>
        <w:t xml:space="preserve"> progress in </w:t>
      </w:r>
      <w:r w:rsidRPr="2656C216" w:rsidR="00754AE5">
        <w:rPr>
          <w:rFonts w:cs="Arial"/>
          <w:sz w:val="22"/>
          <w:szCs w:val="22"/>
        </w:rPr>
        <w:t>Indonesia.</w:t>
      </w:r>
      <w:r w:rsidRPr="2656C216" w:rsidR="1BC29A30">
        <w:rPr>
          <w:rFonts w:cs="Arial"/>
          <w:sz w:val="22"/>
          <w:szCs w:val="22"/>
        </w:rPr>
        <w:t xml:space="preserve"> For Output 3.1, the shortfall reflects the discontinuation of private sector strategies in Mexico and Indonesia, highlighting persistent challenges in private sector engagement. It is essential that the World Bank and the UK closely </w:t>
      </w:r>
      <w:r w:rsidRPr="2656C216" w:rsidR="1BC29A30">
        <w:rPr>
          <w:rFonts w:cs="Arial"/>
          <w:sz w:val="22"/>
          <w:szCs w:val="22"/>
        </w:rPr>
        <w:t>monitor</w:t>
      </w:r>
      <w:r w:rsidRPr="2656C216" w:rsidR="1BC29A30">
        <w:rPr>
          <w:rFonts w:cs="Arial"/>
          <w:sz w:val="22"/>
          <w:szCs w:val="22"/>
        </w:rPr>
        <w:t xml:space="preserve"> these milestones during the next reporting period to ensure corrective action is taken where necessary</w:t>
      </w:r>
      <w:r w:rsidRPr="2656C216" w:rsidR="3763335A">
        <w:rPr>
          <w:rFonts w:cs="Arial"/>
          <w:sz w:val="22"/>
          <w:szCs w:val="22"/>
        </w:rPr>
        <w:t>, including through an adaptive management approach.</w:t>
      </w:r>
    </w:p>
    <w:p w:rsidR="3D9091B1" w:rsidP="6067E52C" w:rsidRDefault="3D9091B1" w14:paraId="69DC3954" w14:textId="5F41AC7F">
      <w:pPr>
        <w:jc w:val="both"/>
        <w:rPr>
          <w:rFonts w:cs="Arial"/>
          <w:b w:val="1"/>
          <w:bCs w:val="1"/>
          <w:sz w:val="22"/>
          <w:szCs w:val="22"/>
        </w:rPr>
      </w:pPr>
    </w:p>
    <w:p w:rsidR="444915A3" w:rsidP="334BBF58" w:rsidRDefault="444915A3" w14:paraId="515C4F96" w14:textId="2EAEBEA7">
      <w:pPr>
        <w:jc w:val="both"/>
        <w:rPr>
          <w:rFonts w:cs="Arial"/>
          <w:i w:val="1"/>
          <w:iCs w:val="1"/>
          <w:sz w:val="22"/>
          <w:szCs w:val="22"/>
        </w:rPr>
      </w:pPr>
      <w:r w:rsidRPr="334BBF58" w:rsidR="750FFA2F">
        <w:rPr>
          <w:rFonts w:cs="Arial"/>
          <w:sz w:val="22"/>
          <w:szCs w:val="22"/>
        </w:rPr>
        <w:t xml:space="preserve">Despite some uneven progress, the ISFL aligns with its theory of change. Delays in ERPA signings </w:t>
      </w:r>
      <w:r w:rsidRPr="334BBF58" w:rsidR="750FFA2F">
        <w:rPr>
          <w:rFonts w:cs="Arial"/>
          <w:sz w:val="22"/>
          <w:szCs w:val="22"/>
        </w:rPr>
        <w:t>remain</w:t>
      </w:r>
      <w:r w:rsidRPr="334BBF58" w:rsidR="750FFA2F">
        <w:rPr>
          <w:rFonts w:cs="Arial"/>
          <w:sz w:val="22"/>
          <w:szCs w:val="22"/>
        </w:rPr>
        <w:t xml:space="preserve"> a </w:t>
      </w:r>
      <w:r w:rsidRPr="334BBF58" w:rsidR="5BDFE7F7">
        <w:rPr>
          <w:rFonts w:cs="Arial"/>
          <w:sz w:val="22"/>
          <w:szCs w:val="22"/>
        </w:rPr>
        <w:t xml:space="preserve">critical </w:t>
      </w:r>
      <w:r w:rsidRPr="334BBF58" w:rsidR="750FFA2F">
        <w:rPr>
          <w:rFonts w:cs="Arial"/>
          <w:sz w:val="22"/>
          <w:szCs w:val="22"/>
        </w:rPr>
        <w:t>limiting factor</w:t>
      </w:r>
      <w:r w:rsidRPr="334BBF58" w:rsidR="1FC8DE10">
        <w:rPr>
          <w:rFonts w:cs="Arial"/>
          <w:sz w:val="22"/>
          <w:szCs w:val="22"/>
        </w:rPr>
        <w:t>.</w:t>
      </w:r>
      <w:r w:rsidRPr="334BBF58" w:rsidR="24DD4466">
        <w:rPr>
          <w:rFonts w:cs="Arial"/>
          <w:sz w:val="22"/>
          <w:szCs w:val="22"/>
        </w:rPr>
        <w:t xml:space="preserve"> T</w:t>
      </w:r>
      <w:r w:rsidRPr="334BBF58" w:rsidR="750FFA2F">
        <w:rPr>
          <w:rFonts w:cs="Arial"/>
          <w:sz w:val="22"/>
          <w:szCs w:val="22"/>
        </w:rPr>
        <w:t>he groundwork laid in FY2</w:t>
      </w:r>
      <w:r w:rsidRPr="334BBF58" w:rsidR="76985475">
        <w:rPr>
          <w:rFonts w:cs="Arial"/>
          <w:sz w:val="22"/>
          <w:szCs w:val="22"/>
        </w:rPr>
        <w:t>5</w:t>
      </w:r>
      <w:r w:rsidRPr="334BBF58" w:rsidR="750FFA2F">
        <w:rPr>
          <w:rFonts w:cs="Arial"/>
          <w:sz w:val="22"/>
          <w:szCs w:val="22"/>
        </w:rPr>
        <w:t xml:space="preserve"> provides</w:t>
      </w:r>
      <w:r w:rsidRPr="334BBF58" w:rsidR="767744C1">
        <w:rPr>
          <w:rFonts w:cs="Arial"/>
          <w:sz w:val="22"/>
          <w:szCs w:val="22"/>
        </w:rPr>
        <w:t xml:space="preserve"> some</w:t>
      </w:r>
      <w:r w:rsidRPr="334BBF58" w:rsidR="750FFA2F">
        <w:rPr>
          <w:rFonts w:cs="Arial"/>
          <w:sz w:val="22"/>
          <w:szCs w:val="22"/>
        </w:rPr>
        <w:t xml:space="preserve"> </w:t>
      </w:r>
      <w:r w:rsidRPr="334BBF58" w:rsidR="750FFA2F">
        <w:rPr>
          <w:rFonts w:cs="Arial"/>
          <w:sz w:val="22"/>
          <w:szCs w:val="22"/>
        </w:rPr>
        <w:t>optimism for future achievements</w:t>
      </w:r>
      <w:r w:rsidRPr="334BBF58" w:rsidR="11752F50">
        <w:rPr>
          <w:rFonts w:cs="Arial"/>
          <w:sz w:val="22"/>
          <w:szCs w:val="22"/>
        </w:rPr>
        <w:t>, but it must translate into tangible delivery</w:t>
      </w:r>
      <w:r w:rsidRPr="334BBF58" w:rsidR="750FFA2F">
        <w:rPr>
          <w:rFonts w:cs="Arial"/>
          <w:sz w:val="22"/>
          <w:szCs w:val="22"/>
        </w:rPr>
        <w:t>.</w:t>
      </w:r>
      <w:r w:rsidRPr="334BBF58" w:rsidR="45C86C2A">
        <w:rPr>
          <w:rFonts w:cs="Arial"/>
          <w:sz w:val="22"/>
          <w:szCs w:val="22"/>
        </w:rPr>
        <w:t xml:space="preserve"> </w:t>
      </w:r>
      <w:r w:rsidRPr="334BBF58" w:rsidR="41ADAB68">
        <w:rPr>
          <w:rFonts w:cs="Arial"/>
          <w:sz w:val="22"/>
          <w:szCs w:val="22"/>
        </w:rPr>
        <w:t xml:space="preserve">The programme is already behind its own stated timeline from the last Annual Review, which projected ERPA signings by FY25. If all remaining ERPAs are not signed in FY26, ISFL will no longer be on track to deliver transformative results by 2030. This recommendation must be met; further delays would signal a failure to deliver on core programme </w:t>
      </w:r>
      <w:r w:rsidRPr="334BBF58" w:rsidR="41ADAB68">
        <w:rPr>
          <w:rFonts w:cs="Arial"/>
          <w:sz w:val="22"/>
          <w:szCs w:val="22"/>
        </w:rPr>
        <w:t>objectives</w:t>
      </w:r>
      <w:r w:rsidRPr="334BBF58" w:rsidR="41ADAB68">
        <w:rPr>
          <w:rFonts w:cs="Arial"/>
          <w:sz w:val="22"/>
          <w:szCs w:val="22"/>
        </w:rPr>
        <w:t xml:space="preserve">. </w:t>
      </w:r>
      <w:r w:rsidRPr="334BBF58" w:rsidR="45C86C2A">
        <w:rPr>
          <w:rFonts w:cs="Arial"/>
          <w:sz w:val="22"/>
          <w:szCs w:val="22"/>
        </w:rPr>
        <w:t xml:space="preserve">On the condition that all remaining ERPAs are signed in FY26, ISFL </w:t>
      </w:r>
      <w:r w:rsidRPr="334BBF58" w:rsidR="485EAB90">
        <w:rPr>
          <w:rFonts w:cs="Arial"/>
          <w:sz w:val="22"/>
          <w:szCs w:val="22"/>
        </w:rPr>
        <w:t>would</w:t>
      </w:r>
      <w:r w:rsidRPr="334BBF58" w:rsidR="494F2775">
        <w:rPr>
          <w:rFonts w:cs="Arial"/>
          <w:sz w:val="22"/>
          <w:szCs w:val="22"/>
        </w:rPr>
        <w:t xml:space="preserve"> </w:t>
      </w:r>
      <w:r w:rsidRPr="334BBF58" w:rsidR="45C86C2A">
        <w:rPr>
          <w:rFonts w:cs="Arial"/>
          <w:sz w:val="22"/>
          <w:szCs w:val="22"/>
        </w:rPr>
        <w:t>remain</w:t>
      </w:r>
      <w:r w:rsidRPr="334BBF58" w:rsidR="407C42A1">
        <w:rPr>
          <w:rFonts w:cs="Arial"/>
          <w:sz w:val="22"/>
          <w:szCs w:val="22"/>
        </w:rPr>
        <w:t xml:space="preserve"> </w:t>
      </w:r>
      <w:r w:rsidRPr="334BBF58" w:rsidR="45C86C2A">
        <w:rPr>
          <w:rFonts w:cs="Arial"/>
          <w:sz w:val="22"/>
          <w:szCs w:val="22"/>
        </w:rPr>
        <w:t>on track to deliver transformative results by 2030.</w:t>
      </w:r>
    </w:p>
    <w:p w:rsidR="1BB50D69" w:rsidP="6067E52C" w:rsidRDefault="1BB50D69" w14:paraId="47F31ADC" w14:textId="5E226B44">
      <w:pPr>
        <w:jc w:val="both"/>
        <w:rPr>
          <w:rFonts w:cs="Arial"/>
          <w:sz w:val="22"/>
          <w:szCs w:val="22"/>
        </w:rPr>
      </w:pPr>
    </w:p>
    <w:p w:rsidR="76BA2237" w:rsidP="6067E52C" w:rsidRDefault="76BA2237" w14:paraId="7A365C34" w14:textId="5B845379">
      <w:pPr>
        <w:jc w:val="both"/>
        <w:rPr>
          <w:rFonts w:cs="Arial"/>
          <w:sz w:val="22"/>
          <w:szCs w:val="22"/>
        </w:rPr>
      </w:pPr>
    </w:p>
    <w:p w:rsidR="09838C22" w:rsidP="6067E52C" w:rsidRDefault="09838C22" w14:paraId="3A29FC2E" w14:textId="0B15D56D">
      <w:pPr>
        <w:jc w:val="both"/>
        <w:rPr>
          <w:rFonts w:cs="Arial"/>
          <w:sz w:val="22"/>
          <w:szCs w:val="22"/>
          <w:u w:val="single"/>
        </w:rPr>
      </w:pPr>
      <w:r w:rsidRPr="2656C216" w:rsidR="09838C22">
        <w:rPr>
          <w:rFonts w:cs="Arial"/>
          <w:sz w:val="22"/>
          <w:szCs w:val="22"/>
          <w:u w:val="single"/>
        </w:rPr>
        <w:t>Effectiveness and Cost-Effectiveness</w:t>
      </w:r>
    </w:p>
    <w:p w:rsidR="4D3353F4" w:rsidP="6067E52C" w:rsidRDefault="4D3353F4" w14:paraId="731638F4" w14:textId="25EE329E">
      <w:pPr>
        <w:jc w:val="both"/>
        <w:rPr>
          <w:rFonts w:cs="Arial"/>
          <w:sz w:val="22"/>
          <w:szCs w:val="22"/>
        </w:rPr>
      </w:pPr>
    </w:p>
    <w:p w:rsidR="4A641906" w:rsidP="6067E52C" w:rsidRDefault="4D82F281" w14:paraId="4BB1AB5E" w14:textId="4C417522">
      <w:pPr>
        <w:jc w:val="both"/>
        <w:rPr>
          <w:rFonts w:cs="Arial"/>
          <w:sz w:val="22"/>
          <w:szCs w:val="22"/>
        </w:rPr>
      </w:pPr>
      <w:r w:rsidRPr="334BBF58" w:rsidR="4D82F281">
        <w:rPr>
          <w:rFonts w:cs="Arial"/>
          <w:sz w:val="22"/>
          <w:szCs w:val="22"/>
        </w:rPr>
        <w:t xml:space="preserve">Effectiveness </w:t>
      </w:r>
      <w:r w:rsidRPr="334BBF58" w:rsidR="4EECDEA0">
        <w:rPr>
          <w:rFonts w:cs="Arial"/>
          <w:sz w:val="22"/>
          <w:szCs w:val="22"/>
        </w:rPr>
        <w:t>reflects the programme’s ability to translate outputs into meaningful outcomes, and to achieve impact proportionate to the resources invested.</w:t>
      </w:r>
      <w:r w:rsidRPr="334BBF58" w:rsidR="48AAF2B4">
        <w:rPr>
          <w:rFonts w:cs="Arial"/>
          <w:sz w:val="22"/>
          <w:szCs w:val="22"/>
        </w:rPr>
        <w:t xml:space="preserve"> The programme is performing </w:t>
      </w:r>
      <w:r w:rsidRPr="334BBF58" w:rsidR="625AF057">
        <w:rPr>
          <w:rFonts w:cs="Arial"/>
          <w:sz w:val="22"/>
          <w:szCs w:val="22"/>
        </w:rPr>
        <w:t xml:space="preserve">moderately </w:t>
      </w:r>
      <w:r w:rsidRPr="334BBF58" w:rsidR="48AAF2B4">
        <w:rPr>
          <w:rFonts w:cs="Arial"/>
          <w:sz w:val="22"/>
          <w:szCs w:val="22"/>
        </w:rPr>
        <w:t xml:space="preserve">well against most expectations, and it is </w:t>
      </w:r>
      <w:r w:rsidRPr="334BBF58" w:rsidR="48AAF2B4">
        <w:rPr>
          <w:rFonts w:cs="Arial"/>
          <w:sz w:val="22"/>
          <w:szCs w:val="22"/>
        </w:rPr>
        <w:t>anticipated</w:t>
      </w:r>
      <w:r w:rsidRPr="334BBF58" w:rsidR="48AAF2B4">
        <w:rPr>
          <w:rFonts w:cs="Arial"/>
          <w:sz w:val="22"/>
          <w:szCs w:val="22"/>
        </w:rPr>
        <w:t xml:space="preserve"> to mostly achieve its intended outcomes over the course of its implementation</w:t>
      </w:r>
      <w:r w:rsidRPr="334BBF58" w:rsidR="4A1DB8F2">
        <w:rPr>
          <w:rFonts w:cs="Arial"/>
          <w:sz w:val="22"/>
          <w:szCs w:val="22"/>
        </w:rPr>
        <w:t xml:space="preserve">. However, some </w:t>
      </w:r>
      <w:r w:rsidRPr="334BBF58" w:rsidR="48AAF2B4">
        <w:rPr>
          <w:rFonts w:cs="Arial"/>
          <w:sz w:val="22"/>
          <w:szCs w:val="22"/>
        </w:rPr>
        <w:t xml:space="preserve">indicators </w:t>
      </w:r>
      <w:r w:rsidRPr="334BBF58" w:rsidR="570B6F3D">
        <w:rPr>
          <w:rFonts w:cs="Arial"/>
          <w:sz w:val="22"/>
          <w:szCs w:val="22"/>
        </w:rPr>
        <w:t xml:space="preserve">are </w:t>
      </w:r>
      <w:r w:rsidRPr="334BBF58" w:rsidR="48AAF2B4">
        <w:rPr>
          <w:rFonts w:cs="Arial"/>
          <w:sz w:val="22"/>
          <w:szCs w:val="22"/>
        </w:rPr>
        <w:t>falling moderately below trajectory</w:t>
      </w:r>
      <w:r w:rsidRPr="334BBF58" w:rsidR="48AAF2B4">
        <w:rPr>
          <w:rFonts w:cs="Arial"/>
          <w:sz w:val="22"/>
          <w:szCs w:val="22"/>
        </w:rPr>
        <w:t>.</w:t>
      </w:r>
      <w:r w:rsidRPr="334BBF58" w:rsidR="36601B27">
        <w:rPr>
          <w:rFonts w:cs="Arial"/>
          <w:sz w:val="22"/>
          <w:szCs w:val="22"/>
        </w:rPr>
        <w:t xml:space="preserve"> Of the three</w:t>
      </w:r>
      <w:r w:rsidRPr="334BBF58" w:rsidR="589818F1">
        <w:rPr>
          <w:rFonts w:cs="Arial"/>
          <w:sz w:val="22"/>
          <w:szCs w:val="22"/>
        </w:rPr>
        <w:t xml:space="preserve"> Outcomes currently being reported against, </w:t>
      </w:r>
      <w:r w:rsidRPr="334BBF58" w:rsidR="59159766">
        <w:rPr>
          <w:rFonts w:cs="Arial"/>
          <w:sz w:val="22"/>
          <w:szCs w:val="22"/>
        </w:rPr>
        <w:t xml:space="preserve">one sub-indicator </w:t>
      </w:r>
      <w:r w:rsidRPr="334BBF58" w:rsidR="20265043">
        <w:rPr>
          <w:rFonts w:cs="Arial"/>
          <w:sz w:val="22"/>
          <w:szCs w:val="22"/>
        </w:rPr>
        <w:t xml:space="preserve">(O.I. 1.3a) </w:t>
      </w:r>
      <w:r w:rsidRPr="334BBF58" w:rsidR="59159766">
        <w:rPr>
          <w:rFonts w:cs="Arial"/>
          <w:sz w:val="22"/>
          <w:szCs w:val="22"/>
        </w:rPr>
        <w:t xml:space="preserve">is currently falling short of its FY25 milestone. Whilst Outcome Indicator 1.1 is also falling short of its milestone, this only reflects delays in third-party verification of </w:t>
      </w:r>
      <w:r w:rsidRPr="334BBF58" w:rsidR="3C4A74CD">
        <w:rPr>
          <w:rFonts w:cs="Arial"/>
          <w:sz w:val="22"/>
          <w:szCs w:val="22"/>
        </w:rPr>
        <w:t>ERs</w:t>
      </w:r>
      <w:r w:rsidRPr="334BBF58" w:rsidR="3051CEFD">
        <w:rPr>
          <w:rFonts w:cs="Arial"/>
          <w:sz w:val="22"/>
          <w:szCs w:val="22"/>
        </w:rPr>
        <w:t xml:space="preserve">. </w:t>
      </w:r>
      <w:r w:rsidRPr="334BBF58" w:rsidR="08632D03">
        <w:rPr>
          <w:rFonts w:cs="Arial"/>
          <w:sz w:val="22"/>
          <w:szCs w:val="22"/>
        </w:rPr>
        <w:t xml:space="preserve">Given the ERPA signature delays to the programme, these gaps are </w:t>
      </w:r>
      <w:r w:rsidRPr="334BBF58" w:rsidR="08632D03">
        <w:rPr>
          <w:rFonts w:cs="Arial"/>
          <w:sz w:val="22"/>
          <w:szCs w:val="22"/>
        </w:rPr>
        <w:t xml:space="preserve">not </w:t>
      </w:r>
      <w:r w:rsidRPr="334BBF58" w:rsidR="08632D03">
        <w:rPr>
          <w:rFonts w:cs="Arial"/>
          <w:sz w:val="22"/>
          <w:szCs w:val="22"/>
        </w:rPr>
        <w:t>unexpecte</w:t>
      </w:r>
      <w:r w:rsidRPr="334BBF58" w:rsidR="21FE5A83">
        <w:rPr>
          <w:rFonts w:cs="Arial"/>
          <w:sz w:val="22"/>
          <w:szCs w:val="22"/>
        </w:rPr>
        <w:t>d</w:t>
      </w:r>
      <w:r w:rsidRPr="334BBF58" w:rsidR="08632D03">
        <w:rPr>
          <w:rFonts w:cs="Arial"/>
          <w:sz w:val="22"/>
          <w:szCs w:val="22"/>
        </w:rPr>
        <w:t xml:space="preserve"> but</w:t>
      </w:r>
      <w:r w:rsidRPr="334BBF58" w:rsidR="08632D03">
        <w:rPr>
          <w:rFonts w:cs="Arial"/>
          <w:sz w:val="22"/>
          <w:szCs w:val="22"/>
        </w:rPr>
        <w:t xml:space="preserve"> will be closely </w:t>
      </w:r>
      <w:r w:rsidRPr="334BBF58" w:rsidR="08632D03">
        <w:rPr>
          <w:rFonts w:cs="Arial"/>
          <w:sz w:val="22"/>
          <w:szCs w:val="22"/>
        </w:rPr>
        <w:t>monitored</w:t>
      </w:r>
      <w:r w:rsidRPr="334BBF58" w:rsidR="08632D03">
        <w:rPr>
          <w:rFonts w:cs="Arial"/>
          <w:sz w:val="22"/>
          <w:szCs w:val="22"/>
        </w:rPr>
        <w:t xml:space="preserve"> during the next</w:t>
      </w:r>
      <w:r w:rsidRPr="334BBF58" w:rsidR="53641E4E">
        <w:rPr>
          <w:rFonts w:cs="Arial"/>
          <w:sz w:val="22"/>
          <w:szCs w:val="22"/>
        </w:rPr>
        <w:t xml:space="preserve"> review period. </w:t>
      </w:r>
    </w:p>
    <w:p w:rsidR="4A641906" w:rsidP="6067E52C" w:rsidRDefault="4A641906" w14:paraId="689822FC" w14:textId="073914AE">
      <w:pPr>
        <w:jc w:val="both"/>
        <w:rPr>
          <w:rFonts w:cs="Arial"/>
          <w:sz w:val="22"/>
          <w:szCs w:val="22"/>
        </w:rPr>
      </w:pPr>
    </w:p>
    <w:p w:rsidR="51F755AD" w:rsidP="6067E52C" w:rsidRDefault="4A641906" w14:paraId="34D12E25" w14:textId="6C15D5FD">
      <w:pPr>
        <w:jc w:val="both"/>
        <w:rPr>
          <w:rFonts w:cs="Arial"/>
          <w:sz w:val="22"/>
          <w:szCs w:val="22"/>
        </w:rPr>
      </w:pPr>
      <w:r w:rsidRPr="2656C216" w:rsidR="7622A632">
        <w:rPr>
          <w:rFonts w:cs="Arial"/>
          <w:sz w:val="22"/>
          <w:szCs w:val="22"/>
        </w:rPr>
        <w:t xml:space="preserve">Based on the programme’s overall performance, we are </w:t>
      </w:r>
      <w:r w:rsidRPr="2656C216" w:rsidR="7622A632">
        <w:rPr>
          <w:rFonts w:cs="Arial"/>
          <w:sz w:val="22"/>
          <w:szCs w:val="22"/>
        </w:rPr>
        <w:t>reasonably confident</w:t>
      </w:r>
      <w:r w:rsidRPr="2656C216" w:rsidR="7622A632">
        <w:rPr>
          <w:rFonts w:cs="Arial"/>
          <w:sz w:val="22"/>
          <w:szCs w:val="22"/>
        </w:rPr>
        <w:t xml:space="preserve"> that the abatement cost </w:t>
      </w:r>
      <w:r w:rsidRPr="2656C216" w:rsidR="7622A632">
        <w:rPr>
          <w:rFonts w:cs="Arial"/>
          <w:sz w:val="22"/>
          <w:szCs w:val="22"/>
        </w:rPr>
        <w:t>remains</w:t>
      </w:r>
      <w:r w:rsidRPr="2656C216" w:rsidR="7622A632">
        <w:rPr>
          <w:rFonts w:cs="Arial"/>
          <w:sz w:val="22"/>
          <w:szCs w:val="22"/>
        </w:rPr>
        <w:t xml:space="preserve"> within acceptable </w:t>
      </w:r>
      <w:r w:rsidRPr="2656C216" w:rsidR="4828A3BE">
        <w:rPr>
          <w:rFonts w:cs="Arial"/>
          <w:sz w:val="22"/>
          <w:szCs w:val="22"/>
        </w:rPr>
        <w:t>VfM</w:t>
      </w:r>
      <w:r w:rsidRPr="2656C216" w:rsidR="7622A632">
        <w:rPr>
          <w:rFonts w:cs="Arial"/>
          <w:sz w:val="22"/>
          <w:szCs w:val="22"/>
        </w:rPr>
        <w:t xml:space="preserve"> ranges and is </w:t>
      </w:r>
      <w:r w:rsidRPr="2656C216" w:rsidR="316DFB64">
        <w:rPr>
          <w:rFonts w:cs="Arial"/>
          <w:sz w:val="22"/>
          <w:szCs w:val="22"/>
        </w:rPr>
        <w:t>estimated to be</w:t>
      </w:r>
      <w:r w:rsidRPr="2656C216" w:rsidR="7622A632">
        <w:rPr>
          <w:rFonts w:cs="Arial"/>
          <w:sz w:val="22"/>
          <w:szCs w:val="22"/>
        </w:rPr>
        <w:t xml:space="preserve"> </w:t>
      </w:r>
      <w:r w:rsidRPr="2656C216" w:rsidR="74F9B744">
        <w:rPr>
          <w:rFonts w:cs="Arial"/>
          <w:sz w:val="22"/>
          <w:szCs w:val="22"/>
        </w:rPr>
        <w:t xml:space="preserve">$16</w:t>
      </w:r>
      <w:r w:rsidRPr="2656C216" w:rsidR="7622A632">
        <w:rPr>
          <w:rFonts w:cs="Arial"/>
          <w:sz w:val="22"/>
          <w:szCs w:val="22"/>
        </w:rPr>
        <w:t xml:space="preserve"> </w:t>
      </w:r>
      <w:r w:rsidRPr="2656C216" w:rsidR="7622A632">
        <w:rPr>
          <w:rFonts w:cs="Arial"/>
          <w:sz w:val="22"/>
          <w:szCs w:val="22"/>
        </w:rPr>
        <w:t>per tonne of CO2e</w:t>
      </w:r>
      <w:r w:rsidRPr="6067E52C">
        <w:rPr>
          <w:rStyle w:val="FootnoteReference"/>
          <w:rFonts w:cs="Arial"/>
          <w:sz w:val="22"/>
          <w:szCs w:val="22"/>
        </w:rPr>
        <w:footnoteReference w:id="19521"/>
      </w:r>
      <w:r w:rsidRPr="2656C216" w:rsidR="7DE2E738">
        <w:rPr>
          <w:rFonts w:cs="Arial"/>
          <w:sz w:val="22"/>
          <w:szCs w:val="22"/>
        </w:rPr>
        <w:t xml:space="preserve"> (Outcome 1.1)</w:t>
      </w:r>
      <w:r w:rsidRPr="2656C216" w:rsidR="30B018DF">
        <w:rPr>
          <w:rFonts w:cs="Arial"/>
          <w:sz w:val="22"/>
          <w:szCs w:val="22"/>
        </w:rPr>
        <w:t>.</w:t>
      </w:r>
      <w:r w:rsidRPr="2656C216" w:rsidR="36885866">
        <w:rPr>
          <w:rFonts w:cs="Arial"/>
          <w:sz w:val="22"/>
          <w:szCs w:val="22"/>
        </w:rPr>
        <w:t xml:space="preserve"> </w:t>
      </w:r>
      <w:r w:rsidRPr="2656C216" w:rsidR="107E7BE8">
        <w:rPr>
          <w:rFonts w:cs="Arial"/>
          <w:sz w:val="22"/>
          <w:szCs w:val="22"/>
        </w:rPr>
        <w:t xml:space="preserve">The total co-finance ratio is further estimated to be 0</w:t>
      </w:r>
      <w:r w:rsidRPr="2656C216" w:rsidR="107E7BE8">
        <w:rPr>
          <w:rFonts w:cs="Arial"/>
          <w:sz w:val="22"/>
          <w:szCs w:val="22"/>
        </w:rPr>
        <w:t xml:space="preserve">.61</w:t>
      </w:r>
      <w:r w:rsidRPr="6067E52C">
        <w:rPr>
          <w:rStyle w:val="FootnoteReference"/>
          <w:rFonts w:cs="Arial"/>
          <w:sz w:val="22"/>
          <w:szCs w:val="22"/>
        </w:rPr>
        <w:footnoteReference w:id="6607"/>
      </w:r>
      <w:r w:rsidRPr="2656C216" w:rsidR="107E7BE8">
        <w:rPr>
          <w:rFonts w:cs="Arial"/>
          <w:sz w:val="22"/>
          <w:szCs w:val="22"/>
        </w:rPr>
        <w:t xml:space="preserve">,</w:t>
      </w:r>
      <w:r w:rsidRPr="2656C216" w:rsidR="107E7BE8">
        <w:rPr>
          <w:rFonts w:cs="Arial"/>
          <w:sz w:val="22"/>
          <w:szCs w:val="22"/>
        </w:rPr>
        <w:t xml:space="preserve"> also within an acceptable range. </w:t>
      </w:r>
      <w:r w:rsidRPr="2656C216" w:rsidR="36885866">
        <w:rPr>
          <w:rFonts w:cs="Arial"/>
          <w:sz w:val="22"/>
          <w:szCs w:val="22"/>
        </w:rPr>
        <w:t>The integration of multiple interventions, including ERs, sustainable land management, and private sector engagement, optimises resource allocation within a single jurisdictional framework</w:t>
      </w:r>
      <w:r w:rsidRPr="2656C216" w:rsidR="1E2A7963">
        <w:rPr>
          <w:rFonts w:cs="Arial"/>
          <w:sz w:val="22"/>
          <w:szCs w:val="22"/>
        </w:rPr>
        <w:t>, and aids in ISFL’s achievement of Outcome Indicators</w:t>
      </w:r>
      <w:r w:rsidRPr="2656C216" w:rsidR="36885866">
        <w:rPr>
          <w:rFonts w:cs="Arial"/>
          <w:sz w:val="22"/>
          <w:szCs w:val="22"/>
        </w:rPr>
        <w:t>.</w:t>
      </w:r>
      <w:r w:rsidRPr="2656C216" w:rsidR="5310BF99">
        <w:rPr>
          <w:rFonts w:cs="Arial"/>
          <w:sz w:val="22"/>
          <w:szCs w:val="22"/>
        </w:rPr>
        <w:t xml:space="preserve"> </w:t>
      </w:r>
      <w:r w:rsidRPr="2656C216" w:rsidR="54F37B7F">
        <w:rPr>
          <w:rFonts w:cs="Arial"/>
          <w:sz w:val="22"/>
          <w:szCs w:val="22"/>
        </w:rPr>
        <w:t xml:space="preserve">Key examples include catalysing $42 million of investment in Colombia’s </w:t>
      </w:r>
      <w:r w:rsidRPr="2656C216" w:rsidR="6985B0DF">
        <w:rPr>
          <w:rFonts w:cs="Arial"/>
          <w:sz w:val="22"/>
          <w:szCs w:val="22"/>
        </w:rPr>
        <w:t xml:space="preserve">private </w:t>
      </w:r>
      <w:r w:rsidRPr="2656C216" w:rsidR="54F37B7F">
        <w:rPr>
          <w:rFonts w:cs="Arial"/>
          <w:sz w:val="22"/>
          <w:szCs w:val="22"/>
        </w:rPr>
        <w:t xml:space="preserve">cocoa sector, signing 56 Chiefdom ERPAs and one Nested ERPA in Zambia to enable early results-based payments, and disbursing $9.4 million in </w:t>
      </w:r>
      <w:r w:rsidRPr="2656C216" w:rsidR="54F37B7F">
        <w:rPr>
          <w:rFonts w:cs="Arial"/>
          <w:sz w:val="22"/>
          <w:szCs w:val="22"/>
        </w:rPr>
        <w:t>BioCF</w:t>
      </w:r>
      <w:r w:rsidRPr="2656C216" w:rsidR="54F37B7F">
        <w:rPr>
          <w:rFonts w:cs="Arial"/>
          <w:sz w:val="22"/>
          <w:szCs w:val="22"/>
        </w:rPr>
        <w:t xml:space="preserve"> Plus grants to strengthen enabling environments. </w:t>
      </w:r>
      <w:r w:rsidRPr="2656C216" w:rsidR="505C5327">
        <w:rPr>
          <w:rFonts w:cs="Arial"/>
          <w:sz w:val="22"/>
          <w:szCs w:val="22"/>
        </w:rPr>
        <w:t>While initial delays incurred opportunity costs, progress in FY2</w:t>
      </w:r>
      <w:r w:rsidRPr="2656C216" w:rsidR="72CD245B">
        <w:rPr>
          <w:rFonts w:cs="Arial"/>
          <w:sz w:val="22"/>
          <w:szCs w:val="22"/>
        </w:rPr>
        <w:t>5</w:t>
      </w:r>
      <w:r w:rsidRPr="2656C216" w:rsidR="505C5327">
        <w:rPr>
          <w:rFonts w:cs="Arial"/>
          <w:sz w:val="22"/>
          <w:szCs w:val="22"/>
        </w:rPr>
        <w:t xml:space="preserve"> demonstrates a continued commitment to balancing expenditure with outcomes.</w:t>
      </w:r>
    </w:p>
    <w:p w:rsidR="6FCDE97F" w:rsidP="6067E52C" w:rsidRDefault="6FCDE97F" w14:paraId="70E6BDF3" w14:textId="0C1F0542">
      <w:pPr>
        <w:jc w:val="both"/>
        <w:rPr>
          <w:rFonts w:cs="Arial"/>
          <w:sz w:val="22"/>
          <w:szCs w:val="22"/>
        </w:rPr>
      </w:pPr>
    </w:p>
    <w:p w:rsidR="09838C22" w:rsidP="6067E52C" w:rsidRDefault="09838C22" w14:paraId="50FA7DF3" w14:textId="47D41EBC">
      <w:pPr>
        <w:jc w:val="both"/>
        <w:rPr>
          <w:rFonts w:cs="Arial"/>
          <w:sz w:val="22"/>
          <w:szCs w:val="22"/>
          <w:u w:val="single"/>
        </w:rPr>
      </w:pPr>
      <w:r w:rsidRPr="2656C216" w:rsidR="09838C22">
        <w:rPr>
          <w:rFonts w:cs="Arial"/>
          <w:sz w:val="22"/>
          <w:szCs w:val="22"/>
          <w:u w:val="single"/>
        </w:rPr>
        <w:t>Equity</w:t>
      </w:r>
    </w:p>
    <w:p w:rsidR="4D3353F4" w:rsidP="6067E52C" w:rsidRDefault="4D3353F4" w14:paraId="595752F1" w14:textId="0756BAE2">
      <w:pPr>
        <w:jc w:val="both"/>
        <w:rPr>
          <w:rFonts w:cs="Arial"/>
          <w:sz w:val="22"/>
          <w:szCs w:val="22"/>
        </w:rPr>
      </w:pPr>
    </w:p>
    <w:p w:rsidR="363A1A4A" w:rsidP="6067E52C" w:rsidRDefault="09838C22" w14:paraId="26093E5E" w14:textId="0C86A338">
      <w:pPr>
        <w:jc w:val="both"/>
        <w:rPr>
          <w:rFonts w:cs="Arial"/>
          <w:sz w:val="22"/>
          <w:szCs w:val="22"/>
        </w:rPr>
      </w:pPr>
      <w:r w:rsidRPr="2656C216" w:rsidR="09838C22">
        <w:rPr>
          <w:rFonts w:cs="Arial"/>
          <w:sz w:val="22"/>
          <w:szCs w:val="22"/>
        </w:rPr>
        <w:t>Equity is a core principle of ISFL, reflected both in its design and delivery.</w:t>
      </w:r>
      <w:r w:rsidRPr="2656C216" w:rsidR="1834D864">
        <w:rPr>
          <w:rFonts w:cs="Arial"/>
          <w:sz w:val="22"/>
          <w:szCs w:val="22"/>
        </w:rPr>
        <w:t xml:space="preserve"> </w:t>
      </w:r>
      <w:r w:rsidRPr="2656C216" w:rsidR="363A1A4A">
        <w:rPr>
          <w:rFonts w:cs="Arial"/>
          <w:sz w:val="22"/>
          <w:szCs w:val="22"/>
        </w:rPr>
        <w:t xml:space="preserve">As illustrated in prior reviews, Strategic Environmental and Social Assessments (SESAs) and Environmental and Social Management Frameworks (ESMFs) have been developed in all </w:t>
      </w:r>
      <w:r w:rsidRPr="2656C216" w:rsidR="363A1A4A">
        <w:rPr>
          <w:rFonts w:cs="Arial"/>
          <w:sz w:val="22"/>
          <w:szCs w:val="22"/>
        </w:rPr>
        <w:t>jurisdictions</w:t>
      </w:r>
      <w:r w:rsidRPr="2656C216" w:rsidR="363A1A4A">
        <w:rPr>
          <w:rFonts w:cs="Arial"/>
          <w:sz w:val="22"/>
          <w:szCs w:val="22"/>
        </w:rPr>
        <w:t xml:space="preserve"> to ensure inclusive programme planning. BSPs guarantee </w:t>
      </w:r>
      <w:r w:rsidRPr="2656C216" w:rsidR="363A1A4A">
        <w:rPr>
          <w:rFonts w:cs="Arial"/>
          <w:sz w:val="22"/>
          <w:szCs w:val="22"/>
        </w:rPr>
        <w:t>equitable</w:t>
      </w:r>
      <w:r w:rsidRPr="2656C216" w:rsidR="363A1A4A">
        <w:rPr>
          <w:rFonts w:cs="Arial"/>
          <w:sz w:val="22"/>
          <w:szCs w:val="22"/>
        </w:rPr>
        <w:t xml:space="preserve"> distribution of ER payments, while Feedback and Grievance Redress Mechanisms (FGRMs) provide a platform for addressing concerns and ensuring accountability.</w:t>
      </w:r>
      <w:r w:rsidRPr="2656C216" w:rsidR="32F74D6D">
        <w:rPr>
          <w:rFonts w:cs="Arial"/>
          <w:sz w:val="22"/>
          <w:szCs w:val="22"/>
        </w:rPr>
        <w:t xml:space="preserve"> </w:t>
      </w:r>
    </w:p>
    <w:p w:rsidR="363A1A4A" w:rsidP="6067E52C" w:rsidRDefault="363A1A4A" w14:paraId="5170AFA6" w14:textId="544B64F7">
      <w:pPr>
        <w:jc w:val="both"/>
        <w:rPr>
          <w:rFonts w:cs="Arial"/>
          <w:sz w:val="22"/>
          <w:szCs w:val="22"/>
        </w:rPr>
      </w:pPr>
    </w:p>
    <w:p w:rsidR="363A1A4A" w:rsidP="6067E52C" w:rsidRDefault="363A1A4A" w14:paraId="1D14CC3E" w14:textId="7F030425">
      <w:pPr>
        <w:jc w:val="both"/>
        <w:rPr>
          <w:rFonts w:cs="Arial"/>
          <w:sz w:val="22"/>
          <w:szCs w:val="22"/>
        </w:rPr>
      </w:pPr>
      <w:r w:rsidRPr="2656C216" w:rsidR="363A1A4A">
        <w:rPr>
          <w:rFonts w:cs="Arial"/>
          <w:sz w:val="22"/>
          <w:szCs w:val="22"/>
        </w:rPr>
        <w:t xml:space="preserve">Gender inclusivity </w:t>
      </w:r>
      <w:r w:rsidRPr="2656C216" w:rsidR="3990AB6B">
        <w:rPr>
          <w:rFonts w:cs="Arial"/>
          <w:sz w:val="22"/>
          <w:szCs w:val="22"/>
        </w:rPr>
        <w:t>remains</w:t>
      </w:r>
      <w:r w:rsidRPr="2656C216" w:rsidR="3990AB6B">
        <w:rPr>
          <w:rFonts w:cs="Arial"/>
          <w:sz w:val="22"/>
          <w:szCs w:val="22"/>
        </w:rPr>
        <w:t xml:space="preserve"> a core strength of ISFL</w:t>
      </w:r>
      <w:r w:rsidRPr="2656C216" w:rsidR="363A1A4A">
        <w:rPr>
          <w:rFonts w:cs="Arial"/>
          <w:sz w:val="22"/>
          <w:szCs w:val="22"/>
        </w:rPr>
        <w:t xml:space="preserve">. Women </w:t>
      </w:r>
      <w:r w:rsidRPr="2656C216" w:rsidR="363A1A4A">
        <w:rPr>
          <w:rFonts w:cs="Arial"/>
          <w:sz w:val="22"/>
          <w:szCs w:val="22"/>
        </w:rPr>
        <w:t>represent</w:t>
      </w:r>
      <w:r w:rsidRPr="2656C216" w:rsidR="363A1A4A">
        <w:rPr>
          <w:rFonts w:cs="Arial"/>
          <w:sz w:val="22"/>
          <w:szCs w:val="22"/>
        </w:rPr>
        <w:t xml:space="preserve"> 36% of land users adopting sustainable practices (same as FY24), exceeding programme expectations. Women also account for 36% of people in private sector schemes adopting sustainable practices</w:t>
      </w:r>
      <w:r w:rsidRPr="2656C216" w:rsidR="1ECC02D9">
        <w:rPr>
          <w:rFonts w:cs="Arial"/>
          <w:sz w:val="22"/>
          <w:szCs w:val="22"/>
        </w:rPr>
        <w:t xml:space="preserve"> (same as FY24)</w:t>
      </w:r>
      <w:r w:rsidRPr="2656C216" w:rsidR="363A1A4A">
        <w:rPr>
          <w:rFonts w:cs="Arial"/>
          <w:sz w:val="22"/>
          <w:szCs w:val="22"/>
        </w:rPr>
        <w:t xml:space="preserve">. </w:t>
      </w:r>
      <w:r w:rsidRPr="2656C216" w:rsidR="0F34CEF9">
        <w:rPr>
          <w:rFonts w:cs="Arial"/>
          <w:sz w:val="22"/>
          <w:szCs w:val="22"/>
        </w:rPr>
        <w:t xml:space="preserve">Case study examples in FY25 include in Ethiopia, where 77,997 women </w:t>
      </w:r>
      <w:r w:rsidRPr="2656C216" w:rsidR="0F34CEF9">
        <w:rPr>
          <w:rFonts w:cs="Arial"/>
          <w:sz w:val="22"/>
          <w:szCs w:val="22"/>
        </w:rPr>
        <w:t>participated</w:t>
      </w:r>
      <w:r w:rsidRPr="2656C216" w:rsidR="0F34CEF9">
        <w:rPr>
          <w:rFonts w:cs="Arial"/>
          <w:sz w:val="22"/>
          <w:szCs w:val="22"/>
        </w:rPr>
        <w:t xml:space="preserve"> in income-generating activities including in agroforestry, livestock rearing, and coffee production. In Mexico, </w:t>
      </w:r>
      <w:r w:rsidRPr="2656C216" w:rsidR="09F291D3">
        <w:rPr>
          <w:rFonts w:cs="Arial"/>
          <w:sz w:val="22"/>
          <w:szCs w:val="22"/>
        </w:rPr>
        <w:t xml:space="preserve">the National Strategy on Gender and Social Inclusion advanced </w:t>
      </w:r>
      <w:r w:rsidRPr="2656C216" w:rsidR="09F291D3">
        <w:rPr>
          <w:rFonts w:cs="Arial"/>
          <w:sz w:val="22"/>
          <w:szCs w:val="22"/>
        </w:rPr>
        <w:t>equitable</w:t>
      </w:r>
      <w:r w:rsidRPr="2656C216" w:rsidR="09F291D3">
        <w:rPr>
          <w:rFonts w:cs="Arial"/>
          <w:sz w:val="22"/>
          <w:szCs w:val="22"/>
        </w:rPr>
        <w:t xml:space="preserve"> participation of women, Indigenous Peoples, and landless forest users in governance and benefit-sharing</w:t>
      </w:r>
      <w:r w:rsidRPr="2656C216" w:rsidR="3C7BF19D">
        <w:rPr>
          <w:rFonts w:cs="Arial"/>
          <w:sz w:val="22"/>
          <w:szCs w:val="22"/>
        </w:rPr>
        <w:t xml:space="preserve">. </w:t>
      </w:r>
      <w:r w:rsidRPr="2656C216" w:rsidR="692F2E5F">
        <w:rPr>
          <w:rFonts w:cs="Arial"/>
          <w:sz w:val="22"/>
          <w:szCs w:val="22"/>
        </w:rPr>
        <w:t xml:space="preserve">Complementary initiatives, including participatory workshops in Mexico and Zambia, strengthened community representation and access to technical </w:t>
      </w:r>
      <w:r w:rsidRPr="2656C216" w:rsidR="692F2E5F">
        <w:rPr>
          <w:rFonts w:cs="Arial"/>
          <w:sz w:val="22"/>
          <w:szCs w:val="22"/>
        </w:rPr>
        <w:t>assistance</w:t>
      </w:r>
      <w:r w:rsidRPr="2656C216" w:rsidR="692F2E5F">
        <w:rPr>
          <w:rFonts w:cs="Arial"/>
          <w:sz w:val="22"/>
          <w:szCs w:val="22"/>
        </w:rPr>
        <w:t>. Farmer field schools and leadership programmes in Zambia incorporated gender-sensitive grievance mechanisms and targeted training for women. These achievements underscore ISFL’s commitment to equity and inclusive benefits across its interventions.</w:t>
      </w:r>
    </w:p>
    <w:p w:rsidR="6109B1F8" w:rsidP="6067E52C" w:rsidRDefault="6109B1F8" w14:paraId="0DCA5A1A" w14:textId="1A7B41F6">
      <w:pPr>
        <w:jc w:val="both"/>
        <w:rPr>
          <w:rFonts w:cs="Arial"/>
          <w:sz w:val="22"/>
          <w:szCs w:val="22"/>
        </w:rPr>
      </w:pPr>
    </w:p>
    <w:p w:rsidR="698445E1" w:rsidP="6067E52C" w:rsidRDefault="698445E1" w14:paraId="3A38633E" w14:textId="2B749265">
      <w:pPr>
        <w:jc w:val="both"/>
        <w:rPr>
          <w:rFonts w:cs="Arial"/>
          <w:sz w:val="22"/>
          <w:szCs w:val="22"/>
          <w:u w:val="single"/>
        </w:rPr>
      </w:pPr>
      <w:r w:rsidRPr="334BBF58" w:rsidR="698445E1">
        <w:rPr>
          <w:rFonts w:cs="Arial"/>
          <w:sz w:val="22"/>
          <w:szCs w:val="22"/>
          <w:u w:val="single"/>
        </w:rPr>
        <w:t xml:space="preserve">Summary of Overall </w:t>
      </w:r>
      <w:r w:rsidRPr="334BBF58" w:rsidR="698445E1">
        <w:rPr>
          <w:rFonts w:cs="Arial"/>
          <w:sz w:val="22"/>
          <w:szCs w:val="22"/>
          <w:u w:val="single"/>
        </w:rPr>
        <w:t>VfM</w:t>
      </w:r>
    </w:p>
    <w:p w:rsidR="660A2BE9" w:rsidP="6067E52C" w:rsidRDefault="660A2BE9" w14:paraId="0350C0F4" w14:textId="15CE82ED" w14:noSpellErr="1">
      <w:pPr>
        <w:pStyle w:val="Normal"/>
        <w:jc w:val="both"/>
        <w:rPr>
          <w:rFonts w:cs="Arial"/>
          <w:sz w:val="22"/>
          <w:szCs w:val="22"/>
        </w:rPr>
      </w:pPr>
    </w:p>
    <w:p w:rsidR="63E581E3" w:rsidP="6067E52C" w:rsidRDefault="63E581E3" w14:paraId="4689F601" w14:textId="5FD12279">
      <w:pPr>
        <w:jc w:val="both"/>
        <w:rPr>
          <w:rFonts w:cs="Arial"/>
          <w:sz w:val="22"/>
          <w:szCs w:val="22"/>
        </w:rPr>
      </w:pPr>
      <w:r w:rsidRPr="2656C216" w:rsidR="63E581E3">
        <w:rPr>
          <w:rFonts w:cs="Arial"/>
          <w:sz w:val="22"/>
          <w:szCs w:val="22"/>
        </w:rPr>
        <w:t xml:space="preserve">The economic rationale for delivering the ISFL in partnership with the World Bank </w:t>
      </w:r>
      <w:r w:rsidRPr="2656C216" w:rsidR="63E581E3">
        <w:rPr>
          <w:rFonts w:cs="Arial"/>
          <w:sz w:val="22"/>
          <w:szCs w:val="22"/>
        </w:rPr>
        <w:t>remains</w:t>
      </w:r>
      <w:r w:rsidRPr="2656C216" w:rsidR="63E581E3">
        <w:rPr>
          <w:rFonts w:cs="Arial"/>
          <w:sz w:val="22"/>
          <w:szCs w:val="22"/>
        </w:rPr>
        <w:t xml:space="preserve"> sound, and no major changes to programme design or cost structure have undermined </w:t>
      </w:r>
      <w:r w:rsidRPr="2656C216" w:rsidR="63E581E3">
        <w:rPr>
          <w:rFonts w:cs="Arial"/>
          <w:sz w:val="22"/>
          <w:szCs w:val="22"/>
        </w:rPr>
        <w:t>VfM</w:t>
      </w:r>
      <w:r w:rsidRPr="2656C216" w:rsidR="63E581E3">
        <w:rPr>
          <w:rFonts w:cs="Arial"/>
          <w:sz w:val="22"/>
          <w:szCs w:val="22"/>
        </w:rPr>
        <w:t xml:space="preserve">. However, the persistent delays since the </w:t>
      </w:r>
      <w:r w:rsidRPr="2656C216" w:rsidR="63E581E3">
        <w:rPr>
          <w:rFonts w:cs="Arial"/>
          <w:sz w:val="22"/>
          <w:szCs w:val="22"/>
        </w:rPr>
        <w:t>initial</w:t>
      </w:r>
      <w:r w:rsidRPr="2656C216" w:rsidR="63E581E3">
        <w:rPr>
          <w:rFonts w:cs="Arial"/>
          <w:sz w:val="22"/>
          <w:szCs w:val="22"/>
        </w:rPr>
        <w:t xml:space="preserve"> business case have </w:t>
      </w:r>
      <w:r w:rsidRPr="2656C216" w:rsidR="63E581E3">
        <w:rPr>
          <w:rFonts w:cs="Arial"/>
          <w:sz w:val="22"/>
          <w:szCs w:val="22"/>
        </w:rPr>
        <w:t>likely incurred</w:t>
      </w:r>
      <w:r w:rsidRPr="2656C216" w:rsidR="63E581E3">
        <w:rPr>
          <w:rFonts w:cs="Arial"/>
          <w:sz w:val="22"/>
          <w:szCs w:val="22"/>
        </w:rPr>
        <w:t xml:space="preserve"> significant opportunity costs. While incremental progress across outputs is encouraging, confidence in the programme’s ability to meet its </w:t>
      </w:r>
      <w:r w:rsidRPr="2656C216" w:rsidR="63E581E3">
        <w:rPr>
          <w:rFonts w:cs="Arial"/>
          <w:sz w:val="22"/>
          <w:szCs w:val="22"/>
        </w:rPr>
        <w:t>objectives</w:t>
      </w:r>
      <w:r w:rsidRPr="2656C216" w:rsidR="63E581E3">
        <w:rPr>
          <w:rFonts w:cs="Arial"/>
          <w:sz w:val="22"/>
          <w:szCs w:val="22"/>
        </w:rPr>
        <w:t xml:space="preserve"> hinges on the </w:t>
      </w:r>
      <w:r w:rsidRPr="2656C216" w:rsidR="63E581E3">
        <w:rPr>
          <w:rFonts w:cs="Arial"/>
          <w:sz w:val="22"/>
          <w:szCs w:val="22"/>
        </w:rPr>
        <w:t>timely</w:t>
      </w:r>
      <w:r w:rsidRPr="2656C216" w:rsidR="63E581E3">
        <w:rPr>
          <w:rFonts w:cs="Arial"/>
          <w:sz w:val="22"/>
          <w:szCs w:val="22"/>
        </w:rPr>
        <w:t xml:space="preserve"> signing of the remaining ERPAs. These were previously expected in FY25, yet have now slipped to FY26, raising </w:t>
      </w:r>
      <w:r w:rsidRPr="2656C216" w:rsidR="63E581E3">
        <w:rPr>
          <w:rFonts w:cs="Arial"/>
          <w:sz w:val="22"/>
          <w:szCs w:val="22"/>
        </w:rPr>
        <w:t>serious questions</w:t>
      </w:r>
      <w:r w:rsidRPr="2656C216" w:rsidR="63E581E3">
        <w:rPr>
          <w:rFonts w:cs="Arial"/>
          <w:sz w:val="22"/>
          <w:szCs w:val="22"/>
        </w:rPr>
        <w:t xml:space="preserve"> about delivery credibility. If we are confident that all ERPAs will be signed in FY26, this is acceptable. However, if there is any doubt, this should trigger escalation. Scoring this section an ‘A’ risks glossing over repeated delays and weakens accountability. The next review period must prioritise ERPA signatures and the commencement of results-based disbursements, which are critical not only for meeting Output Indicators but also for accelerating GHG emissions reductions and finance mobilisation. The programme must also closely </w:t>
      </w:r>
      <w:r w:rsidRPr="2656C216" w:rsidR="63E581E3">
        <w:rPr>
          <w:rFonts w:cs="Arial"/>
          <w:sz w:val="22"/>
          <w:szCs w:val="22"/>
        </w:rPr>
        <w:t>monitor</w:t>
      </w:r>
      <w:r w:rsidRPr="2656C216" w:rsidR="63E581E3">
        <w:rPr>
          <w:rFonts w:cs="Arial"/>
          <w:sz w:val="22"/>
          <w:szCs w:val="22"/>
        </w:rPr>
        <w:t xml:space="preserve"> milestones under Outputs 1.1 and </w:t>
      </w:r>
      <w:r w:rsidRPr="2656C216" w:rsidR="63E581E3">
        <w:rPr>
          <w:rFonts w:cs="Arial"/>
          <w:sz w:val="22"/>
          <w:szCs w:val="22"/>
        </w:rPr>
        <w:t>3.1 and</w:t>
      </w:r>
      <w:r w:rsidRPr="2656C216" w:rsidR="63E581E3">
        <w:rPr>
          <w:rFonts w:cs="Arial"/>
          <w:sz w:val="22"/>
          <w:szCs w:val="22"/>
        </w:rPr>
        <w:t xml:space="preserve"> take corrective action through a genuinely adaptive management approach.</w:t>
      </w:r>
    </w:p>
    <w:p w:rsidR="660A2BE9" w:rsidP="660A2BE9" w:rsidRDefault="660A2BE9" w14:paraId="6EA4FFED" w14:textId="6765FDA2">
      <w:pPr>
        <w:jc w:val="both"/>
        <w:rPr>
          <w:rFonts w:cs="Arial"/>
          <w:sz w:val="20"/>
          <w:szCs w:val="20"/>
        </w:rPr>
      </w:pPr>
    </w:p>
    <w:p w:rsidR="3F76CE01" w:rsidP="662399CC" w:rsidRDefault="3F76CE01" w14:paraId="4F23DEC2" w14:textId="14C823CF">
      <w:pPr>
        <w:tabs>
          <w:tab w:val="right" w:leader="dot" w:pos="9710"/>
        </w:tabs>
        <w:contextualSpacing/>
        <w:jc w:val="both"/>
        <w:rPr>
          <w:rFonts w:eastAsia="Arial" w:cs="Arial"/>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8"/>
        <w:gridCol w:w="4508"/>
      </w:tblGrid>
      <w:tr w:rsidR="24958D28" w:rsidTr="69F61B37" w14:paraId="36D3E058"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3A09DD08" w14:textId="578BBF12">
            <w:pPr>
              <w:spacing w:line="276" w:lineRule="auto"/>
              <w:rPr>
                <w:rFonts w:eastAsia="Arial" w:cs="Arial"/>
                <w:color w:val="212121"/>
                <w:sz w:val="22"/>
                <w:szCs w:val="22"/>
              </w:rPr>
            </w:pPr>
            <w:r w:rsidRPr="662399CC">
              <w:rPr>
                <w:rFonts w:eastAsia="Arial" w:cs="Arial"/>
                <w:b/>
                <w:bCs/>
                <w:color w:val="212121"/>
                <w:sz w:val="22"/>
                <w:szCs w:val="22"/>
              </w:rPr>
              <w:t>Paris alignment pillar</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5BAE3890" w14:textId="4ABF44DD">
            <w:pPr>
              <w:spacing w:line="276" w:lineRule="auto"/>
              <w:rPr>
                <w:rFonts w:eastAsia="Arial" w:cs="Arial"/>
                <w:color w:val="212121"/>
                <w:sz w:val="22"/>
                <w:szCs w:val="22"/>
              </w:rPr>
            </w:pPr>
            <w:r w:rsidRPr="662399CC">
              <w:rPr>
                <w:rFonts w:eastAsia="Arial" w:cs="Arial"/>
                <w:b/>
                <w:bCs/>
                <w:color w:val="212121"/>
                <w:sz w:val="22"/>
                <w:szCs w:val="22"/>
              </w:rPr>
              <w:t>Description of activity</w:t>
            </w:r>
          </w:p>
        </w:tc>
      </w:tr>
      <w:tr w:rsidR="24958D28" w:rsidTr="69F61B37" w14:paraId="74634EF1"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74026F1A" w14:textId="628C2CE7">
            <w:pPr>
              <w:spacing w:line="276" w:lineRule="auto"/>
              <w:rPr>
                <w:rFonts w:eastAsia="Arial" w:cs="Arial"/>
                <w:color w:val="212121"/>
                <w:sz w:val="22"/>
                <w:szCs w:val="22"/>
              </w:rPr>
            </w:pPr>
            <w:r w:rsidRPr="662399CC">
              <w:rPr>
                <w:rFonts w:eastAsia="Arial" w:cs="Arial"/>
                <w:color w:val="212121"/>
                <w:sz w:val="22"/>
                <w:szCs w:val="22"/>
              </w:rPr>
              <w:t>How have you taken a proportional approach to climate and environment risk assurance?</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206AEC96" w14:textId="7EDD45E0">
            <w:pPr>
              <w:spacing w:line="276" w:lineRule="auto"/>
              <w:rPr>
                <w:rFonts w:eastAsia="Arial" w:cs="Arial"/>
                <w:color w:val="212121"/>
                <w:sz w:val="22"/>
                <w:szCs w:val="22"/>
              </w:rPr>
            </w:pPr>
            <w:r w:rsidRPr="69F61B37" w:rsidR="64567D7C">
              <w:rPr>
                <w:rFonts w:eastAsia="Arial" w:cs="Arial"/>
                <w:color w:val="212121"/>
                <w:sz w:val="22"/>
                <w:szCs w:val="22"/>
              </w:rPr>
              <w:t xml:space="preserve">Yes. Climate and Environmental Risk Screening has been conducted. </w:t>
            </w:r>
            <w:r w:rsidRPr="69F61B37" w:rsidR="64567D7C">
              <w:rPr>
                <w:rFonts w:eastAsia="Arial" w:cs="Arial"/>
                <w:color w:val="212121"/>
                <w:sz w:val="22"/>
                <w:szCs w:val="22"/>
              </w:rPr>
              <w:t xml:space="preserve">The Climate Risk Screening was </w:t>
            </w:r>
            <w:r w:rsidRPr="69F61B37" w:rsidR="64567D7C">
              <w:rPr>
                <w:rFonts w:eastAsia="Arial" w:cs="Arial"/>
                <w:color w:val="212121"/>
                <w:sz w:val="22"/>
                <w:szCs w:val="22"/>
              </w:rPr>
              <w:t>moderate</w:t>
            </w:r>
            <w:r w:rsidRPr="69F61B37" w:rsidR="64567D7C">
              <w:rPr>
                <w:rFonts w:eastAsia="Arial" w:cs="Arial"/>
                <w:color w:val="212121"/>
                <w:sz w:val="22"/>
                <w:szCs w:val="22"/>
              </w:rPr>
              <w:t xml:space="preserve"> and the Environmental Risk Screening was low. Risks will be </w:t>
            </w:r>
            <w:r w:rsidRPr="69F61B37" w:rsidR="64567D7C">
              <w:rPr>
                <w:rFonts w:eastAsia="Arial" w:cs="Arial"/>
                <w:color w:val="212121"/>
                <w:sz w:val="22"/>
                <w:szCs w:val="22"/>
              </w:rPr>
              <w:t>monitored</w:t>
            </w:r>
            <w:r w:rsidRPr="69F61B37" w:rsidR="64567D7C">
              <w:rPr>
                <w:rFonts w:eastAsia="Arial" w:cs="Arial"/>
                <w:color w:val="212121"/>
                <w:sz w:val="22"/>
                <w:szCs w:val="22"/>
              </w:rPr>
              <w:t xml:space="preserve"> through the normal ICF risk management processes</w:t>
            </w:r>
            <w:r w:rsidRPr="69F61B37" w:rsidR="64567D7C">
              <w:rPr>
                <w:rFonts w:eastAsia="Arial" w:cs="Arial"/>
                <w:color w:val="212121"/>
                <w:sz w:val="22"/>
                <w:szCs w:val="22"/>
              </w:rPr>
              <w:t>.</w:t>
            </w:r>
          </w:p>
        </w:tc>
      </w:tr>
      <w:tr w:rsidR="24958D28" w:rsidTr="69F61B37" w14:paraId="24F160CD"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37F94F6E" w14:textId="4E36E106">
            <w:pPr>
              <w:spacing w:line="276" w:lineRule="auto"/>
              <w:rPr>
                <w:rFonts w:eastAsia="Arial" w:cs="Arial"/>
                <w:color w:val="212121"/>
                <w:sz w:val="22"/>
                <w:szCs w:val="22"/>
              </w:rPr>
            </w:pPr>
            <w:r w:rsidRPr="662399CC">
              <w:rPr>
                <w:rFonts w:eastAsia="Arial" w:cs="Arial"/>
                <w:color w:val="212121"/>
                <w:sz w:val="22"/>
                <w:szCs w:val="22"/>
              </w:rPr>
              <w:t>How have you taken a proportional approach to using shadow carbon pricing?</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1043457E" w14:textId="07525CC4">
            <w:pPr>
              <w:spacing w:line="276" w:lineRule="auto"/>
              <w:rPr>
                <w:rFonts w:eastAsia="Arial" w:cs="Arial"/>
                <w:color w:val="212121"/>
                <w:sz w:val="22"/>
                <w:szCs w:val="22"/>
              </w:rPr>
            </w:pPr>
            <w:r w:rsidRPr="69F61B37" w:rsidR="0241DA3C">
              <w:rPr>
                <w:rFonts w:eastAsia="Arial" w:cs="Arial"/>
                <w:color w:val="212121"/>
                <w:sz w:val="22"/>
                <w:szCs w:val="22"/>
              </w:rPr>
              <w:t xml:space="preserve">Emission reductions resulting from these programme activities will be captured by the emission reductions programmes. </w:t>
            </w:r>
            <w:r w:rsidRPr="69F61B37" w:rsidR="0241DA3C">
              <w:rPr>
                <w:rFonts w:eastAsia="Arial" w:cs="Arial"/>
                <w:color w:val="212121"/>
                <w:sz w:val="22"/>
                <w:szCs w:val="22"/>
              </w:rPr>
              <w:t xml:space="preserve">The carbon price set through these are subject to negotiation but the UK Government will approve the carbon </w:t>
            </w:r>
            <w:r w:rsidRPr="69F61B37" w:rsidR="0241DA3C">
              <w:rPr>
                <w:rFonts w:eastAsia="Arial" w:cs="Arial"/>
                <w:color w:val="212121"/>
                <w:sz w:val="22"/>
                <w:szCs w:val="22"/>
              </w:rPr>
              <w:t>price set.</w:t>
            </w:r>
          </w:p>
        </w:tc>
      </w:tr>
      <w:tr w:rsidR="24958D28" w:rsidTr="69F61B37" w14:paraId="3A0589D5"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51F4163E" w14:textId="6044FA6D">
            <w:pPr>
              <w:spacing w:line="276" w:lineRule="auto"/>
              <w:rPr>
                <w:rFonts w:eastAsia="Arial" w:cs="Arial"/>
                <w:color w:val="212121"/>
                <w:sz w:val="22"/>
                <w:szCs w:val="22"/>
              </w:rPr>
            </w:pPr>
            <w:r w:rsidRPr="662399CC">
              <w:rPr>
                <w:rFonts w:eastAsia="Arial" w:cs="Arial"/>
                <w:color w:val="212121"/>
                <w:sz w:val="22"/>
                <w:szCs w:val="22"/>
              </w:rPr>
              <w:t>Does the programme adhere to HMG’s fossil fuel policy?</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4D99C99B" w14:textId="110F24C8">
            <w:pPr>
              <w:spacing w:line="276" w:lineRule="auto"/>
              <w:rPr>
                <w:rFonts w:eastAsia="Arial" w:cs="Arial"/>
                <w:color w:val="212121"/>
                <w:sz w:val="22"/>
                <w:szCs w:val="22"/>
              </w:rPr>
            </w:pPr>
            <w:r w:rsidRPr="69F61B37" w:rsidR="662E8DB0">
              <w:rPr>
                <w:rFonts w:eastAsia="Arial" w:cs="Arial"/>
                <w:color w:val="212121"/>
                <w:sz w:val="22"/>
                <w:szCs w:val="22"/>
              </w:rPr>
              <w:t xml:space="preserve">Yes. The programme does not include </w:t>
            </w:r>
            <w:r w:rsidRPr="69F61B37" w:rsidR="662E8DB0">
              <w:rPr>
                <w:rFonts w:eastAsia="Arial" w:cs="Arial"/>
                <w:color w:val="212121"/>
                <w:sz w:val="22"/>
                <w:szCs w:val="22"/>
              </w:rPr>
              <w:t>elements relating to fossil fuel support and therefore does not go against the fossil fuel policy.</w:t>
            </w:r>
          </w:p>
        </w:tc>
      </w:tr>
      <w:tr w:rsidR="24958D28" w:rsidTr="69F61B37" w14:paraId="5AFB0C88" w14:textId="77777777">
        <w:trPr>
          <w:trHeight w:val="99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24958D28" w14:paraId="046BB519" w14:textId="0AF09318">
            <w:pPr>
              <w:spacing w:line="276" w:lineRule="auto"/>
              <w:rPr>
                <w:rFonts w:eastAsia="Arial" w:cs="Arial"/>
                <w:color w:val="212121"/>
                <w:sz w:val="22"/>
                <w:szCs w:val="22"/>
              </w:rPr>
            </w:pPr>
            <w:r w:rsidRPr="662399CC">
              <w:rPr>
                <w:rFonts w:eastAsia="Arial" w:cs="Arial"/>
                <w:color w:val="212121"/>
                <w:sz w:val="22"/>
                <w:szCs w:val="22"/>
              </w:rPr>
              <w:t>Are you ensuring the programme does not undermine impacted countries climate plans?</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24958D28" w:rsidP="662399CC" w:rsidRDefault="702AE071" w14:paraId="6B3574C7" w14:textId="003D8BB8">
            <w:pPr>
              <w:spacing w:line="276" w:lineRule="auto"/>
              <w:rPr>
                <w:rFonts w:eastAsia="Arial" w:cs="Arial"/>
                <w:color w:val="212121"/>
                <w:sz w:val="22"/>
                <w:szCs w:val="22"/>
              </w:rPr>
            </w:pPr>
            <w:r w:rsidRPr="69F61B37" w:rsidR="702AE071">
              <w:rPr>
                <w:rFonts w:eastAsia="Arial" w:cs="Arial"/>
                <w:color w:val="212121"/>
                <w:sz w:val="22"/>
                <w:szCs w:val="22"/>
              </w:rPr>
              <w:t>Yes. The ISFL programmes are integrated within country climate plans.</w:t>
            </w:r>
          </w:p>
        </w:tc>
      </w:tr>
    </w:tbl>
    <w:p w:rsidR="24958D28" w:rsidP="24958D28" w:rsidRDefault="24958D28" w14:paraId="54553C26" w14:textId="50981ECF">
      <w:pPr>
        <w:jc w:val="both"/>
        <w:rPr>
          <w:rFonts w:cs="Arial"/>
          <w:sz w:val="22"/>
          <w:szCs w:val="22"/>
        </w:rPr>
      </w:pPr>
    </w:p>
    <w:p w:rsidR="24958D28" w:rsidP="24958D28" w:rsidRDefault="24958D28" w14:paraId="31875769" w14:textId="07D42045">
      <w:pPr>
        <w:jc w:val="both"/>
        <w:rPr>
          <w:rFonts w:cs="Arial"/>
          <w:sz w:val="22"/>
          <w:szCs w:val="22"/>
        </w:rPr>
      </w:pPr>
    </w:p>
    <w:tbl>
      <w:tblPr>
        <w:tblStyle w:val="TableGrid"/>
        <w:tblW w:w="0" w:type="auto"/>
        <w:tblInd w:w="-5" w:type="dxa"/>
        <w:tblLook w:val="04A0" w:firstRow="1" w:lastRow="0" w:firstColumn="1" w:lastColumn="0" w:noHBand="0" w:noVBand="1"/>
      </w:tblPr>
      <w:tblGrid>
        <w:gridCol w:w="4508"/>
        <w:gridCol w:w="2268"/>
      </w:tblGrid>
      <w:tr w:rsidRPr="00D80C6C" w:rsidR="002347BE" w:rsidTr="334BBF58" w14:paraId="237FE329" w14:textId="77777777">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3D222C" w:rsidP="004D5FD5" w:rsidRDefault="003D222C" w14:paraId="31FF5132" w14:textId="77777777">
            <w:pPr>
              <w:jc w:val="both"/>
              <w:rPr>
                <w:rFonts w:cs="Arial"/>
                <w:sz w:val="22"/>
                <w:szCs w:val="22"/>
              </w:rPr>
            </w:pPr>
            <w:r w:rsidRPr="334BBF58" w:rsidR="003D222C">
              <w:rPr>
                <w:rFonts w:cs="Arial"/>
                <w:sz w:val="22"/>
                <w:szCs w:val="22"/>
              </w:rPr>
              <w:t>Date of last narrative financial report</w:t>
            </w:r>
          </w:p>
        </w:tc>
        <w:tc>
          <w:tcPr>
            <w:tcW w:w="2268" w:type="dxa"/>
            <w:tcBorders>
              <w:top w:val="single" w:color="auto" w:sz="4" w:space="0"/>
              <w:left w:val="single" w:color="auto" w:sz="4" w:space="0"/>
              <w:bottom w:val="single" w:color="auto" w:sz="4" w:space="0"/>
              <w:right w:val="single" w:color="auto" w:sz="4" w:space="0"/>
            </w:tcBorders>
            <w:tcMar/>
          </w:tcPr>
          <w:p w:rsidRPr="00D80C6C" w:rsidR="003D222C" w:rsidP="004D5FD5" w:rsidRDefault="003D222C" w14:paraId="2ADAB5DF" w14:textId="6213408D">
            <w:pPr>
              <w:jc w:val="both"/>
              <w:rPr>
                <w:rFonts w:cs="Arial"/>
                <w:sz w:val="22"/>
                <w:szCs w:val="22"/>
              </w:rPr>
            </w:pPr>
            <w:r w:rsidRPr="334BBF58" w:rsidR="111C989D">
              <w:rPr>
                <w:rFonts w:cs="Arial"/>
                <w:sz w:val="22"/>
                <w:szCs w:val="22"/>
              </w:rPr>
              <w:t>June 202</w:t>
            </w:r>
            <w:r w:rsidRPr="334BBF58" w:rsidR="3033115B">
              <w:rPr>
                <w:rFonts w:cs="Arial"/>
                <w:sz w:val="22"/>
                <w:szCs w:val="22"/>
              </w:rPr>
              <w:t>5</w:t>
            </w:r>
          </w:p>
        </w:tc>
      </w:tr>
      <w:tr w:rsidRPr="00D80C6C" w:rsidR="002347BE" w:rsidTr="334BBF58" w14:paraId="1FE89B21" w14:textId="77777777">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tcMar/>
            <w:hideMark/>
          </w:tcPr>
          <w:p w:rsidRPr="00D80C6C" w:rsidR="003D222C" w:rsidP="004D5FD5" w:rsidRDefault="003D222C" w14:paraId="7C3A69BE" w14:textId="77777777">
            <w:pPr>
              <w:jc w:val="both"/>
              <w:rPr>
                <w:rFonts w:cs="Arial"/>
                <w:sz w:val="22"/>
                <w:szCs w:val="22"/>
              </w:rPr>
            </w:pPr>
            <w:r w:rsidRPr="00D80C6C">
              <w:rPr>
                <w:rFonts w:cs="Arial"/>
                <w:sz w:val="22"/>
                <w:szCs w:val="22"/>
              </w:rPr>
              <w:t>Date of last audited annual statement</w:t>
            </w:r>
          </w:p>
        </w:tc>
        <w:tc>
          <w:tcPr>
            <w:tcW w:w="2268" w:type="dxa"/>
            <w:tcBorders>
              <w:top w:val="single" w:color="auto" w:sz="4" w:space="0"/>
              <w:left w:val="single" w:color="auto" w:sz="4" w:space="0"/>
              <w:bottom w:val="single" w:color="auto" w:sz="4" w:space="0"/>
              <w:right w:val="single" w:color="auto" w:sz="4" w:space="0"/>
            </w:tcBorders>
            <w:tcMar/>
          </w:tcPr>
          <w:p w:rsidRPr="00D80C6C" w:rsidR="003D222C" w:rsidP="004D5FD5" w:rsidRDefault="003D222C" w14:paraId="67F793A9" w14:textId="15979B1C">
            <w:pPr>
              <w:jc w:val="both"/>
              <w:rPr>
                <w:rFonts w:cs="Arial"/>
                <w:sz w:val="22"/>
                <w:szCs w:val="22"/>
              </w:rPr>
            </w:pPr>
            <w:r w:rsidRPr="7628671A" w:rsidR="03CB57C5">
              <w:rPr>
                <w:rFonts w:cs="Arial"/>
                <w:sz w:val="22"/>
                <w:szCs w:val="22"/>
              </w:rPr>
              <w:t>June 2025</w:t>
            </w:r>
          </w:p>
        </w:tc>
      </w:tr>
    </w:tbl>
    <w:p w:rsidRPr="00D80C6C" w:rsidR="003D222C" w:rsidP="004D5FD5" w:rsidRDefault="003D222C" w14:paraId="39940792" w14:textId="77777777">
      <w:pPr>
        <w:spacing w:after="160" w:line="259" w:lineRule="auto"/>
        <w:jc w:val="both"/>
        <w:rPr>
          <w:rFonts w:cs="Arial"/>
          <w:sz w:val="22"/>
          <w:szCs w:val="22"/>
        </w:rPr>
      </w:pPr>
    </w:p>
    <w:p w:rsidRPr="00D80C6C" w:rsidR="003D222C" w:rsidP="004D5FD5" w:rsidRDefault="003D222C" w14:paraId="7EF349EC" w14:textId="77777777">
      <w:pPr>
        <w:spacing w:after="160" w:line="259" w:lineRule="auto"/>
        <w:jc w:val="both"/>
        <w:rPr>
          <w:rFonts w:cs="Arial"/>
          <w:sz w:val="22"/>
          <w:szCs w:val="22"/>
        </w:rPr>
      </w:pPr>
    </w:p>
    <w:p w:rsidRPr="00D80C6C" w:rsidR="003D222C" w:rsidP="004D5FD5" w:rsidRDefault="003D222C" w14:paraId="4AB97E44" w14:textId="77777777">
      <w:pPr>
        <w:jc w:val="both"/>
        <w:rPr>
          <w:rFonts w:cs="Arial"/>
          <w:sz w:val="22"/>
          <w:szCs w:val="22"/>
        </w:rPr>
      </w:pPr>
    </w:p>
    <w:sectPr w:rsidRPr="00D80C6C" w:rsidR="003D222C" w:rsidSect="001C6CE4">
      <w:headerReference w:type="even" r:id="rId26"/>
      <w:headerReference w:type="default" r:id="rId27"/>
      <w:footerReference w:type="even" r:id="rId28"/>
      <w:footerReference w:type="default" r:id="rId29"/>
      <w:headerReference w:type="first" r:id="rId30"/>
      <w:pgSz w:w="11906" w:h="16838" w:orient="portrait"/>
      <w:pgMar w:top="709" w:right="1440" w:bottom="709" w:left="1440"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5E3" w:rsidP="003D222C" w:rsidRDefault="008F05E3" w14:paraId="15EF4867" w14:textId="77777777">
      <w:r>
        <w:separator/>
      </w:r>
    </w:p>
  </w:endnote>
  <w:endnote w:type="continuationSeparator" w:id="0">
    <w:p w:rsidR="008F05E3" w:rsidP="003D222C" w:rsidRDefault="008F05E3" w14:paraId="39391359" w14:textId="77777777">
      <w:r>
        <w:continuationSeparator/>
      </w:r>
    </w:p>
  </w:endnote>
  <w:endnote w:type="continuationNotice" w:id="1">
    <w:p w:rsidR="008F05E3" w:rsidRDefault="008F05E3" w14:paraId="14AA83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200D" w:rsidRDefault="0007200D" w14:paraId="6F2305C8" w14:textId="617C8CE9">
    <w:pPr>
      <w:pStyle w:val="Footer"/>
    </w:pPr>
    <w:r>
      <w:rPr>
        <w:noProof/>
      </w:rPr>
      <mc:AlternateContent>
        <mc:Choice Requires="wps">
          <w:drawing>
            <wp:anchor distT="0" distB="0" distL="0" distR="0" simplePos="0" relativeHeight="251658244" behindDoc="0" locked="0" layoutInCell="1" allowOverlap="1" wp14:anchorId="0236A4E9" wp14:editId="2B8EC74A">
              <wp:simplePos x="635" y="635"/>
              <wp:positionH relativeFrom="page">
                <wp:align>center</wp:align>
              </wp:positionH>
              <wp:positionV relativeFrom="page">
                <wp:align>bottom</wp:align>
              </wp:positionV>
              <wp:extent cx="635635" cy="345440"/>
              <wp:effectExtent l="0" t="0" r="12065" b="0"/>
              <wp:wrapNone/>
              <wp:docPr id="513598367" name="Text Box 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5635" cy="345440"/>
                      </a:xfrm>
                      <a:prstGeom prst="rect">
                        <a:avLst/>
                      </a:prstGeom>
                      <a:noFill/>
                      <a:ln>
                        <a:noFill/>
                      </a:ln>
                    </wps:spPr>
                    <wps:txbx>
                      <w:txbxContent>
                        <w:p w:rsidRPr="0007200D" w:rsidR="0007200D" w:rsidP="0007200D" w:rsidRDefault="0007200D" w14:paraId="6769D0FA" w14:textId="6182F723">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0236A4E9">
              <v:stroke joinstyle="miter"/>
              <v:path gradientshapeok="t" o:connecttype="rect"/>
            </v:shapetype>
            <v:shape id="Text Box 5" style="position:absolute;margin-left:0;margin-top:0;width:50.05pt;height:27.2pt;z-index:251658244;visibility:visible;mso-wrap-style:none;mso-wrap-distance-left:0;mso-wrap-distance-top:0;mso-wrap-distance-right:0;mso-wrap-distance-bottom:0;mso-position-horizontal:center;mso-position-horizontal-relative:page;mso-position-vertical:bottom;mso-position-vertical-relative:page;v-text-anchor:bottom" alt="UK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">
              <v:textbox style="mso-fit-shape-to-text:t" inset="0,0,0,15pt">
                <w:txbxContent>
                  <w:p w:rsidRPr="0007200D" w:rsidR="0007200D" w:rsidP="0007200D" w:rsidRDefault="0007200D" w14:paraId="6769D0FA" w14:textId="6182F723">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20D19" w:rsidRDefault="0007200D" w14:paraId="6505D46B" w14:textId="15ED34F8">
    <w:pPr>
      <w:pStyle w:val="Footer"/>
      <w:jc w:val="right"/>
    </w:pPr>
    <w:r>
      <w:rPr>
        <w:noProof/>
      </w:rPr>
      <mc:AlternateContent>
        <mc:Choice Requires="wps">
          <w:drawing>
            <wp:anchor distT="0" distB="0" distL="0" distR="0" simplePos="0" relativeHeight="251658242" behindDoc="0" locked="0" layoutInCell="1" allowOverlap="1" wp14:anchorId="4815BDF9" wp14:editId="7A3EDBB4">
              <wp:simplePos x="915035" y="9892665"/>
              <wp:positionH relativeFrom="page">
                <wp:align>center</wp:align>
              </wp:positionH>
              <wp:positionV relativeFrom="page">
                <wp:align>bottom</wp:align>
              </wp:positionV>
              <wp:extent cx="635635" cy="345440"/>
              <wp:effectExtent l="0" t="0" r="12065" b="0"/>
              <wp:wrapNone/>
              <wp:docPr id="577461461" name="Text Box 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5635" cy="345440"/>
                      </a:xfrm>
                      <a:prstGeom prst="rect">
                        <a:avLst/>
                      </a:prstGeom>
                      <a:noFill/>
                      <a:ln>
                        <a:noFill/>
                      </a:ln>
                    </wps:spPr>
                    <wps:txbx>
                      <w:txbxContent>
                        <w:p w:rsidRPr="0007200D" w:rsidR="0007200D" w:rsidP="0007200D" w:rsidRDefault="0007200D" w14:paraId="02DB09B9" w14:textId="2810B32F">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4815BDF9">
              <v:stroke joinstyle="miter"/>
              <v:path gradientshapeok="t" o:connecttype="rect"/>
            </v:shapetype>
            <v:shape id="Text Box 6" style="position:absolute;left:0;text-align:left;margin-left:0;margin-top:0;width:50.05pt;height:27.2pt;z-index:251658242;visibility:visible;mso-wrap-style:none;mso-wrap-distance-left:0;mso-wrap-distance-top:0;mso-wrap-distance-right:0;mso-wrap-distance-bottom:0;mso-position-horizontal:center;mso-position-horizontal-relative:page;mso-position-vertical:bottom;mso-position-vertical-relative:page;v-text-anchor:bottom" alt="UK 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">
              <v:textbox style="mso-fit-shape-to-text:t" inset="0,0,0,15pt">
                <w:txbxContent>
                  <w:p w:rsidRPr="0007200D" w:rsidR="0007200D" w:rsidP="0007200D" w:rsidRDefault="0007200D" w14:paraId="02DB09B9" w14:textId="2810B32F">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v:textbox>
              <w10:wrap anchorx="page" anchory="page"/>
            </v:shape>
          </w:pict>
        </mc:Fallback>
      </mc:AlternateContent>
    </w:r>
    <w:sdt>
      <w:sdtPr>
        <w:id w:val="-484779427"/>
        <w:docPartObj>
          <w:docPartGallery w:val="Page Numbers (Bottom of Page)"/>
          <w:docPartUnique/>
        </w:docPartObj>
      </w:sdtPr>
      <w:sdtEndPr>
        <w:rPr>
          <w:noProof/>
        </w:rPr>
      </w:sdtEndPr>
      <w:sdtContent>
        <w:r w:rsidR="00920D19">
          <w:fldChar w:fldCharType="begin"/>
        </w:r>
        <w:r w:rsidR="00920D19">
          <w:instrText xml:space="preserve"> PAGE   \* MERGEFORMAT </w:instrText>
        </w:r>
        <w:r w:rsidR="00920D19">
          <w:fldChar w:fldCharType="separate"/>
        </w:r>
        <w:r w:rsidR="00920D19">
          <w:rPr>
            <w:noProof/>
          </w:rPr>
          <w:t>2</w:t>
        </w:r>
        <w:r w:rsidR="00920D19">
          <w:rPr>
            <w:noProof/>
          </w:rPr>
          <w:fldChar w:fldCharType="end"/>
        </w:r>
      </w:sdtContent>
    </w:sdt>
  </w:p>
  <w:p w:rsidR="00920D19" w:rsidRDefault="00920D19" w14:paraId="1D8727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5E3" w:rsidP="003D222C" w:rsidRDefault="008F05E3" w14:paraId="0A1426D2" w14:textId="77777777">
      <w:r>
        <w:separator/>
      </w:r>
    </w:p>
  </w:footnote>
  <w:footnote w:type="continuationSeparator" w:id="0">
    <w:p w:rsidR="008F05E3" w:rsidP="003D222C" w:rsidRDefault="008F05E3" w14:paraId="2B04D68F" w14:textId="77777777">
      <w:r>
        <w:continuationSeparator/>
      </w:r>
    </w:p>
  </w:footnote>
  <w:footnote w:type="continuationNotice" w:id="1">
    <w:p w:rsidR="008F05E3" w:rsidRDefault="008F05E3" w14:paraId="0F0FD246" w14:textId="77777777"/>
  </w:footnote>
  <w:footnote w:id="2">
    <w:p w:rsidR="6922A194" w:rsidP="6922A194" w:rsidRDefault="6922A194" w14:paraId="21A1E410" w14:textId="1C7D2CB5">
      <w:pPr>
        <w:pStyle w:val="FootnoteText"/>
        <w:jc w:val="both"/>
      </w:pPr>
      <w:r w:rsidRPr="6922A194">
        <w:rPr>
          <w:rStyle w:val="FootnoteReference"/>
        </w:rPr>
        <w:footnoteRef/>
      </w:r>
      <w:r>
        <w:t xml:space="preserve"> </w:t>
      </w:r>
      <w:r w:rsidRPr="6922A194">
        <w:rPr>
          <w:rFonts w:eastAsia="Arial" w:cs="Arial"/>
          <w:color w:val="000000" w:themeColor="text1"/>
          <w:sz w:val="18"/>
          <w:szCs w:val="18"/>
        </w:rPr>
        <w:t>Previously, this was split between DESNZ (c18%) and Defra (c23%). In March 2024, DESNZ took over responsibility of the combined UK investment.</w:t>
      </w:r>
    </w:p>
    <w:p w:rsidR="6922A194" w:rsidP="6922A194" w:rsidRDefault="6922A194" w14:paraId="557D7B0E" w14:textId="40B1E76C">
      <w:pPr>
        <w:pStyle w:val="FootnoteText"/>
      </w:pPr>
    </w:p>
  </w:footnote>
  <w:footnote w:id="3">
    <w:p w:rsidR="6922A194" w:rsidP="2D9F1044" w:rsidRDefault="6922A194" w14:paraId="6C83A42C" w14:textId="4DA82246">
      <w:pPr>
        <w:pStyle w:val="FootnoteText"/>
        <w:jc w:val="both"/>
      </w:pPr>
      <w:r w:rsidRPr="6922A194">
        <w:rPr>
          <w:rStyle w:val="FootnoteReference"/>
        </w:rPr>
        <w:footnoteRef/>
      </w:r>
      <w:r w:rsidR="6B3408AA">
        <w:t xml:space="preserve"> </w:t>
      </w:r>
      <w:r w:rsidRPr="6B3408AA" w:rsidR="6B3408AA">
        <w:rPr>
          <w:rFonts w:eastAsia="Arial" w:cs="Arial"/>
          <w:color w:val="000000" w:themeColor="text1"/>
          <w:sz w:val="18"/>
          <w:szCs w:val="18"/>
        </w:rPr>
        <w:t>Total pledged contributions as of 30 June 2025. Exchange rates have been applied to outstanding contributions, so figures may change.</w:t>
      </w:r>
    </w:p>
    <w:p w:rsidR="6922A194" w:rsidP="6922A194" w:rsidRDefault="6922A194" w14:paraId="6E581E85" w14:textId="50DDE87A">
      <w:pPr>
        <w:pStyle w:val="FootnoteText"/>
      </w:pPr>
    </w:p>
  </w:footnote>
  <w:footnote w:id="4">
    <w:p w:rsidR="00172291" w:rsidP="12921A56" w:rsidRDefault="00172291" w14:paraId="24CFD1BE" w14:textId="52E270F5">
      <w:pPr>
        <w:pStyle w:val="FootnoteText"/>
      </w:pPr>
      <w:r w:rsidRPr="12921A56">
        <w:rPr>
          <w:rStyle w:val="FootnoteReference"/>
        </w:rPr>
        <w:footnoteRef/>
      </w:r>
      <w:r>
        <w:t xml:space="preserve"> </w:t>
      </w:r>
      <w:r w:rsidRPr="12921A56">
        <w:rPr>
          <w:rFonts w:eastAsia="Arial" w:cs="Arial"/>
          <w:color w:val="000000" w:themeColor="text1"/>
          <w:sz w:val="18"/>
          <w:szCs w:val="18"/>
        </w:rPr>
        <w:t>As all five ERPDs are now complete, the World Bank is able to provide an end-of-programme target for “Net change in greenhouse gas emissions (tCO2e) reduced or avoided as a result of ISFL”.</w:t>
      </w:r>
    </w:p>
  </w:footnote>
  <w:footnote w:id="5">
    <w:p w:rsidR="00172291" w:rsidP="0BFA8330" w:rsidRDefault="00172291" w14:paraId="07647ECC" w14:textId="5C2CBA69">
      <w:pPr>
        <w:pStyle w:val="FootnoteText"/>
      </w:pPr>
      <w:r w:rsidRPr="0BFA8330">
        <w:rPr>
          <w:rStyle w:val="FootnoteReference"/>
        </w:rPr>
        <w:footnoteRef/>
      </w:r>
      <w:r>
        <w:t xml:space="preserve"> </w:t>
      </w:r>
      <w:r w:rsidRPr="0BFA8330">
        <w:rPr>
          <w:rFonts w:eastAsia="Arial" w:cs="Arial"/>
          <w:color w:val="000000" w:themeColor="text1"/>
          <w:sz w:val="18"/>
          <w:szCs w:val="18"/>
        </w:rPr>
        <w:t>As all five ERPDs are now complete, the World Bank is able to provide an end-of-programme target for “Volume of finance mobilised for climate change purposes as a result of ISFL”.</w:t>
      </w:r>
    </w:p>
  </w:footnote>
  <w:footnote w:id="6">
    <w:p w:rsidR="00172291" w:rsidP="7F4E18B6" w:rsidRDefault="00172291" w14:paraId="633416B1" w14:textId="0EF1E0F4">
      <w:pPr>
        <w:pStyle w:val="FootnoteText"/>
      </w:pPr>
      <w:r w:rsidRPr="7F4E18B6">
        <w:rPr>
          <w:rStyle w:val="FootnoteReference"/>
        </w:rPr>
        <w:footnoteRef/>
      </w:r>
      <w:r>
        <w:t xml:space="preserve"> </w:t>
      </w:r>
      <w:r w:rsidRPr="7F4E18B6">
        <w:rPr>
          <w:rFonts w:eastAsia="Arial" w:cs="Arial"/>
          <w:color w:val="000000" w:themeColor="text1"/>
          <w:sz w:val="18"/>
          <w:szCs w:val="18"/>
        </w:rPr>
        <w:t>The World Bank reduced the end-of-programme target in FY23 as the Mexico target was revised during the grant programme’s restructuring in FY23.</w:t>
      </w:r>
    </w:p>
  </w:footnote>
  <w:footnote w:id="7">
    <w:p w:rsidR="00172291" w:rsidP="7F4E18B6" w:rsidRDefault="00172291" w14:paraId="64DFD80E" w14:textId="131FE295">
      <w:pPr>
        <w:pStyle w:val="FootnoteText"/>
      </w:pPr>
      <w:r w:rsidRPr="7F4E18B6">
        <w:rPr>
          <w:rStyle w:val="FootnoteReference"/>
        </w:rPr>
        <w:footnoteRef/>
      </w:r>
      <w:r>
        <w:t xml:space="preserve"> </w:t>
      </w:r>
      <w:r w:rsidRPr="7F4E18B6">
        <w:rPr>
          <w:rFonts w:eastAsia="Arial" w:cs="Arial"/>
          <w:color w:val="000000" w:themeColor="text1"/>
          <w:sz w:val="18"/>
          <w:szCs w:val="18"/>
        </w:rPr>
        <w:t>The World Bank increased the end-of-programme target in FY24 to account for additional grant funding provided to Zambia in FY24.</w:t>
      </w:r>
    </w:p>
  </w:footnote>
  <w:footnote w:id="8">
    <w:p w:rsidR="7CBDBB8D" w:rsidP="7CBDBB8D" w:rsidRDefault="7CBDBB8D" w14:paraId="1E1F8624" w14:textId="1508FC93">
      <w:pPr>
        <w:pStyle w:val="FootnoteText"/>
      </w:pPr>
      <w:r w:rsidRPr="7CBDBB8D">
        <w:rPr>
          <w:rStyle w:val="FootnoteReference"/>
        </w:rPr>
        <w:footnoteRef/>
      </w:r>
      <w:r w:rsidR="494508DD">
        <w:rPr/>
        <w:t xml:space="preserve"> This figure includes projected investment income based on the foreign exchange rate as of 30 Sep</w:t>
      </w:r>
      <w:r w:rsidR="494508DD">
        <w:rPr/>
        <w:t xml:space="preserve">tember 202</w:t>
      </w:r>
      <w:r w:rsidR="494508DD">
        <w:rPr/>
        <w:t xml:space="preserve">5.</w:t>
      </w:r>
    </w:p>
  </w:footnote>
  <w:footnote w:id="9">
    <w:p w:rsidR="4873A3EF" w:rsidP="4873A3EF" w:rsidRDefault="4873A3EF" w14:paraId="70233820" w14:textId="14EE0D09">
      <w:pPr>
        <w:pStyle w:val="FootnoteText"/>
      </w:pPr>
      <w:r w:rsidRPr="4873A3EF">
        <w:rPr>
          <w:rStyle w:val="FootnoteReference"/>
        </w:rPr>
        <w:footnoteRef/>
      </w:r>
      <w:r>
        <w:t xml:space="preserve"> The World Bank have proposed this could be discussed as part of the pause and reflect at the upcoming ISFL annual meeting if contributors wish, or could be included on the agenda for the ISFL mid-year meeting in June 2026.</w:t>
      </w:r>
    </w:p>
    <w:p w:rsidR="4873A3EF" w:rsidP="4873A3EF" w:rsidRDefault="4873A3EF" w14:paraId="02B78B0F" w14:textId="6D981047">
      <w:pPr>
        <w:pStyle w:val="FootnoteText"/>
      </w:pPr>
    </w:p>
  </w:footnote>
  <w:footnote w:id="10">
    <w:p w:rsidR="17DB72FC" w:rsidP="17DB72FC" w:rsidRDefault="17DB72FC" w14:paraId="1DE99AFD" w14:textId="47F4B68D">
      <w:pPr>
        <w:pStyle w:val="FootnoteText"/>
      </w:pPr>
      <w:r w:rsidRPr="17DB72FC">
        <w:rPr>
          <w:rStyle w:val="FootnoteReference"/>
        </w:rPr>
        <w:footnoteRef/>
      </w:r>
      <w:r>
        <w:t xml:space="preserve"> </w:t>
      </w:r>
      <w:r w:rsidRPr="17DB72FC">
        <w:rPr>
          <w:rFonts w:eastAsia="Arial" w:cs="Arial"/>
          <w:color w:val="000000" w:themeColor="text1"/>
          <w:sz w:val="18"/>
          <w:szCs w:val="18"/>
        </w:rPr>
        <w:t>This is the most recent Portfolio Report at the time of writing.</w:t>
      </w:r>
    </w:p>
  </w:footnote>
  <w:footnote w:id="11">
    <w:p w:rsidR="004271E1" w:rsidRDefault="004271E1" w14:paraId="63968B56" w14:textId="38980026">
      <w:pPr>
        <w:pStyle w:val="FootnoteText"/>
      </w:pPr>
      <w:r>
        <w:rPr>
          <w:rStyle w:val="FootnoteReference"/>
        </w:rPr>
        <w:footnoteRef/>
      </w:r>
      <w:r>
        <w:t xml:space="preserve"> </w:t>
      </w:r>
      <w:r w:rsidRPr="5C99F1CE">
        <w:rPr>
          <w:rFonts w:cs="Arial"/>
          <w:sz w:val="22"/>
          <w:szCs w:val="22"/>
        </w:rPr>
        <w:t>For this Annual Review</w:t>
      </w:r>
      <w:r w:rsidRPr="5C99F1CE">
        <w:rPr>
          <w:rStyle w:val="CommentReference"/>
          <w:rFonts w:cs="Arial"/>
          <w:sz w:val="22"/>
          <w:szCs w:val="22"/>
        </w:rPr>
        <w:annotationRef/>
      </w:r>
      <w:r w:rsidRPr="00B74317">
        <w:rPr>
          <w:rFonts w:cs="Arial"/>
          <w:sz w:val="22"/>
          <w:szCs w:val="22"/>
        </w:rPr>
        <w:t xml:space="preserve">, DESNZ </w:t>
      </w:r>
      <w:r w:rsidRPr="5C99F1CE">
        <w:rPr>
          <w:rFonts w:cs="Arial"/>
          <w:sz w:val="22"/>
          <w:szCs w:val="22"/>
        </w:rPr>
        <w:t>has applied</w:t>
      </w:r>
      <w:r w:rsidRPr="00B74317">
        <w:rPr>
          <w:rFonts w:cs="Arial"/>
          <w:sz w:val="22"/>
          <w:szCs w:val="22"/>
        </w:rPr>
        <w:t xml:space="preserve"> a hybrid scoring approach</w:t>
      </w:r>
      <w:r>
        <w:rPr>
          <w:rFonts w:cs="Arial"/>
          <w:sz w:val="22"/>
          <w:szCs w:val="22"/>
        </w:rPr>
        <w:t xml:space="preserve">, </w:t>
      </w:r>
      <w:r w:rsidRPr="00B74317">
        <w:rPr>
          <w:rFonts w:cs="Arial"/>
          <w:sz w:val="22"/>
          <w:szCs w:val="22"/>
        </w:rPr>
        <w:t>quantitative scoring for Indicators 3.1</w:t>
      </w:r>
      <w:r>
        <w:rPr>
          <w:rFonts w:cs="Arial"/>
          <w:sz w:val="22"/>
          <w:szCs w:val="22"/>
        </w:rPr>
        <w:t>-</w:t>
      </w:r>
      <w:r w:rsidRPr="00B74317">
        <w:rPr>
          <w:rFonts w:cs="Arial"/>
          <w:sz w:val="22"/>
          <w:szCs w:val="22"/>
        </w:rPr>
        <w:t>3.3, followed by a qualitative assessment across all countries to determine the final score for Output 3</w:t>
      </w:r>
      <w:r>
        <w:rPr>
          <w:rFonts w:cs="Arial"/>
          <w:sz w:val="22"/>
          <w:szCs w:val="22"/>
        </w:rPr>
        <w:t xml:space="preserve"> overall</w:t>
      </w:r>
      <w:r w:rsidRPr="00B74317">
        <w:rPr>
          <w:rFonts w:cs="Arial"/>
          <w:sz w:val="22"/>
          <w:szCs w:val="22"/>
        </w:rPr>
        <w:t>.</w:t>
      </w:r>
    </w:p>
  </w:footnote>
  <w:footnote w:id="12">
    <w:p w:rsidR="0050214E" w:rsidP="0050214E" w:rsidRDefault="0050214E" w14:paraId="52BCF266" w14:textId="13F9E6B0">
      <w:pPr>
        <w:jc w:val="both"/>
        <w:rPr>
          <w:rFonts w:eastAsia="Arial" w:cs="Arial"/>
          <w:color w:val="000000" w:themeColor="text1"/>
          <w:sz w:val="22"/>
          <w:szCs w:val="22"/>
        </w:rPr>
      </w:pPr>
      <w:r>
        <w:rPr>
          <w:rStyle w:val="FootnoteReference"/>
        </w:rPr>
        <w:footnoteRef/>
      </w:r>
      <w:r>
        <w:t xml:space="preserve"> </w:t>
      </w:r>
      <w:r w:rsidRPr="4AF59F7F">
        <w:rPr>
          <w:rFonts w:eastAsia="Arial" w:cs="Arial"/>
          <w:color w:val="000000" w:themeColor="text1"/>
          <w:sz w:val="22"/>
          <w:szCs w:val="22"/>
        </w:rPr>
        <w:t xml:space="preserve">The World Bank has clarified that for </w:t>
      </w:r>
      <w:r>
        <w:rPr>
          <w:rFonts w:eastAsia="Arial" w:cs="Arial"/>
          <w:color w:val="000000" w:themeColor="text1"/>
          <w:sz w:val="22"/>
          <w:szCs w:val="22"/>
        </w:rPr>
        <w:t>Output Indicators 1.</w:t>
      </w:r>
      <w:r w:rsidR="00C652B2">
        <w:rPr>
          <w:rFonts w:eastAsia="Arial" w:cs="Arial"/>
          <w:color w:val="000000" w:themeColor="text1"/>
          <w:sz w:val="22"/>
          <w:szCs w:val="22"/>
        </w:rPr>
        <w:t>3</w:t>
      </w:r>
      <w:r>
        <w:rPr>
          <w:rFonts w:eastAsia="Arial" w:cs="Arial"/>
          <w:color w:val="000000" w:themeColor="text1"/>
          <w:sz w:val="22"/>
          <w:szCs w:val="22"/>
        </w:rPr>
        <w:t xml:space="preserve"> and 1.</w:t>
      </w:r>
      <w:r w:rsidR="00C652B2">
        <w:rPr>
          <w:rFonts w:eastAsia="Arial" w:cs="Arial"/>
          <w:color w:val="000000" w:themeColor="text1"/>
          <w:sz w:val="22"/>
          <w:szCs w:val="22"/>
        </w:rPr>
        <w:t>5</w:t>
      </w:r>
      <w:r w:rsidRPr="4AF59F7F">
        <w:rPr>
          <w:rFonts w:eastAsia="Arial" w:cs="Arial"/>
          <w:color w:val="000000" w:themeColor="text1"/>
          <w:sz w:val="22"/>
          <w:szCs w:val="22"/>
        </w:rPr>
        <w:t>, the ERPDs for Ethiopia and Mexico Phase II</w:t>
      </w:r>
      <w:r>
        <w:rPr>
          <w:rFonts w:eastAsia="Arial" w:cs="Arial"/>
          <w:color w:val="000000" w:themeColor="text1"/>
          <w:sz w:val="22"/>
          <w:szCs w:val="22"/>
        </w:rPr>
        <w:t>,</w:t>
      </w:r>
      <w:r w:rsidRPr="4AF59F7F">
        <w:rPr>
          <w:rFonts w:eastAsia="Arial" w:cs="Arial"/>
          <w:color w:val="000000" w:themeColor="text1"/>
          <w:sz w:val="22"/>
          <w:szCs w:val="22"/>
        </w:rPr>
        <w:t xml:space="preserve"> are not entirely new documents but updates to certain sections of the Phase I ERPDs. As such, they should not be counted as separate ERPDs, and the Bank recommends not changing the targets for these two indicators.</w:t>
      </w:r>
      <w:r>
        <w:rPr>
          <w:rStyle w:val="CommentReference"/>
        </w:rPr>
        <w:annotationRef/>
      </w:r>
      <w:r>
        <w:rPr>
          <w:rStyle w:val="CommentReference"/>
        </w:rPr>
        <w:annotationRef/>
      </w:r>
    </w:p>
    <w:p w:rsidR="0050214E" w:rsidRDefault="0050214E" w14:paraId="6F22A3E8" w14:textId="35AC0B8C">
      <w:pPr>
        <w:pStyle w:val="FootnoteText"/>
      </w:pPr>
    </w:p>
  </w:footnote>
  <w:footnote w:id="13">
    <w:p w:rsidR="598AE48C" w:rsidP="598AE48C" w:rsidRDefault="598AE48C" w14:paraId="6D67C7B1" w14:textId="328EE5F7">
      <w:pPr>
        <w:pStyle w:val="FootnoteText"/>
      </w:pPr>
      <w:r w:rsidRPr="598AE48C">
        <w:rPr>
          <w:rStyle w:val="FootnoteReference"/>
        </w:rPr>
        <w:footnoteRef/>
      </w:r>
      <w:r>
        <w:t xml:space="preserve"> </w:t>
      </w:r>
      <w:r w:rsidRPr="598AE48C">
        <w:rPr>
          <w:rFonts w:eastAsia="Arial" w:cs="Arial"/>
          <w:color w:val="000000" w:themeColor="text1"/>
          <w:sz w:val="18"/>
          <w:szCs w:val="18"/>
        </w:rPr>
        <w:t xml:space="preserve">The pilot will become operational once the emission reductions programme in the </w:t>
      </w:r>
      <w:proofErr w:type="spellStart"/>
      <w:r w:rsidRPr="598AE48C">
        <w:rPr>
          <w:rFonts w:eastAsia="Arial" w:cs="Arial"/>
          <w:color w:val="000000" w:themeColor="text1"/>
          <w:sz w:val="18"/>
          <w:szCs w:val="18"/>
        </w:rPr>
        <w:t>Orinoqu</w:t>
      </w:r>
      <w:r w:rsidRPr="598AE48C">
        <w:rPr>
          <w:rFonts w:eastAsia="Arial" w:cs="Arial"/>
          <w:color w:val="202122"/>
          <w:sz w:val="18"/>
          <w:szCs w:val="18"/>
        </w:rPr>
        <w:t>ía</w:t>
      </w:r>
      <w:proofErr w:type="spellEnd"/>
      <w:r w:rsidRPr="598AE48C">
        <w:rPr>
          <w:rFonts w:eastAsia="Arial" w:cs="Arial"/>
          <w:color w:val="202122"/>
          <w:sz w:val="18"/>
          <w:szCs w:val="18"/>
        </w:rPr>
        <w:t xml:space="preserve"> </w:t>
      </w:r>
      <w:r w:rsidRPr="598AE48C">
        <w:rPr>
          <w:rFonts w:eastAsia="Arial" w:cs="Arial"/>
          <w:color w:val="000000" w:themeColor="text1"/>
          <w:sz w:val="18"/>
          <w:szCs w:val="18"/>
        </w:rPr>
        <w:t>begins.</w:t>
      </w:r>
    </w:p>
    <w:p w:rsidR="598AE48C" w:rsidP="598AE48C" w:rsidRDefault="598AE48C" w14:paraId="12717D12" w14:textId="0B7EB489">
      <w:pPr>
        <w:pStyle w:val="FootnoteText"/>
      </w:pPr>
    </w:p>
  </w:footnote>
  <w:footnote w:id="14">
    <w:p w:rsidR="264C6985" w:rsidP="264C6985" w:rsidRDefault="264C6985" w14:paraId="278CB26A" w14:textId="62DFB34B">
      <w:pPr>
        <w:pStyle w:val="FootnoteText"/>
      </w:pPr>
      <w:r w:rsidRPr="264C6985">
        <w:rPr>
          <w:rStyle w:val="FootnoteReference"/>
        </w:rPr>
        <w:footnoteRef/>
      </w:r>
      <w:r>
        <w:t xml:space="preserve"> All exchange rate conversions have been calculated using the BOE Annual Exchange Rate £/$ for 2024 at $1 = £0.7986</w:t>
      </w:r>
    </w:p>
  </w:footnote>
  <w:footnote w:id="19521">
    <w:p w:rsidR="451C2479" w:rsidP="451C2479" w:rsidRDefault="451C2479" w14:paraId="3B024B14" w14:textId="0D57E75D">
      <w:pPr>
        <w:pStyle w:val="FootnoteText"/>
        <w:bidi w:val="0"/>
      </w:pPr>
      <w:r w:rsidRPr="451C2479">
        <w:rPr>
          <w:rStyle w:val="FootnoteReference"/>
        </w:rPr>
        <w:footnoteRef/>
      </w:r>
      <w:r w:rsidR="451C2479">
        <w:rPr/>
        <w:t xml:space="preserve"> This figure is unattributed and </w:t>
      </w:r>
      <w:r w:rsidR="451C2479">
        <w:rPr/>
        <w:t>unadditional</w:t>
      </w:r>
      <w:r w:rsidR="451C2479">
        <w:rPr/>
        <w:t>.</w:t>
      </w:r>
    </w:p>
    <w:p w:rsidR="451C2479" w:rsidP="451C2479" w:rsidRDefault="451C2479" w14:paraId="4B69F22B" w14:textId="3AE75046">
      <w:pPr>
        <w:pStyle w:val="FootnoteText"/>
        <w:bidi w:val="0"/>
      </w:pPr>
    </w:p>
  </w:footnote>
  <w:footnote w:id="6607">
    <w:p w:rsidR="1BEC79EC" w:rsidP="1BEC79EC" w:rsidRDefault="1BEC79EC" w14:paraId="2DB2EB52" w14:textId="6D4CA362">
      <w:pPr>
        <w:pStyle w:val="FootnoteText"/>
        <w:bidi w:val="0"/>
      </w:pPr>
      <w:r w:rsidRPr="1BEC79EC">
        <w:rPr>
          <w:rStyle w:val="FootnoteReference"/>
        </w:rPr>
        <w:footnoteRef/>
      </w:r>
      <w:r w:rsidR="464D9136">
        <w:rPr/>
        <w:t xml:space="preserve"> Figure divides the unattributed result by the total donor finance from all countri</w:t>
      </w:r>
      <w:r w:rsidR="464D9136">
        <w:rPr/>
        <w:t xml:space="preserve">es. </w:t>
      </w:r>
    </w:p>
  </w:footnote>
  <w:footnote w:id="27186">
    <w:p w:rsidR="6A24349E" w:rsidP="6A24349E" w:rsidRDefault="6A24349E" w14:paraId="5E2824D7" w14:textId="3EE43981">
      <w:pPr>
        <w:pStyle w:val="FootnoteText"/>
        <w:bidi w:val="0"/>
      </w:pPr>
      <w:r w:rsidRPr="6A24349E">
        <w:rPr>
          <w:rStyle w:val="FootnoteReference"/>
        </w:rPr>
        <w:footnoteRef/>
      </w:r>
      <w:r w:rsidR="6A24349E">
        <w:rPr/>
        <w:t xml:space="preserve"> </w:t>
      </w:r>
      <w:r w:rsidR="6A24349E">
        <w:rPr/>
        <w:t>These results are only partially aggregated into the ISFL fund level results.</w:t>
      </w:r>
    </w:p>
  </w:footnote>
  <w:footnote w:id="12775">
    <w:p w:rsidR="79A0D5E9" w:rsidP="79A0D5E9" w:rsidRDefault="79A0D5E9" w14:paraId="47E4B66A" w14:textId="015ABE29">
      <w:pPr>
        <w:pStyle w:val="FootnoteText"/>
        <w:bidi w:val="0"/>
      </w:pPr>
      <w:r w:rsidRPr="79A0D5E9">
        <w:rPr>
          <w:rStyle w:val="FootnoteReference"/>
        </w:rPr>
        <w:footnoteRef/>
      </w:r>
      <w:r w:rsidR="79A0D5E9">
        <w:rPr/>
        <w:t xml:space="preserve"> As this is supported by other investors, the results here are not fully attributable to the ISFL.</w:t>
      </w:r>
    </w:p>
  </w:footnote>
  <w:footnote w:id="11898">
    <w:p w:rsidR="0DDBE21B" w:rsidP="0DDBE21B" w:rsidRDefault="0DDBE21B" w14:paraId="2926A61C" w14:textId="0C1D7FE6">
      <w:pPr>
        <w:pStyle w:val="FootnoteText"/>
        <w:bidi w:val="0"/>
      </w:pPr>
      <w:r w:rsidRPr="0DDBE21B">
        <w:rPr>
          <w:rStyle w:val="FootnoteReference"/>
        </w:rPr>
        <w:footnoteRef/>
      </w:r>
      <w:r w:rsidR="07618ABC">
        <w:rPr/>
        <w:t xml:space="preserve"> </w:t>
      </w:r>
      <w:r w:rsidR="07618ABC">
        <w:rPr/>
        <w:t xml:space="preserve">The FY2</w:t>
      </w:r>
      <w:r w:rsidR="07618ABC">
        <w:rPr/>
        <w:t xml:space="preserve">5 result (13,607,436 ha) is less than the FY24 result</w:t>
      </w:r>
      <w:r w:rsidR="07618ABC">
        <w:rPr/>
        <w:t xml:space="preserve"> (13,</w:t>
      </w:r>
      <w:r w:rsidR="07618ABC">
        <w:rPr/>
        <w:t xml:space="preserve">632,166 ha). This is because Indonesia’s result under this indicator decreased following v</w:t>
      </w:r>
      <w:r w:rsidR="07618ABC">
        <w:rPr/>
        <w:t xml:space="preserve">erification.</w:t>
      </w:r>
    </w:p>
  </w:footnote>
  <w:footnote w:id="10494">
    <w:p w:rsidR="57AB0E34" w:rsidP="57AB0E34" w:rsidRDefault="57AB0E34" w14:paraId="43E7D3D5" w14:textId="33CA8E2D">
      <w:pPr>
        <w:pStyle w:val="FootnoteText"/>
        <w:bidi w:val="0"/>
      </w:pPr>
      <w:r w:rsidRPr="57AB0E34">
        <w:rPr>
          <w:rStyle w:val="FootnoteReference"/>
        </w:rPr>
        <w:footnoteRef/>
      </w:r>
      <w:r w:rsidR="01BBEB80">
        <w:rPr/>
        <w:t xml:space="preserve"> </w:t>
      </w:r>
      <w:r w:rsidR="01BBEB80">
        <w:rPr/>
        <w:t xml:space="preserve">This is the approximate GBP </w:t>
      </w:r>
      <w:r w:rsidR="01BBEB80">
        <w:rPr/>
        <w:t xml:space="preserve">equivalent of USD </w:t>
      </w:r>
      <w:r w:rsidR="01BBEB80">
        <w:rPr/>
        <w:t xml:space="preserve">$7.21m</w:t>
      </w:r>
      <w:r w:rsidR="01BBEB80">
        <w:rPr/>
        <w:t xml:space="preserve"> on 24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7200D" w:rsidRDefault="0007200D" w14:paraId="567B9BE7" w14:textId="6FB8CB94">
    <w:pPr>
      <w:pStyle w:val="Header"/>
    </w:pPr>
    <w:r>
      <w:rPr>
        <w:noProof/>
      </w:rPr>
      <mc:AlternateContent>
        <mc:Choice Requires="wps">
          <w:drawing>
            <wp:anchor distT="0" distB="0" distL="0" distR="0" simplePos="0" relativeHeight="251658243" behindDoc="0" locked="0" layoutInCell="1" allowOverlap="1" wp14:anchorId="1F66D9F0" wp14:editId="4260BEA7">
              <wp:simplePos x="635" y="635"/>
              <wp:positionH relativeFrom="page">
                <wp:align>center</wp:align>
              </wp:positionH>
              <wp:positionV relativeFrom="page">
                <wp:align>top</wp:align>
              </wp:positionV>
              <wp:extent cx="635635" cy="345440"/>
              <wp:effectExtent l="0" t="0" r="12065" b="16510"/>
              <wp:wrapNone/>
              <wp:docPr id="1830901876"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5635" cy="345440"/>
                      </a:xfrm>
                      <a:prstGeom prst="rect">
                        <a:avLst/>
                      </a:prstGeom>
                      <a:noFill/>
                      <a:ln>
                        <a:noFill/>
                      </a:ln>
                    </wps:spPr>
                    <wps:txbx>
                      <w:txbxContent>
                        <w:p w:rsidRPr="0007200D" w:rsidR="0007200D" w:rsidP="0007200D" w:rsidRDefault="0007200D" w14:paraId="754872D4" w14:textId="776A2DA4">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1F66D9F0">
              <v:stroke joinstyle="miter"/>
              <v:path gradientshapeok="t" o:connecttype="rect"/>
            </v:shapetype>
            <v:shape id="Text Box 2" style="position:absolute;margin-left:0;margin-top:0;width:50.05pt;height:27.2pt;z-index:251658243;visibility:visible;mso-wrap-style:none;mso-wrap-distance-left:0;mso-wrap-distance-top:0;mso-wrap-distance-right:0;mso-wrap-distance-bottom:0;mso-position-horizontal:center;mso-position-horizontal-relative:page;mso-position-vertical:top;mso-position-vertical-relative:page;v-text-anchor:top" alt="UK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">
              <v:textbox style="mso-fit-shape-to-text:t" inset="0,15pt,0,0">
                <w:txbxContent>
                  <w:p w:rsidRPr="0007200D" w:rsidR="0007200D" w:rsidP="0007200D" w:rsidRDefault="0007200D" w14:paraId="754872D4" w14:textId="776A2DA4">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18EEF2E2" w:rsidP="18EEF2E2" w:rsidRDefault="0007200D" w14:paraId="6D215E7C" w14:textId="63B6F6E3">
    <w:pPr>
      <w:pStyle w:val="Header"/>
      <w:pBdr>
        <w:bottom w:val="single" w:color="2B7EE2" w:sz="2" w:space="3"/>
      </w:pBdr>
      <w:rPr>
        <w:color w:val="041E42"/>
        <w:sz w:val="22"/>
        <w:szCs w:val="22"/>
      </w:rPr>
    </w:pPr>
    <w:r>
      <w:rPr>
        <w:noProof/>
        <w:color w:val="041E42"/>
        <w:sz w:val="22"/>
        <w:szCs w:val="22"/>
      </w:rPr>
      <mc:AlternateContent>
        <mc:Choice Requires="wps">
          <w:drawing>
            <wp:anchor distT="0" distB="0" distL="0" distR="0" simplePos="0" relativeHeight="251658241" behindDoc="0" locked="0" layoutInCell="1" allowOverlap="1" wp14:anchorId="7D2A558D" wp14:editId="52A9BC48">
              <wp:simplePos x="915035" y="450215"/>
              <wp:positionH relativeFrom="page">
                <wp:align>center</wp:align>
              </wp:positionH>
              <wp:positionV relativeFrom="page">
                <wp:align>top</wp:align>
              </wp:positionV>
              <wp:extent cx="635635" cy="345440"/>
              <wp:effectExtent l="0" t="0" r="12065" b="16510"/>
              <wp:wrapNone/>
              <wp:docPr id="630130060"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5635" cy="345440"/>
                      </a:xfrm>
                      <a:prstGeom prst="rect">
                        <a:avLst/>
                      </a:prstGeom>
                      <a:noFill/>
                      <a:ln>
                        <a:noFill/>
                      </a:ln>
                    </wps:spPr>
                    <wps:txbx>
                      <w:txbxContent>
                        <w:p w:rsidRPr="0007200D" w:rsidR="0007200D" w:rsidP="0007200D" w:rsidRDefault="0007200D" w14:paraId="7ADFCD53" w14:textId="76D4D9C4">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7D2A558D">
              <v:stroke joinstyle="miter"/>
              <v:path gradientshapeok="t" o:connecttype="rect"/>
            </v:shapetype>
            <v:shape id="Text Box 3" style="position:absolute;margin-left:0;margin-top:0;width:50.05pt;height:27.2pt;z-index:251658241;visibility:visible;mso-wrap-style:none;mso-wrap-distance-left:0;mso-wrap-distance-top:0;mso-wrap-distance-right:0;mso-wrap-distance-bottom:0;mso-position-horizontal:center;mso-position-horizontal-relative:page;mso-position-vertical:top;mso-position-vertical-relative:page;v-text-anchor:top" alt="UK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">
              <v:textbox style="mso-fit-shape-to-text:t" inset="0,15pt,0,0">
                <w:txbxContent>
                  <w:p w:rsidRPr="0007200D" w:rsidR="0007200D" w:rsidP="0007200D" w:rsidRDefault="0007200D" w14:paraId="7ADFCD53" w14:textId="76D4D9C4">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v:textbox>
              <w10:wrap anchorx="page" anchory="page"/>
            </v:shape>
          </w:pict>
        </mc:Fallback>
      </mc:AlternateContent>
    </w:r>
    <w:r w:rsidRPr="18EEF2E2" w:rsidR="18EEF2E2">
      <w:rPr>
        <w:color w:val="041E42"/>
        <w:sz w:val="22"/>
        <w:szCs w:val="22"/>
      </w:rPr>
      <w:t xml:space="preserve">BioCarbon Fund Initiative for Sustainable Forest Landscapes (ISFL) Annual Review 2024 - 2025  </w:t>
    </w:r>
  </w:p>
  <w:p w:rsidR="00164467" w:rsidRDefault="00164467" w14:paraId="0FC91C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C67FEB" w:rsidRDefault="0007200D" w14:paraId="227BA78C" w14:textId="41A7FDD9">
    <w:pPr>
      <w:pStyle w:val="Header"/>
    </w:pPr>
    <w:r>
      <w:rPr>
        <w:noProof/>
      </w:rPr>
      <mc:AlternateContent>
        <mc:Choice Requires="wps">
          <w:drawing>
            <wp:anchor distT="0" distB="0" distL="0" distR="0" simplePos="0" relativeHeight="251658240" behindDoc="0" locked="0" layoutInCell="1" allowOverlap="1" wp14:anchorId="64C23B3B" wp14:editId="312F3D5D">
              <wp:simplePos x="914400" y="450850"/>
              <wp:positionH relativeFrom="page">
                <wp:align>center</wp:align>
              </wp:positionH>
              <wp:positionV relativeFrom="page">
                <wp:align>top</wp:align>
              </wp:positionV>
              <wp:extent cx="635635" cy="345440"/>
              <wp:effectExtent l="0" t="0" r="12065" b="16510"/>
              <wp:wrapNone/>
              <wp:docPr id="2102454400" name="Text Box 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5635" cy="345440"/>
                      </a:xfrm>
                      <a:prstGeom prst="rect">
                        <a:avLst/>
                      </a:prstGeom>
                      <a:noFill/>
                      <a:ln>
                        <a:noFill/>
                      </a:ln>
                    </wps:spPr>
                    <wps:txbx>
                      <w:txbxContent>
                        <w:p w:rsidRPr="0007200D" w:rsidR="0007200D" w:rsidP="0007200D" w:rsidRDefault="0007200D" w14:paraId="153F004E" w14:textId="2CFB5EDE">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64C23B3B">
              <v:stroke joinstyle="miter"/>
              <v:path gradientshapeok="t" o:connecttype="rect"/>
            </v:shapetype>
            <v:shape id="Text Box 1" style="position:absolute;margin-left:0;margin-top:0;width:50.05pt;height:27.2pt;z-index:251658240;visibility:visible;mso-wrap-style:none;mso-wrap-distance-left:0;mso-wrap-distance-top:0;mso-wrap-distance-right:0;mso-wrap-distance-bottom:0;mso-position-horizontal:center;mso-position-horizontal-relative:page;mso-position-vertical:top;mso-position-vertical-relative:page;v-text-anchor:top" alt="UK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">
              <v:textbox style="mso-fit-shape-to-text:t" inset="0,15pt,0,0">
                <w:txbxContent>
                  <w:p w:rsidRPr="0007200D" w:rsidR="0007200D" w:rsidP="0007200D" w:rsidRDefault="0007200D" w14:paraId="153F004E" w14:textId="2CFB5EDE">
                    <w:pPr>
                      <w:rPr>
                        <w:rFonts w:ascii="Calibri" w:hAnsi="Calibri" w:eastAsia="Calibri" w:cs="Calibri"/>
                        <w:noProof/>
                        <w:color w:val="000000"/>
                        <w:sz w:val="20"/>
                        <w:szCs w:val="20"/>
                      </w:rPr>
                    </w:pPr>
                    <w:r w:rsidRPr="0007200D">
                      <w:rPr>
                        <w:rFonts w:ascii="Calibri" w:hAnsi="Calibri" w:eastAsia="Calibri" w:cs="Calibri"/>
                        <w:noProof/>
                        <w:color w:val="000000"/>
                        <w:sz w:val="20"/>
                        <w:szCs w:val="20"/>
                      </w:rPr>
                      <w:t>UK OFFICIAL</w:t>
                    </w:r>
                  </w:p>
                </w:txbxContent>
              </v:textbox>
              <w10:wrap anchorx="page" anchory="page"/>
            </v:shape>
          </w:pict>
        </mc:Fallback>
      </mc:AlternateContent>
    </w:r>
    <w:r w:rsidR="00E64702">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4OtNiqu" int2:invalidationBookmarkName="" int2:hashCode="RhSMw7TSs6yAc/" int2:id="rVmbFgb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C845"/>
    <w:multiLevelType w:val="hybridMultilevel"/>
    <w:tmpl w:val="4E4E8CA6"/>
    <w:lvl w:ilvl="0" w:tplc="2BF4B452">
      <w:start w:val="1"/>
      <w:numFmt w:val="lowerLetter"/>
      <w:lvlText w:val="%1."/>
      <w:lvlJc w:val="left"/>
      <w:pPr>
        <w:ind w:left="720" w:hanging="360"/>
      </w:pPr>
    </w:lvl>
    <w:lvl w:ilvl="1" w:tplc="46C09632">
      <w:start w:val="1"/>
      <w:numFmt w:val="lowerLetter"/>
      <w:lvlText w:val="%2."/>
      <w:lvlJc w:val="left"/>
      <w:pPr>
        <w:ind w:left="1440" w:hanging="360"/>
      </w:pPr>
    </w:lvl>
    <w:lvl w:ilvl="2" w:tplc="6B76F036">
      <w:start w:val="1"/>
      <w:numFmt w:val="lowerRoman"/>
      <w:lvlText w:val="%3."/>
      <w:lvlJc w:val="right"/>
      <w:pPr>
        <w:ind w:left="2160" w:hanging="180"/>
      </w:pPr>
    </w:lvl>
    <w:lvl w:ilvl="3" w:tplc="DC24CE50">
      <w:start w:val="1"/>
      <w:numFmt w:val="decimal"/>
      <w:lvlText w:val="%4."/>
      <w:lvlJc w:val="left"/>
      <w:pPr>
        <w:ind w:left="2880" w:hanging="360"/>
      </w:pPr>
    </w:lvl>
    <w:lvl w:ilvl="4" w:tplc="56824A4C">
      <w:start w:val="1"/>
      <w:numFmt w:val="lowerLetter"/>
      <w:lvlText w:val="%5."/>
      <w:lvlJc w:val="left"/>
      <w:pPr>
        <w:ind w:left="3600" w:hanging="360"/>
      </w:pPr>
    </w:lvl>
    <w:lvl w:ilvl="5" w:tplc="D8BEA620">
      <w:start w:val="1"/>
      <w:numFmt w:val="lowerRoman"/>
      <w:lvlText w:val="%6."/>
      <w:lvlJc w:val="right"/>
      <w:pPr>
        <w:ind w:left="4320" w:hanging="180"/>
      </w:pPr>
    </w:lvl>
    <w:lvl w:ilvl="6" w:tplc="B792D506">
      <w:start w:val="1"/>
      <w:numFmt w:val="decimal"/>
      <w:lvlText w:val="%7."/>
      <w:lvlJc w:val="left"/>
      <w:pPr>
        <w:ind w:left="5040" w:hanging="360"/>
      </w:pPr>
    </w:lvl>
    <w:lvl w:ilvl="7" w:tplc="FE0A7620">
      <w:start w:val="1"/>
      <w:numFmt w:val="lowerLetter"/>
      <w:lvlText w:val="%8."/>
      <w:lvlJc w:val="left"/>
      <w:pPr>
        <w:ind w:left="5760" w:hanging="360"/>
      </w:pPr>
    </w:lvl>
    <w:lvl w:ilvl="8" w:tplc="2AF8BD3E">
      <w:start w:val="1"/>
      <w:numFmt w:val="lowerRoman"/>
      <w:lvlText w:val="%9."/>
      <w:lvlJc w:val="right"/>
      <w:pPr>
        <w:ind w:left="6480" w:hanging="180"/>
      </w:pPr>
    </w:lvl>
  </w:abstractNum>
  <w:abstractNum w:abstractNumId="1" w15:restartNumberingAfterBreak="0">
    <w:nsid w:val="061FC8B1"/>
    <w:multiLevelType w:val="hybridMultilevel"/>
    <w:tmpl w:val="C4E662BE"/>
    <w:lvl w:ilvl="0" w:tplc="AFE2F82E">
      <w:start w:val="1"/>
      <w:numFmt w:val="bullet"/>
      <w:lvlText w:val=""/>
      <w:lvlJc w:val="left"/>
      <w:pPr>
        <w:ind w:left="720" w:hanging="360"/>
      </w:pPr>
      <w:rPr>
        <w:rFonts w:hint="default" w:ascii="Symbol" w:hAnsi="Symbol"/>
      </w:rPr>
    </w:lvl>
    <w:lvl w:ilvl="1" w:tplc="949C8886">
      <w:start w:val="1"/>
      <w:numFmt w:val="bullet"/>
      <w:lvlText w:val="o"/>
      <w:lvlJc w:val="left"/>
      <w:pPr>
        <w:ind w:left="1440" w:hanging="360"/>
      </w:pPr>
      <w:rPr>
        <w:rFonts w:hint="default" w:ascii="Courier New" w:hAnsi="Courier New"/>
      </w:rPr>
    </w:lvl>
    <w:lvl w:ilvl="2" w:tplc="F208C6F2">
      <w:start w:val="1"/>
      <w:numFmt w:val="bullet"/>
      <w:lvlText w:val=""/>
      <w:lvlJc w:val="left"/>
      <w:pPr>
        <w:ind w:left="2160" w:hanging="360"/>
      </w:pPr>
      <w:rPr>
        <w:rFonts w:hint="default" w:ascii="Wingdings" w:hAnsi="Wingdings"/>
      </w:rPr>
    </w:lvl>
    <w:lvl w:ilvl="3" w:tplc="EC16A750">
      <w:start w:val="1"/>
      <w:numFmt w:val="bullet"/>
      <w:lvlText w:val=""/>
      <w:lvlJc w:val="left"/>
      <w:pPr>
        <w:ind w:left="2880" w:hanging="360"/>
      </w:pPr>
      <w:rPr>
        <w:rFonts w:hint="default" w:ascii="Symbol" w:hAnsi="Symbol"/>
      </w:rPr>
    </w:lvl>
    <w:lvl w:ilvl="4" w:tplc="4184B1F4">
      <w:start w:val="1"/>
      <w:numFmt w:val="bullet"/>
      <w:lvlText w:val="o"/>
      <w:lvlJc w:val="left"/>
      <w:pPr>
        <w:ind w:left="3600" w:hanging="360"/>
      </w:pPr>
      <w:rPr>
        <w:rFonts w:hint="default" w:ascii="Courier New" w:hAnsi="Courier New"/>
      </w:rPr>
    </w:lvl>
    <w:lvl w:ilvl="5" w:tplc="694C055C">
      <w:start w:val="1"/>
      <w:numFmt w:val="bullet"/>
      <w:lvlText w:val=""/>
      <w:lvlJc w:val="left"/>
      <w:pPr>
        <w:ind w:left="4320" w:hanging="360"/>
      </w:pPr>
      <w:rPr>
        <w:rFonts w:hint="default" w:ascii="Wingdings" w:hAnsi="Wingdings"/>
      </w:rPr>
    </w:lvl>
    <w:lvl w:ilvl="6" w:tplc="157A59CE">
      <w:start w:val="1"/>
      <w:numFmt w:val="bullet"/>
      <w:lvlText w:val=""/>
      <w:lvlJc w:val="left"/>
      <w:pPr>
        <w:ind w:left="5040" w:hanging="360"/>
      </w:pPr>
      <w:rPr>
        <w:rFonts w:hint="default" w:ascii="Symbol" w:hAnsi="Symbol"/>
      </w:rPr>
    </w:lvl>
    <w:lvl w:ilvl="7" w:tplc="9CF017FE">
      <w:start w:val="1"/>
      <w:numFmt w:val="bullet"/>
      <w:lvlText w:val="o"/>
      <w:lvlJc w:val="left"/>
      <w:pPr>
        <w:ind w:left="5760" w:hanging="360"/>
      </w:pPr>
      <w:rPr>
        <w:rFonts w:hint="default" w:ascii="Courier New" w:hAnsi="Courier New"/>
      </w:rPr>
    </w:lvl>
    <w:lvl w:ilvl="8" w:tplc="E7FC612E">
      <w:start w:val="1"/>
      <w:numFmt w:val="bullet"/>
      <w:lvlText w:val=""/>
      <w:lvlJc w:val="left"/>
      <w:pPr>
        <w:ind w:left="6480" w:hanging="360"/>
      </w:pPr>
      <w:rPr>
        <w:rFonts w:hint="default" w:ascii="Wingdings" w:hAnsi="Wingdings"/>
      </w:rPr>
    </w:lvl>
  </w:abstractNum>
  <w:abstractNum w:abstractNumId="2" w15:restartNumberingAfterBreak="0">
    <w:nsid w:val="080DC960"/>
    <w:multiLevelType w:val="hybridMultilevel"/>
    <w:tmpl w:val="18B41934"/>
    <w:lvl w:ilvl="0" w:tplc="21401540">
      <w:start w:val="1"/>
      <w:numFmt w:val="bullet"/>
      <w:lvlText w:val=""/>
      <w:lvlJc w:val="left"/>
      <w:pPr>
        <w:ind w:left="1080" w:hanging="360"/>
      </w:pPr>
      <w:rPr>
        <w:rFonts w:hint="default" w:ascii="Symbol" w:hAnsi="Symbol"/>
      </w:rPr>
    </w:lvl>
    <w:lvl w:ilvl="1" w:tplc="BC7EDF9A">
      <w:start w:val="1"/>
      <w:numFmt w:val="bullet"/>
      <w:lvlText w:val="o"/>
      <w:lvlJc w:val="left"/>
      <w:pPr>
        <w:ind w:left="1800" w:hanging="360"/>
      </w:pPr>
      <w:rPr>
        <w:rFonts w:hint="default" w:ascii="Courier New" w:hAnsi="Courier New"/>
      </w:rPr>
    </w:lvl>
    <w:lvl w:ilvl="2" w:tplc="BA50209C">
      <w:start w:val="1"/>
      <w:numFmt w:val="bullet"/>
      <w:lvlText w:val=""/>
      <w:lvlJc w:val="left"/>
      <w:pPr>
        <w:ind w:left="2520" w:hanging="360"/>
      </w:pPr>
      <w:rPr>
        <w:rFonts w:hint="default" w:ascii="Wingdings" w:hAnsi="Wingdings"/>
      </w:rPr>
    </w:lvl>
    <w:lvl w:ilvl="3" w:tplc="5FDABD8E">
      <w:start w:val="1"/>
      <w:numFmt w:val="bullet"/>
      <w:lvlText w:val=""/>
      <w:lvlJc w:val="left"/>
      <w:pPr>
        <w:ind w:left="3240" w:hanging="360"/>
      </w:pPr>
      <w:rPr>
        <w:rFonts w:hint="default" w:ascii="Symbol" w:hAnsi="Symbol"/>
      </w:rPr>
    </w:lvl>
    <w:lvl w:ilvl="4" w:tplc="827A0916">
      <w:start w:val="1"/>
      <w:numFmt w:val="bullet"/>
      <w:lvlText w:val="o"/>
      <w:lvlJc w:val="left"/>
      <w:pPr>
        <w:ind w:left="3960" w:hanging="360"/>
      </w:pPr>
      <w:rPr>
        <w:rFonts w:hint="default" w:ascii="Courier New" w:hAnsi="Courier New"/>
      </w:rPr>
    </w:lvl>
    <w:lvl w:ilvl="5" w:tplc="FD1EFD92">
      <w:start w:val="1"/>
      <w:numFmt w:val="bullet"/>
      <w:lvlText w:val=""/>
      <w:lvlJc w:val="left"/>
      <w:pPr>
        <w:ind w:left="4680" w:hanging="360"/>
      </w:pPr>
      <w:rPr>
        <w:rFonts w:hint="default" w:ascii="Wingdings" w:hAnsi="Wingdings"/>
      </w:rPr>
    </w:lvl>
    <w:lvl w:ilvl="6" w:tplc="795EA3DA">
      <w:start w:val="1"/>
      <w:numFmt w:val="bullet"/>
      <w:lvlText w:val=""/>
      <w:lvlJc w:val="left"/>
      <w:pPr>
        <w:ind w:left="5400" w:hanging="360"/>
      </w:pPr>
      <w:rPr>
        <w:rFonts w:hint="default" w:ascii="Symbol" w:hAnsi="Symbol"/>
      </w:rPr>
    </w:lvl>
    <w:lvl w:ilvl="7" w:tplc="6EA67688">
      <w:start w:val="1"/>
      <w:numFmt w:val="bullet"/>
      <w:lvlText w:val="o"/>
      <w:lvlJc w:val="left"/>
      <w:pPr>
        <w:ind w:left="6120" w:hanging="360"/>
      </w:pPr>
      <w:rPr>
        <w:rFonts w:hint="default" w:ascii="Courier New" w:hAnsi="Courier New"/>
      </w:rPr>
    </w:lvl>
    <w:lvl w:ilvl="8" w:tplc="BC687F42">
      <w:start w:val="1"/>
      <w:numFmt w:val="bullet"/>
      <w:lvlText w:val=""/>
      <w:lvlJc w:val="left"/>
      <w:pPr>
        <w:ind w:left="6840" w:hanging="360"/>
      </w:pPr>
      <w:rPr>
        <w:rFonts w:hint="default" w:ascii="Wingdings" w:hAnsi="Wingdings"/>
      </w:rPr>
    </w:lvl>
  </w:abstractNum>
  <w:abstractNum w:abstractNumId="3" w15:restartNumberingAfterBreak="0">
    <w:nsid w:val="09D4313E"/>
    <w:multiLevelType w:val="multilevel"/>
    <w:tmpl w:val="8B884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53375F"/>
    <w:multiLevelType w:val="hybridMultilevel"/>
    <w:tmpl w:val="B8320F08"/>
    <w:lvl w:ilvl="0" w:tplc="1BB69F3C">
      <w:start w:val="1"/>
      <w:numFmt w:val="bullet"/>
      <w:lvlText w:val=""/>
      <w:lvlJc w:val="left"/>
      <w:pPr>
        <w:ind w:left="720" w:hanging="360"/>
      </w:pPr>
      <w:rPr>
        <w:rFonts w:hint="default" w:ascii="Symbol" w:hAnsi="Symbol"/>
      </w:rPr>
    </w:lvl>
    <w:lvl w:ilvl="1" w:tplc="2D2413F0">
      <w:start w:val="1"/>
      <w:numFmt w:val="bullet"/>
      <w:lvlText w:val="o"/>
      <w:lvlJc w:val="left"/>
      <w:pPr>
        <w:ind w:left="1440" w:hanging="360"/>
      </w:pPr>
      <w:rPr>
        <w:rFonts w:hint="default" w:ascii="Courier New" w:hAnsi="Courier New"/>
      </w:rPr>
    </w:lvl>
    <w:lvl w:ilvl="2" w:tplc="52A639B4">
      <w:start w:val="1"/>
      <w:numFmt w:val="bullet"/>
      <w:lvlText w:val=""/>
      <w:lvlJc w:val="left"/>
      <w:pPr>
        <w:ind w:left="2160" w:hanging="360"/>
      </w:pPr>
      <w:rPr>
        <w:rFonts w:hint="default" w:ascii="Wingdings" w:hAnsi="Wingdings"/>
      </w:rPr>
    </w:lvl>
    <w:lvl w:ilvl="3" w:tplc="2E18BAF4">
      <w:start w:val="1"/>
      <w:numFmt w:val="bullet"/>
      <w:lvlText w:val=""/>
      <w:lvlJc w:val="left"/>
      <w:pPr>
        <w:ind w:left="2880" w:hanging="360"/>
      </w:pPr>
      <w:rPr>
        <w:rFonts w:hint="default" w:ascii="Symbol" w:hAnsi="Symbol"/>
      </w:rPr>
    </w:lvl>
    <w:lvl w:ilvl="4" w:tplc="959640A4">
      <w:start w:val="1"/>
      <w:numFmt w:val="bullet"/>
      <w:lvlText w:val="o"/>
      <w:lvlJc w:val="left"/>
      <w:pPr>
        <w:ind w:left="3600" w:hanging="360"/>
      </w:pPr>
      <w:rPr>
        <w:rFonts w:hint="default" w:ascii="Courier New" w:hAnsi="Courier New"/>
      </w:rPr>
    </w:lvl>
    <w:lvl w:ilvl="5" w:tplc="481226A6">
      <w:start w:val="1"/>
      <w:numFmt w:val="bullet"/>
      <w:lvlText w:val=""/>
      <w:lvlJc w:val="left"/>
      <w:pPr>
        <w:ind w:left="4320" w:hanging="360"/>
      </w:pPr>
      <w:rPr>
        <w:rFonts w:hint="default" w:ascii="Wingdings" w:hAnsi="Wingdings"/>
      </w:rPr>
    </w:lvl>
    <w:lvl w:ilvl="6" w:tplc="23409356">
      <w:start w:val="1"/>
      <w:numFmt w:val="bullet"/>
      <w:lvlText w:val=""/>
      <w:lvlJc w:val="left"/>
      <w:pPr>
        <w:ind w:left="5040" w:hanging="360"/>
      </w:pPr>
      <w:rPr>
        <w:rFonts w:hint="default" w:ascii="Symbol" w:hAnsi="Symbol"/>
      </w:rPr>
    </w:lvl>
    <w:lvl w:ilvl="7" w:tplc="AFDC0AAA">
      <w:start w:val="1"/>
      <w:numFmt w:val="bullet"/>
      <w:lvlText w:val="o"/>
      <w:lvlJc w:val="left"/>
      <w:pPr>
        <w:ind w:left="5760" w:hanging="360"/>
      </w:pPr>
      <w:rPr>
        <w:rFonts w:hint="default" w:ascii="Courier New" w:hAnsi="Courier New"/>
      </w:rPr>
    </w:lvl>
    <w:lvl w:ilvl="8" w:tplc="7496328E">
      <w:start w:val="1"/>
      <w:numFmt w:val="bullet"/>
      <w:lvlText w:val=""/>
      <w:lvlJc w:val="left"/>
      <w:pPr>
        <w:ind w:left="6480" w:hanging="360"/>
      </w:pPr>
      <w:rPr>
        <w:rFonts w:hint="default" w:ascii="Wingdings" w:hAnsi="Wingdings"/>
      </w:rPr>
    </w:lvl>
  </w:abstractNum>
  <w:abstractNum w:abstractNumId="5" w15:restartNumberingAfterBreak="0">
    <w:nsid w:val="0F2FB744"/>
    <w:multiLevelType w:val="multilevel"/>
    <w:tmpl w:val="0924151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AC35234"/>
    <w:multiLevelType w:val="hybridMultilevel"/>
    <w:tmpl w:val="C9B84288"/>
    <w:lvl w:ilvl="0" w:tplc="241EECCE">
      <w:start w:val="1"/>
      <w:numFmt w:val="bullet"/>
      <w:lvlText w:val="-"/>
      <w:lvlJc w:val="left"/>
      <w:pPr>
        <w:ind w:left="1080" w:hanging="360"/>
      </w:pPr>
      <w:rPr>
        <w:rFonts w:hint="default" w:ascii="Courier New" w:hAnsi="Courier New"/>
      </w:rPr>
    </w:lvl>
    <w:lvl w:ilvl="1" w:tplc="29EA56C0">
      <w:start w:val="1"/>
      <w:numFmt w:val="bullet"/>
      <w:lvlText w:val="o"/>
      <w:lvlJc w:val="left"/>
      <w:pPr>
        <w:ind w:left="1800" w:hanging="360"/>
      </w:pPr>
      <w:rPr>
        <w:rFonts w:hint="default" w:ascii="Courier New" w:hAnsi="Courier New"/>
      </w:rPr>
    </w:lvl>
    <w:lvl w:ilvl="2" w:tplc="79149A38" w:tentative="1">
      <w:start w:val="1"/>
      <w:numFmt w:val="bullet"/>
      <w:lvlText w:val=""/>
      <w:lvlJc w:val="left"/>
      <w:pPr>
        <w:ind w:left="2520" w:hanging="360"/>
      </w:pPr>
      <w:rPr>
        <w:rFonts w:hint="default" w:ascii="Wingdings" w:hAnsi="Wingdings"/>
      </w:rPr>
    </w:lvl>
    <w:lvl w:ilvl="3" w:tplc="D8828F1C" w:tentative="1">
      <w:start w:val="1"/>
      <w:numFmt w:val="bullet"/>
      <w:lvlText w:val=""/>
      <w:lvlJc w:val="left"/>
      <w:pPr>
        <w:ind w:left="3240" w:hanging="360"/>
      </w:pPr>
      <w:rPr>
        <w:rFonts w:hint="default" w:ascii="Symbol" w:hAnsi="Symbol"/>
      </w:rPr>
    </w:lvl>
    <w:lvl w:ilvl="4" w:tplc="B41660B4" w:tentative="1">
      <w:start w:val="1"/>
      <w:numFmt w:val="bullet"/>
      <w:lvlText w:val="o"/>
      <w:lvlJc w:val="left"/>
      <w:pPr>
        <w:ind w:left="3960" w:hanging="360"/>
      </w:pPr>
      <w:rPr>
        <w:rFonts w:hint="default" w:ascii="Courier New" w:hAnsi="Courier New"/>
      </w:rPr>
    </w:lvl>
    <w:lvl w:ilvl="5" w:tplc="351492E4" w:tentative="1">
      <w:start w:val="1"/>
      <w:numFmt w:val="bullet"/>
      <w:lvlText w:val=""/>
      <w:lvlJc w:val="left"/>
      <w:pPr>
        <w:ind w:left="4680" w:hanging="360"/>
      </w:pPr>
      <w:rPr>
        <w:rFonts w:hint="default" w:ascii="Wingdings" w:hAnsi="Wingdings"/>
      </w:rPr>
    </w:lvl>
    <w:lvl w:ilvl="6" w:tplc="A1385D12" w:tentative="1">
      <w:start w:val="1"/>
      <w:numFmt w:val="bullet"/>
      <w:lvlText w:val=""/>
      <w:lvlJc w:val="left"/>
      <w:pPr>
        <w:ind w:left="5400" w:hanging="360"/>
      </w:pPr>
      <w:rPr>
        <w:rFonts w:hint="default" w:ascii="Symbol" w:hAnsi="Symbol"/>
      </w:rPr>
    </w:lvl>
    <w:lvl w:ilvl="7" w:tplc="1998651A" w:tentative="1">
      <w:start w:val="1"/>
      <w:numFmt w:val="bullet"/>
      <w:lvlText w:val="o"/>
      <w:lvlJc w:val="left"/>
      <w:pPr>
        <w:ind w:left="6120" w:hanging="360"/>
      </w:pPr>
      <w:rPr>
        <w:rFonts w:hint="default" w:ascii="Courier New" w:hAnsi="Courier New"/>
      </w:rPr>
    </w:lvl>
    <w:lvl w:ilvl="8" w:tplc="FEF0E320" w:tentative="1">
      <w:start w:val="1"/>
      <w:numFmt w:val="bullet"/>
      <w:lvlText w:val=""/>
      <w:lvlJc w:val="left"/>
      <w:pPr>
        <w:ind w:left="6840" w:hanging="360"/>
      </w:pPr>
      <w:rPr>
        <w:rFonts w:hint="default" w:ascii="Wingdings" w:hAnsi="Wingdings"/>
      </w:rPr>
    </w:lvl>
  </w:abstractNum>
  <w:abstractNum w:abstractNumId="7" w15:restartNumberingAfterBreak="0">
    <w:nsid w:val="1E243F42"/>
    <w:multiLevelType w:val="hybridMultilevel"/>
    <w:tmpl w:val="0E620B38"/>
    <w:lvl w:ilvl="0" w:tplc="DCA8BA76">
      <w:start w:val="1"/>
      <w:numFmt w:val="bullet"/>
      <w:lvlText w:val=""/>
      <w:lvlJc w:val="left"/>
      <w:pPr>
        <w:ind w:left="720" w:hanging="360"/>
      </w:pPr>
      <w:rPr>
        <w:rFonts w:hint="default" w:ascii="Symbol" w:hAnsi="Symbol"/>
      </w:rPr>
    </w:lvl>
    <w:lvl w:ilvl="1" w:tplc="FA321148">
      <w:start w:val="1"/>
      <w:numFmt w:val="bullet"/>
      <w:lvlText w:val="o"/>
      <w:lvlJc w:val="left"/>
      <w:pPr>
        <w:ind w:left="1440" w:hanging="360"/>
      </w:pPr>
      <w:rPr>
        <w:rFonts w:hint="default" w:ascii="Courier New" w:hAnsi="Courier New"/>
      </w:rPr>
    </w:lvl>
    <w:lvl w:ilvl="2" w:tplc="758AC542">
      <w:start w:val="1"/>
      <w:numFmt w:val="bullet"/>
      <w:lvlText w:val=""/>
      <w:lvlJc w:val="left"/>
      <w:pPr>
        <w:ind w:left="2160" w:hanging="360"/>
      </w:pPr>
      <w:rPr>
        <w:rFonts w:hint="default" w:ascii="Wingdings" w:hAnsi="Wingdings"/>
      </w:rPr>
    </w:lvl>
    <w:lvl w:ilvl="3" w:tplc="FB2A34E8">
      <w:start w:val="1"/>
      <w:numFmt w:val="bullet"/>
      <w:lvlText w:val=""/>
      <w:lvlJc w:val="left"/>
      <w:pPr>
        <w:ind w:left="2880" w:hanging="360"/>
      </w:pPr>
      <w:rPr>
        <w:rFonts w:hint="default" w:ascii="Symbol" w:hAnsi="Symbol"/>
      </w:rPr>
    </w:lvl>
    <w:lvl w:ilvl="4" w:tplc="14521384">
      <w:start w:val="1"/>
      <w:numFmt w:val="bullet"/>
      <w:lvlText w:val="o"/>
      <w:lvlJc w:val="left"/>
      <w:pPr>
        <w:ind w:left="3600" w:hanging="360"/>
      </w:pPr>
      <w:rPr>
        <w:rFonts w:hint="default" w:ascii="Courier New" w:hAnsi="Courier New"/>
      </w:rPr>
    </w:lvl>
    <w:lvl w:ilvl="5" w:tplc="0F3E3C16">
      <w:start w:val="1"/>
      <w:numFmt w:val="bullet"/>
      <w:lvlText w:val=""/>
      <w:lvlJc w:val="left"/>
      <w:pPr>
        <w:ind w:left="4320" w:hanging="360"/>
      </w:pPr>
      <w:rPr>
        <w:rFonts w:hint="default" w:ascii="Wingdings" w:hAnsi="Wingdings"/>
      </w:rPr>
    </w:lvl>
    <w:lvl w:ilvl="6" w:tplc="699029FA">
      <w:start w:val="1"/>
      <w:numFmt w:val="bullet"/>
      <w:lvlText w:val=""/>
      <w:lvlJc w:val="left"/>
      <w:pPr>
        <w:ind w:left="5040" w:hanging="360"/>
      </w:pPr>
      <w:rPr>
        <w:rFonts w:hint="default" w:ascii="Symbol" w:hAnsi="Symbol"/>
      </w:rPr>
    </w:lvl>
    <w:lvl w:ilvl="7" w:tplc="A0F200BC">
      <w:start w:val="1"/>
      <w:numFmt w:val="bullet"/>
      <w:lvlText w:val="o"/>
      <w:lvlJc w:val="left"/>
      <w:pPr>
        <w:ind w:left="5760" w:hanging="360"/>
      </w:pPr>
      <w:rPr>
        <w:rFonts w:hint="default" w:ascii="Courier New" w:hAnsi="Courier New"/>
      </w:rPr>
    </w:lvl>
    <w:lvl w:ilvl="8" w:tplc="85EC48BC">
      <w:start w:val="1"/>
      <w:numFmt w:val="bullet"/>
      <w:lvlText w:val=""/>
      <w:lvlJc w:val="left"/>
      <w:pPr>
        <w:ind w:left="6480" w:hanging="360"/>
      </w:pPr>
      <w:rPr>
        <w:rFonts w:hint="default" w:ascii="Wingdings" w:hAnsi="Wingdings"/>
      </w:rPr>
    </w:lvl>
  </w:abstractNum>
  <w:abstractNum w:abstractNumId="8" w15:restartNumberingAfterBreak="0">
    <w:nsid w:val="206E58E1"/>
    <w:multiLevelType w:val="multilevel"/>
    <w:tmpl w:val="0D664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C400F1"/>
    <w:multiLevelType w:val="multilevel"/>
    <w:tmpl w:val="EEC2490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57A363D"/>
    <w:multiLevelType w:val="hybridMultilevel"/>
    <w:tmpl w:val="65EA32C0"/>
    <w:lvl w:ilvl="0" w:tplc="56627630">
      <w:start w:val="1"/>
      <w:numFmt w:val="lowerLetter"/>
      <w:lvlText w:val="(%1)"/>
      <w:lvlJc w:val="left"/>
      <w:pPr>
        <w:ind w:left="360" w:hanging="360"/>
      </w:pPr>
    </w:lvl>
    <w:lvl w:ilvl="1" w:tplc="889E7EEC">
      <w:start w:val="1"/>
      <w:numFmt w:val="lowerLetter"/>
      <w:lvlText w:val="%2."/>
      <w:lvlJc w:val="left"/>
      <w:pPr>
        <w:ind w:left="1080" w:hanging="360"/>
      </w:pPr>
    </w:lvl>
    <w:lvl w:ilvl="2" w:tplc="97FE74DE">
      <w:start w:val="1"/>
      <w:numFmt w:val="lowerRoman"/>
      <w:lvlText w:val="%3."/>
      <w:lvlJc w:val="right"/>
      <w:pPr>
        <w:ind w:left="1800" w:hanging="180"/>
      </w:pPr>
    </w:lvl>
    <w:lvl w:ilvl="3" w:tplc="FC04EF70">
      <w:start w:val="1"/>
      <w:numFmt w:val="decimal"/>
      <w:lvlText w:val="%4."/>
      <w:lvlJc w:val="left"/>
      <w:pPr>
        <w:ind w:left="2520" w:hanging="360"/>
      </w:pPr>
    </w:lvl>
    <w:lvl w:ilvl="4" w:tplc="4CD84BC0">
      <w:start w:val="1"/>
      <w:numFmt w:val="lowerLetter"/>
      <w:lvlText w:val="%5."/>
      <w:lvlJc w:val="left"/>
      <w:pPr>
        <w:ind w:left="3240" w:hanging="360"/>
      </w:pPr>
    </w:lvl>
    <w:lvl w:ilvl="5" w:tplc="7C04214E">
      <w:start w:val="1"/>
      <w:numFmt w:val="lowerRoman"/>
      <w:lvlText w:val="%6."/>
      <w:lvlJc w:val="right"/>
      <w:pPr>
        <w:ind w:left="3960" w:hanging="180"/>
      </w:pPr>
    </w:lvl>
    <w:lvl w:ilvl="6" w:tplc="14AC9298">
      <w:start w:val="1"/>
      <w:numFmt w:val="decimal"/>
      <w:lvlText w:val="%7."/>
      <w:lvlJc w:val="left"/>
      <w:pPr>
        <w:ind w:left="4680" w:hanging="360"/>
      </w:pPr>
    </w:lvl>
    <w:lvl w:ilvl="7" w:tplc="744ADB82">
      <w:start w:val="1"/>
      <w:numFmt w:val="lowerLetter"/>
      <w:lvlText w:val="%8."/>
      <w:lvlJc w:val="left"/>
      <w:pPr>
        <w:ind w:left="5400" w:hanging="360"/>
      </w:pPr>
    </w:lvl>
    <w:lvl w:ilvl="8" w:tplc="BF943E18">
      <w:start w:val="1"/>
      <w:numFmt w:val="lowerRoman"/>
      <w:lvlText w:val="%9."/>
      <w:lvlJc w:val="right"/>
      <w:pPr>
        <w:ind w:left="6120" w:hanging="180"/>
      </w:pPr>
    </w:lvl>
  </w:abstractNum>
  <w:abstractNum w:abstractNumId="11" w15:restartNumberingAfterBreak="0">
    <w:nsid w:val="25A3AAE0"/>
    <w:multiLevelType w:val="multilevel"/>
    <w:tmpl w:val="FE2EE3D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799D804"/>
    <w:multiLevelType w:val="hybridMultilevel"/>
    <w:tmpl w:val="23887606"/>
    <w:lvl w:ilvl="0" w:tplc="2DB4CB5C">
      <w:start w:val="1"/>
      <w:numFmt w:val="lowerLetter"/>
      <w:lvlText w:val="%1."/>
      <w:lvlJc w:val="left"/>
      <w:pPr>
        <w:ind w:left="720" w:hanging="360"/>
      </w:pPr>
    </w:lvl>
    <w:lvl w:ilvl="1" w:tplc="436C0F22">
      <w:start w:val="1"/>
      <w:numFmt w:val="lowerLetter"/>
      <w:lvlText w:val="%2."/>
      <w:lvlJc w:val="left"/>
      <w:pPr>
        <w:ind w:left="1440" w:hanging="360"/>
      </w:pPr>
    </w:lvl>
    <w:lvl w:ilvl="2" w:tplc="F89AC3C4">
      <w:start w:val="1"/>
      <w:numFmt w:val="lowerRoman"/>
      <w:lvlText w:val="%3."/>
      <w:lvlJc w:val="right"/>
      <w:pPr>
        <w:ind w:left="2160" w:hanging="180"/>
      </w:pPr>
    </w:lvl>
    <w:lvl w:ilvl="3" w:tplc="CB52B024">
      <w:start w:val="1"/>
      <w:numFmt w:val="decimal"/>
      <w:lvlText w:val="%4."/>
      <w:lvlJc w:val="left"/>
      <w:pPr>
        <w:ind w:left="2880" w:hanging="360"/>
      </w:pPr>
    </w:lvl>
    <w:lvl w:ilvl="4" w:tplc="C57E00F0">
      <w:start w:val="1"/>
      <w:numFmt w:val="lowerLetter"/>
      <w:lvlText w:val="%5."/>
      <w:lvlJc w:val="left"/>
      <w:pPr>
        <w:ind w:left="3600" w:hanging="360"/>
      </w:pPr>
    </w:lvl>
    <w:lvl w:ilvl="5" w:tplc="6AE06AB6">
      <w:start w:val="1"/>
      <w:numFmt w:val="lowerRoman"/>
      <w:lvlText w:val="%6."/>
      <w:lvlJc w:val="right"/>
      <w:pPr>
        <w:ind w:left="4320" w:hanging="180"/>
      </w:pPr>
    </w:lvl>
    <w:lvl w:ilvl="6" w:tplc="2BCC9704">
      <w:start w:val="1"/>
      <w:numFmt w:val="decimal"/>
      <w:lvlText w:val="%7."/>
      <w:lvlJc w:val="left"/>
      <w:pPr>
        <w:ind w:left="5040" w:hanging="360"/>
      </w:pPr>
    </w:lvl>
    <w:lvl w:ilvl="7" w:tplc="1A3CB7F0">
      <w:start w:val="1"/>
      <w:numFmt w:val="lowerLetter"/>
      <w:lvlText w:val="%8."/>
      <w:lvlJc w:val="left"/>
      <w:pPr>
        <w:ind w:left="5760" w:hanging="360"/>
      </w:pPr>
    </w:lvl>
    <w:lvl w:ilvl="8" w:tplc="06926544">
      <w:start w:val="1"/>
      <w:numFmt w:val="lowerRoman"/>
      <w:lvlText w:val="%9."/>
      <w:lvlJc w:val="right"/>
      <w:pPr>
        <w:ind w:left="6480" w:hanging="180"/>
      </w:pPr>
    </w:lvl>
  </w:abstractNum>
  <w:abstractNum w:abstractNumId="13" w15:restartNumberingAfterBreak="0">
    <w:nsid w:val="2A2533E5"/>
    <w:multiLevelType w:val="multilevel"/>
    <w:tmpl w:val="E3F497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B0F0CDC"/>
    <w:multiLevelType w:val="multilevel"/>
    <w:tmpl w:val="1656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409805"/>
    <w:multiLevelType w:val="hybridMultilevel"/>
    <w:tmpl w:val="3766C1B0"/>
    <w:lvl w:ilvl="0" w:tplc="24BC870C">
      <w:start w:val="1"/>
      <w:numFmt w:val="bullet"/>
      <w:lvlText w:val=""/>
      <w:lvlJc w:val="left"/>
      <w:pPr>
        <w:ind w:left="720" w:hanging="360"/>
      </w:pPr>
      <w:rPr>
        <w:rFonts w:hint="default" w:ascii="Symbol" w:hAnsi="Symbol"/>
      </w:rPr>
    </w:lvl>
    <w:lvl w:ilvl="1" w:tplc="735E7AC4">
      <w:start w:val="1"/>
      <w:numFmt w:val="bullet"/>
      <w:lvlText w:val="o"/>
      <w:lvlJc w:val="left"/>
      <w:pPr>
        <w:ind w:left="1440" w:hanging="360"/>
      </w:pPr>
      <w:rPr>
        <w:rFonts w:hint="default" w:ascii="Courier New" w:hAnsi="Courier New"/>
      </w:rPr>
    </w:lvl>
    <w:lvl w:ilvl="2" w:tplc="1944C2D6">
      <w:start w:val="1"/>
      <w:numFmt w:val="bullet"/>
      <w:lvlText w:val=""/>
      <w:lvlJc w:val="left"/>
      <w:pPr>
        <w:ind w:left="2160" w:hanging="360"/>
      </w:pPr>
      <w:rPr>
        <w:rFonts w:hint="default" w:ascii="Wingdings" w:hAnsi="Wingdings"/>
      </w:rPr>
    </w:lvl>
    <w:lvl w:ilvl="3" w:tplc="23A6E384">
      <w:start w:val="1"/>
      <w:numFmt w:val="bullet"/>
      <w:lvlText w:val=""/>
      <w:lvlJc w:val="left"/>
      <w:pPr>
        <w:ind w:left="2880" w:hanging="360"/>
      </w:pPr>
      <w:rPr>
        <w:rFonts w:hint="default" w:ascii="Symbol" w:hAnsi="Symbol"/>
      </w:rPr>
    </w:lvl>
    <w:lvl w:ilvl="4" w:tplc="CBBEDEF8">
      <w:start w:val="1"/>
      <w:numFmt w:val="bullet"/>
      <w:lvlText w:val="o"/>
      <w:lvlJc w:val="left"/>
      <w:pPr>
        <w:ind w:left="3600" w:hanging="360"/>
      </w:pPr>
      <w:rPr>
        <w:rFonts w:hint="default" w:ascii="Courier New" w:hAnsi="Courier New"/>
      </w:rPr>
    </w:lvl>
    <w:lvl w:ilvl="5" w:tplc="4D96E1A0">
      <w:start w:val="1"/>
      <w:numFmt w:val="bullet"/>
      <w:lvlText w:val=""/>
      <w:lvlJc w:val="left"/>
      <w:pPr>
        <w:ind w:left="4320" w:hanging="360"/>
      </w:pPr>
      <w:rPr>
        <w:rFonts w:hint="default" w:ascii="Wingdings" w:hAnsi="Wingdings"/>
      </w:rPr>
    </w:lvl>
    <w:lvl w:ilvl="6" w:tplc="79D2F8AA">
      <w:start w:val="1"/>
      <w:numFmt w:val="bullet"/>
      <w:lvlText w:val=""/>
      <w:lvlJc w:val="left"/>
      <w:pPr>
        <w:ind w:left="5040" w:hanging="360"/>
      </w:pPr>
      <w:rPr>
        <w:rFonts w:hint="default" w:ascii="Symbol" w:hAnsi="Symbol"/>
      </w:rPr>
    </w:lvl>
    <w:lvl w:ilvl="7" w:tplc="5296DABA">
      <w:start w:val="1"/>
      <w:numFmt w:val="bullet"/>
      <w:lvlText w:val="o"/>
      <w:lvlJc w:val="left"/>
      <w:pPr>
        <w:ind w:left="5760" w:hanging="360"/>
      </w:pPr>
      <w:rPr>
        <w:rFonts w:hint="default" w:ascii="Courier New" w:hAnsi="Courier New"/>
      </w:rPr>
    </w:lvl>
    <w:lvl w:ilvl="8" w:tplc="C0A62494">
      <w:start w:val="1"/>
      <w:numFmt w:val="bullet"/>
      <w:lvlText w:val=""/>
      <w:lvlJc w:val="left"/>
      <w:pPr>
        <w:ind w:left="6480" w:hanging="360"/>
      </w:pPr>
      <w:rPr>
        <w:rFonts w:hint="default" w:ascii="Wingdings" w:hAnsi="Wingdings"/>
      </w:rPr>
    </w:lvl>
  </w:abstractNum>
  <w:abstractNum w:abstractNumId="16" w15:restartNumberingAfterBreak="0">
    <w:nsid w:val="328A9544"/>
    <w:multiLevelType w:val="hybridMultilevel"/>
    <w:tmpl w:val="A91E82CA"/>
    <w:lvl w:ilvl="0" w:tplc="ECD084B0">
      <w:start w:val="1"/>
      <w:numFmt w:val="lowerLetter"/>
      <w:lvlText w:val="(%1)"/>
      <w:lvlJc w:val="left"/>
      <w:pPr>
        <w:ind w:left="360" w:hanging="360"/>
      </w:pPr>
    </w:lvl>
    <w:lvl w:ilvl="1" w:tplc="E3E68F66">
      <w:start w:val="1"/>
      <w:numFmt w:val="lowerLetter"/>
      <w:lvlText w:val="%2."/>
      <w:lvlJc w:val="left"/>
      <w:pPr>
        <w:ind w:left="1080" w:hanging="360"/>
      </w:pPr>
    </w:lvl>
    <w:lvl w:ilvl="2" w:tplc="B08EE568">
      <w:start w:val="1"/>
      <w:numFmt w:val="lowerRoman"/>
      <w:lvlText w:val="%3."/>
      <w:lvlJc w:val="right"/>
      <w:pPr>
        <w:ind w:left="1800" w:hanging="180"/>
      </w:pPr>
    </w:lvl>
    <w:lvl w:ilvl="3" w:tplc="8E4214FC">
      <w:start w:val="1"/>
      <w:numFmt w:val="decimal"/>
      <w:lvlText w:val="%4."/>
      <w:lvlJc w:val="left"/>
      <w:pPr>
        <w:ind w:left="2520" w:hanging="360"/>
      </w:pPr>
    </w:lvl>
    <w:lvl w:ilvl="4" w:tplc="528AF624">
      <w:start w:val="1"/>
      <w:numFmt w:val="lowerLetter"/>
      <w:lvlText w:val="%5."/>
      <w:lvlJc w:val="left"/>
      <w:pPr>
        <w:ind w:left="3240" w:hanging="360"/>
      </w:pPr>
    </w:lvl>
    <w:lvl w:ilvl="5" w:tplc="4A66BF1E">
      <w:start w:val="1"/>
      <w:numFmt w:val="lowerRoman"/>
      <w:lvlText w:val="%6."/>
      <w:lvlJc w:val="right"/>
      <w:pPr>
        <w:ind w:left="3960" w:hanging="180"/>
      </w:pPr>
    </w:lvl>
    <w:lvl w:ilvl="6" w:tplc="72523950">
      <w:start w:val="1"/>
      <w:numFmt w:val="decimal"/>
      <w:lvlText w:val="%7."/>
      <w:lvlJc w:val="left"/>
      <w:pPr>
        <w:ind w:left="4680" w:hanging="360"/>
      </w:pPr>
    </w:lvl>
    <w:lvl w:ilvl="7" w:tplc="45B47D1C">
      <w:start w:val="1"/>
      <w:numFmt w:val="lowerLetter"/>
      <w:lvlText w:val="%8."/>
      <w:lvlJc w:val="left"/>
      <w:pPr>
        <w:ind w:left="5400" w:hanging="360"/>
      </w:pPr>
    </w:lvl>
    <w:lvl w:ilvl="8" w:tplc="33A495E6">
      <w:start w:val="1"/>
      <w:numFmt w:val="lowerRoman"/>
      <w:lvlText w:val="%9."/>
      <w:lvlJc w:val="right"/>
      <w:pPr>
        <w:ind w:left="6120" w:hanging="180"/>
      </w:pPr>
    </w:lvl>
  </w:abstractNum>
  <w:abstractNum w:abstractNumId="17" w15:restartNumberingAfterBreak="0">
    <w:nsid w:val="345426D5"/>
    <w:multiLevelType w:val="hybridMultilevel"/>
    <w:tmpl w:val="0ABA0590"/>
    <w:lvl w:ilvl="0" w:tplc="4022E852">
      <w:start w:val="1"/>
      <w:numFmt w:val="bullet"/>
      <w:lvlText w:val=""/>
      <w:lvlJc w:val="left"/>
      <w:pPr>
        <w:ind w:left="720" w:hanging="360"/>
      </w:pPr>
      <w:rPr>
        <w:rFonts w:hint="default" w:ascii="Symbol" w:hAnsi="Symbol"/>
      </w:rPr>
    </w:lvl>
    <w:lvl w:ilvl="1" w:tplc="3CB433F4">
      <w:start w:val="1"/>
      <w:numFmt w:val="bullet"/>
      <w:lvlText w:val="o"/>
      <w:lvlJc w:val="left"/>
      <w:pPr>
        <w:ind w:left="1440" w:hanging="360"/>
      </w:pPr>
      <w:rPr>
        <w:rFonts w:hint="default" w:ascii="Courier New" w:hAnsi="Courier New"/>
      </w:rPr>
    </w:lvl>
    <w:lvl w:ilvl="2" w:tplc="61C416E8" w:tentative="1">
      <w:start w:val="1"/>
      <w:numFmt w:val="bullet"/>
      <w:lvlText w:val=""/>
      <w:lvlJc w:val="left"/>
      <w:pPr>
        <w:ind w:left="2160" w:hanging="360"/>
      </w:pPr>
      <w:rPr>
        <w:rFonts w:hint="default" w:ascii="Wingdings" w:hAnsi="Wingdings"/>
      </w:rPr>
    </w:lvl>
    <w:lvl w:ilvl="3" w:tplc="1C544C30" w:tentative="1">
      <w:start w:val="1"/>
      <w:numFmt w:val="bullet"/>
      <w:lvlText w:val=""/>
      <w:lvlJc w:val="left"/>
      <w:pPr>
        <w:ind w:left="2880" w:hanging="360"/>
      </w:pPr>
      <w:rPr>
        <w:rFonts w:hint="default" w:ascii="Symbol" w:hAnsi="Symbol"/>
      </w:rPr>
    </w:lvl>
    <w:lvl w:ilvl="4" w:tplc="1AD22962" w:tentative="1">
      <w:start w:val="1"/>
      <w:numFmt w:val="bullet"/>
      <w:lvlText w:val="o"/>
      <w:lvlJc w:val="left"/>
      <w:pPr>
        <w:ind w:left="3600" w:hanging="360"/>
      </w:pPr>
      <w:rPr>
        <w:rFonts w:hint="default" w:ascii="Courier New" w:hAnsi="Courier New"/>
      </w:rPr>
    </w:lvl>
    <w:lvl w:ilvl="5" w:tplc="F662CAB0" w:tentative="1">
      <w:start w:val="1"/>
      <w:numFmt w:val="bullet"/>
      <w:lvlText w:val=""/>
      <w:lvlJc w:val="left"/>
      <w:pPr>
        <w:ind w:left="4320" w:hanging="360"/>
      </w:pPr>
      <w:rPr>
        <w:rFonts w:hint="default" w:ascii="Wingdings" w:hAnsi="Wingdings"/>
      </w:rPr>
    </w:lvl>
    <w:lvl w:ilvl="6" w:tplc="3DF67950" w:tentative="1">
      <w:start w:val="1"/>
      <w:numFmt w:val="bullet"/>
      <w:lvlText w:val=""/>
      <w:lvlJc w:val="left"/>
      <w:pPr>
        <w:ind w:left="5040" w:hanging="360"/>
      </w:pPr>
      <w:rPr>
        <w:rFonts w:hint="default" w:ascii="Symbol" w:hAnsi="Symbol"/>
      </w:rPr>
    </w:lvl>
    <w:lvl w:ilvl="7" w:tplc="551EF024" w:tentative="1">
      <w:start w:val="1"/>
      <w:numFmt w:val="bullet"/>
      <w:lvlText w:val="o"/>
      <w:lvlJc w:val="left"/>
      <w:pPr>
        <w:ind w:left="5760" w:hanging="360"/>
      </w:pPr>
      <w:rPr>
        <w:rFonts w:hint="default" w:ascii="Courier New" w:hAnsi="Courier New"/>
      </w:rPr>
    </w:lvl>
    <w:lvl w:ilvl="8" w:tplc="14AC7E00" w:tentative="1">
      <w:start w:val="1"/>
      <w:numFmt w:val="bullet"/>
      <w:lvlText w:val=""/>
      <w:lvlJc w:val="left"/>
      <w:pPr>
        <w:ind w:left="6480" w:hanging="360"/>
      </w:pPr>
      <w:rPr>
        <w:rFonts w:hint="default" w:ascii="Wingdings" w:hAnsi="Wingdings"/>
      </w:rPr>
    </w:lvl>
  </w:abstractNum>
  <w:abstractNum w:abstractNumId="18" w15:restartNumberingAfterBreak="0">
    <w:nsid w:val="3BAA6282"/>
    <w:multiLevelType w:val="hybridMultilevel"/>
    <w:tmpl w:val="EC6CA612"/>
    <w:lvl w:ilvl="0" w:tplc="AD1C9A72">
      <w:start w:val="1"/>
      <w:numFmt w:val="bullet"/>
      <w:lvlText w:val=""/>
      <w:lvlJc w:val="left"/>
      <w:pPr>
        <w:ind w:left="720" w:hanging="360"/>
      </w:pPr>
      <w:rPr>
        <w:rFonts w:hint="default" w:ascii="Symbol" w:hAnsi="Symbol"/>
      </w:rPr>
    </w:lvl>
    <w:lvl w:ilvl="1" w:tplc="6C9C0602">
      <w:start w:val="1"/>
      <w:numFmt w:val="bullet"/>
      <w:lvlText w:val="o"/>
      <w:lvlJc w:val="left"/>
      <w:pPr>
        <w:ind w:left="1440" w:hanging="360"/>
      </w:pPr>
      <w:rPr>
        <w:rFonts w:hint="default" w:ascii="Courier New" w:hAnsi="Courier New"/>
      </w:rPr>
    </w:lvl>
    <w:lvl w:ilvl="2" w:tplc="F6ACC154">
      <w:start w:val="1"/>
      <w:numFmt w:val="bullet"/>
      <w:lvlText w:val=""/>
      <w:lvlJc w:val="left"/>
      <w:pPr>
        <w:ind w:left="2160" w:hanging="360"/>
      </w:pPr>
      <w:rPr>
        <w:rFonts w:hint="default" w:ascii="Wingdings" w:hAnsi="Wingdings"/>
      </w:rPr>
    </w:lvl>
    <w:lvl w:ilvl="3" w:tplc="554821D2">
      <w:start w:val="1"/>
      <w:numFmt w:val="bullet"/>
      <w:lvlText w:val=""/>
      <w:lvlJc w:val="left"/>
      <w:pPr>
        <w:ind w:left="2880" w:hanging="360"/>
      </w:pPr>
      <w:rPr>
        <w:rFonts w:hint="default" w:ascii="Symbol" w:hAnsi="Symbol"/>
      </w:rPr>
    </w:lvl>
    <w:lvl w:ilvl="4" w:tplc="F5B84BA0">
      <w:start w:val="1"/>
      <w:numFmt w:val="bullet"/>
      <w:lvlText w:val="o"/>
      <w:lvlJc w:val="left"/>
      <w:pPr>
        <w:ind w:left="3600" w:hanging="360"/>
      </w:pPr>
      <w:rPr>
        <w:rFonts w:hint="default" w:ascii="Courier New" w:hAnsi="Courier New"/>
      </w:rPr>
    </w:lvl>
    <w:lvl w:ilvl="5" w:tplc="C1C89EFE">
      <w:start w:val="1"/>
      <w:numFmt w:val="bullet"/>
      <w:lvlText w:val=""/>
      <w:lvlJc w:val="left"/>
      <w:pPr>
        <w:ind w:left="4320" w:hanging="360"/>
      </w:pPr>
      <w:rPr>
        <w:rFonts w:hint="default" w:ascii="Wingdings" w:hAnsi="Wingdings"/>
      </w:rPr>
    </w:lvl>
    <w:lvl w:ilvl="6" w:tplc="0470995A">
      <w:start w:val="1"/>
      <w:numFmt w:val="bullet"/>
      <w:lvlText w:val=""/>
      <w:lvlJc w:val="left"/>
      <w:pPr>
        <w:ind w:left="5040" w:hanging="360"/>
      </w:pPr>
      <w:rPr>
        <w:rFonts w:hint="default" w:ascii="Symbol" w:hAnsi="Symbol"/>
      </w:rPr>
    </w:lvl>
    <w:lvl w:ilvl="7" w:tplc="9A5AD430">
      <w:start w:val="1"/>
      <w:numFmt w:val="bullet"/>
      <w:lvlText w:val="o"/>
      <w:lvlJc w:val="left"/>
      <w:pPr>
        <w:ind w:left="5760" w:hanging="360"/>
      </w:pPr>
      <w:rPr>
        <w:rFonts w:hint="default" w:ascii="Courier New" w:hAnsi="Courier New"/>
      </w:rPr>
    </w:lvl>
    <w:lvl w:ilvl="8" w:tplc="E1FC418E">
      <w:start w:val="1"/>
      <w:numFmt w:val="bullet"/>
      <w:lvlText w:val=""/>
      <w:lvlJc w:val="left"/>
      <w:pPr>
        <w:ind w:left="6480" w:hanging="360"/>
      </w:pPr>
      <w:rPr>
        <w:rFonts w:hint="default" w:ascii="Wingdings" w:hAnsi="Wingdings"/>
      </w:rPr>
    </w:lvl>
  </w:abstractNum>
  <w:abstractNum w:abstractNumId="19" w15:restartNumberingAfterBreak="0">
    <w:nsid w:val="40775D3C"/>
    <w:multiLevelType w:val="hybridMultilevel"/>
    <w:tmpl w:val="52C6C4EA"/>
    <w:lvl w:ilvl="0" w:tplc="08090019">
      <w:start w:val="1"/>
      <w:numFmt w:val="lowerLetter"/>
      <w:lvlText w:val="%1."/>
      <w:lvlJc w:val="left"/>
      <w:pPr>
        <w:ind w:left="720" w:hanging="360"/>
      </w:pPr>
      <w:rPr>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67EE2"/>
    <w:multiLevelType w:val="hybridMultilevel"/>
    <w:tmpl w:val="148C98AA"/>
    <w:lvl w:ilvl="0" w:tplc="3E86F596">
      <w:start w:val="1"/>
      <w:numFmt w:val="bullet"/>
      <w:lvlText w:val="-"/>
      <w:lvlJc w:val="left"/>
      <w:pPr>
        <w:ind w:left="1080" w:hanging="360"/>
      </w:pPr>
      <w:rPr>
        <w:rFonts w:hint="default" w:ascii="Courier New" w:hAnsi="Courier New"/>
      </w:rPr>
    </w:lvl>
    <w:lvl w:ilvl="1" w:tplc="23C0C67A">
      <w:start w:val="1"/>
      <w:numFmt w:val="bullet"/>
      <w:lvlText w:val="-"/>
      <w:lvlJc w:val="left"/>
      <w:pPr>
        <w:ind w:left="1800" w:hanging="360"/>
      </w:pPr>
      <w:rPr>
        <w:rFonts w:hint="default" w:ascii="Courier New" w:hAnsi="Courier New"/>
      </w:rPr>
    </w:lvl>
    <w:lvl w:ilvl="2" w:tplc="D9F8A44C" w:tentative="1">
      <w:start w:val="1"/>
      <w:numFmt w:val="bullet"/>
      <w:lvlText w:val=""/>
      <w:lvlJc w:val="left"/>
      <w:pPr>
        <w:ind w:left="2520" w:hanging="360"/>
      </w:pPr>
      <w:rPr>
        <w:rFonts w:hint="default" w:ascii="Wingdings" w:hAnsi="Wingdings"/>
      </w:rPr>
    </w:lvl>
    <w:lvl w:ilvl="3" w:tplc="6D8E40B0" w:tentative="1">
      <w:start w:val="1"/>
      <w:numFmt w:val="bullet"/>
      <w:lvlText w:val=""/>
      <w:lvlJc w:val="left"/>
      <w:pPr>
        <w:ind w:left="3240" w:hanging="360"/>
      </w:pPr>
      <w:rPr>
        <w:rFonts w:hint="default" w:ascii="Symbol" w:hAnsi="Symbol"/>
      </w:rPr>
    </w:lvl>
    <w:lvl w:ilvl="4" w:tplc="2938B286" w:tentative="1">
      <w:start w:val="1"/>
      <w:numFmt w:val="bullet"/>
      <w:lvlText w:val="o"/>
      <w:lvlJc w:val="left"/>
      <w:pPr>
        <w:ind w:left="3960" w:hanging="360"/>
      </w:pPr>
      <w:rPr>
        <w:rFonts w:hint="default" w:ascii="Courier New" w:hAnsi="Courier New"/>
      </w:rPr>
    </w:lvl>
    <w:lvl w:ilvl="5" w:tplc="3184E328" w:tentative="1">
      <w:start w:val="1"/>
      <w:numFmt w:val="bullet"/>
      <w:lvlText w:val=""/>
      <w:lvlJc w:val="left"/>
      <w:pPr>
        <w:ind w:left="4680" w:hanging="360"/>
      </w:pPr>
      <w:rPr>
        <w:rFonts w:hint="default" w:ascii="Wingdings" w:hAnsi="Wingdings"/>
      </w:rPr>
    </w:lvl>
    <w:lvl w:ilvl="6" w:tplc="F334C90A" w:tentative="1">
      <w:start w:val="1"/>
      <w:numFmt w:val="bullet"/>
      <w:lvlText w:val=""/>
      <w:lvlJc w:val="left"/>
      <w:pPr>
        <w:ind w:left="5400" w:hanging="360"/>
      </w:pPr>
      <w:rPr>
        <w:rFonts w:hint="default" w:ascii="Symbol" w:hAnsi="Symbol"/>
      </w:rPr>
    </w:lvl>
    <w:lvl w:ilvl="7" w:tplc="239C61F8" w:tentative="1">
      <w:start w:val="1"/>
      <w:numFmt w:val="bullet"/>
      <w:lvlText w:val="o"/>
      <w:lvlJc w:val="left"/>
      <w:pPr>
        <w:ind w:left="6120" w:hanging="360"/>
      </w:pPr>
      <w:rPr>
        <w:rFonts w:hint="default" w:ascii="Courier New" w:hAnsi="Courier New"/>
      </w:rPr>
    </w:lvl>
    <w:lvl w:ilvl="8" w:tplc="E208F56A" w:tentative="1">
      <w:start w:val="1"/>
      <w:numFmt w:val="bullet"/>
      <w:lvlText w:val=""/>
      <w:lvlJc w:val="left"/>
      <w:pPr>
        <w:ind w:left="6840" w:hanging="360"/>
      </w:pPr>
      <w:rPr>
        <w:rFonts w:hint="default" w:ascii="Wingdings" w:hAnsi="Wingdings"/>
      </w:rPr>
    </w:lvl>
  </w:abstractNum>
  <w:abstractNum w:abstractNumId="21" w15:restartNumberingAfterBreak="0">
    <w:nsid w:val="45E47EAE"/>
    <w:multiLevelType w:val="multilevel"/>
    <w:tmpl w:val="7C86A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6F97A37"/>
    <w:multiLevelType w:val="hybridMultilevel"/>
    <w:tmpl w:val="B3068798"/>
    <w:lvl w:ilvl="0" w:tplc="B058B032">
      <w:start w:val="1"/>
      <w:numFmt w:val="bullet"/>
      <w:lvlText w:val="-"/>
      <w:lvlJc w:val="left"/>
      <w:pPr>
        <w:ind w:left="1080" w:hanging="360"/>
      </w:pPr>
      <w:rPr>
        <w:rFonts w:hint="default" w:ascii="Courier New" w:hAnsi="Courier New"/>
      </w:rPr>
    </w:lvl>
    <w:lvl w:ilvl="1" w:tplc="008A0726">
      <w:start w:val="1"/>
      <w:numFmt w:val="bullet"/>
      <w:lvlText w:val="o"/>
      <w:lvlJc w:val="left"/>
      <w:pPr>
        <w:ind w:left="1800" w:hanging="360"/>
      </w:pPr>
      <w:rPr>
        <w:rFonts w:hint="default" w:ascii="Courier New" w:hAnsi="Courier New"/>
      </w:rPr>
    </w:lvl>
    <w:lvl w:ilvl="2" w:tplc="AA44A6F4" w:tentative="1">
      <w:start w:val="1"/>
      <w:numFmt w:val="bullet"/>
      <w:lvlText w:val=""/>
      <w:lvlJc w:val="left"/>
      <w:pPr>
        <w:ind w:left="2520" w:hanging="360"/>
      </w:pPr>
      <w:rPr>
        <w:rFonts w:hint="default" w:ascii="Wingdings" w:hAnsi="Wingdings"/>
      </w:rPr>
    </w:lvl>
    <w:lvl w:ilvl="3" w:tplc="52608C7C" w:tentative="1">
      <w:start w:val="1"/>
      <w:numFmt w:val="bullet"/>
      <w:lvlText w:val=""/>
      <w:lvlJc w:val="left"/>
      <w:pPr>
        <w:ind w:left="3240" w:hanging="360"/>
      </w:pPr>
      <w:rPr>
        <w:rFonts w:hint="default" w:ascii="Symbol" w:hAnsi="Symbol"/>
      </w:rPr>
    </w:lvl>
    <w:lvl w:ilvl="4" w:tplc="D17E6A4E" w:tentative="1">
      <w:start w:val="1"/>
      <w:numFmt w:val="bullet"/>
      <w:lvlText w:val="o"/>
      <w:lvlJc w:val="left"/>
      <w:pPr>
        <w:ind w:left="3960" w:hanging="360"/>
      </w:pPr>
      <w:rPr>
        <w:rFonts w:hint="default" w:ascii="Courier New" w:hAnsi="Courier New"/>
      </w:rPr>
    </w:lvl>
    <w:lvl w:ilvl="5" w:tplc="89EC9CE8" w:tentative="1">
      <w:start w:val="1"/>
      <w:numFmt w:val="bullet"/>
      <w:lvlText w:val=""/>
      <w:lvlJc w:val="left"/>
      <w:pPr>
        <w:ind w:left="4680" w:hanging="360"/>
      </w:pPr>
      <w:rPr>
        <w:rFonts w:hint="default" w:ascii="Wingdings" w:hAnsi="Wingdings"/>
      </w:rPr>
    </w:lvl>
    <w:lvl w:ilvl="6" w:tplc="03A4F722" w:tentative="1">
      <w:start w:val="1"/>
      <w:numFmt w:val="bullet"/>
      <w:lvlText w:val=""/>
      <w:lvlJc w:val="left"/>
      <w:pPr>
        <w:ind w:left="5400" w:hanging="360"/>
      </w:pPr>
      <w:rPr>
        <w:rFonts w:hint="default" w:ascii="Symbol" w:hAnsi="Symbol"/>
      </w:rPr>
    </w:lvl>
    <w:lvl w:ilvl="7" w:tplc="74FA0EF2" w:tentative="1">
      <w:start w:val="1"/>
      <w:numFmt w:val="bullet"/>
      <w:lvlText w:val="o"/>
      <w:lvlJc w:val="left"/>
      <w:pPr>
        <w:ind w:left="6120" w:hanging="360"/>
      </w:pPr>
      <w:rPr>
        <w:rFonts w:hint="default" w:ascii="Courier New" w:hAnsi="Courier New"/>
      </w:rPr>
    </w:lvl>
    <w:lvl w:ilvl="8" w:tplc="C47A12C4" w:tentative="1">
      <w:start w:val="1"/>
      <w:numFmt w:val="bullet"/>
      <w:lvlText w:val=""/>
      <w:lvlJc w:val="left"/>
      <w:pPr>
        <w:ind w:left="6840" w:hanging="360"/>
      </w:pPr>
      <w:rPr>
        <w:rFonts w:hint="default" w:ascii="Wingdings" w:hAnsi="Wingdings"/>
      </w:rPr>
    </w:lvl>
  </w:abstractNum>
  <w:abstractNum w:abstractNumId="23" w15:restartNumberingAfterBreak="0">
    <w:nsid w:val="48274E85"/>
    <w:multiLevelType w:val="multilevel"/>
    <w:tmpl w:val="329E2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B01B65A"/>
    <w:multiLevelType w:val="hybridMultilevel"/>
    <w:tmpl w:val="43F47C52"/>
    <w:lvl w:ilvl="0" w:tplc="BABEC06E">
      <w:start w:val="1"/>
      <w:numFmt w:val="decimal"/>
      <w:lvlText w:val="%1."/>
      <w:lvlJc w:val="left"/>
      <w:pPr>
        <w:ind w:left="720" w:hanging="360"/>
      </w:pPr>
    </w:lvl>
    <w:lvl w:ilvl="1" w:tplc="EB4688DA">
      <w:start w:val="1"/>
      <w:numFmt w:val="lowerLetter"/>
      <w:lvlText w:val="%2."/>
      <w:lvlJc w:val="left"/>
      <w:pPr>
        <w:ind w:left="1440" w:hanging="360"/>
      </w:pPr>
    </w:lvl>
    <w:lvl w:ilvl="2" w:tplc="BD0AC340">
      <w:start w:val="1"/>
      <w:numFmt w:val="lowerRoman"/>
      <w:lvlText w:val="%3."/>
      <w:lvlJc w:val="right"/>
      <w:pPr>
        <w:ind w:left="2160" w:hanging="180"/>
      </w:pPr>
    </w:lvl>
    <w:lvl w:ilvl="3" w:tplc="2926FA86">
      <w:start w:val="1"/>
      <w:numFmt w:val="decimal"/>
      <w:lvlText w:val="%4."/>
      <w:lvlJc w:val="left"/>
      <w:pPr>
        <w:ind w:left="2880" w:hanging="360"/>
      </w:pPr>
    </w:lvl>
    <w:lvl w:ilvl="4" w:tplc="AC1ACB7C">
      <w:start w:val="1"/>
      <w:numFmt w:val="lowerLetter"/>
      <w:lvlText w:val="%5."/>
      <w:lvlJc w:val="left"/>
      <w:pPr>
        <w:ind w:left="3600" w:hanging="360"/>
      </w:pPr>
    </w:lvl>
    <w:lvl w:ilvl="5" w:tplc="01E04B0A">
      <w:start w:val="1"/>
      <w:numFmt w:val="lowerRoman"/>
      <w:lvlText w:val="%6."/>
      <w:lvlJc w:val="right"/>
      <w:pPr>
        <w:ind w:left="4320" w:hanging="180"/>
      </w:pPr>
    </w:lvl>
    <w:lvl w:ilvl="6" w:tplc="1A7C89EA">
      <w:start w:val="1"/>
      <w:numFmt w:val="decimal"/>
      <w:lvlText w:val="%7."/>
      <w:lvlJc w:val="left"/>
      <w:pPr>
        <w:ind w:left="5040" w:hanging="360"/>
      </w:pPr>
    </w:lvl>
    <w:lvl w:ilvl="7" w:tplc="6F9294F0">
      <w:start w:val="1"/>
      <w:numFmt w:val="lowerLetter"/>
      <w:lvlText w:val="%8."/>
      <w:lvlJc w:val="left"/>
      <w:pPr>
        <w:ind w:left="5760" w:hanging="360"/>
      </w:pPr>
    </w:lvl>
    <w:lvl w:ilvl="8" w:tplc="4CA859AA">
      <w:start w:val="1"/>
      <w:numFmt w:val="lowerRoman"/>
      <w:lvlText w:val="%9."/>
      <w:lvlJc w:val="right"/>
      <w:pPr>
        <w:ind w:left="6480" w:hanging="180"/>
      </w:pPr>
    </w:lvl>
  </w:abstractNum>
  <w:abstractNum w:abstractNumId="25" w15:restartNumberingAfterBreak="0">
    <w:nsid w:val="4BF17911"/>
    <w:multiLevelType w:val="multilevel"/>
    <w:tmpl w:val="99F60E3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701E1C5"/>
    <w:multiLevelType w:val="hybridMultilevel"/>
    <w:tmpl w:val="FCF00E6A"/>
    <w:lvl w:ilvl="0" w:tplc="640EF6E4">
      <w:start w:val="1"/>
      <w:numFmt w:val="bullet"/>
      <w:lvlText w:val=""/>
      <w:lvlJc w:val="left"/>
      <w:pPr>
        <w:ind w:left="720" w:hanging="360"/>
      </w:pPr>
      <w:rPr>
        <w:rFonts w:hint="default" w:ascii="Symbol" w:hAnsi="Symbol"/>
      </w:rPr>
    </w:lvl>
    <w:lvl w:ilvl="1" w:tplc="1AACB092">
      <w:start w:val="1"/>
      <w:numFmt w:val="bullet"/>
      <w:lvlText w:val="o"/>
      <w:lvlJc w:val="left"/>
      <w:pPr>
        <w:ind w:left="1440" w:hanging="360"/>
      </w:pPr>
      <w:rPr>
        <w:rFonts w:hint="default" w:ascii="Courier New" w:hAnsi="Courier New"/>
      </w:rPr>
    </w:lvl>
    <w:lvl w:ilvl="2" w:tplc="7B6C39F8">
      <w:start w:val="1"/>
      <w:numFmt w:val="bullet"/>
      <w:lvlText w:val=""/>
      <w:lvlJc w:val="left"/>
      <w:pPr>
        <w:ind w:left="2160" w:hanging="360"/>
      </w:pPr>
      <w:rPr>
        <w:rFonts w:hint="default" w:ascii="Wingdings" w:hAnsi="Wingdings"/>
      </w:rPr>
    </w:lvl>
    <w:lvl w:ilvl="3" w:tplc="5C4E9700">
      <w:start w:val="1"/>
      <w:numFmt w:val="bullet"/>
      <w:lvlText w:val=""/>
      <w:lvlJc w:val="left"/>
      <w:pPr>
        <w:ind w:left="2880" w:hanging="360"/>
      </w:pPr>
      <w:rPr>
        <w:rFonts w:hint="default" w:ascii="Symbol" w:hAnsi="Symbol"/>
      </w:rPr>
    </w:lvl>
    <w:lvl w:ilvl="4" w:tplc="45BCB422">
      <w:start w:val="1"/>
      <w:numFmt w:val="bullet"/>
      <w:lvlText w:val="o"/>
      <w:lvlJc w:val="left"/>
      <w:pPr>
        <w:ind w:left="3600" w:hanging="360"/>
      </w:pPr>
      <w:rPr>
        <w:rFonts w:hint="default" w:ascii="Courier New" w:hAnsi="Courier New"/>
      </w:rPr>
    </w:lvl>
    <w:lvl w:ilvl="5" w:tplc="259C4EBE">
      <w:start w:val="1"/>
      <w:numFmt w:val="bullet"/>
      <w:lvlText w:val=""/>
      <w:lvlJc w:val="left"/>
      <w:pPr>
        <w:ind w:left="4320" w:hanging="360"/>
      </w:pPr>
      <w:rPr>
        <w:rFonts w:hint="default" w:ascii="Wingdings" w:hAnsi="Wingdings"/>
      </w:rPr>
    </w:lvl>
    <w:lvl w:ilvl="6" w:tplc="4F90DD10">
      <w:start w:val="1"/>
      <w:numFmt w:val="bullet"/>
      <w:lvlText w:val=""/>
      <w:lvlJc w:val="left"/>
      <w:pPr>
        <w:ind w:left="5040" w:hanging="360"/>
      </w:pPr>
      <w:rPr>
        <w:rFonts w:hint="default" w:ascii="Symbol" w:hAnsi="Symbol"/>
      </w:rPr>
    </w:lvl>
    <w:lvl w:ilvl="7" w:tplc="35AEABB4">
      <w:start w:val="1"/>
      <w:numFmt w:val="bullet"/>
      <w:lvlText w:val="o"/>
      <w:lvlJc w:val="left"/>
      <w:pPr>
        <w:ind w:left="5760" w:hanging="360"/>
      </w:pPr>
      <w:rPr>
        <w:rFonts w:hint="default" w:ascii="Courier New" w:hAnsi="Courier New"/>
      </w:rPr>
    </w:lvl>
    <w:lvl w:ilvl="8" w:tplc="A68843BE">
      <w:start w:val="1"/>
      <w:numFmt w:val="bullet"/>
      <w:lvlText w:val=""/>
      <w:lvlJc w:val="left"/>
      <w:pPr>
        <w:ind w:left="6480" w:hanging="360"/>
      </w:pPr>
      <w:rPr>
        <w:rFonts w:hint="default" w:ascii="Wingdings" w:hAnsi="Wingdings"/>
      </w:rPr>
    </w:lvl>
  </w:abstractNum>
  <w:abstractNum w:abstractNumId="27" w15:restartNumberingAfterBreak="0">
    <w:nsid w:val="5E814613"/>
    <w:multiLevelType w:val="multilevel"/>
    <w:tmpl w:val="1A5CA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F11D450"/>
    <w:multiLevelType w:val="hybridMultilevel"/>
    <w:tmpl w:val="7870E58E"/>
    <w:lvl w:ilvl="0" w:tplc="346A2292">
      <w:start w:val="1"/>
      <w:numFmt w:val="lowerLetter"/>
      <w:lvlText w:val="%1."/>
      <w:lvlJc w:val="left"/>
      <w:pPr>
        <w:ind w:left="720" w:hanging="360"/>
      </w:pPr>
    </w:lvl>
    <w:lvl w:ilvl="1" w:tplc="8F9E3B74">
      <w:start w:val="1"/>
      <w:numFmt w:val="lowerLetter"/>
      <w:lvlText w:val="%2."/>
      <w:lvlJc w:val="left"/>
      <w:pPr>
        <w:ind w:left="1440" w:hanging="360"/>
      </w:pPr>
    </w:lvl>
    <w:lvl w:ilvl="2" w:tplc="49269888">
      <w:start w:val="1"/>
      <w:numFmt w:val="lowerRoman"/>
      <w:lvlText w:val="%3."/>
      <w:lvlJc w:val="right"/>
      <w:pPr>
        <w:ind w:left="2160" w:hanging="180"/>
      </w:pPr>
    </w:lvl>
    <w:lvl w:ilvl="3" w:tplc="4358E732">
      <w:start w:val="1"/>
      <w:numFmt w:val="decimal"/>
      <w:lvlText w:val="%4."/>
      <w:lvlJc w:val="left"/>
      <w:pPr>
        <w:ind w:left="2880" w:hanging="360"/>
      </w:pPr>
    </w:lvl>
    <w:lvl w:ilvl="4" w:tplc="0F1630FA">
      <w:start w:val="1"/>
      <w:numFmt w:val="lowerLetter"/>
      <w:lvlText w:val="%5."/>
      <w:lvlJc w:val="left"/>
      <w:pPr>
        <w:ind w:left="3600" w:hanging="360"/>
      </w:pPr>
    </w:lvl>
    <w:lvl w:ilvl="5" w:tplc="6750F916">
      <w:start w:val="1"/>
      <w:numFmt w:val="lowerRoman"/>
      <w:lvlText w:val="%6."/>
      <w:lvlJc w:val="right"/>
      <w:pPr>
        <w:ind w:left="4320" w:hanging="180"/>
      </w:pPr>
    </w:lvl>
    <w:lvl w:ilvl="6" w:tplc="5824E36E">
      <w:start w:val="1"/>
      <w:numFmt w:val="decimal"/>
      <w:lvlText w:val="%7."/>
      <w:lvlJc w:val="left"/>
      <w:pPr>
        <w:ind w:left="5040" w:hanging="360"/>
      </w:pPr>
    </w:lvl>
    <w:lvl w:ilvl="7" w:tplc="B86A60EE">
      <w:start w:val="1"/>
      <w:numFmt w:val="lowerLetter"/>
      <w:lvlText w:val="%8."/>
      <w:lvlJc w:val="left"/>
      <w:pPr>
        <w:ind w:left="5760" w:hanging="360"/>
      </w:pPr>
    </w:lvl>
    <w:lvl w:ilvl="8" w:tplc="076C0DCE">
      <w:start w:val="1"/>
      <w:numFmt w:val="lowerRoman"/>
      <w:lvlText w:val="%9."/>
      <w:lvlJc w:val="right"/>
      <w:pPr>
        <w:ind w:left="6480" w:hanging="180"/>
      </w:pPr>
    </w:lvl>
  </w:abstractNum>
  <w:abstractNum w:abstractNumId="29" w15:restartNumberingAfterBreak="0">
    <w:nsid w:val="5FAAD3FE"/>
    <w:multiLevelType w:val="hybridMultilevel"/>
    <w:tmpl w:val="DEC27210"/>
    <w:lvl w:ilvl="0" w:tplc="59325518">
      <w:start w:val="1"/>
      <w:numFmt w:val="lowerLetter"/>
      <w:lvlText w:val="(%1)"/>
      <w:lvlJc w:val="left"/>
      <w:pPr>
        <w:ind w:left="360" w:hanging="360"/>
      </w:pPr>
    </w:lvl>
    <w:lvl w:ilvl="1" w:tplc="0024A840">
      <w:start w:val="1"/>
      <w:numFmt w:val="lowerLetter"/>
      <w:lvlText w:val="%2."/>
      <w:lvlJc w:val="left"/>
      <w:pPr>
        <w:ind w:left="1080" w:hanging="360"/>
      </w:pPr>
    </w:lvl>
    <w:lvl w:ilvl="2" w:tplc="3DC28884">
      <w:start w:val="1"/>
      <w:numFmt w:val="lowerRoman"/>
      <w:lvlText w:val="%3."/>
      <w:lvlJc w:val="right"/>
      <w:pPr>
        <w:ind w:left="1800" w:hanging="180"/>
      </w:pPr>
    </w:lvl>
    <w:lvl w:ilvl="3" w:tplc="9BA6D93C">
      <w:start w:val="1"/>
      <w:numFmt w:val="decimal"/>
      <w:lvlText w:val="%4."/>
      <w:lvlJc w:val="left"/>
      <w:pPr>
        <w:ind w:left="2520" w:hanging="360"/>
      </w:pPr>
    </w:lvl>
    <w:lvl w:ilvl="4" w:tplc="768C5520">
      <w:start w:val="1"/>
      <w:numFmt w:val="lowerLetter"/>
      <w:lvlText w:val="%5."/>
      <w:lvlJc w:val="left"/>
      <w:pPr>
        <w:ind w:left="3240" w:hanging="360"/>
      </w:pPr>
    </w:lvl>
    <w:lvl w:ilvl="5" w:tplc="3E0EF370">
      <w:start w:val="1"/>
      <w:numFmt w:val="lowerRoman"/>
      <w:lvlText w:val="%6."/>
      <w:lvlJc w:val="right"/>
      <w:pPr>
        <w:ind w:left="3960" w:hanging="180"/>
      </w:pPr>
    </w:lvl>
    <w:lvl w:ilvl="6" w:tplc="C60EAA64">
      <w:start w:val="1"/>
      <w:numFmt w:val="decimal"/>
      <w:lvlText w:val="%7."/>
      <w:lvlJc w:val="left"/>
      <w:pPr>
        <w:ind w:left="4680" w:hanging="360"/>
      </w:pPr>
    </w:lvl>
    <w:lvl w:ilvl="7" w:tplc="4BE4FAAA">
      <w:start w:val="1"/>
      <w:numFmt w:val="lowerLetter"/>
      <w:lvlText w:val="%8."/>
      <w:lvlJc w:val="left"/>
      <w:pPr>
        <w:ind w:left="5400" w:hanging="360"/>
      </w:pPr>
    </w:lvl>
    <w:lvl w:ilvl="8" w:tplc="DC5074F6">
      <w:start w:val="1"/>
      <w:numFmt w:val="lowerRoman"/>
      <w:lvlText w:val="%9."/>
      <w:lvlJc w:val="right"/>
      <w:pPr>
        <w:ind w:left="6120" w:hanging="180"/>
      </w:pPr>
    </w:lvl>
  </w:abstractNum>
  <w:abstractNum w:abstractNumId="30" w15:restartNumberingAfterBreak="0">
    <w:nsid w:val="65EA8BD4"/>
    <w:multiLevelType w:val="hybridMultilevel"/>
    <w:tmpl w:val="19787ED4"/>
    <w:lvl w:ilvl="0" w:tplc="EE8AD244">
      <w:start w:val="1"/>
      <w:numFmt w:val="lowerLetter"/>
      <w:lvlText w:val="%1."/>
      <w:lvlJc w:val="left"/>
      <w:pPr>
        <w:ind w:left="720" w:hanging="360"/>
      </w:pPr>
    </w:lvl>
    <w:lvl w:ilvl="1" w:tplc="F2146874">
      <w:start w:val="1"/>
      <w:numFmt w:val="lowerLetter"/>
      <w:lvlText w:val="%2."/>
      <w:lvlJc w:val="left"/>
      <w:pPr>
        <w:ind w:left="1440" w:hanging="360"/>
      </w:pPr>
    </w:lvl>
    <w:lvl w:ilvl="2" w:tplc="9BEACC90">
      <w:start w:val="1"/>
      <w:numFmt w:val="lowerRoman"/>
      <w:lvlText w:val="%3."/>
      <w:lvlJc w:val="right"/>
      <w:pPr>
        <w:ind w:left="2160" w:hanging="180"/>
      </w:pPr>
    </w:lvl>
    <w:lvl w:ilvl="3" w:tplc="4534586C">
      <w:start w:val="1"/>
      <w:numFmt w:val="decimal"/>
      <w:lvlText w:val="%4."/>
      <w:lvlJc w:val="left"/>
      <w:pPr>
        <w:ind w:left="2880" w:hanging="360"/>
      </w:pPr>
    </w:lvl>
    <w:lvl w:ilvl="4" w:tplc="BF522AAE">
      <w:start w:val="1"/>
      <w:numFmt w:val="lowerLetter"/>
      <w:lvlText w:val="%5."/>
      <w:lvlJc w:val="left"/>
      <w:pPr>
        <w:ind w:left="3600" w:hanging="360"/>
      </w:pPr>
    </w:lvl>
    <w:lvl w:ilvl="5" w:tplc="DCFA1D9E">
      <w:start w:val="1"/>
      <w:numFmt w:val="lowerRoman"/>
      <w:lvlText w:val="%6."/>
      <w:lvlJc w:val="right"/>
      <w:pPr>
        <w:ind w:left="4320" w:hanging="180"/>
      </w:pPr>
    </w:lvl>
    <w:lvl w:ilvl="6" w:tplc="BCF2446A">
      <w:start w:val="1"/>
      <w:numFmt w:val="decimal"/>
      <w:lvlText w:val="%7."/>
      <w:lvlJc w:val="left"/>
      <w:pPr>
        <w:ind w:left="5040" w:hanging="360"/>
      </w:pPr>
    </w:lvl>
    <w:lvl w:ilvl="7" w:tplc="2856B810">
      <w:start w:val="1"/>
      <w:numFmt w:val="lowerLetter"/>
      <w:lvlText w:val="%8."/>
      <w:lvlJc w:val="left"/>
      <w:pPr>
        <w:ind w:left="5760" w:hanging="360"/>
      </w:pPr>
    </w:lvl>
    <w:lvl w:ilvl="8" w:tplc="BC14DB20">
      <w:start w:val="1"/>
      <w:numFmt w:val="lowerRoman"/>
      <w:lvlText w:val="%9."/>
      <w:lvlJc w:val="right"/>
      <w:pPr>
        <w:ind w:left="6480" w:hanging="180"/>
      </w:pPr>
    </w:lvl>
  </w:abstractNum>
  <w:abstractNum w:abstractNumId="31" w15:restartNumberingAfterBreak="0">
    <w:nsid w:val="68FBE12A"/>
    <w:multiLevelType w:val="multilevel"/>
    <w:tmpl w:val="6942638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B8FF001"/>
    <w:multiLevelType w:val="multilevel"/>
    <w:tmpl w:val="74D0DDB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6DA46AA1"/>
    <w:multiLevelType w:val="multilevel"/>
    <w:tmpl w:val="E5488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2973C9C"/>
    <w:multiLevelType w:val="hybridMultilevel"/>
    <w:tmpl w:val="4738A396"/>
    <w:lvl w:ilvl="0" w:tplc="4E4C14FA">
      <w:start w:val="1"/>
      <w:numFmt w:val="lowerLetter"/>
      <w:lvlText w:val="(%1)"/>
      <w:lvlJc w:val="left"/>
      <w:pPr>
        <w:ind w:left="360" w:hanging="360"/>
      </w:pPr>
    </w:lvl>
    <w:lvl w:ilvl="1" w:tplc="016CFB68">
      <w:start w:val="1"/>
      <w:numFmt w:val="lowerLetter"/>
      <w:lvlText w:val="%2."/>
      <w:lvlJc w:val="left"/>
      <w:pPr>
        <w:ind w:left="1080" w:hanging="360"/>
      </w:pPr>
    </w:lvl>
    <w:lvl w:ilvl="2" w:tplc="5340191C">
      <w:start w:val="1"/>
      <w:numFmt w:val="lowerRoman"/>
      <w:lvlText w:val="%3."/>
      <w:lvlJc w:val="right"/>
      <w:pPr>
        <w:ind w:left="1800" w:hanging="180"/>
      </w:pPr>
    </w:lvl>
    <w:lvl w:ilvl="3" w:tplc="C7EAD54A">
      <w:start w:val="1"/>
      <w:numFmt w:val="decimal"/>
      <w:lvlText w:val="%4."/>
      <w:lvlJc w:val="left"/>
      <w:pPr>
        <w:ind w:left="2520" w:hanging="360"/>
      </w:pPr>
    </w:lvl>
    <w:lvl w:ilvl="4" w:tplc="130AE9E4">
      <w:start w:val="1"/>
      <w:numFmt w:val="lowerLetter"/>
      <w:lvlText w:val="%5."/>
      <w:lvlJc w:val="left"/>
      <w:pPr>
        <w:ind w:left="3240" w:hanging="360"/>
      </w:pPr>
    </w:lvl>
    <w:lvl w:ilvl="5" w:tplc="6608B22A">
      <w:start w:val="1"/>
      <w:numFmt w:val="lowerRoman"/>
      <w:lvlText w:val="%6."/>
      <w:lvlJc w:val="right"/>
      <w:pPr>
        <w:ind w:left="3960" w:hanging="180"/>
      </w:pPr>
    </w:lvl>
    <w:lvl w:ilvl="6" w:tplc="ACE699D4">
      <w:start w:val="1"/>
      <w:numFmt w:val="decimal"/>
      <w:lvlText w:val="%7."/>
      <w:lvlJc w:val="left"/>
      <w:pPr>
        <w:ind w:left="4680" w:hanging="360"/>
      </w:pPr>
    </w:lvl>
    <w:lvl w:ilvl="7" w:tplc="DBC2633C">
      <w:start w:val="1"/>
      <w:numFmt w:val="lowerLetter"/>
      <w:lvlText w:val="%8."/>
      <w:lvlJc w:val="left"/>
      <w:pPr>
        <w:ind w:left="5400" w:hanging="360"/>
      </w:pPr>
    </w:lvl>
    <w:lvl w:ilvl="8" w:tplc="652A782E">
      <w:start w:val="1"/>
      <w:numFmt w:val="lowerRoman"/>
      <w:lvlText w:val="%9."/>
      <w:lvlJc w:val="right"/>
      <w:pPr>
        <w:ind w:left="6120" w:hanging="180"/>
      </w:pPr>
    </w:lvl>
  </w:abstractNum>
  <w:abstractNum w:abstractNumId="35" w15:restartNumberingAfterBreak="0">
    <w:nsid w:val="7609FB79"/>
    <w:multiLevelType w:val="hybridMultilevel"/>
    <w:tmpl w:val="01D4A556"/>
    <w:lvl w:ilvl="0" w:tplc="533486D0">
      <w:start w:val="1"/>
      <w:numFmt w:val="bullet"/>
      <w:lvlText w:val=""/>
      <w:lvlJc w:val="left"/>
      <w:pPr>
        <w:ind w:left="720" w:hanging="360"/>
      </w:pPr>
      <w:rPr>
        <w:rFonts w:hint="default" w:ascii="Symbol" w:hAnsi="Symbol"/>
      </w:rPr>
    </w:lvl>
    <w:lvl w:ilvl="1" w:tplc="840EA058">
      <w:start w:val="1"/>
      <w:numFmt w:val="bullet"/>
      <w:lvlText w:val="o"/>
      <w:lvlJc w:val="left"/>
      <w:pPr>
        <w:ind w:left="1440" w:hanging="360"/>
      </w:pPr>
      <w:rPr>
        <w:rFonts w:hint="default" w:ascii="Courier New" w:hAnsi="Courier New"/>
      </w:rPr>
    </w:lvl>
    <w:lvl w:ilvl="2" w:tplc="F09E9F56">
      <w:start w:val="1"/>
      <w:numFmt w:val="bullet"/>
      <w:lvlText w:val=""/>
      <w:lvlJc w:val="left"/>
      <w:pPr>
        <w:ind w:left="2160" w:hanging="360"/>
      </w:pPr>
      <w:rPr>
        <w:rFonts w:hint="default" w:ascii="Wingdings" w:hAnsi="Wingdings"/>
      </w:rPr>
    </w:lvl>
    <w:lvl w:ilvl="3" w:tplc="1D048DC0">
      <w:start w:val="1"/>
      <w:numFmt w:val="bullet"/>
      <w:lvlText w:val=""/>
      <w:lvlJc w:val="left"/>
      <w:pPr>
        <w:ind w:left="2880" w:hanging="360"/>
      </w:pPr>
      <w:rPr>
        <w:rFonts w:hint="default" w:ascii="Symbol" w:hAnsi="Symbol"/>
      </w:rPr>
    </w:lvl>
    <w:lvl w:ilvl="4" w:tplc="64F20F84">
      <w:start w:val="1"/>
      <w:numFmt w:val="bullet"/>
      <w:lvlText w:val="o"/>
      <w:lvlJc w:val="left"/>
      <w:pPr>
        <w:ind w:left="3600" w:hanging="360"/>
      </w:pPr>
      <w:rPr>
        <w:rFonts w:hint="default" w:ascii="Courier New" w:hAnsi="Courier New"/>
      </w:rPr>
    </w:lvl>
    <w:lvl w:ilvl="5" w:tplc="A3DA6CB6">
      <w:start w:val="1"/>
      <w:numFmt w:val="bullet"/>
      <w:lvlText w:val=""/>
      <w:lvlJc w:val="left"/>
      <w:pPr>
        <w:ind w:left="4320" w:hanging="360"/>
      </w:pPr>
      <w:rPr>
        <w:rFonts w:hint="default" w:ascii="Wingdings" w:hAnsi="Wingdings"/>
      </w:rPr>
    </w:lvl>
    <w:lvl w:ilvl="6" w:tplc="F5008322">
      <w:start w:val="1"/>
      <w:numFmt w:val="bullet"/>
      <w:lvlText w:val=""/>
      <w:lvlJc w:val="left"/>
      <w:pPr>
        <w:ind w:left="5040" w:hanging="360"/>
      </w:pPr>
      <w:rPr>
        <w:rFonts w:hint="default" w:ascii="Symbol" w:hAnsi="Symbol"/>
      </w:rPr>
    </w:lvl>
    <w:lvl w:ilvl="7" w:tplc="2B2EE2B0">
      <w:start w:val="1"/>
      <w:numFmt w:val="bullet"/>
      <w:lvlText w:val="o"/>
      <w:lvlJc w:val="left"/>
      <w:pPr>
        <w:ind w:left="5760" w:hanging="360"/>
      </w:pPr>
      <w:rPr>
        <w:rFonts w:hint="default" w:ascii="Courier New" w:hAnsi="Courier New"/>
      </w:rPr>
    </w:lvl>
    <w:lvl w:ilvl="8" w:tplc="0AF4A4F8">
      <w:start w:val="1"/>
      <w:numFmt w:val="bullet"/>
      <w:lvlText w:val=""/>
      <w:lvlJc w:val="left"/>
      <w:pPr>
        <w:ind w:left="6480" w:hanging="360"/>
      </w:pPr>
      <w:rPr>
        <w:rFonts w:hint="default" w:ascii="Wingdings" w:hAnsi="Wingdings"/>
      </w:rPr>
    </w:lvl>
  </w:abstractNum>
  <w:abstractNum w:abstractNumId="36" w15:restartNumberingAfterBreak="0">
    <w:nsid w:val="777A19DD"/>
    <w:multiLevelType w:val="multilevel"/>
    <w:tmpl w:val="3ECEC9E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8510C40"/>
    <w:multiLevelType w:val="multilevel"/>
    <w:tmpl w:val="2A243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8CA2B1F"/>
    <w:multiLevelType w:val="multilevel"/>
    <w:tmpl w:val="FB882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B7625EE"/>
    <w:multiLevelType w:val="multilevel"/>
    <w:tmpl w:val="A28699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D254700"/>
    <w:multiLevelType w:val="multilevel"/>
    <w:tmpl w:val="16284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49538328">
    <w:abstractNumId w:val="1"/>
  </w:num>
  <w:num w:numId="2" w16cid:durableId="1051461412">
    <w:abstractNumId w:val="18"/>
  </w:num>
  <w:num w:numId="3" w16cid:durableId="1553687391">
    <w:abstractNumId w:val="28"/>
  </w:num>
  <w:num w:numId="4" w16cid:durableId="432210685">
    <w:abstractNumId w:val="30"/>
  </w:num>
  <w:num w:numId="5" w16cid:durableId="1364134353">
    <w:abstractNumId w:val="2"/>
  </w:num>
  <w:num w:numId="6" w16cid:durableId="1167136250">
    <w:abstractNumId w:val="0"/>
  </w:num>
  <w:num w:numId="7" w16cid:durableId="189491570">
    <w:abstractNumId w:val="35"/>
  </w:num>
  <w:num w:numId="8" w16cid:durableId="2080402470">
    <w:abstractNumId w:val="25"/>
  </w:num>
  <w:num w:numId="9" w16cid:durableId="1828284672">
    <w:abstractNumId w:val="13"/>
  </w:num>
  <w:num w:numId="10" w16cid:durableId="597327465">
    <w:abstractNumId w:val="31"/>
  </w:num>
  <w:num w:numId="11" w16cid:durableId="1537160714">
    <w:abstractNumId w:val="15"/>
  </w:num>
  <w:num w:numId="12" w16cid:durableId="585117603">
    <w:abstractNumId w:val="16"/>
  </w:num>
  <w:num w:numId="13" w16cid:durableId="2095004842">
    <w:abstractNumId w:val="34"/>
  </w:num>
  <w:num w:numId="14" w16cid:durableId="271669866">
    <w:abstractNumId w:val="26"/>
  </w:num>
  <w:num w:numId="15" w16cid:durableId="1524830822">
    <w:abstractNumId w:val="29"/>
  </w:num>
  <w:num w:numId="16" w16cid:durableId="125245164">
    <w:abstractNumId w:val="10"/>
  </w:num>
  <w:num w:numId="17" w16cid:durableId="1938950936">
    <w:abstractNumId w:val="7"/>
  </w:num>
  <w:num w:numId="18" w16cid:durableId="946620537">
    <w:abstractNumId w:val="4"/>
  </w:num>
  <w:num w:numId="19" w16cid:durableId="1675961110">
    <w:abstractNumId w:val="11"/>
  </w:num>
  <w:num w:numId="20" w16cid:durableId="2100052977">
    <w:abstractNumId w:val="5"/>
  </w:num>
  <w:num w:numId="21" w16cid:durableId="988706050">
    <w:abstractNumId w:val="9"/>
  </w:num>
  <w:num w:numId="22" w16cid:durableId="68699749">
    <w:abstractNumId w:val="32"/>
  </w:num>
  <w:num w:numId="23" w16cid:durableId="1999964067">
    <w:abstractNumId w:val="36"/>
  </w:num>
  <w:num w:numId="24" w16cid:durableId="1751199611">
    <w:abstractNumId w:val="12"/>
  </w:num>
  <w:num w:numId="25" w16cid:durableId="1071347747">
    <w:abstractNumId w:val="24"/>
  </w:num>
  <w:num w:numId="26" w16cid:durableId="748505300">
    <w:abstractNumId w:val="17"/>
  </w:num>
  <w:num w:numId="27" w16cid:durableId="1302731980">
    <w:abstractNumId w:val="22"/>
  </w:num>
  <w:num w:numId="28" w16cid:durableId="1329014394">
    <w:abstractNumId w:val="6"/>
  </w:num>
  <w:num w:numId="29" w16cid:durableId="611786646">
    <w:abstractNumId w:val="20"/>
  </w:num>
  <w:num w:numId="30" w16cid:durableId="1295254699">
    <w:abstractNumId w:val="19"/>
  </w:num>
  <w:num w:numId="31" w16cid:durableId="1629434480">
    <w:abstractNumId w:val="39"/>
    <w:lvlOverride w:ilvl="0">
      <w:startOverride w:val="1"/>
    </w:lvlOverride>
  </w:num>
  <w:num w:numId="32" w16cid:durableId="427501436">
    <w:abstractNumId w:val="14"/>
  </w:num>
  <w:num w:numId="33" w16cid:durableId="547105277">
    <w:abstractNumId w:val="37"/>
  </w:num>
  <w:num w:numId="34" w16cid:durableId="453714617">
    <w:abstractNumId w:val="21"/>
  </w:num>
  <w:num w:numId="35" w16cid:durableId="1900289077">
    <w:abstractNumId w:val="40"/>
  </w:num>
  <w:num w:numId="36" w16cid:durableId="595136421">
    <w:abstractNumId w:val="27"/>
  </w:num>
  <w:num w:numId="37" w16cid:durableId="1902475048">
    <w:abstractNumId w:val="33"/>
  </w:num>
  <w:num w:numId="38" w16cid:durableId="85618806">
    <w:abstractNumId w:val="23"/>
  </w:num>
  <w:num w:numId="39" w16cid:durableId="492185836">
    <w:abstractNumId w:val="3"/>
  </w:num>
  <w:num w:numId="40" w16cid:durableId="876157640">
    <w:abstractNumId w:val="8"/>
  </w:num>
  <w:num w:numId="41" w16cid:durableId="330911773">
    <w:abstractNumId w:val="38"/>
  </w:num>
  <w:numIdMacAtCleanup w:val="4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1E54"/>
    <w:rsid w:val="0000238C"/>
    <w:rsid w:val="00002435"/>
    <w:rsid w:val="00002516"/>
    <w:rsid w:val="00003333"/>
    <w:rsid w:val="0000383F"/>
    <w:rsid w:val="00003C56"/>
    <w:rsid w:val="0000408F"/>
    <w:rsid w:val="00004515"/>
    <w:rsid w:val="0000460A"/>
    <w:rsid w:val="00004FD2"/>
    <w:rsid w:val="00005D23"/>
    <w:rsid w:val="00006569"/>
    <w:rsid w:val="000067F1"/>
    <w:rsid w:val="00007430"/>
    <w:rsid w:val="00007896"/>
    <w:rsid w:val="00007DDC"/>
    <w:rsid w:val="00010476"/>
    <w:rsid w:val="00010C01"/>
    <w:rsid w:val="0001107B"/>
    <w:rsid w:val="00011392"/>
    <w:rsid w:val="00012100"/>
    <w:rsid w:val="000124DC"/>
    <w:rsid w:val="00013E4C"/>
    <w:rsid w:val="0001417B"/>
    <w:rsid w:val="000144B1"/>
    <w:rsid w:val="00014792"/>
    <w:rsid w:val="00014AF7"/>
    <w:rsid w:val="00014DB5"/>
    <w:rsid w:val="00015146"/>
    <w:rsid w:val="000156F3"/>
    <w:rsid w:val="00015DF5"/>
    <w:rsid w:val="00016071"/>
    <w:rsid w:val="000161D9"/>
    <w:rsid w:val="000163A1"/>
    <w:rsid w:val="000163EA"/>
    <w:rsid w:val="00017799"/>
    <w:rsid w:val="00017903"/>
    <w:rsid w:val="000208A6"/>
    <w:rsid w:val="00021250"/>
    <w:rsid w:val="00021464"/>
    <w:rsid w:val="0002157B"/>
    <w:rsid w:val="00021DF4"/>
    <w:rsid w:val="00021EBD"/>
    <w:rsid w:val="00022037"/>
    <w:rsid w:val="00022A9F"/>
    <w:rsid w:val="00022FD5"/>
    <w:rsid w:val="00023069"/>
    <w:rsid w:val="000255C5"/>
    <w:rsid w:val="00025A49"/>
    <w:rsid w:val="00025D09"/>
    <w:rsid w:val="00025E81"/>
    <w:rsid w:val="0002617B"/>
    <w:rsid w:val="00027565"/>
    <w:rsid w:val="000306D8"/>
    <w:rsid w:val="00030C65"/>
    <w:rsid w:val="00032E0D"/>
    <w:rsid w:val="00032FFD"/>
    <w:rsid w:val="00033540"/>
    <w:rsid w:val="00033982"/>
    <w:rsid w:val="00033BE7"/>
    <w:rsid w:val="00034AE4"/>
    <w:rsid w:val="000354ED"/>
    <w:rsid w:val="00035605"/>
    <w:rsid w:val="000358BC"/>
    <w:rsid w:val="00035DC6"/>
    <w:rsid w:val="00036249"/>
    <w:rsid w:val="000364C0"/>
    <w:rsid w:val="000367A5"/>
    <w:rsid w:val="000367EC"/>
    <w:rsid w:val="00036E31"/>
    <w:rsid w:val="00036E3C"/>
    <w:rsid w:val="0003713F"/>
    <w:rsid w:val="00037305"/>
    <w:rsid w:val="000376F4"/>
    <w:rsid w:val="00037956"/>
    <w:rsid w:val="0004016C"/>
    <w:rsid w:val="00041625"/>
    <w:rsid w:val="000417F7"/>
    <w:rsid w:val="00041BCB"/>
    <w:rsid w:val="000423E2"/>
    <w:rsid w:val="00042531"/>
    <w:rsid w:val="000425E0"/>
    <w:rsid w:val="000425EB"/>
    <w:rsid w:val="00042625"/>
    <w:rsid w:val="00042CDC"/>
    <w:rsid w:val="000434CA"/>
    <w:rsid w:val="000448C1"/>
    <w:rsid w:val="00044B34"/>
    <w:rsid w:val="00045123"/>
    <w:rsid w:val="0004522A"/>
    <w:rsid w:val="00046461"/>
    <w:rsid w:val="00046BDD"/>
    <w:rsid w:val="0004703D"/>
    <w:rsid w:val="000470EC"/>
    <w:rsid w:val="00047365"/>
    <w:rsid w:val="000477BD"/>
    <w:rsid w:val="00047DCC"/>
    <w:rsid w:val="000501B5"/>
    <w:rsid w:val="000506A6"/>
    <w:rsid w:val="00050819"/>
    <w:rsid w:val="00050CC7"/>
    <w:rsid w:val="00050FF8"/>
    <w:rsid w:val="00051531"/>
    <w:rsid w:val="000519BB"/>
    <w:rsid w:val="00051AFD"/>
    <w:rsid w:val="00051FB3"/>
    <w:rsid w:val="000524EA"/>
    <w:rsid w:val="000532AF"/>
    <w:rsid w:val="000534A6"/>
    <w:rsid w:val="00053869"/>
    <w:rsid w:val="000550F9"/>
    <w:rsid w:val="000559E8"/>
    <w:rsid w:val="00055F2E"/>
    <w:rsid w:val="00056E94"/>
    <w:rsid w:val="00056F31"/>
    <w:rsid w:val="0005F625"/>
    <w:rsid w:val="0006049A"/>
    <w:rsid w:val="00061131"/>
    <w:rsid w:val="000616D1"/>
    <w:rsid w:val="000626FA"/>
    <w:rsid w:val="00062D2A"/>
    <w:rsid w:val="00062D7D"/>
    <w:rsid w:val="000630C0"/>
    <w:rsid w:val="00063130"/>
    <w:rsid w:val="0006319C"/>
    <w:rsid w:val="00063697"/>
    <w:rsid w:val="00063A56"/>
    <w:rsid w:val="0006539B"/>
    <w:rsid w:val="00065B3C"/>
    <w:rsid w:val="00066853"/>
    <w:rsid w:val="000676B4"/>
    <w:rsid w:val="00067787"/>
    <w:rsid w:val="000677D1"/>
    <w:rsid w:val="00067A5B"/>
    <w:rsid w:val="00067BAC"/>
    <w:rsid w:val="00067D3D"/>
    <w:rsid w:val="00067D78"/>
    <w:rsid w:val="00067FB8"/>
    <w:rsid w:val="0007019A"/>
    <w:rsid w:val="00070622"/>
    <w:rsid w:val="00071640"/>
    <w:rsid w:val="0007200D"/>
    <w:rsid w:val="00072523"/>
    <w:rsid w:val="00072ABD"/>
    <w:rsid w:val="00072D96"/>
    <w:rsid w:val="00072EBD"/>
    <w:rsid w:val="00074481"/>
    <w:rsid w:val="00074572"/>
    <w:rsid w:val="00074595"/>
    <w:rsid w:val="000756FD"/>
    <w:rsid w:val="00075CFA"/>
    <w:rsid w:val="00075E7F"/>
    <w:rsid w:val="00075F40"/>
    <w:rsid w:val="00076484"/>
    <w:rsid w:val="00076C64"/>
    <w:rsid w:val="00077179"/>
    <w:rsid w:val="000772D9"/>
    <w:rsid w:val="0007775D"/>
    <w:rsid w:val="00077DE2"/>
    <w:rsid w:val="00080399"/>
    <w:rsid w:val="000804FA"/>
    <w:rsid w:val="00080653"/>
    <w:rsid w:val="00080C85"/>
    <w:rsid w:val="0008189F"/>
    <w:rsid w:val="00081B85"/>
    <w:rsid w:val="00081CAF"/>
    <w:rsid w:val="00082004"/>
    <w:rsid w:val="0008205B"/>
    <w:rsid w:val="0008212C"/>
    <w:rsid w:val="000825F5"/>
    <w:rsid w:val="00083200"/>
    <w:rsid w:val="0008337A"/>
    <w:rsid w:val="00083447"/>
    <w:rsid w:val="000836CB"/>
    <w:rsid w:val="00083BE8"/>
    <w:rsid w:val="00083E43"/>
    <w:rsid w:val="00084A21"/>
    <w:rsid w:val="000867D3"/>
    <w:rsid w:val="00086A80"/>
    <w:rsid w:val="00086BE4"/>
    <w:rsid w:val="00086DAF"/>
    <w:rsid w:val="0008739A"/>
    <w:rsid w:val="00087D12"/>
    <w:rsid w:val="00090217"/>
    <w:rsid w:val="000908C1"/>
    <w:rsid w:val="00090904"/>
    <w:rsid w:val="00090A3B"/>
    <w:rsid w:val="00090B4F"/>
    <w:rsid w:val="00090D49"/>
    <w:rsid w:val="00091512"/>
    <w:rsid w:val="00091F60"/>
    <w:rsid w:val="00092DA4"/>
    <w:rsid w:val="000931D2"/>
    <w:rsid w:val="000936D0"/>
    <w:rsid w:val="00093743"/>
    <w:rsid w:val="00093F3E"/>
    <w:rsid w:val="00094FC8"/>
    <w:rsid w:val="00095499"/>
    <w:rsid w:val="00095BF7"/>
    <w:rsid w:val="00096473"/>
    <w:rsid w:val="00096BC7"/>
    <w:rsid w:val="000975C5"/>
    <w:rsid w:val="0009784B"/>
    <w:rsid w:val="000A04ED"/>
    <w:rsid w:val="000A11B4"/>
    <w:rsid w:val="000A1EC9"/>
    <w:rsid w:val="000A238E"/>
    <w:rsid w:val="000A271A"/>
    <w:rsid w:val="000A3248"/>
    <w:rsid w:val="000A35F2"/>
    <w:rsid w:val="000A404C"/>
    <w:rsid w:val="000A4120"/>
    <w:rsid w:val="000A47D4"/>
    <w:rsid w:val="000A49F6"/>
    <w:rsid w:val="000A59B2"/>
    <w:rsid w:val="000A5B03"/>
    <w:rsid w:val="000A5BDB"/>
    <w:rsid w:val="000A5D80"/>
    <w:rsid w:val="000A62AB"/>
    <w:rsid w:val="000A678C"/>
    <w:rsid w:val="000A7380"/>
    <w:rsid w:val="000A7443"/>
    <w:rsid w:val="000B0158"/>
    <w:rsid w:val="000B0462"/>
    <w:rsid w:val="000B07E4"/>
    <w:rsid w:val="000B0823"/>
    <w:rsid w:val="000B0C88"/>
    <w:rsid w:val="000B0EBD"/>
    <w:rsid w:val="000B165D"/>
    <w:rsid w:val="000B1B3B"/>
    <w:rsid w:val="000B280B"/>
    <w:rsid w:val="000B2D4B"/>
    <w:rsid w:val="000B37CD"/>
    <w:rsid w:val="000B3A50"/>
    <w:rsid w:val="000B5412"/>
    <w:rsid w:val="000B556A"/>
    <w:rsid w:val="000B55D8"/>
    <w:rsid w:val="000B5A29"/>
    <w:rsid w:val="000B7120"/>
    <w:rsid w:val="000B78F4"/>
    <w:rsid w:val="000B7B36"/>
    <w:rsid w:val="000C00D6"/>
    <w:rsid w:val="000C03B0"/>
    <w:rsid w:val="000C0DEB"/>
    <w:rsid w:val="000C16A2"/>
    <w:rsid w:val="000C1BC7"/>
    <w:rsid w:val="000C1C83"/>
    <w:rsid w:val="000C236C"/>
    <w:rsid w:val="000C2765"/>
    <w:rsid w:val="000C31CB"/>
    <w:rsid w:val="000C33B4"/>
    <w:rsid w:val="000C34BC"/>
    <w:rsid w:val="000C376F"/>
    <w:rsid w:val="000C4D31"/>
    <w:rsid w:val="000C5A6B"/>
    <w:rsid w:val="000C5C8F"/>
    <w:rsid w:val="000C5DE8"/>
    <w:rsid w:val="000C5F58"/>
    <w:rsid w:val="000C68BA"/>
    <w:rsid w:val="000D0049"/>
    <w:rsid w:val="000D0DA1"/>
    <w:rsid w:val="000D14B2"/>
    <w:rsid w:val="000D1BA5"/>
    <w:rsid w:val="000D2A3E"/>
    <w:rsid w:val="000D2F24"/>
    <w:rsid w:val="000D33DF"/>
    <w:rsid w:val="000D37E9"/>
    <w:rsid w:val="000D3C11"/>
    <w:rsid w:val="000D4487"/>
    <w:rsid w:val="000D47D2"/>
    <w:rsid w:val="000D4E43"/>
    <w:rsid w:val="000D61CF"/>
    <w:rsid w:val="000D67F6"/>
    <w:rsid w:val="000D69C7"/>
    <w:rsid w:val="000D6EAA"/>
    <w:rsid w:val="000D7485"/>
    <w:rsid w:val="000D74D0"/>
    <w:rsid w:val="000D7918"/>
    <w:rsid w:val="000D7A99"/>
    <w:rsid w:val="000D7B18"/>
    <w:rsid w:val="000E00A2"/>
    <w:rsid w:val="000E0114"/>
    <w:rsid w:val="000E060B"/>
    <w:rsid w:val="000E0A2A"/>
    <w:rsid w:val="000E0B5C"/>
    <w:rsid w:val="000E13D9"/>
    <w:rsid w:val="000E2358"/>
    <w:rsid w:val="000E30DA"/>
    <w:rsid w:val="000E322F"/>
    <w:rsid w:val="000E3F86"/>
    <w:rsid w:val="000E4308"/>
    <w:rsid w:val="000E46F5"/>
    <w:rsid w:val="000E5897"/>
    <w:rsid w:val="000E673B"/>
    <w:rsid w:val="000E6B3C"/>
    <w:rsid w:val="000E70F9"/>
    <w:rsid w:val="000E73CB"/>
    <w:rsid w:val="000E7671"/>
    <w:rsid w:val="000F032E"/>
    <w:rsid w:val="000F0653"/>
    <w:rsid w:val="000F0720"/>
    <w:rsid w:val="000F09CB"/>
    <w:rsid w:val="000F0CC2"/>
    <w:rsid w:val="000F1809"/>
    <w:rsid w:val="000F196D"/>
    <w:rsid w:val="000F1ACA"/>
    <w:rsid w:val="000F1C84"/>
    <w:rsid w:val="000F1CD3"/>
    <w:rsid w:val="000F1CF2"/>
    <w:rsid w:val="000F210D"/>
    <w:rsid w:val="000F2835"/>
    <w:rsid w:val="000F43AA"/>
    <w:rsid w:val="000F4493"/>
    <w:rsid w:val="000F4DE0"/>
    <w:rsid w:val="000F52F3"/>
    <w:rsid w:val="000F56A1"/>
    <w:rsid w:val="000F5738"/>
    <w:rsid w:val="000F5ACB"/>
    <w:rsid w:val="000F60C8"/>
    <w:rsid w:val="000F6813"/>
    <w:rsid w:val="000F6921"/>
    <w:rsid w:val="000F6D6E"/>
    <w:rsid w:val="000F7B51"/>
    <w:rsid w:val="001004B5"/>
    <w:rsid w:val="0010052C"/>
    <w:rsid w:val="001006BD"/>
    <w:rsid w:val="00100F8C"/>
    <w:rsid w:val="001016BD"/>
    <w:rsid w:val="00101A3D"/>
    <w:rsid w:val="00101C3B"/>
    <w:rsid w:val="00101EA9"/>
    <w:rsid w:val="001024F6"/>
    <w:rsid w:val="00102BE3"/>
    <w:rsid w:val="0010330C"/>
    <w:rsid w:val="00103900"/>
    <w:rsid w:val="00103946"/>
    <w:rsid w:val="00103FA2"/>
    <w:rsid w:val="0010466A"/>
    <w:rsid w:val="001052EE"/>
    <w:rsid w:val="0010573F"/>
    <w:rsid w:val="001058FC"/>
    <w:rsid w:val="001063FE"/>
    <w:rsid w:val="0010671F"/>
    <w:rsid w:val="00106C51"/>
    <w:rsid w:val="00107275"/>
    <w:rsid w:val="00107312"/>
    <w:rsid w:val="00107B53"/>
    <w:rsid w:val="00107E77"/>
    <w:rsid w:val="001102CC"/>
    <w:rsid w:val="0011168C"/>
    <w:rsid w:val="00111804"/>
    <w:rsid w:val="001119E7"/>
    <w:rsid w:val="00111D7E"/>
    <w:rsid w:val="00111FBD"/>
    <w:rsid w:val="0011212B"/>
    <w:rsid w:val="0011256E"/>
    <w:rsid w:val="00112E33"/>
    <w:rsid w:val="00113267"/>
    <w:rsid w:val="0011343B"/>
    <w:rsid w:val="001153FC"/>
    <w:rsid w:val="00115A71"/>
    <w:rsid w:val="001162E9"/>
    <w:rsid w:val="001169FD"/>
    <w:rsid w:val="00116D0F"/>
    <w:rsid w:val="00116EAF"/>
    <w:rsid w:val="00117ED8"/>
    <w:rsid w:val="00121037"/>
    <w:rsid w:val="00121544"/>
    <w:rsid w:val="00121CE6"/>
    <w:rsid w:val="0012392F"/>
    <w:rsid w:val="00124801"/>
    <w:rsid w:val="00125377"/>
    <w:rsid w:val="0012538B"/>
    <w:rsid w:val="00125931"/>
    <w:rsid w:val="001265A9"/>
    <w:rsid w:val="00126BF8"/>
    <w:rsid w:val="00126CA3"/>
    <w:rsid w:val="00126FCB"/>
    <w:rsid w:val="00126FEE"/>
    <w:rsid w:val="0012763F"/>
    <w:rsid w:val="00127D5A"/>
    <w:rsid w:val="00130128"/>
    <w:rsid w:val="001330CE"/>
    <w:rsid w:val="00133F49"/>
    <w:rsid w:val="00133F62"/>
    <w:rsid w:val="00133FB0"/>
    <w:rsid w:val="00134C86"/>
    <w:rsid w:val="00134F02"/>
    <w:rsid w:val="001356EA"/>
    <w:rsid w:val="0013572B"/>
    <w:rsid w:val="00136090"/>
    <w:rsid w:val="0013668E"/>
    <w:rsid w:val="00136793"/>
    <w:rsid w:val="00136E6B"/>
    <w:rsid w:val="001379EB"/>
    <w:rsid w:val="00137BDE"/>
    <w:rsid w:val="00137D64"/>
    <w:rsid w:val="001400AB"/>
    <w:rsid w:val="001412B8"/>
    <w:rsid w:val="00141CEE"/>
    <w:rsid w:val="00142998"/>
    <w:rsid w:val="00142B18"/>
    <w:rsid w:val="00143A1C"/>
    <w:rsid w:val="0014420A"/>
    <w:rsid w:val="0014510B"/>
    <w:rsid w:val="00145353"/>
    <w:rsid w:val="0014587E"/>
    <w:rsid w:val="001459F6"/>
    <w:rsid w:val="00145B81"/>
    <w:rsid w:val="00145BB9"/>
    <w:rsid w:val="00145CE0"/>
    <w:rsid w:val="00146098"/>
    <w:rsid w:val="00146F97"/>
    <w:rsid w:val="00147731"/>
    <w:rsid w:val="00147E8F"/>
    <w:rsid w:val="001515DE"/>
    <w:rsid w:val="00152714"/>
    <w:rsid w:val="001528BB"/>
    <w:rsid w:val="001529E3"/>
    <w:rsid w:val="00152DB9"/>
    <w:rsid w:val="00152F89"/>
    <w:rsid w:val="00153515"/>
    <w:rsid w:val="00153723"/>
    <w:rsid w:val="00153A12"/>
    <w:rsid w:val="00153ACA"/>
    <w:rsid w:val="00153CFC"/>
    <w:rsid w:val="00155554"/>
    <w:rsid w:val="0015558D"/>
    <w:rsid w:val="001557EF"/>
    <w:rsid w:val="00156A01"/>
    <w:rsid w:val="00157B2E"/>
    <w:rsid w:val="0016068E"/>
    <w:rsid w:val="0016149B"/>
    <w:rsid w:val="00161599"/>
    <w:rsid w:val="001620C1"/>
    <w:rsid w:val="00162483"/>
    <w:rsid w:val="0016308D"/>
    <w:rsid w:val="00163376"/>
    <w:rsid w:val="00163381"/>
    <w:rsid w:val="001636BC"/>
    <w:rsid w:val="00164201"/>
    <w:rsid w:val="00164467"/>
    <w:rsid w:val="001645B0"/>
    <w:rsid w:val="001645DA"/>
    <w:rsid w:val="0016460D"/>
    <w:rsid w:val="00164B7D"/>
    <w:rsid w:val="0016508B"/>
    <w:rsid w:val="00165B0F"/>
    <w:rsid w:val="00165BDC"/>
    <w:rsid w:val="00165BE9"/>
    <w:rsid w:val="00166B15"/>
    <w:rsid w:val="001673DB"/>
    <w:rsid w:val="00170D6B"/>
    <w:rsid w:val="00171D7E"/>
    <w:rsid w:val="00171F48"/>
    <w:rsid w:val="00172139"/>
    <w:rsid w:val="00172291"/>
    <w:rsid w:val="001725CD"/>
    <w:rsid w:val="00172753"/>
    <w:rsid w:val="00172973"/>
    <w:rsid w:val="00172C9E"/>
    <w:rsid w:val="00173B2F"/>
    <w:rsid w:val="00173E50"/>
    <w:rsid w:val="0017496A"/>
    <w:rsid w:val="00174B1B"/>
    <w:rsid w:val="00174E93"/>
    <w:rsid w:val="0017695C"/>
    <w:rsid w:val="001775D4"/>
    <w:rsid w:val="00177DA5"/>
    <w:rsid w:val="0018028F"/>
    <w:rsid w:val="001803A1"/>
    <w:rsid w:val="00180FBA"/>
    <w:rsid w:val="001817A9"/>
    <w:rsid w:val="0018280F"/>
    <w:rsid w:val="001829ED"/>
    <w:rsid w:val="00182DA7"/>
    <w:rsid w:val="0018312D"/>
    <w:rsid w:val="001832BD"/>
    <w:rsid w:val="00183502"/>
    <w:rsid w:val="00185D5F"/>
    <w:rsid w:val="0018665C"/>
    <w:rsid w:val="00186A63"/>
    <w:rsid w:val="001875CA"/>
    <w:rsid w:val="00187B4D"/>
    <w:rsid w:val="001905AD"/>
    <w:rsid w:val="00191346"/>
    <w:rsid w:val="001915DD"/>
    <w:rsid w:val="0019186C"/>
    <w:rsid w:val="00192098"/>
    <w:rsid w:val="0019307A"/>
    <w:rsid w:val="00193598"/>
    <w:rsid w:val="0019385C"/>
    <w:rsid w:val="00193B7F"/>
    <w:rsid w:val="00195016"/>
    <w:rsid w:val="00195488"/>
    <w:rsid w:val="00195F08"/>
    <w:rsid w:val="00196C08"/>
    <w:rsid w:val="00196E3D"/>
    <w:rsid w:val="001A04D9"/>
    <w:rsid w:val="001A0D9A"/>
    <w:rsid w:val="001A0F26"/>
    <w:rsid w:val="001A15DE"/>
    <w:rsid w:val="001A254A"/>
    <w:rsid w:val="001A25C4"/>
    <w:rsid w:val="001A27ED"/>
    <w:rsid w:val="001A2895"/>
    <w:rsid w:val="001A3BB1"/>
    <w:rsid w:val="001A3E47"/>
    <w:rsid w:val="001A4AA4"/>
    <w:rsid w:val="001A4D35"/>
    <w:rsid w:val="001A5451"/>
    <w:rsid w:val="001A5BCF"/>
    <w:rsid w:val="001A5E0F"/>
    <w:rsid w:val="001A5F7F"/>
    <w:rsid w:val="001A6BFC"/>
    <w:rsid w:val="001A6C83"/>
    <w:rsid w:val="001A6D5A"/>
    <w:rsid w:val="001A6FD8"/>
    <w:rsid w:val="001B01A8"/>
    <w:rsid w:val="001B1241"/>
    <w:rsid w:val="001B12D9"/>
    <w:rsid w:val="001B14BA"/>
    <w:rsid w:val="001B1943"/>
    <w:rsid w:val="001B2507"/>
    <w:rsid w:val="001B2832"/>
    <w:rsid w:val="001B285B"/>
    <w:rsid w:val="001B5ABB"/>
    <w:rsid w:val="001B62EF"/>
    <w:rsid w:val="001B6C27"/>
    <w:rsid w:val="001C08F8"/>
    <w:rsid w:val="001C19EB"/>
    <w:rsid w:val="001C1E52"/>
    <w:rsid w:val="001C29CE"/>
    <w:rsid w:val="001C31E7"/>
    <w:rsid w:val="001C3F41"/>
    <w:rsid w:val="001C44B2"/>
    <w:rsid w:val="001C4AD0"/>
    <w:rsid w:val="001C6821"/>
    <w:rsid w:val="001C6BF3"/>
    <w:rsid w:val="001C6CE4"/>
    <w:rsid w:val="001C75A1"/>
    <w:rsid w:val="001C7651"/>
    <w:rsid w:val="001C7810"/>
    <w:rsid w:val="001C7B32"/>
    <w:rsid w:val="001C7D5A"/>
    <w:rsid w:val="001C7F1A"/>
    <w:rsid w:val="001C7F64"/>
    <w:rsid w:val="001C7F68"/>
    <w:rsid w:val="001D09A2"/>
    <w:rsid w:val="001D0EE2"/>
    <w:rsid w:val="001D12B1"/>
    <w:rsid w:val="001D13E0"/>
    <w:rsid w:val="001D153E"/>
    <w:rsid w:val="001D1E0B"/>
    <w:rsid w:val="001D2066"/>
    <w:rsid w:val="001D4F54"/>
    <w:rsid w:val="001D52B9"/>
    <w:rsid w:val="001D543A"/>
    <w:rsid w:val="001D5CC4"/>
    <w:rsid w:val="001D5CF9"/>
    <w:rsid w:val="001D6763"/>
    <w:rsid w:val="001D679F"/>
    <w:rsid w:val="001D7D6B"/>
    <w:rsid w:val="001E03DD"/>
    <w:rsid w:val="001E03F4"/>
    <w:rsid w:val="001E087B"/>
    <w:rsid w:val="001E1BD9"/>
    <w:rsid w:val="001E2374"/>
    <w:rsid w:val="001E2BE1"/>
    <w:rsid w:val="001E319F"/>
    <w:rsid w:val="001E3623"/>
    <w:rsid w:val="001E3C5A"/>
    <w:rsid w:val="001E3D07"/>
    <w:rsid w:val="001E45FA"/>
    <w:rsid w:val="001E4992"/>
    <w:rsid w:val="001E4B3A"/>
    <w:rsid w:val="001E4EF2"/>
    <w:rsid w:val="001E5378"/>
    <w:rsid w:val="001E550B"/>
    <w:rsid w:val="001E6321"/>
    <w:rsid w:val="001E654D"/>
    <w:rsid w:val="001E7203"/>
    <w:rsid w:val="001E7354"/>
    <w:rsid w:val="001F032F"/>
    <w:rsid w:val="001F036B"/>
    <w:rsid w:val="001F1062"/>
    <w:rsid w:val="001F12D4"/>
    <w:rsid w:val="001F178B"/>
    <w:rsid w:val="001F1929"/>
    <w:rsid w:val="001F1A9C"/>
    <w:rsid w:val="001F2157"/>
    <w:rsid w:val="001F21F8"/>
    <w:rsid w:val="001F2C5E"/>
    <w:rsid w:val="001F2F19"/>
    <w:rsid w:val="001F2F95"/>
    <w:rsid w:val="001F3A79"/>
    <w:rsid w:val="001F47C2"/>
    <w:rsid w:val="001F5E90"/>
    <w:rsid w:val="001F652C"/>
    <w:rsid w:val="001F670F"/>
    <w:rsid w:val="001F6B4A"/>
    <w:rsid w:val="001F6F8A"/>
    <w:rsid w:val="001F7060"/>
    <w:rsid w:val="001F7065"/>
    <w:rsid w:val="001F724A"/>
    <w:rsid w:val="001F7290"/>
    <w:rsid w:val="001F7310"/>
    <w:rsid w:val="00200564"/>
    <w:rsid w:val="0020154D"/>
    <w:rsid w:val="00202576"/>
    <w:rsid w:val="0020264B"/>
    <w:rsid w:val="0020347E"/>
    <w:rsid w:val="0020349A"/>
    <w:rsid w:val="0020350F"/>
    <w:rsid w:val="00203749"/>
    <w:rsid w:val="00203A48"/>
    <w:rsid w:val="00203AAB"/>
    <w:rsid w:val="00203EA4"/>
    <w:rsid w:val="002041DC"/>
    <w:rsid w:val="00204593"/>
    <w:rsid w:val="0020469B"/>
    <w:rsid w:val="002052EC"/>
    <w:rsid w:val="00205986"/>
    <w:rsid w:val="00205F68"/>
    <w:rsid w:val="002061BF"/>
    <w:rsid w:val="0020642F"/>
    <w:rsid w:val="00206BC9"/>
    <w:rsid w:val="00207111"/>
    <w:rsid w:val="00207448"/>
    <w:rsid w:val="00207749"/>
    <w:rsid w:val="002078DB"/>
    <w:rsid w:val="002078FD"/>
    <w:rsid w:val="00210423"/>
    <w:rsid w:val="00210CB8"/>
    <w:rsid w:val="00211064"/>
    <w:rsid w:val="002111CE"/>
    <w:rsid w:val="002116AB"/>
    <w:rsid w:val="00211885"/>
    <w:rsid w:val="002120D7"/>
    <w:rsid w:val="002132E3"/>
    <w:rsid w:val="00213457"/>
    <w:rsid w:val="0021383D"/>
    <w:rsid w:val="002139F7"/>
    <w:rsid w:val="00213FB5"/>
    <w:rsid w:val="002144E3"/>
    <w:rsid w:val="0021582C"/>
    <w:rsid w:val="00215BBA"/>
    <w:rsid w:val="002163FA"/>
    <w:rsid w:val="0022028C"/>
    <w:rsid w:val="00220753"/>
    <w:rsid w:val="00220DD9"/>
    <w:rsid w:val="00221362"/>
    <w:rsid w:val="00221E8A"/>
    <w:rsid w:val="00222079"/>
    <w:rsid w:val="00222A2E"/>
    <w:rsid w:val="0022327B"/>
    <w:rsid w:val="002232EB"/>
    <w:rsid w:val="00223502"/>
    <w:rsid w:val="00223CD4"/>
    <w:rsid w:val="0022438F"/>
    <w:rsid w:val="00224A4A"/>
    <w:rsid w:val="002253B4"/>
    <w:rsid w:val="00225D4D"/>
    <w:rsid w:val="0022680F"/>
    <w:rsid w:val="00226F0E"/>
    <w:rsid w:val="002270A9"/>
    <w:rsid w:val="00227109"/>
    <w:rsid w:val="00227371"/>
    <w:rsid w:val="002307CC"/>
    <w:rsid w:val="00230B3B"/>
    <w:rsid w:val="00230F01"/>
    <w:rsid w:val="00230F7F"/>
    <w:rsid w:val="002312C0"/>
    <w:rsid w:val="002315DF"/>
    <w:rsid w:val="00231DCA"/>
    <w:rsid w:val="00232BC7"/>
    <w:rsid w:val="00232C3E"/>
    <w:rsid w:val="00233CBF"/>
    <w:rsid w:val="002343A5"/>
    <w:rsid w:val="002347BE"/>
    <w:rsid w:val="00234902"/>
    <w:rsid w:val="002361C8"/>
    <w:rsid w:val="00236D7F"/>
    <w:rsid w:val="00237110"/>
    <w:rsid w:val="00237591"/>
    <w:rsid w:val="0023796B"/>
    <w:rsid w:val="00237ADB"/>
    <w:rsid w:val="002408B0"/>
    <w:rsid w:val="0024090F"/>
    <w:rsid w:val="002409B7"/>
    <w:rsid w:val="00240F23"/>
    <w:rsid w:val="00241117"/>
    <w:rsid w:val="00241755"/>
    <w:rsid w:val="002422B9"/>
    <w:rsid w:val="00242759"/>
    <w:rsid w:val="00243A3B"/>
    <w:rsid w:val="00244353"/>
    <w:rsid w:val="0024598E"/>
    <w:rsid w:val="00246653"/>
    <w:rsid w:val="00246EE0"/>
    <w:rsid w:val="002471C5"/>
    <w:rsid w:val="00247279"/>
    <w:rsid w:val="002474F3"/>
    <w:rsid w:val="00247CC8"/>
    <w:rsid w:val="002506A2"/>
    <w:rsid w:val="002506DB"/>
    <w:rsid w:val="002509E4"/>
    <w:rsid w:val="002512C7"/>
    <w:rsid w:val="002514D5"/>
    <w:rsid w:val="00251A49"/>
    <w:rsid w:val="002535BA"/>
    <w:rsid w:val="00253702"/>
    <w:rsid w:val="00254FF5"/>
    <w:rsid w:val="002552C0"/>
    <w:rsid w:val="00255A26"/>
    <w:rsid w:val="00255D4B"/>
    <w:rsid w:val="0025605B"/>
    <w:rsid w:val="002562DF"/>
    <w:rsid w:val="00256DA8"/>
    <w:rsid w:val="0025724F"/>
    <w:rsid w:val="00257C37"/>
    <w:rsid w:val="00257E99"/>
    <w:rsid w:val="0026005E"/>
    <w:rsid w:val="00260BEB"/>
    <w:rsid w:val="00260C99"/>
    <w:rsid w:val="00261E3E"/>
    <w:rsid w:val="00261EBE"/>
    <w:rsid w:val="00261ED0"/>
    <w:rsid w:val="002620D4"/>
    <w:rsid w:val="00262184"/>
    <w:rsid w:val="002625BA"/>
    <w:rsid w:val="002629BF"/>
    <w:rsid w:val="00262A27"/>
    <w:rsid w:val="00262ACB"/>
    <w:rsid w:val="00262E2F"/>
    <w:rsid w:val="002630A1"/>
    <w:rsid w:val="00263360"/>
    <w:rsid w:val="00263F4F"/>
    <w:rsid w:val="002642D8"/>
    <w:rsid w:val="00264696"/>
    <w:rsid w:val="00265167"/>
    <w:rsid w:val="00265CB3"/>
    <w:rsid w:val="00266ADE"/>
    <w:rsid w:val="002670F5"/>
    <w:rsid w:val="002678F9"/>
    <w:rsid w:val="0027001A"/>
    <w:rsid w:val="002705E4"/>
    <w:rsid w:val="00270962"/>
    <w:rsid w:val="00270D90"/>
    <w:rsid w:val="00270FE6"/>
    <w:rsid w:val="002714CA"/>
    <w:rsid w:val="002719F1"/>
    <w:rsid w:val="00272480"/>
    <w:rsid w:val="00272A52"/>
    <w:rsid w:val="00272D72"/>
    <w:rsid w:val="00272DF1"/>
    <w:rsid w:val="00274058"/>
    <w:rsid w:val="00274282"/>
    <w:rsid w:val="00274DE8"/>
    <w:rsid w:val="00274F9A"/>
    <w:rsid w:val="00275465"/>
    <w:rsid w:val="00275949"/>
    <w:rsid w:val="00275B39"/>
    <w:rsid w:val="002762C1"/>
    <w:rsid w:val="002763E6"/>
    <w:rsid w:val="00276517"/>
    <w:rsid w:val="0027654B"/>
    <w:rsid w:val="00276585"/>
    <w:rsid w:val="002765E9"/>
    <w:rsid w:val="002765FA"/>
    <w:rsid w:val="00276B30"/>
    <w:rsid w:val="00276D6A"/>
    <w:rsid w:val="00277337"/>
    <w:rsid w:val="0027760E"/>
    <w:rsid w:val="002779C8"/>
    <w:rsid w:val="00277A70"/>
    <w:rsid w:val="00277DDE"/>
    <w:rsid w:val="00280913"/>
    <w:rsid w:val="00280B52"/>
    <w:rsid w:val="0028251C"/>
    <w:rsid w:val="00282887"/>
    <w:rsid w:val="00282D34"/>
    <w:rsid w:val="00282DFE"/>
    <w:rsid w:val="00283EEF"/>
    <w:rsid w:val="00283FB7"/>
    <w:rsid w:val="0028453E"/>
    <w:rsid w:val="00284930"/>
    <w:rsid w:val="00284CD7"/>
    <w:rsid w:val="00284E39"/>
    <w:rsid w:val="00284E63"/>
    <w:rsid w:val="00284EBD"/>
    <w:rsid w:val="0028500D"/>
    <w:rsid w:val="0028599B"/>
    <w:rsid w:val="00285DFF"/>
    <w:rsid w:val="0028650A"/>
    <w:rsid w:val="0028693B"/>
    <w:rsid w:val="002878C2"/>
    <w:rsid w:val="002878F8"/>
    <w:rsid w:val="00287E9B"/>
    <w:rsid w:val="00287EE4"/>
    <w:rsid w:val="00290174"/>
    <w:rsid w:val="00290858"/>
    <w:rsid w:val="00290F40"/>
    <w:rsid w:val="002913D9"/>
    <w:rsid w:val="0029146B"/>
    <w:rsid w:val="00292068"/>
    <w:rsid w:val="00292560"/>
    <w:rsid w:val="0029297C"/>
    <w:rsid w:val="00292A59"/>
    <w:rsid w:val="00292B40"/>
    <w:rsid w:val="00292B58"/>
    <w:rsid w:val="00292C8E"/>
    <w:rsid w:val="00292CB9"/>
    <w:rsid w:val="002931EE"/>
    <w:rsid w:val="00293A98"/>
    <w:rsid w:val="00293F0E"/>
    <w:rsid w:val="00293F91"/>
    <w:rsid w:val="002941E8"/>
    <w:rsid w:val="0029494A"/>
    <w:rsid w:val="0029503D"/>
    <w:rsid w:val="00295BAC"/>
    <w:rsid w:val="002968CA"/>
    <w:rsid w:val="00296DCA"/>
    <w:rsid w:val="00297420"/>
    <w:rsid w:val="002979D7"/>
    <w:rsid w:val="00297A45"/>
    <w:rsid w:val="002A0174"/>
    <w:rsid w:val="002A03BB"/>
    <w:rsid w:val="002A0DD7"/>
    <w:rsid w:val="002A15EF"/>
    <w:rsid w:val="002A17A3"/>
    <w:rsid w:val="002A1B2F"/>
    <w:rsid w:val="002A2243"/>
    <w:rsid w:val="002A22B2"/>
    <w:rsid w:val="002A2655"/>
    <w:rsid w:val="002A2F9F"/>
    <w:rsid w:val="002A3A66"/>
    <w:rsid w:val="002A3C3E"/>
    <w:rsid w:val="002A476B"/>
    <w:rsid w:val="002A4A18"/>
    <w:rsid w:val="002A4EC2"/>
    <w:rsid w:val="002A5399"/>
    <w:rsid w:val="002A54C9"/>
    <w:rsid w:val="002A54CB"/>
    <w:rsid w:val="002A566F"/>
    <w:rsid w:val="002A5992"/>
    <w:rsid w:val="002A59C6"/>
    <w:rsid w:val="002A66DE"/>
    <w:rsid w:val="002A6C30"/>
    <w:rsid w:val="002A724C"/>
    <w:rsid w:val="002A737A"/>
    <w:rsid w:val="002A7477"/>
    <w:rsid w:val="002A7867"/>
    <w:rsid w:val="002A78BE"/>
    <w:rsid w:val="002A7B3D"/>
    <w:rsid w:val="002B090F"/>
    <w:rsid w:val="002B0980"/>
    <w:rsid w:val="002B14BE"/>
    <w:rsid w:val="002B1E36"/>
    <w:rsid w:val="002B21A1"/>
    <w:rsid w:val="002B362F"/>
    <w:rsid w:val="002B3A2D"/>
    <w:rsid w:val="002B4443"/>
    <w:rsid w:val="002B4954"/>
    <w:rsid w:val="002B4A45"/>
    <w:rsid w:val="002B4EB2"/>
    <w:rsid w:val="002B5334"/>
    <w:rsid w:val="002B602B"/>
    <w:rsid w:val="002B6941"/>
    <w:rsid w:val="002B69A8"/>
    <w:rsid w:val="002B6BA7"/>
    <w:rsid w:val="002B7884"/>
    <w:rsid w:val="002C09F8"/>
    <w:rsid w:val="002C2572"/>
    <w:rsid w:val="002C3228"/>
    <w:rsid w:val="002C4351"/>
    <w:rsid w:val="002C43DC"/>
    <w:rsid w:val="002C51D2"/>
    <w:rsid w:val="002C5E2F"/>
    <w:rsid w:val="002C7238"/>
    <w:rsid w:val="002C7787"/>
    <w:rsid w:val="002D00B3"/>
    <w:rsid w:val="002D09A5"/>
    <w:rsid w:val="002D1903"/>
    <w:rsid w:val="002D3DC1"/>
    <w:rsid w:val="002D3E9D"/>
    <w:rsid w:val="002D4322"/>
    <w:rsid w:val="002D56C5"/>
    <w:rsid w:val="002D5833"/>
    <w:rsid w:val="002D6508"/>
    <w:rsid w:val="002D6C27"/>
    <w:rsid w:val="002D7B48"/>
    <w:rsid w:val="002E07A6"/>
    <w:rsid w:val="002E0D9E"/>
    <w:rsid w:val="002E0E82"/>
    <w:rsid w:val="002E0F45"/>
    <w:rsid w:val="002E13FC"/>
    <w:rsid w:val="002E1ED9"/>
    <w:rsid w:val="002E1F7D"/>
    <w:rsid w:val="002E23C9"/>
    <w:rsid w:val="002E34F8"/>
    <w:rsid w:val="002E3E08"/>
    <w:rsid w:val="002E3E39"/>
    <w:rsid w:val="002E4341"/>
    <w:rsid w:val="002E47F9"/>
    <w:rsid w:val="002E54E1"/>
    <w:rsid w:val="002E560A"/>
    <w:rsid w:val="002E702F"/>
    <w:rsid w:val="002E74B6"/>
    <w:rsid w:val="002E78DF"/>
    <w:rsid w:val="002E7988"/>
    <w:rsid w:val="002F1408"/>
    <w:rsid w:val="002F15BE"/>
    <w:rsid w:val="002F2443"/>
    <w:rsid w:val="002F259E"/>
    <w:rsid w:val="002F26DE"/>
    <w:rsid w:val="002F3C1C"/>
    <w:rsid w:val="002F3CD1"/>
    <w:rsid w:val="002F437F"/>
    <w:rsid w:val="002F4620"/>
    <w:rsid w:val="002F4BA2"/>
    <w:rsid w:val="002F516B"/>
    <w:rsid w:val="002F57F3"/>
    <w:rsid w:val="002F5977"/>
    <w:rsid w:val="002F7768"/>
    <w:rsid w:val="002F7D84"/>
    <w:rsid w:val="0030001B"/>
    <w:rsid w:val="00300895"/>
    <w:rsid w:val="00300BBD"/>
    <w:rsid w:val="00300E77"/>
    <w:rsid w:val="00300EBD"/>
    <w:rsid w:val="00301611"/>
    <w:rsid w:val="0030176F"/>
    <w:rsid w:val="00301937"/>
    <w:rsid w:val="0030316A"/>
    <w:rsid w:val="003035EC"/>
    <w:rsid w:val="00303D08"/>
    <w:rsid w:val="00303EEF"/>
    <w:rsid w:val="00304696"/>
    <w:rsid w:val="00304770"/>
    <w:rsid w:val="00304A2B"/>
    <w:rsid w:val="00304B8D"/>
    <w:rsid w:val="00305058"/>
    <w:rsid w:val="00305728"/>
    <w:rsid w:val="00305B94"/>
    <w:rsid w:val="003070CF"/>
    <w:rsid w:val="003076A4"/>
    <w:rsid w:val="003100E0"/>
    <w:rsid w:val="003103F1"/>
    <w:rsid w:val="00310622"/>
    <w:rsid w:val="003106CE"/>
    <w:rsid w:val="003110C5"/>
    <w:rsid w:val="00311CAA"/>
    <w:rsid w:val="00312171"/>
    <w:rsid w:val="00312566"/>
    <w:rsid w:val="0031261B"/>
    <w:rsid w:val="003129BE"/>
    <w:rsid w:val="00312A9C"/>
    <w:rsid w:val="00312DFB"/>
    <w:rsid w:val="00314E81"/>
    <w:rsid w:val="00315130"/>
    <w:rsid w:val="003153C9"/>
    <w:rsid w:val="003161CA"/>
    <w:rsid w:val="00316228"/>
    <w:rsid w:val="0031669F"/>
    <w:rsid w:val="00317176"/>
    <w:rsid w:val="003171B7"/>
    <w:rsid w:val="003175F3"/>
    <w:rsid w:val="00317F70"/>
    <w:rsid w:val="00320A73"/>
    <w:rsid w:val="00321D0A"/>
    <w:rsid w:val="00321EB1"/>
    <w:rsid w:val="003220EB"/>
    <w:rsid w:val="00322660"/>
    <w:rsid w:val="00322CB5"/>
    <w:rsid w:val="00322E01"/>
    <w:rsid w:val="003239AD"/>
    <w:rsid w:val="003240FB"/>
    <w:rsid w:val="00324786"/>
    <w:rsid w:val="00325021"/>
    <w:rsid w:val="0032517B"/>
    <w:rsid w:val="0032531E"/>
    <w:rsid w:val="003258A7"/>
    <w:rsid w:val="00325C83"/>
    <w:rsid w:val="00326000"/>
    <w:rsid w:val="003262EC"/>
    <w:rsid w:val="00326331"/>
    <w:rsid w:val="003273BD"/>
    <w:rsid w:val="003276A1"/>
    <w:rsid w:val="00327EDB"/>
    <w:rsid w:val="003309D7"/>
    <w:rsid w:val="00330CC9"/>
    <w:rsid w:val="00330EB6"/>
    <w:rsid w:val="0033114C"/>
    <w:rsid w:val="00331249"/>
    <w:rsid w:val="003316A2"/>
    <w:rsid w:val="0033218D"/>
    <w:rsid w:val="00332595"/>
    <w:rsid w:val="003325AD"/>
    <w:rsid w:val="003348A0"/>
    <w:rsid w:val="00334DC1"/>
    <w:rsid w:val="003354F5"/>
    <w:rsid w:val="0033573C"/>
    <w:rsid w:val="00335C81"/>
    <w:rsid w:val="00335D87"/>
    <w:rsid w:val="00337B2F"/>
    <w:rsid w:val="003407C0"/>
    <w:rsid w:val="003425B3"/>
    <w:rsid w:val="00342EDD"/>
    <w:rsid w:val="003430CD"/>
    <w:rsid w:val="003433CE"/>
    <w:rsid w:val="003433D5"/>
    <w:rsid w:val="00343C7E"/>
    <w:rsid w:val="00345950"/>
    <w:rsid w:val="00345D17"/>
    <w:rsid w:val="00346872"/>
    <w:rsid w:val="00346ABA"/>
    <w:rsid w:val="003508EA"/>
    <w:rsid w:val="00351092"/>
    <w:rsid w:val="00351576"/>
    <w:rsid w:val="0035203C"/>
    <w:rsid w:val="00352B21"/>
    <w:rsid w:val="00353B49"/>
    <w:rsid w:val="00354485"/>
    <w:rsid w:val="003548CD"/>
    <w:rsid w:val="00354BDC"/>
    <w:rsid w:val="0035521B"/>
    <w:rsid w:val="00355454"/>
    <w:rsid w:val="00355AA0"/>
    <w:rsid w:val="0035658F"/>
    <w:rsid w:val="00357B0B"/>
    <w:rsid w:val="003600CA"/>
    <w:rsid w:val="00360531"/>
    <w:rsid w:val="00360B5F"/>
    <w:rsid w:val="00360D81"/>
    <w:rsid w:val="003626D0"/>
    <w:rsid w:val="0036308B"/>
    <w:rsid w:val="00363E6D"/>
    <w:rsid w:val="00364293"/>
    <w:rsid w:val="00364B3D"/>
    <w:rsid w:val="00366F6A"/>
    <w:rsid w:val="00366FB5"/>
    <w:rsid w:val="0037022F"/>
    <w:rsid w:val="003703C9"/>
    <w:rsid w:val="0037042D"/>
    <w:rsid w:val="00370A51"/>
    <w:rsid w:val="0037136F"/>
    <w:rsid w:val="00371B03"/>
    <w:rsid w:val="00371D4C"/>
    <w:rsid w:val="0037205C"/>
    <w:rsid w:val="00372627"/>
    <w:rsid w:val="00373BD8"/>
    <w:rsid w:val="00373F38"/>
    <w:rsid w:val="0037510C"/>
    <w:rsid w:val="00375340"/>
    <w:rsid w:val="00375FEE"/>
    <w:rsid w:val="00376255"/>
    <w:rsid w:val="0037627F"/>
    <w:rsid w:val="00376877"/>
    <w:rsid w:val="0037700E"/>
    <w:rsid w:val="00377223"/>
    <w:rsid w:val="00377DB8"/>
    <w:rsid w:val="00382BB7"/>
    <w:rsid w:val="00382FE3"/>
    <w:rsid w:val="00384073"/>
    <w:rsid w:val="003840B5"/>
    <w:rsid w:val="00384E23"/>
    <w:rsid w:val="003863D5"/>
    <w:rsid w:val="00386D59"/>
    <w:rsid w:val="00386DFC"/>
    <w:rsid w:val="003903CE"/>
    <w:rsid w:val="0039068D"/>
    <w:rsid w:val="00391080"/>
    <w:rsid w:val="00392397"/>
    <w:rsid w:val="00392A75"/>
    <w:rsid w:val="003934AE"/>
    <w:rsid w:val="00394386"/>
    <w:rsid w:val="003946A9"/>
    <w:rsid w:val="00394AF9"/>
    <w:rsid w:val="003959D6"/>
    <w:rsid w:val="00395C64"/>
    <w:rsid w:val="0039660F"/>
    <w:rsid w:val="003975EF"/>
    <w:rsid w:val="003A03A7"/>
    <w:rsid w:val="003A03D9"/>
    <w:rsid w:val="003A0A7C"/>
    <w:rsid w:val="003A0B4D"/>
    <w:rsid w:val="003A1454"/>
    <w:rsid w:val="003A15C1"/>
    <w:rsid w:val="003A1A9D"/>
    <w:rsid w:val="003A1B67"/>
    <w:rsid w:val="003A2036"/>
    <w:rsid w:val="003A2A57"/>
    <w:rsid w:val="003A341B"/>
    <w:rsid w:val="003A360D"/>
    <w:rsid w:val="003A3AD9"/>
    <w:rsid w:val="003A40E6"/>
    <w:rsid w:val="003A4191"/>
    <w:rsid w:val="003A4CF2"/>
    <w:rsid w:val="003A4F5E"/>
    <w:rsid w:val="003A5127"/>
    <w:rsid w:val="003A5919"/>
    <w:rsid w:val="003A5F4C"/>
    <w:rsid w:val="003A60BE"/>
    <w:rsid w:val="003A6735"/>
    <w:rsid w:val="003A7769"/>
    <w:rsid w:val="003B043C"/>
    <w:rsid w:val="003B0C10"/>
    <w:rsid w:val="003B0E1B"/>
    <w:rsid w:val="003B1744"/>
    <w:rsid w:val="003B1B8C"/>
    <w:rsid w:val="003B1DD0"/>
    <w:rsid w:val="003B21B0"/>
    <w:rsid w:val="003B2AD8"/>
    <w:rsid w:val="003B347B"/>
    <w:rsid w:val="003B389D"/>
    <w:rsid w:val="003B4FF9"/>
    <w:rsid w:val="003B51ED"/>
    <w:rsid w:val="003B58D6"/>
    <w:rsid w:val="003B64F9"/>
    <w:rsid w:val="003B6836"/>
    <w:rsid w:val="003C031A"/>
    <w:rsid w:val="003C04AF"/>
    <w:rsid w:val="003C071B"/>
    <w:rsid w:val="003C0AFA"/>
    <w:rsid w:val="003C1077"/>
    <w:rsid w:val="003C1A15"/>
    <w:rsid w:val="003C1F76"/>
    <w:rsid w:val="003C2865"/>
    <w:rsid w:val="003C2919"/>
    <w:rsid w:val="003C36D6"/>
    <w:rsid w:val="003C42A3"/>
    <w:rsid w:val="003C48B7"/>
    <w:rsid w:val="003C58E6"/>
    <w:rsid w:val="003C5B90"/>
    <w:rsid w:val="003C7679"/>
    <w:rsid w:val="003C7D70"/>
    <w:rsid w:val="003D06BE"/>
    <w:rsid w:val="003D088B"/>
    <w:rsid w:val="003D15BE"/>
    <w:rsid w:val="003D222C"/>
    <w:rsid w:val="003D2559"/>
    <w:rsid w:val="003D29B4"/>
    <w:rsid w:val="003D2BD0"/>
    <w:rsid w:val="003D2CEF"/>
    <w:rsid w:val="003D428A"/>
    <w:rsid w:val="003D472D"/>
    <w:rsid w:val="003D47CB"/>
    <w:rsid w:val="003D4819"/>
    <w:rsid w:val="003D4F3E"/>
    <w:rsid w:val="003D5ABB"/>
    <w:rsid w:val="003D6DC8"/>
    <w:rsid w:val="003D6FD9"/>
    <w:rsid w:val="003D7BC4"/>
    <w:rsid w:val="003D7D55"/>
    <w:rsid w:val="003E0020"/>
    <w:rsid w:val="003E0C22"/>
    <w:rsid w:val="003E0CB3"/>
    <w:rsid w:val="003E1ECF"/>
    <w:rsid w:val="003E36CD"/>
    <w:rsid w:val="003E37BB"/>
    <w:rsid w:val="003E3919"/>
    <w:rsid w:val="003E3FA3"/>
    <w:rsid w:val="003E4253"/>
    <w:rsid w:val="003E4CBA"/>
    <w:rsid w:val="003E4DC4"/>
    <w:rsid w:val="003E5601"/>
    <w:rsid w:val="003E5DF7"/>
    <w:rsid w:val="003E6106"/>
    <w:rsid w:val="003E62CE"/>
    <w:rsid w:val="003E65CD"/>
    <w:rsid w:val="003E702D"/>
    <w:rsid w:val="003E7FB4"/>
    <w:rsid w:val="003F03F4"/>
    <w:rsid w:val="003F0CCB"/>
    <w:rsid w:val="003F0CE2"/>
    <w:rsid w:val="003F1A81"/>
    <w:rsid w:val="003F2E26"/>
    <w:rsid w:val="003F31A4"/>
    <w:rsid w:val="003F34D0"/>
    <w:rsid w:val="003F3586"/>
    <w:rsid w:val="003F4AF5"/>
    <w:rsid w:val="003F4B83"/>
    <w:rsid w:val="003F542D"/>
    <w:rsid w:val="003F563D"/>
    <w:rsid w:val="003F5B97"/>
    <w:rsid w:val="003F6421"/>
    <w:rsid w:val="003F6641"/>
    <w:rsid w:val="003F71A4"/>
    <w:rsid w:val="003F77FF"/>
    <w:rsid w:val="003F7F82"/>
    <w:rsid w:val="00400C68"/>
    <w:rsid w:val="00400D9F"/>
    <w:rsid w:val="00401217"/>
    <w:rsid w:val="0040174C"/>
    <w:rsid w:val="00401D07"/>
    <w:rsid w:val="00401F64"/>
    <w:rsid w:val="0040219D"/>
    <w:rsid w:val="0040255F"/>
    <w:rsid w:val="00402699"/>
    <w:rsid w:val="004026D1"/>
    <w:rsid w:val="00402DEC"/>
    <w:rsid w:val="00402FFF"/>
    <w:rsid w:val="00403307"/>
    <w:rsid w:val="00404558"/>
    <w:rsid w:val="004047DB"/>
    <w:rsid w:val="0040536A"/>
    <w:rsid w:val="0040589C"/>
    <w:rsid w:val="00406AEC"/>
    <w:rsid w:val="0040725E"/>
    <w:rsid w:val="0040754B"/>
    <w:rsid w:val="0041006E"/>
    <w:rsid w:val="00410172"/>
    <w:rsid w:val="00411734"/>
    <w:rsid w:val="004117F6"/>
    <w:rsid w:val="00411EAF"/>
    <w:rsid w:val="0041278C"/>
    <w:rsid w:val="004142AF"/>
    <w:rsid w:val="004144A2"/>
    <w:rsid w:val="004144FC"/>
    <w:rsid w:val="00414720"/>
    <w:rsid w:val="004155AC"/>
    <w:rsid w:val="0041678F"/>
    <w:rsid w:val="0041706B"/>
    <w:rsid w:val="00420A87"/>
    <w:rsid w:val="00420C72"/>
    <w:rsid w:val="00420FD3"/>
    <w:rsid w:val="004218AB"/>
    <w:rsid w:val="00421A2E"/>
    <w:rsid w:val="00423803"/>
    <w:rsid w:val="004244FC"/>
    <w:rsid w:val="00425D7C"/>
    <w:rsid w:val="0042610F"/>
    <w:rsid w:val="00426509"/>
    <w:rsid w:val="004271E1"/>
    <w:rsid w:val="00427511"/>
    <w:rsid w:val="00430F0D"/>
    <w:rsid w:val="0043135D"/>
    <w:rsid w:val="004313A2"/>
    <w:rsid w:val="004319BA"/>
    <w:rsid w:val="00431D59"/>
    <w:rsid w:val="00431FA3"/>
    <w:rsid w:val="004329C6"/>
    <w:rsid w:val="00433437"/>
    <w:rsid w:val="004340D6"/>
    <w:rsid w:val="00434563"/>
    <w:rsid w:val="0043462F"/>
    <w:rsid w:val="00434D6F"/>
    <w:rsid w:val="0043540A"/>
    <w:rsid w:val="004359C0"/>
    <w:rsid w:val="00435D1F"/>
    <w:rsid w:val="0043666F"/>
    <w:rsid w:val="00436E3C"/>
    <w:rsid w:val="004370FE"/>
    <w:rsid w:val="00437132"/>
    <w:rsid w:val="004372FC"/>
    <w:rsid w:val="00437DBC"/>
    <w:rsid w:val="00440EBD"/>
    <w:rsid w:val="00442866"/>
    <w:rsid w:val="0044372C"/>
    <w:rsid w:val="00443EF5"/>
    <w:rsid w:val="00443FA1"/>
    <w:rsid w:val="00445740"/>
    <w:rsid w:val="00446586"/>
    <w:rsid w:val="004467BB"/>
    <w:rsid w:val="004467DE"/>
    <w:rsid w:val="004474DC"/>
    <w:rsid w:val="00450294"/>
    <w:rsid w:val="004503C8"/>
    <w:rsid w:val="0045053E"/>
    <w:rsid w:val="0045054A"/>
    <w:rsid w:val="004505BD"/>
    <w:rsid w:val="00450795"/>
    <w:rsid w:val="00450C8E"/>
    <w:rsid w:val="00452184"/>
    <w:rsid w:val="00452431"/>
    <w:rsid w:val="00452589"/>
    <w:rsid w:val="0045325D"/>
    <w:rsid w:val="0045382B"/>
    <w:rsid w:val="00454081"/>
    <w:rsid w:val="00454AED"/>
    <w:rsid w:val="00454B24"/>
    <w:rsid w:val="00454FBD"/>
    <w:rsid w:val="0045503B"/>
    <w:rsid w:val="004559DA"/>
    <w:rsid w:val="00455B23"/>
    <w:rsid w:val="00455DF2"/>
    <w:rsid w:val="004563AC"/>
    <w:rsid w:val="00460178"/>
    <w:rsid w:val="00460185"/>
    <w:rsid w:val="00460851"/>
    <w:rsid w:val="004613C9"/>
    <w:rsid w:val="00461547"/>
    <w:rsid w:val="004618CA"/>
    <w:rsid w:val="0046278F"/>
    <w:rsid w:val="0046292D"/>
    <w:rsid w:val="00462AF5"/>
    <w:rsid w:val="00462F12"/>
    <w:rsid w:val="0046326E"/>
    <w:rsid w:val="0046368C"/>
    <w:rsid w:val="00463B74"/>
    <w:rsid w:val="0046591B"/>
    <w:rsid w:val="00465DC0"/>
    <w:rsid w:val="00466B4F"/>
    <w:rsid w:val="00466B9A"/>
    <w:rsid w:val="00466CFC"/>
    <w:rsid w:val="00466E7B"/>
    <w:rsid w:val="00467117"/>
    <w:rsid w:val="00467189"/>
    <w:rsid w:val="004674E7"/>
    <w:rsid w:val="00467697"/>
    <w:rsid w:val="00467800"/>
    <w:rsid w:val="00467BED"/>
    <w:rsid w:val="00470422"/>
    <w:rsid w:val="00470431"/>
    <w:rsid w:val="00471136"/>
    <w:rsid w:val="00471BFE"/>
    <w:rsid w:val="00472370"/>
    <w:rsid w:val="004727D5"/>
    <w:rsid w:val="0047369B"/>
    <w:rsid w:val="00474325"/>
    <w:rsid w:val="0047465D"/>
    <w:rsid w:val="004747FE"/>
    <w:rsid w:val="0047569B"/>
    <w:rsid w:val="00475D7F"/>
    <w:rsid w:val="00476D5B"/>
    <w:rsid w:val="004804D3"/>
    <w:rsid w:val="00480850"/>
    <w:rsid w:val="00480934"/>
    <w:rsid w:val="00480A96"/>
    <w:rsid w:val="0048139D"/>
    <w:rsid w:val="00482865"/>
    <w:rsid w:val="00484331"/>
    <w:rsid w:val="0048445B"/>
    <w:rsid w:val="00484C47"/>
    <w:rsid w:val="00485031"/>
    <w:rsid w:val="00485089"/>
    <w:rsid w:val="00485297"/>
    <w:rsid w:val="004859FE"/>
    <w:rsid w:val="00485FDB"/>
    <w:rsid w:val="004872C8"/>
    <w:rsid w:val="00487894"/>
    <w:rsid w:val="00490047"/>
    <w:rsid w:val="00490BDC"/>
    <w:rsid w:val="00491471"/>
    <w:rsid w:val="0049148B"/>
    <w:rsid w:val="0049151C"/>
    <w:rsid w:val="00491864"/>
    <w:rsid w:val="00491C28"/>
    <w:rsid w:val="00492A94"/>
    <w:rsid w:val="00493B37"/>
    <w:rsid w:val="00494F15"/>
    <w:rsid w:val="00495286"/>
    <w:rsid w:val="004952E8"/>
    <w:rsid w:val="00495317"/>
    <w:rsid w:val="0049667A"/>
    <w:rsid w:val="00497340"/>
    <w:rsid w:val="004975D3"/>
    <w:rsid w:val="00497B2A"/>
    <w:rsid w:val="00497D69"/>
    <w:rsid w:val="00497E15"/>
    <w:rsid w:val="004A00C4"/>
    <w:rsid w:val="004A043A"/>
    <w:rsid w:val="004A1BE5"/>
    <w:rsid w:val="004A1F3D"/>
    <w:rsid w:val="004A2FED"/>
    <w:rsid w:val="004A367B"/>
    <w:rsid w:val="004A3A0B"/>
    <w:rsid w:val="004A3B82"/>
    <w:rsid w:val="004A47B1"/>
    <w:rsid w:val="004A4A3D"/>
    <w:rsid w:val="004A50EF"/>
    <w:rsid w:val="004A540D"/>
    <w:rsid w:val="004A5468"/>
    <w:rsid w:val="004A6D91"/>
    <w:rsid w:val="004A7090"/>
    <w:rsid w:val="004A7452"/>
    <w:rsid w:val="004B0188"/>
    <w:rsid w:val="004B051D"/>
    <w:rsid w:val="004B05C3"/>
    <w:rsid w:val="004B0C89"/>
    <w:rsid w:val="004B1BCF"/>
    <w:rsid w:val="004B227C"/>
    <w:rsid w:val="004B2965"/>
    <w:rsid w:val="004B2ED8"/>
    <w:rsid w:val="004B3654"/>
    <w:rsid w:val="004B4146"/>
    <w:rsid w:val="004B4833"/>
    <w:rsid w:val="004B5AF6"/>
    <w:rsid w:val="004B5D95"/>
    <w:rsid w:val="004B6140"/>
    <w:rsid w:val="004B6321"/>
    <w:rsid w:val="004B6CE4"/>
    <w:rsid w:val="004B6D28"/>
    <w:rsid w:val="004B7068"/>
    <w:rsid w:val="004B71DB"/>
    <w:rsid w:val="004B7402"/>
    <w:rsid w:val="004B7854"/>
    <w:rsid w:val="004B7A50"/>
    <w:rsid w:val="004B7CB7"/>
    <w:rsid w:val="004B7F0F"/>
    <w:rsid w:val="004C0457"/>
    <w:rsid w:val="004C04DD"/>
    <w:rsid w:val="004C10C3"/>
    <w:rsid w:val="004C22D9"/>
    <w:rsid w:val="004C2460"/>
    <w:rsid w:val="004C5677"/>
    <w:rsid w:val="004C5680"/>
    <w:rsid w:val="004C5C97"/>
    <w:rsid w:val="004C5CE0"/>
    <w:rsid w:val="004C66E0"/>
    <w:rsid w:val="004C699D"/>
    <w:rsid w:val="004C6C9A"/>
    <w:rsid w:val="004C7115"/>
    <w:rsid w:val="004C7C3E"/>
    <w:rsid w:val="004D0303"/>
    <w:rsid w:val="004D113C"/>
    <w:rsid w:val="004D18A9"/>
    <w:rsid w:val="004D2202"/>
    <w:rsid w:val="004D2AF9"/>
    <w:rsid w:val="004D2FC0"/>
    <w:rsid w:val="004D38EF"/>
    <w:rsid w:val="004D4002"/>
    <w:rsid w:val="004D4461"/>
    <w:rsid w:val="004D4555"/>
    <w:rsid w:val="004D4D4F"/>
    <w:rsid w:val="004D4EA6"/>
    <w:rsid w:val="004D5FD5"/>
    <w:rsid w:val="004D6145"/>
    <w:rsid w:val="004D640B"/>
    <w:rsid w:val="004D72C1"/>
    <w:rsid w:val="004E0305"/>
    <w:rsid w:val="004E04F8"/>
    <w:rsid w:val="004E0B3E"/>
    <w:rsid w:val="004E106C"/>
    <w:rsid w:val="004E1D07"/>
    <w:rsid w:val="004E31E2"/>
    <w:rsid w:val="004E3C4A"/>
    <w:rsid w:val="004E4957"/>
    <w:rsid w:val="004E4B82"/>
    <w:rsid w:val="004E549D"/>
    <w:rsid w:val="004E54D2"/>
    <w:rsid w:val="004E56E8"/>
    <w:rsid w:val="004E58C7"/>
    <w:rsid w:val="004E5C9A"/>
    <w:rsid w:val="004E5D42"/>
    <w:rsid w:val="004E5D8A"/>
    <w:rsid w:val="004E6659"/>
    <w:rsid w:val="004F025C"/>
    <w:rsid w:val="004F070C"/>
    <w:rsid w:val="004F0992"/>
    <w:rsid w:val="004F0AE4"/>
    <w:rsid w:val="004F0E99"/>
    <w:rsid w:val="004F1B6D"/>
    <w:rsid w:val="004F1E67"/>
    <w:rsid w:val="004F2257"/>
    <w:rsid w:val="004F38BA"/>
    <w:rsid w:val="004F3A01"/>
    <w:rsid w:val="004F4138"/>
    <w:rsid w:val="004F488A"/>
    <w:rsid w:val="004F531A"/>
    <w:rsid w:val="004F6936"/>
    <w:rsid w:val="004F6AFC"/>
    <w:rsid w:val="004F6D45"/>
    <w:rsid w:val="004F7CB1"/>
    <w:rsid w:val="005002F5"/>
    <w:rsid w:val="00500736"/>
    <w:rsid w:val="00500842"/>
    <w:rsid w:val="00500A88"/>
    <w:rsid w:val="005015A8"/>
    <w:rsid w:val="0050198A"/>
    <w:rsid w:val="0050214E"/>
    <w:rsid w:val="005023D9"/>
    <w:rsid w:val="005023FC"/>
    <w:rsid w:val="005035C2"/>
    <w:rsid w:val="00503663"/>
    <w:rsid w:val="00503A4D"/>
    <w:rsid w:val="00503C70"/>
    <w:rsid w:val="00504998"/>
    <w:rsid w:val="005057EE"/>
    <w:rsid w:val="00505886"/>
    <w:rsid w:val="0050613C"/>
    <w:rsid w:val="00506BA7"/>
    <w:rsid w:val="00506F6A"/>
    <w:rsid w:val="00507FC6"/>
    <w:rsid w:val="005101D6"/>
    <w:rsid w:val="0051020F"/>
    <w:rsid w:val="00510C41"/>
    <w:rsid w:val="00510EC2"/>
    <w:rsid w:val="00511364"/>
    <w:rsid w:val="005116B3"/>
    <w:rsid w:val="00512181"/>
    <w:rsid w:val="00512E8B"/>
    <w:rsid w:val="00513CC0"/>
    <w:rsid w:val="005145C0"/>
    <w:rsid w:val="005150E9"/>
    <w:rsid w:val="00515AE2"/>
    <w:rsid w:val="00515AE7"/>
    <w:rsid w:val="005160BD"/>
    <w:rsid w:val="005163D5"/>
    <w:rsid w:val="00516494"/>
    <w:rsid w:val="00516C9D"/>
    <w:rsid w:val="00516D42"/>
    <w:rsid w:val="00516EA6"/>
    <w:rsid w:val="005173C4"/>
    <w:rsid w:val="0051764D"/>
    <w:rsid w:val="005179E5"/>
    <w:rsid w:val="00517F91"/>
    <w:rsid w:val="0052080F"/>
    <w:rsid w:val="00520965"/>
    <w:rsid w:val="00520B29"/>
    <w:rsid w:val="005221DE"/>
    <w:rsid w:val="005227C5"/>
    <w:rsid w:val="00522A75"/>
    <w:rsid w:val="00522D1C"/>
    <w:rsid w:val="005234BA"/>
    <w:rsid w:val="00523527"/>
    <w:rsid w:val="005238AF"/>
    <w:rsid w:val="00523EB0"/>
    <w:rsid w:val="00523F0F"/>
    <w:rsid w:val="00524997"/>
    <w:rsid w:val="00525509"/>
    <w:rsid w:val="00525B83"/>
    <w:rsid w:val="0052609D"/>
    <w:rsid w:val="005260F3"/>
    <w:rsid w:val="00526283"/>
    <w:rsid w:val="00526E37"/>
    <w:rsid w:val="00527412"/>
    <w:rsid w:val="00527745"/>
    <w:rsid w:val="00530261"/>
    <w:rsid w:val="00530CDC"/>
    <w:rsid w:val="00530EDB"/>
    <w:rsid w:val="00530F3C"/>
    <w:rsid w:val="00531506"/>
    <w:rsid w:val="005315EE"/>
    <w:rsid w:val="00532B15"/>
    <w:rsid w:val="005333F6"/>
    <w:rsid w:val="00534CD1"/>
    <w:rsid w:val="00534FC1"/>
    <w:rsid w:val="00535423"/>
    <w:rsid w:val="005356A5"/>
    <w:rsid w:val="00535E35"/>
    <w:rsid w:val="00536877"/>
    <w:rsid w:val="00536B06"/>
    <w:rsid w:val="005401C9"/>
    <w:rsid w:val="005404D8"/>
    <w:rsid w:val="00541D91"/>
    <w:rsid w:val="0054227C"/>
    <w:rsid w:val="0054289E"/>
    <w:rsid w:val="00542DDA"/>
    <w:rsid w:val="00542EBD"/>
    <w:rsid w:val="005432EE"/>
    <w:rsid w:val="00543A16"/>
    <w:rsid w:val="00543BDB"/>
    <w:rsid w:val="005448F7"/>
    <w:rsid w:val="0054536B"/>
    <w:rsid w:val="00546684"/>
    <w:rsid w:val="005474F7"/>
    <w:rsid w:val="00547733"/>
    <w:rsid w:val="00547AC1"/>
    <w:rsid w:val="005503C9"/>
    <w:rsid w:val="005506F0"/>
    <w:rsid w:val="00550754"/>
    <w:rsid w:val="00551C34"/>
    <w:rsid w:val="0055377D"/>
    <w:rsid w:val="00554CA8"/>
    <w:rsid w:val="00555C75"/>
    <w:rsid w:val="00555DD0"/>
    <w:rsid w:val="005563A9"/>
    <w:rsid w:val="0055647C"/>
    <w:rsid w:val="00556FCE"/>
    <w:rsid w:val="005575C4"/>
    <w:rsid w:val="005601B2"/>
    <w:rsid w:val="005608A5"/>
    <w:rsid w:val="00561FD8"/>
    <w:rsid w:val="00562112"/>
    <w:rsid w:val="00562B9F"/>
    <w:rsid w:val="00564338"/>
    <w:rsid w:val="00564592"/>
    <w:rsid w:val="00564810"/>
    <w:rsid w:val="00564C4C"/>
    <w:rsid w:val="005653E1"/>
    <w:rsid w:val="00565668"/>
    <w:rsid w:val="00565B93"/>
    <w:rsid w:val="00566CB9"/>
    <w:rsid w:val="005678E4"/>
    <w:rsid w:val="00567E79"/>
    <w:rsid w:val="00567FFC"/>
    <w:rsid w:val="0057020E"/>
    <w:rsid w:val="00570A4A"/>
    <w:rsid w:val="005715E1"/>
    <w:rsid w:val="00571BD9"/>
    <w:rsid w:val="00572435"/>
    <w:rsid w:val="00573071"/>
    <w:rsid w:val="005734C7"/>
    <w:rsid w:val="00573D97"/>
    <w:rsid w:val="00574D64"/>
    <w:rsid w:val="0057533F"/>
    <w:rsid w:val="005753F2"/>
    <w:rsid w:val="00576802"/>
    <w:rsid w:val="00576AB6"/>
    <w:rsid w:val="00576FBB"/>
    <w:rsid w:val="00577B25"/>
    <w:rsid w:val="00577C37"/>
    <w:rsid w:val="00577C4C"/>
    <w:rsid w:val="00580150"/>
    <w:rsid w:val="0058031B"/>
    <w:rsid w:val="00580D3B"/>
    <w:rsid w:val="005813DF"/>
    <w:rsid w:val="00581747"/>
    <w:rsid w:val="005819B4"/>
    <w:rsid w:val="0058207B"/>
    <w:rsid w:val="005820F4"/>
    <w:rsid w:val="005828AD"/>
    <w:rsid w:val="00584670"/>
    <w:rsid w:val="00584E7C"/>
    <w:rsid w:val="00584F69"/>
    <w:rsid w:val="00585CA1"/>
    <w:rsid w:val="00586417"/>
    <w:rsid w:val="005868B5"/>
    <w:rsid w:val="00587048"/>
    <w:rsid w:val="005875A4"/>
    <w:rsid w:val="00587EA2"/>
    <w:rsid w:val="00591198"/>
    <w:rsid w:val="005938E9"/>
    <w:rsid w:val="00593D11"/>
    <w:rsid w:val="005944E9"/>
    <w:rsid w:val="00594E0F"/>
    <w:rsid w:val="005956F6"/>
    <w:rsid w:val="00595777"/>
    <w:rsid w:val="005965F9"/>
    <w:rsid w:val="00596B6C"/>
    <w:rsid w:val="00596D5F"/>
    <w:rsid w:val="00597399"/>
    <w:rsid w:val="005973E9"/>
    <w:rsid w:val="005974A0"/>
    <w:rsid w:val="005A0B58"/>
    <w:rsid w:val="005A13BE"/>
    <w:rsid w:val="005A226C"/>
    <w:rsid w:val="005A2C29"/>
    <w:rsid w:val="005A2D8C"/>
    <w:rsid w:val="005A3086"/>
    <w:rsid w:val="005A3AB9"/>
    <w:rsid w:val="005A3C56"/>
    <w:rsid w:val="005A3D88"/>
    <w:rsid w:val="005A3F14"/>
    <w:rsid w:val="005A4616"/>
    <w:rsid w:val="005A481B"/>
    <w:rsid w:val="005A48CE"/>
    <w:rsid w:val="005A4EEE"/>
    <w:rsid w:val="005A6504"/>
    <w:rsid w:val="005A72B9"/>
    <w:rsid w:val="005A76EF"/>
    <w:rsid w:val="005A7A50"/>
    <w:rsid w:val="005A7CDF"/>
    <w:rsid w:val="005A7E49"/>
    <w:rsid w:val="005B0586"/>
    <w:rsid w:val="005B0E11"/>
    <w:rsid w:val="005B0FBA"/>
    <w:rsid w:val="005B191D"/>
    <w:rsid w:val="005B1E87"/>
    <w:rsid w:val="005B2561"/>
    <w:rsid w:val="005B33F6"/>
    <w:rsid w:val="005B36A1"/>
    <w:rsid w:val="005B3717"/>
    <w:rsid w:val="005B39C8"/>
    <w:rsid w:val="005B47D3"/>
    <w:rsid w:val="005B4DE2"/>
    <w:rsid w:val="005B5901"/>
    <w:rsid w:val="005B5D70"/>
    <w:rsid w:val="005B6057"/>
    <w:rsid w:val="005B63EF"/>
    <w:rsid w:val="005B6D3C"/>
    <w:rsid w:val="005B7A31"/>
    <w:rsid w:val="005B7A50"/>
    <w:rsid w:val="005C0461"/>
    <w:rsid w:val="005C168D"/>
    <w:rsid w:val="005C1A33"/>
    <w:rsid w:val="005C1BD0"/>
    <w:rsid w:val="005C2194"/>
    <w:rsid w:val="005C2CD1"/>
    <w:rsid w:val="005C33CD"/>
    <w:rsid w:val="005C3B71"/>
    <w:rsid w:val="005C4142"/>
    <w:rsid w:val="005C47F3"/>
    <w:rsid w:val="005C4947"/>
    <w:rsid w:val="005C4BA4"/>
    <w:rsid w:val="005C4D7E"/>
    <w:rsid w:val="005C594E"/>
    <w:rsid w:val="005D0DE8"/>
    <w:rsid w:val="005D0E4A"/>
    <w:rsid w:val="005D106B"/>
    <w:rsid w:val="005D10BD"/>
    <w:rsid w:val="005D1164"/>
    <w:rsid w:val="005D15E3"/>
    <w:rsid w:val="005D190C"/>
    <w:rsid w:val="005D1A68"/>
    <w:rsid w:val="005D304C"/>
    <w:rsid w:val="005D331D"/>
    <w:rsid w:val="005D34A2"/>
    <w:rsid w:val="005D3C76"/>
    <w:rsid w:val="005D4229"/>
    <w:rsid w:val="005D4A67"/>
    <w:rsid w:val="005D4AF9"/>
    <w:rsid w:val="005D50E3"/>
    <w:rsid w:val="005D51EF"/>
    <w:rsid w:val="005D6453"/>
    <w:rsid w:val="005D6839"/>
    <w:rsid w:val="005D6DE7"/>
    <w:rsid w:val="005D6F1E"/>
    <w:rsid w:val="005D78DA"/>
    <w:rsid w:val="005D7ECB"/>
    <w:rsid w:val="005E0026"/>
    <w:rsid w:val="005E0396"/>
    <w:rsid w:val="005E05A8"/>
    <w:rsid w:val="005E1860"/>
    <w:rsid w:val="005E189E"/>
    <w:rsid w:val="005E19B3"/>
    <w:rsid w:val="005E2D1C"/>
    <w:rsid w:val="005E3076"/>
    <w:rsid w:val="005E3551"/>
    <w:rsid w:val="005E39E7"/>
    <w:rsid w:val="005E4459"/>
    <w:rsid w:val="005E4CAE"/>
    <w:rsid w:val="005E4CFD"/>
    <w:rsid w:val="005E4D9A"/>
    <w:rsid w:val="005E5022"/>
    <w:rsid w:val="005E5389"/>
    <w:rsid w:val="005E63DF"/>
    <w:rsid w:val="005E6545"/>
    <w:rsid w:val="005E680C"/>
    <w:rsid w:val="005E7765"/>
    <w:rsid w:val="005E7E2D"/>
    <w:rsid w:val="005F022F"/>
    <w:rsid w:val="005F02BC"/>
    <w:rsid w:val="005F0447"/>
    <w:rsid w:val="005F05A1"/>
    <w:rsid w:val="005F0B22"/>
    <w:rsid w:val="005F0C4C"/>
    <w:rsid w:val="005F1200"/>
    <w:rsid w:val="005F18B6"/>
    <w:rsid w:val="005F1B26"/>
    <w:rsid w:val="005F2883"/>
    <w:rsid w:val="005F2FB9"/>
    <w:rsid w:val="005F3E97"/>
    <w:rsid w:val="005F4153"/>
    <w:rsid w:val="005F4CD5"/>
    <w:rsid w:val="005F5C21"/>
    <w:rsid w:val="005F66A5"/>
    <w:rsid w:val="005F74E5"/>
    <w:rsid w:val="005F7B91"/>
    <w:rsid w:val="00600243"/>
    <w:rsid w:val="00600631"/>
    <w:rsid w:val="00600A79"/>
    <w:rsid w:val="00600EDF"/>
    <w:rsid w:val="00601006"/>
    <w:rsid w:val="00602756"/>
    <w:rsid w:val="006030F3"/>
    <w:rsid w:val="00603104"/>
    <w:rsid w:val="0060379D"/>
    <w:rsid w:val="0060439B"/>
    <w:rsid w:val="006054BE"/>
    <w:rsid w:val="00605D1A"/>
    <w:rsid w:val="00606B55"/>
    <w:rsid w:val="00606E6B"/>
    <w:rsid w:val="00607D61"/>
    <w:rsid w:val="00607D77"/>
    <w:rsid w:val="00610193"/>
    <w:rsid w:val="006103FB"/>
    <w:rsid w:val="00610957"/>
    <w:rsid w:val="00611197"/>
    <w:rsid w:val="00612481"/>
    <w:rsid w:val="00612889"/>
    <w:rsid w:val="006132E2"/>
    <w:rsid w:val="00613A5E"/>
    <w:rsid w:val="00613AB1"/>
    <w:rsid w:val="00613CB9"/>
    <w:rsid w:val="00614870"/>
    <w:rsid w:val="006149D8"/>
    <w:rsid w:val="00614D50"/>
    <w:rsid w:val="00615229"/>
    <w:rsid w:val="00615A2A"/>
    <w:rsid w:val="006162D3"/>
    <w:rsid w:val="00616628"/>
    <w:rsid w:val="0061682A"/>
    <w:rsid w:val="006168B9"/>
    <w:rsid w:val="00616BA4"/>
    <w:rsid w:val="00617738"/>
    <w:rsid w:val="00617965"/>
    <w:rsid w:val="006203F5"/>
    <w:rsid w:val="00620E90"/>
    <w:rsid w:val="00620EB0"/>
    <w:rsid w:val="00621165"/>
    <w:rsid w:val="00621688"/>
    <w:rsid w:val="00621B92"/>
    <w:rsid w:val="00621F24"/>
    <w:rsid w:val="0062210B"/>
    <w:rsid w:val="00622169"/>
    <w:rsid w:val="0062311C"/>
    <w:rsid w:val="006232C3"/>
    <w:rsid w:val="006234DF"/>
    <w:rsid w:val="00623A17"/>
    <w:rsid w:val="00623FBC"/>
    <w:rsid w:val="00623FD6"/>
    <w:rsid w:val="006245EC"/>
    <w:rsid w:val="00624660"/>
    <w:rsid w:val="00625BC1"/>
    <w:rsid w:val="00625DDD"/>
    <w:rsid w:val="00626170"/>
    <w:rsid w:val="006262AE"/>
    <w:rsid w:val="00626645"/>
    <w:rsid w:val="0062683D"/>
    <w:rsid w:val="00626C76"/>
    <w:rsid w:val="006276E6"/>
    <w:rsid w:val="00627A62"/>
    <w:rsid w:val="00627ACE"/>
    <w:rsid w:val="00627C10"/>
    <w:rsid w:val="00630745"/>
    <w:rsid w:val="00630A6F"/>
    <w:rsid w:val="00631056"/>
    <w:rsid w:val="006323B2"/>
    <w:rsid w:val="00632DCD"/>
    <w:rsid w:val="006334D3"/>
    <w:rsid w:val="00633718"/>
    <w:rsid w:val="00634005"/>
    <w:rsid w:val="00634723"/>
    <w:rsid w:val="006347C8"/>
    <w:rsid w:val="00634D54"/>
    <w:rsid w:val="0063522A"/>
    <w:rsid w:val="00635D7F"/>
    <w:rsid w:val="0063676B"/>
    <w:rsid w:val="00636887"/>
    <w:rsid w:val="006368AA"/>
    <w:rsid w:val="006371E6"/>
    <w:rsid w:val="0063799D"/>
    <w:rsid w:val="00637ABE"/>
    <w:rsid w:val="0063D58E"/>
    <w:rsid w:val="00640C51"/>
    <w:rsid w:val="00640CEC"/>
    <w:rsid w:val="00640EBD"/>
    <w:rsid w:val="006413EE"/>
    <w:rsid w:val="00641CF6"/>
    <w:rsid w:val="0064238D"/>
    <w:rsid w:val="00642988"/>
    <w:rsid w:val="00642C1D"/>
    <w:rsid w:val="00643838"/>
    <w:rsid w:val="00643F2B"/>
    <w:rsid w:val="006446F1"/>
    <w:rsid w:val="00644C57"/>
    <w:rsid w:val="00646059"/>
    <w:rsid w:val="00646A07"/>
    <w:rsid w:val="00646C9D"/>
    <w:rsid w:val="00647802"/>
    <w:rsid w:val="00647ECC"/>
    <w:rsid w:val="00650334"/>
    <w:rsid w:val="006510F4"/>
    <w:rsid w:val="0065215E"/>
    <w:rsid w:val="00652433"/>
    <w:rsid w:val="0065253C"/>
    <w:rsid w:val="0065256B"/>
    <w:rsid w:val="00652B08"/>
    <w:rsid w:val="00653B9C"/>
    <w:rsid w:val="00653F07"/>
    <w:rsid w:val="006540ED"/>
    <w:rsid w:val="00654933"/>
    <w:rsid w:val="00654F5C"/>
    <w:rsid w:val="00655A5F"/>
    <w:rsid w:val="00655C86"/>
    <w:rsid w:val="0065609A"/>
    <w:rsid w:val="006561A4"/>
    <w:rsid w:val="00657772"/>
    <w:rsid w:val="006579D0"/>
    <w:rsid w:val="00657EAC"/>
    <w:rsid w:val="0066040C"/>
    <w:rsid w:val="00660672"/>
    <w:rsid w:val="0066117D"/>
    <w:rsid w:val="00661BB3"/>
    <w:rsid w:val="00662607"/>
    <w:rsid w:val="00662CED"/>
    <w:rsid w:val="00662FAD"/>
    <w:rsid w:val="00663015"/>
    <w:rsid w:val="006632DF"/>
    <w:rsid w:val="0066371D"/>
    <w:rsid w:val="00663735"/>
    <w:rsid w:val="0066374F"/>
    <w:rsid w:val="00663D41"/>
    <w:rsid w:val="00664B79"/>
    <w:rsid w:val="00665946"/>
    <w:rsid w:val="00665AB4"/>
    <w:rsid w:val="006667AA"/>
    <w:rsid w:val="00666998"/>
    <w:rsid w:val="00666F6E"/>
    <w:rsid w:val="00667562"/>
    <w:rsid w:val="00667899"/>
    <w:rsid w:val="00667B17"/>
    <w:rsid w:val="00667FB2"/>
    <w:rsid w:val="00670385"/>
    <w:rsid w:val="00670684"/>
    <w:rsid w:val="00670938"/>
    <w:rsid w:val="00670978"/>
    <w:rsid w:val="00670AD7"/>
    <w:rsid w:val="0067108F"/>
    <w:rsid w:val="0067257A"/>
    <w:rsid w:val="00672781"/>
    <w:rsid w:val="0067284B"/>
    <w:rsid w:val="006729CC"/>
    <w:rsid w:val="00672F24"/>
    <w:rsid w:val="0067314E"/>
    <w:rsid w:val="006732BE"/>
    <w:rsid w:val="0067412C"/>
    <w:rsid w:val="00674A74"/>
    <w:rsid w:val="00674CA4"/>
    <w:rsid w:val="0067530A"/>
    <w:rsid w:val="0067533C"/>
    <w:rsid w:val="00675505"/>
    <w:rsid w:val="00675518"/>
    <w:rsid w:val="00675DA0"/>
    <w:rsid w:val="00675E70"/>
    <w:rsid w:val="0067725D"/>
    <w:rsid w:val="00677C9F"/>
    <w:rsid w:val="006803DD"/>
    <w:rsid w:val="00680512"/>
    <w:rsid w:val="00680B22"/>
    <w:rsid w:val="00680F36"/>
    <w:rsid w:val="006814B0"/>
    <w:rsid w:val="006814B5"/>
    <w:rsid w:val="00682175"/>
    <w:rsid w:val="00682382"/>
    <w:rsid w:val="00682A6D"/>
    <w:rsid w:val="00682FEE"/>
    <w:rsid w:val="006841B3"/>
    <w:rsid w:val="00684787"/>
    <w:rsid w:val="00684D59"/>
    <w:rsid w:val="00685113"/>
    <w:rsid w:val="006852B8"/>
    <w:rsid w:val="00685FFA"/>
    <w:rsid w:val="00686268"/>
    <w:rsid w:val="00686520"/>
    <w:rsid w:val="006865CA"/>
    <w:rsid w:val="00686853"/>
    <w:rsid w:val="00687119"/>
    <w:rsid w:val="0068716E"/>
    <w:rsid w:val="006871A1"/>
    <w:rsid w:val="00687345"/>
    <w:rsid w:val="006877A5"/>
    <w:rsid w:val="00690170"/>
    <w:rsid w:val="00690C2F"/>
    <w:rsid w:val="00691135"/>
    <w:rsid w:val="006913B7"/>
    <w:rsid w:val="00691842"/>
    <w:rsid w:val="00691DA2"/>
    <w:rsid w:val="00691FCF"/>
    <w:rsid w:val="00692CCE"/>
    <w:rsid w:val="00693916"/>
    <w:rsid w:val="00694E32"/>
    <w:rsid w:val="0069670F"/>
    <w:rsid w:val="006967AE"/>
    <w:rsid w:val="0069696C"/>
    <w:rsid w:val="00696CEF"/>
    <w:rsid w:val="006974C1"/>
    <w:rsid w:val="00697676"/>
    <w:rsid w:val="00697FF3"/>
    <w:rsid w:val="006A093A"/>
    <w:rsid w:val="006A2D57"/>
    <w:rsid w:val="006A3764"/>
    <w:rsid w:val="006A3BB0"/>
    <w:rsid w:val="006A3CD6"/>
    <w:rsid w:val="006A3F2E"/>
    <w:rsid w:val="006A4D10"/>
    <w:rsid w:val="006A4EC1"/>
    <w:rsid w:val="006A512D"/>
    <w:rsid w:val="006A5305"/>
    <w:rsid w:val="006A53E0"/>
    <w:rsid w:val="006A6173"/>
    <w:rsid w:val="006A648F"/>
    <w:rsid w:val="006A6B78"/>
    <w:rsid w:val="006A764B"/>
    <w:rsid w:val="006A79E4"/>
    <w:rsid w:val="006B0646"/>
    <w:rsid w:val="006B07D9"/>
    <w:rsid w:val="006B0A6C"/>
    <w:rsid w:val="006B1CFF"/>
    <w:rsid w:val="006B2330"/>
    <w:rsid w:val="006B25B4"/>
    <w:rsid w:val="006B278C"/>
    <w:rsid w:val="006B340D"/>
    <w:rsid w:val="006B3B2A"/>
    <w:rsid w:val="006B3DA8"/>
    <w:rsid w:val="006B42BB"/>
    <w:rsid w:val="006B6184"/>
    <w:rsid w:val="006B6490"/>
    <w:rsid w:val="006B6D75"/>
    <w:rsid w:val="006B76BB"/>
    <w:rsid w:val="006B776D"/>
    <w:rsid w:val="006B7ED4"/>
    <w:rsid w:val="006C03CD"/>
    <w:rsid w:val="006C03DE"/>
    <w:rsid w:val="006C0470"/>
    <w:rsid w:val="006C10D2"/>
    <w:rsid w:val="006C1358"/>
    <w:rsid w:val="006C24D2"/>
    <w:rsid w:val="006C2624"/>
    <w:rsid w:val="006C27B8"/>
    <w:rsid w:val="006C2AF0"/>
    <w:rsid w:val="006C2E5E"/>
    <w:rsid w:val="006C331A"/>
    <w:rsid w:val="006C42A7"/>
    <w:rsid w:val="006C516E"/>
    <w:rsid w:val="006C5571"/>
    <w:rsid w:val="006C597D"/>
    <w:rsid w:val="006C5AE8"/>
    <w:rsid w:val="006C63BC"/>
    <w:rsid w:val="006C65D8"/>
    <w:rsid w:val="006C66CE"/>
    <w:rsid w:val="006C7343"/>
    <w:rsid w:val="006C7347"/>
    <w:rsid w:val="006C76AE"/>
    <w:rsid w:val="006C7B70"/>
    <w:rsid w:val="006D00F9"/>
    <w:rsid w:val="006D07C3"/>
    <w:rsid w:val="006D0AC7"/>
    <w:rsid w:val="006D16F3"/>
    <w:rsid w:val="006D1BDE"/>
    <w:rsid w:val="006D1E33"/>
    <w:rsid w:val="006D367A"/>
    <w:rsid w:val="006D3804"/>
    <w:rsid w:val="006D4019"/>
    <w:rsid w:val="006D434E"/>
    <w:rsid w:val="006D43C8"/>
    <w:rsid w:val="006D441D"/>
    <w:rsid w:val="006D4497"/>
    <w:rsid w:val="006D44DC"/>
    <w:rsid w:val="006D4A05"/>
    <w:rsid w:val="006D4DBE"/>
    <w:rsid w:val="006D4E1C"/>
    <w:rsid w:val="006D4F60"/>
    <w:rsid w:val="006D5718"/>
    <w:rsid w:val="006D5EAF"/>
    <w:rsid w:val="006D6824"/>
    <w:rsid w:val="006D71F4"/>
    <w:rsid w:val="006D7F1A"/>
    <w:rsid w:val="006D7F87"/>
    <w:rsid w:val="006E1F2F"/>
    <w:rsid w:val="006E2C74"/>
    <w:rsid w:val="006E34EC"/>
    <w:rsid w:val="006E3A30"/>
    <w:rsid w:val="006E408D"/>
    <w:rsid w:val="006E417D"/>
    <w:rsid w:val="006E41B7"/>
    <w:rsid w:val="006E45FF"/>
    <w:rsid w:val="006E476E"/>
    <w:rsid w:val="006E56A1"/>
    <w:rsid w:val="006E6059"/>
    <w:rsid w:val="006E6D78"/>
    <w:rsid w:val="006E7299"/>
    <w:rsid w:val="006E75C2"/>
    <w:rsid w:val="006E75D9"/>
    <w:rsid w:val="006E7CD9"/>
    <w:rsid w:val="006F009F"/>
    <w:rsid w:val="006F053D"/>
    <w:rsid w:val="006F0D54"/>
    <w:rsid w:val="006F23EF"/>
    <w:rsid w:val="006F290B"/>
    <w:rsid w:val="006F3280"/>
    <w:rsid w:val="006F3F6B"/>
    <w:rsid w:val="006F40E6"/>
    <w:rsid w:val="006F4418"/>
    <w:rsid w:val="006F45BF"/>
    <w:rsid w:val="006F57B8"/>
    <w:rsid w:val="006F5B87"/>
    <w:rsid w:val="006F62AA"/>
    <w:rsid w:val="006F63A9"/>
    <w:rsid w:val="006F643F"/>
    <w:rsid w:val="006F6F6C"/>
    <w:rsid w:val="006F73FF"/>
    <w:rsid w:val="006F748C"/>
    <w:rsid w:val="006F7492"/>
    <w:rsid w:val="007001F3"/>
    <w:rsid w:val="00701184"/>
    <w:rsid w:val="0070194A"/>
    <w:rsid w:val="00701EA1"/>
    <w:rsid w:val="0070239B"/>
    <w:rsid w:val="007026E4"/>
    <w:rsid w:val="00702F0F"/>
    <w:rsid w:val="00703AA7"/>
    <w:rsid w:val="00703B85"/>
    <w:rsid w:val="00703DC9"/>
    <w:rsid w:val="00706EA3"/>
    <w:rsid w:val="00707127"/>
    <w:rsid w:val="00707135"/>
    <w:rsid w:val="0070742C"/>
    <w:rsid w:val="0070760C"/>
    <w:rsid w:val="00710C79"/>
    <w:rsid w:val="007117C1"/>
    <w:rsid w:val="007126F4"/>
    <w:rsid w:val="00712745"/>
    <w:rsid w:val="007127B3"/>
    <w:rsid w:val="00712EE0"/>
    <w:rsid w:val="00712F13"/>
    <w:rsid w:val="007131E5"/>
    <w:rsid w:val="00714858"/>
    <w:rsid w:val="0071509C"/>
    <w:rsid w:val="007152ED"/>
    <w:rsid w:val="0071580F"/>
    <w:rsid w:val="00715D5A"/>
    <w:rsid w:val="00715E77"/>
    <w:rsid w:val="00716C86"/>
    <w:rsid w:val="0071727C"/>
    <w:rsid w:val="00717613"/>
    <w:rsid w:val="007176BB"/>
    <w:rsid w:val="00717919"/>
    <w:rsid w:val="007179ED"/>
    <w:rsid w:val="00717F1B"/>
    <w:rsid w:val="007220E8"/>
    <w:rsid w:val="007235DD"/>
    <w:rsid w:val="00723CBF"/>
    <w:rsid w:val="00723E2F"/>
    <w:rsid w:val="00723ED5"/>
    <w:rsid w:val="0072413E"/>
    <w:rsid w:val="00725AFE"/>
    <w:rsid w:val="00725FD5"/>
    <w:rsid w:val="00727ABB"/>
    <w:rsid w:val="00727F7D"/>
    <w:rsid w:val="007300BB"/>
    <w:rsid w:val="0073196B"/>
    <w:rsid w:val="0073229C"/>
    <w:rsid w:val="0073294E"/>
    <w:rsid w:val="00733727"/>
    <w:rsid w:val="00734526"/>
    <w:rsid w:val="00734B0D"/>
    <w:rsid w:val="007352E5"/>
    <w:rsid w:val="0073562A"/>
    <w:rsid w:val="00736621"/>
    <w:rsid w:val="00736C63"/>
    <w:rsid w:val="0073740B"/>
    <w:rsid w:val="00737DDE"/>
    <w:rsid w:val="00740805"/>
    <w:rsid w:val="00740AB5"/>
    <w:rsid w:val="00741A9B"/>
    <w:rsid w:val="00741E66"/>
    <w:rsid w:val="007428BB"/>
    <w:rsid w:val="00742E13"/>
    <w:rsid w:val="00743038"/>
    <w:rsid w:val="00743106"/>
    <w:rsid w:val="00743303"/>
    <w:rsid w:val="00743402"/>
    <w:rsid w:val="007435D6"/>
    <w:rsid w:val="00743A5D"/>
    <w:rsid w:val="00746242"/>
    <w:rsid w:val="00746933"/>
    <w:rsid w:val="007470D8"/>
    <w:rsid w:val="007472D0"/>
    <w:rsid w:val="007507D8"/>
    <w:rsid w:val="007508F5"/>
    <w:rsid w:val="00750C11"/>
    <w:rsid w:val="00750C2A"/>
    <w:rsid w:val="0075111F"/>
    <w:rsid w:val="007513D8"/>
    <w:rsid w:val="00751B4B"/>
    <w:rsid w:val="007522CE"/>
    <w:rsid w:val="007530EA"/>
    <w:rsid w:val="0075330B"/>
    <w:rsid w:val="0075412C"/>
    <w:rsid w:val="00754433"/>
    <w:rsid w:val="007544FF"/>
    <w:rsid w:val="00754AE5"/>
    <w:rsid w:val="00754B1E"/>
    <w:rsid w:val="00755AF7"/>
    <w:rsid w:val="00755C9B"/>
    <w:rsid w:val="00756B4F"/>
    <w:rsid w:val="00756D7B"/>
    <w:rsid w:val="00756E2F"/>
    <w:rsid w:val="00757CDA"/>
    <w:rsid w:val="00760323"/>
    <w:rsid w:val="00761237"/>
    <w:rsid w:val="0076182C"/>
    <w:rsid w:val="00761845"/>
    <w:rsid w:val="007622B2"/>
    <w:rsid w:val="007629AE"/>
    <w:rsid w:val="00762E0B"/>
    <w:rsid w:val="00763186"/>
    <w:rsid w:val="007632E2"/>
    <w:rsid w:val="00763B39"/>
    <w:rsid w:val="00763F0A"/>
    <w:rsid w:val="00765353"/>
    <w:rsid w:val="00766683"/>
    <w:rsid w:val="00766FEF"/>
    <w:rsid w:val="007686D8"/>
    <w:rsid w:val="007704A5"/>
    <w:rsid w:val="00770F1D"/>
    <w:rsid w:val="00771737"/>
    <w:rsid w:val="00771856"/>
    <w:rsid w:val="0077216D"/>
    <w:rsid w:val="00772BE4"/>
    <w:rsid w:val="00774FE6"/>
    <w:rsid w:val="007753F5"/>
    <w:rsid w:val="00775416"/>
    <w:rsid w:val="00775E33"/>
    <w:rsid w:val="00775F62"/>
    <w:rsid w:val="007767BE"/>
    <w:rsid w:val="0077756C"/>
    <w:rsid w:val="007776E9"/>
    <w:rsid w:val="00777778"/>
    <w:rsid w:val="00777BBA"/>
    <w:rsid w:val="00777FB5"/>
    <w:rsid w:val="00780664"/>
    <w:rsid w:val="00780705"/>
    <w:rsid w:val="00780C66"/>
    <w:rsid w:val="00780EF4"/>
    <w:rsid w:val="007812F5"/>
    <w:rsid w:val="00781825"/>
    <w:rsid w:val="00782097"/>
    <w:rsid w:val="00782120"/>
    <w:rsid w:val="007821DF"/>
    <w:rsid w:val="0078288E"/>
    <w:rsid w:val="00782BE1"/>
    <w:rsid w:val="0078331E"/>
    <w:rsid w:val="00783453"/>
    <w:rsid w:val="00783719"/>
    <w:rsid w:val="0078376A"/>
    <w:rsid w:val="00783AEF"/>
    <w:rsid w:val="00783BDB"/>
    <w:rsid w:val="00784143"/>
    <w:rsid w:val="00785108"/>
    <w:rsid w:val="007852A4"/>
    <w:rsid w:val="0078572C"/>
    <w:rsid w:val="00786005"/>
    <w:rsid w:val="007866FF"/>
    <w:rsid w:val="00786888"/>
    <w:rsid w:val="00786ACC"/>
    <w:rsid w:val="0078790D"/>
    <w:rsid w:val="00787AC1"/>
    <w:rsid w:val="00790420"/>
    <w:rsid w:val="00792B52"/>
    <w:rsid w:val="00793CA5"/>
    <w:rsid w:val="00794403"/>
    <w:rsid w:val="00794A02"/>
    <w:rsid w:val="00794E70"/>
    <w:rsid w:val="00796202"/>
    <w:rsid w:val="007964BF"/>
    <w:rsid w:val="00796DE1"/>
    <w:rsid w:val="00797345"/>
    <w:rsid w:val="00797EC5"/>
    <w:rsid w:val="007A06CF"/>
    <w:rsid w:val="007A0932"/>
    <w:rsid w:val="007A0EAF"/>
    <w:rsid w:val="007A10E9"/>
    <w:rsid w:val="007A181A"/>
    <w:rsid w:val="007A1C0B"/>
    <w:rsid w:val="007A1CAA"/>
    <w:rsid w:val="007A1E16"/>
    <w:rsid w:val="007A2A29"/>
    <w:rsid w:val="007A2AD5"/>
    <w:rsid w:val="007A3096"/>
    <w:rsid w:val="007A309B"/>
    <w:rsid w:val="007A3325"/>
    <w:rsid w:val="007A379A"/>
    <w:rsid w:val="007A479D"/>
    <w:rsid w:val="007A4CE9"/>
    <w:rsid w:val="007A512D"/>
    <w:rsid w:val="007A560E"/>
    <w:rsid w:val="007A5C92"/>
    <w:rsid w:val="007A5FC1"/>
    <w:rsid w:val="007A6C5C"/>
    <w:rsid w:val="007A79AB"/>
    <w:rsid w:val="007A7B98"/>
    <w:rsid w:val="007A7F4D"/>
    <w:rsid w:val="007B00BD"/>
    <w:rsid w:val="007B0483"/>
    <w:rsid w:val="007B0918"/>
    <w:rsid w:val="007B0C20"/>
    <w:rsid w:val="007B1D60"/>
    <w:rsid w:val="007B2AF8"/>
    <w:rsid w:val="007B5BEF"/>
    <w:rsid w:val="007B67DE"/>
    <w:rsid w:val="007B6DC3"/>
    <w:rsid w:val="007B7469"/>
    <w:rsid w:val="007C048E"/>
    <w:rsid w:val="007C0763"/>
    <w:rsid w:val="007C080D"/>
    <w:rsid w:val="007C0823"/>
    <w:rsid w:val="007C16AC"/>
    <w:rsid w:val="007C1877"/>
    <w:rsid w:val="007C1ECD"/>
    <w:rsid w:val="007C201A"/>
    <w:rsid w:val="007C2163"/>
    <w:rsid w:val="007C2B1A"/>
    <w:rsid w:val="007C3243"/>
    <w:rsid w:val="007C3B24"/>
    <w:rsid w:val="007C3DF7"/>
    <w:rsid w:val="007C432A"/>
    <w:rsid w:val="007C4CDD"/>
    <w:rsid w:val="007C551B"/>
    <w:rsid w:val="007C5821"/>
    <w:rsid w:val="007C5B2D"/>
    <w:rsid w:val="007C5E28"/>
    <w:rsid w:val="007C620A"/>
    <w:rsid w:val="007C6350"/>
    <w:rsid w:val="007C668B"/>
    <w:rsid w:val="007C695F"/>
    <w:rsid w:val="007C6CE4"/>
    <w:rsid w:val="007D018E"/>
    <w:rsid w:val="007D034D"/>
    <w:rsid w:val="007D043D"/>
    <w:rsid w:val="007D1241"/>
    <w:rsid w:val="007D1D2A"/>
    <w:rsid w:val="007D1D64"/>
    <w:rsid w:val="007D1E4F"/>
    <w:rsid w:val="007D2EFB"/>
    <w:rsid w:val="007D347C"/>
    <w:rsid w:val="007D36BD"/>
    <w:rsid w:val="007D3882"/>
    <w:rsid w:val="007D45CC"/>
    <w:rsid w:val="007D55F8"/>
    <w:rsid w:val="007D594E"/>
    <w:rsid w:val="007D5E49"/>
    <w:rsid w:val="007D5FD7"/>
    <w:rsid w:val="007D6095"/>
    <w:rsid w:val="007D69EE"/>
    <w:rsid w:val="007D6C3D"/>
    <w:rsid w:val="007D6C41"/>
    <w:rsid w:val="007D763E"/>
    <w:rsid w:val="007D7B68"/>
    <w:rsid w:val="007E00B4"/>
    <w:rsid w:val="007E010B"/>
    <w:rsid w:val="007E021E"/>
    <w:rsid w:val="007E0587"/>
    <w:rsid w:val="007E119D"/>
    <w:rsid w:val="007E1C7A"/>
    <w:rsid w:val="007E1E1F"/>
    <w:rsid w:val="007E2221"/>
    <w:rsid w:val="007E26A3"/>
    <w:rsid w:val="007E2D55"/>
    <w:rsid w:val="007E3E04"/>
    <w:rsid w:val="007E3F3C"/>
    <w:rsid w:val="007E40AA"/>
    <w:rsid w:val="007E56E6"/>
    <w:rsid w:val="007E5E57"/>
    <w:rsid w:val="007E6182"/>
    <w:rsid w:val="007E62F7"/>
    <w:rsid w:val="007E6331"/>
    <w:rsid w:val="007E677F"/>
    <w:rsid w:val="007E6D47"/>
    <w:rsid w:val="007E7B96"/>
    <w:rsid w:val="007E7E34"/>
    <w:rsid w:val="007E7F8F"/>
    <w:rsid w:val="007F0318"/>
    <w:rsid w:val="007F1670"/>
    <w:rsid w:val="007F26EE"/>
    <w:rsid w:val="007F2F96"/>
    <w:rsid w:val="007F3F98"/>
    <w:rsid w:val="007F40C4"/>
    <w:rsid w:val="007F4208"/>
    <w:rsid w:val="007F5069"/>
    <w:rsid w:val="007F535E"/>
    <w:rsid w:val="007F5794"/>
    <w:rsid w:val="007F6838"/>
    <w:rsid w:val="007F6C37"/>
    <w:rsid w:val="007F7179"/>
    <w:rsid w:val="007F7B56"/>
    <w:rsid w:val="007F7F41"/>
    <w:rsid w:val="008003A2"/>
    <w:rsid w:val="00800A4A"/>
    <w:rsid w:val="00800C99"/>
    <w:rsid w:val="00801569"/>
    <w:rsid w:val="0080163C"/>
    <w:rsid w:val="00801B09"/>
    <w:rsid w:val="00802274"/>
    <w:rsid w:val="00803100"/>
    <w:rsid w:val="00804045"/>
    <w:rsid w:val="00804221"/>
    <w:rsid w:val="00804265"/>
    <w:rsid w:val="00804C51"/>
    <w:rsid w:val="00805B1F"/>
    <w:rsid w:val="00807A14"/>
    <w:rsid w:val="00810069"/>
    <w:rsid w:val="00810865"/>
    <w:rsid w:val="00811636"/>
    <w:rsid w:val="0081195F"/>
    <w:rsid w:val="00811BFE"/>
    <w:rsid w:val="00812334"/>
    <w:rsid w:val="0081310C"/>
    <w:rsid w:val="00813202"/>
    <w:rsid w:val="00814046"/>
    <w:rsid w:val="0081477F"/>
    <w:rsid w:val="00815084"/>
    <w:rsid w:val="00815E33"/>
    <w:rsid w:val="00815EC8"/>
    <w:rsid w:val="00817484"/>
    <w:rsid w:val="00817902"/>
    <w:rsid w:val="00817A9B"/>
    <w:rsid w:val="00817E2E"/>
    <w:rsid w:val="00817F6A"/>
    <w:rsid w:val="00820840"/>
    <w:rsid w:val="00821133"/>
    <w:rsid w:val="00823561"/>
    <w:rsid w:val="00824944"/>
    <w:rsid w:val="00824DCB"/>
    <w:rsid w:val="00825AFD"/>
    <w:rsid w:val="00825CCC"/>
    <w:rsid w:val="00826A40"/>
    <w:rsid w:val="00826B49"/>
    <w:rsid w:val="00826C33"/>
    <w:rsid w:val="00826D90"/>
    <w:rsid w:val="00827392"/>
    <w:rsid w:val="0082743B"/>
    <w:rsid w:val="008275B4"/>
    <w:rsid w:val="0082768E"/>
    <w:rsid w:val="00827FC8"/>
    <w:rsid w:val="008307CB"/>
    <w:rsid w:val="00830D08"/>
    <w:rsid w:val="00831D68"/>
    <w:rsid w:val="00833F27"/>
    <w:rsid w:val="00834F47"/>
    <w:rsid w:val="008356B7"/>
    <w:rsid w:val="00835AA2"/>
    <w:rsid w:val="00835EF9"/>
    <w:rsid w:val="00835FF4"/>
    <w:rsid w:val="00836343"/>
    <w:rsid w:val="00836B63"/>
    <w:rsid w:val="008370C1"/>
    <w:rsid w:val="00837B2B"/>
    <w:rsid w:val="00840333"/>
    <w:rsid w:val="00840FC2"/>
    <w:rsid w:val="008417B0"/>
    <w:rsid w:val="00841D05"/>
    <w:rsid w:val="00841F12"/>
    <w:rsid w:val="008428D9"/>
    <w:rsid w:val="00842C58"/>
    <w:rsid w:val="0084386E"/>
    <w:rsid w:val="00844373"/>
    <w:rsid w:val="00844E1E"/>
    <w:rsid w:val="0084512A"/>
    <w:rsid w:val="008459E4"/>
    <w:rsid w:val="00845E19"/>
    <w:rsid w:val="008463B0"/>
    <w:rsid w:val="00846851"/>
    <w:rsid w:val="00846C1C"/>
    <w:rsid w:val="008506E7"/>
    <w:rsid w:val="00850907"/>
    <w:rsid w:val="00850999"/>
    <w:rsid w:val="00850A65"/>
    <w:rsid w:val="008513E3"/>
    <w:rsid w:val="00853322"/>
    <w:rsid w:val="008545EA"/>
    <w:rsid w:val="00854AB8"/>
    <w:rsid w:val="00854B3F"/>
    <w:rsid w:val="008552B7"/>
    <w:rsid w:val="0085537F"/>
    <w:rsid w:val="00856212"/>
    <w:rsid w:val="008563B8"/>
    <w:rsid w:val="00856B1D"/>
    <w:rsid w:val="00856CB6"/>
    <w:rsid w:val="008571A3"/>
    <w:rsid w:val="00857261"/>
    <w:rsid w:val="008574A0"/>
    <w:rsid w:val="00857EB2"/>
    <w:rsid w:val="0086044F"/>
    <w:rsid w:val="00860821"/>
    <w:rsid w:val="00860923"/>
    <w:rsid w:val="00861387"/>
    <w:rsid w:val="00861735"/>
    <w:rsid w:val="008618C1"/>
    <w:rsid w:val="00862171"/>
    <w:rsid w:val="00863B93"/>
    <w:rsid w:val="00863E9C"/>
    <w:rsid w:val="00864B4D"/>
    <w:rsid w:val="00864D90"/>
    <w:rsid w:val="00864DF4"/>
    <w:rsid w:val="0086548F"/>
    <w:rsid w:val="00865B2F"/>
    <w:rsid w:val="00866AF4"/>
    <w:rsid w:val="00866B62"/>
    <w:rsid w:val="00867431"/>
    <w:rsid w:val="00867AFC"/>
    <w:rsid w:val="00871385"/>
    <w:rsid w:val="00871888"/>
    <w:rsid w:val="00871F2F"/>
    <w:rsid w:val="00872127"/>
    <w:rsid w:val="00872520"/>
    <w:rsid w:val="00872BC3"/>
    <w:rsid w:val="00872C1A"/>
    <w:rsid w:val="00872F0F"/>
    <w:rsid w:val="00873F46"/>
    <w:rsid w:val="00874CBB"/>
    <w:rsid w:val="008755FB"/>
    <w:rsid w:val="00876BEE"/>
    <w:rsid w:val="00877097"/>
    <w:rsid w:val="0087781C"/>
    <w:rsid w:val="00877970"/>
    <w:rsid w:val="00877AEE"/>
    <w:rsid w:val="00877FD8"/>
    <w:rsid w:val="00880CB1"/>
    <w:rsid w:val="008816E4"/>
    <w:rsid w:val="00881804"/>
    <w:rsid w:val="00881EE7"/>
    <w:rsid w:val="00882278"/>
    <w:rsid w:val="0088249D"/>
    <w:rsid w:val="0088260D"/>
    <w:rsid w:val="00882AD5"/>
    <w:rsid w:val="00882EC8"/>
    <w:rsid w:val="00883395"/>
    <w:rsid w:val="008843F1"/>
    <w:rsid w:val="00884BCC"/>
    <w:rsid w:val="00884E8D"/>
    <w:rsid w:val="008851EE"/>
    <w:rsid w:val="00885B30"/>
    <w:rsid w:val="00885BB9"/>
    <w:rsid w:val="0088625C"/>
    <w:rsid w:val="0088643D"/>
    <w:rsid w:val="008902AD"/>
    <w:rsid w:val="00890386"/>
    <w:rsid w:val="00890684"/>
    <w:rsid w:val="008909C9"/>
    <w:rsid w:val="00890A23"/>
    <w:rsid w:val="00890E9F"/>
    <w:rsid w:val="008917A4"/>
    <w:rsid w:val="00891B2A"/>
    <w:rsid w:val="00893E90"/>
    <w:rsid w:val="00893FD5"/>
    <w:rsid w:val="008948AF"/>
    <w:rsid w:val="00894DAE"/>
    <w:rsid w:val="00895048"/>
    <w:rsid w:val="0089618B"/>
    <w:rsid w:val="008961AF"/>
    <w:rsid w:val="008967B6"/>
    <w:rsid w:val="0089736F"/>
    <w:rsid w:val="00897FCD"/>
    <w:rsid w:val="008A01D6"/>
    <w:rsid w:val="008A0555"/>
    <w:rsid w:val="008A0935"/>
    <w:rsid w:val="008A0AB2"/>
    <w:rsid w:val="008A1B22"/>
    <w:rsid w:val="008A1F93"/>
    <w:rsid w:val="008A248A"/>
    <w:rsid w:val="008A25E5"/>
    <w:rsid w:val="008A2791"/>
    <w:rsid w:val="008A28B1"/>
    <w:rsid w:val="008A2D50"/>
    <w:rsid w:val="008A303A"/>
    <w:rsid w:val="008A4493"/>
    <w:rsid w:val="008A4BB2"/>
    <w:rsid w:val="008A5797"/>
    <w:rsid w:val="008A7AD5"/>
    <w:rsid w:val="008A7C84"/>
    <w:rsid w:val="008B0191"/>
    <w:rsid w:val="008B03F1"/>
    <w:rsid w:val="008B050B"/>
    <w:rsid w:val="008B0F14"/>
    <w:rsid w:val="008B1407"/>
    <w:rsid w:val="008B15B6"/>
    <w:rsid w:val="008B19C1"/>
    <w:rsid w:val="008B1C90"/>
    <w:rsid w:val="008B1D52"/>
    <w:rsid w:val="008B1F7F"/>
    <w:rsid w:val="008B3036"/>
    <w:rsid w:val="008B3046"/>
    <w:rsid w:val="008B309D"/>
    <w:rsid w:val="008B3BA1"/>
    <w:rsid w:val="008B3D22"/>
    <w:rsid w:val="008B3E4D"/>
    <w:rsid w:val="008B4D11"/>
    <w:rsid w:val="008B4D31"/>
    <w:rsid w:val="008B4D49"/>
    <w:rsid w:val="008B56B5"/>
    <w:rsid w:val="008B6026"/>
    <w:rsid w:val="008B786B"/>
    <w:rsid w:val="008C04E2"/>
    <w:rsid w:val="008C04EA"/>
    <w:rsid w:val="008C0884"/>
    <w:rsid w:val="008C0A5F"/>
    <w:rsid w:val="008C12F1"/>
    <w:rsid w:val="008C1833"/>
    <w:rsid w:val="008C18D8"/>
    <w:rsid w:val="008C24BC"/>
    <w:rsid w:val="008C2755"/>
    <w:rsid w:val="008C2E16"/>
    <w:rsid w:val="008C36DC"/>
    <w:rsid w:val="008C3861"/>
    <w:rsid w:val="008C5311"/>
    <w:rsid w:val="008C63E4"/>
    <w:rsid w:val="008C6522"/>
    <w:rsid w:val="008C762E"/>
    <w:rsid w:val="008C7B6B"/>
    <w:rsid w:val="008D0D08"/>
    <w:rsid w:val="008D1013"/>
    <w:rsid w:val="008D19CB"/>
    <w:rsid w:val="008D2155"/>
    <w:rsid w:val="008D3049"/>
    <w:rsid w:val="008D321C"/>
    <w:rsid w:val="008D36DE"/>
    <w:rsid w:val="008D37F1"/>
    <w:rsid w:val="008D4DB1"/>
    <w:rsid w:val="008D512F"/>
    <w:rsid w:val="008D5DB6"/>
    <w:rsid w:val="008D75DE"/>
    <w:rsid w:val="008D7A83"/>
    <w:rsid w:val="008E0267"/>
    <w:rsid w:val="008E19A2"/>
    <w:rsid w:val="008E1B2B"/>
    <w:rsid w:val="008E2B1D"/>
    <w:rsid w:val="008E34B4"/>
    <w:rsid w:val="008E3692"/>
    <w:rsid w:val="008E3B04"/>
    <w:rsid w:val="008E48C1"/>
    <w:rsid w:val="008E4AAF"/>
    <w:rsid w:val="008E5F6C"/>
    <w:rsid w:val="008E6326"/>
    <w:rsid w:val="008E6672"/>
    <w:rsid w:val="008E6CAD"/>
    <w:rsid w:val="008E71D2"/>
    <w:rsid w:val="008E766A"/>
    <w:rsid w:val="008E7BED"/>
    <w:rsid w:val="008F05E3"/>
    <w:rsid w:val="008F066A"/>
    <w:rsid w:val="008F10E4"/>
    <w:rsid w:val="008F24AA"/>
    <w:rsid w:val="008F24CC"/>
    <w:rsid w:val="008F2887"/>
    <w:rsid w:val="008F2C68"/>
    <w:rsid w:val="008F31FF"/>
    <w:rsid w:val="008F3213"/>
    <w:rsid w:val="008F4213"/>
    <w:rsid w:val="008F42F1"/>
    <w:rsid w:val="008F4625"/>
    <w:rsid w:val="008F49ED"/>
    <w:rsid w:val="008F56A7"/>
    <w:rsid w:val="008F57B0"/>
    <w:rsid w:val="008F59B1"/>
    <w:rsid w:val="008F6290"/>
    <w:rsid w:val="008F6E85"/>
    <w:rsid w:val="008F7934"/>
    <w:rsid w:val="008F7F48"/>
    <w:rsid w:val="0090005C"/>
    <w:rsid w:val="00900139"/>
    <w:rsid w:val="009004C9"/>
    <w:rsid w:val="00900AFF"/>
    <w:rsid w:val="00900C6F"/>
    <w:rsid w:val="00900F40"/>
    <w:rsid w:val="00901603"/>
    <w:rsid w:val="00902156"/>
    <w:rsid w:val="00902722"/>
    <w:rsid w:val="00902C5C"/>
    <w:rsid w:val="00902ED5"/>
    <w:rsid w:val="00902F27"/>
    <w:rsid w:val="0090435E"/>
    <w:rsid w:val="0090499F"/>
    <w:rsid w:val="00904B5E"/>
    <w:rsid w:val="009051E0"/>
    <w:rsid w:val="009052B6"/>
    <w:rsid w:val="009052EC"/>
    <w:rsid w:val="00905E16"/>
    <w:rsid w:val="009069F7"/>
    <w:rsid w:val="00906C0F"/>
    <w:rsid w:val="00907869"/>
    <w:rsid w:val="00907B97"/>
    <w:rsid w:val="0091013A"/>
    <w:rsid w:val="0091033B"/>
    <w:rsid w:val="009115DC"/>
    <w:rsid w:val="00911B21"/>
    <w:rsid w:val="0091364A"/>
    <w:rsid w:val="0091447E"/>
    <w:rsid w:val="009147C2"/>
    <w:rsid w:val="009148C4"/>
    <w:rsid w:val="0091495B"/>
    <w:rsid w:val="00914A4D"/>
    <w:rsid w:val="00915BF7"/>
    <w:rsid w:val="0091603A"/>
    <w:rsid w:val="009169CA"/>
    <w:rsid w:val="00916F69"/>
    <w:rsid w:val="0091702D"/>
    <w:rsid w:val="009178E4"/>
    <w:rsid w:val="0092033E"/>
    <w:rsid w:val="0092090D"/>
    <w:rsid w:val="009209DA"/>
    <w:rsid w:val="00920AD7"/>
    <w:rsid w:val="00920D19"/>
    <w:rsid w:val="009215A4"/>
    <w:rsid w:val="009218DF"/>
    <w:rsid w:val="009220CB"/>
    <w:rsid w:val="009229D7"/>
    <w:rsid w:val="00922D92"/>
    <w:rsid w:val="009232BA"/>
    <w:rsid w:val="00924F25"/>
    <w:rsid w:val="009253A1"/>
    <w:rsid w:val="00925685"/>
    <w:rsid w:val="0092594C"/>
    <w:rsid w:val="009262F8"/>
    <w:rsid w:val="009270A4"/>
    <w:rsid w:val="0092745C"/>
    <w:rsid w:val="0092788F"/>
    <w:rsid w:val="00927BC7"/>
    <w:rsid w:val="00927D74"/>
    <w:rsid w:val="00930067"/>
    <w:rsid w:val="00930A5C"/>
    <w:rsid w:val="009313A9"/>
    <w:rsid w:val="009316D5"/>
    <w:rsid w:val="00931EC0"/>
    <w:rsid w:val="00932722"/>
    <w:rsid w:val="00932C63"/>
    <w:rsid w:val="00932CB4"/>
    <w:rsid w:val="009331EA"/>
    <w:rsid w:val="009344A7"/>
    <w:rsid w:val="00934F85"/>
    <w:rsid w:val="009351E1"/>
    <w:rsid w:val="00935213"/>
    <w:rsid w:val="009352FB"/>
    <w:rsid w:val="0093532E"/>
    <w:rsid w:val="009355B1"/>
    <w:rsid w:val="009359C8"/>
    <w:rsid w:val="00935C92"/>
    <w:rsid w:val="00936159"/>
    <w:rsid w:val="009365E2"/>
    <w:rsid w:val="0093686D"/>
    <w:rsid w:val="0093716B"/>
    <w:rsid w:val="00937532"/>
    <w:rsid w:val="00940D2E"/>
    <w:rsid w:val="009412C4"/>
    <w:rsid w:val="009413DB"/>
    <w:rsid w:val="00941622"/>
    <w:rsid w:val="00942121"/>
    <w:rsid w:val="009436C8"/>
    <w:rsid w:val="00943CE2"/>
    <w:rsid w:val="00943D00"/>
    <w:rsid w:val="00943FAA"/>
    <w:rsid w:val="009440EA"/>
    <w:rsid w:val="00944347"/>
    <w:rsid w:val="0094506F"/>
    <w:rsid w:val="00945233"/>
    <w:rsid w:val="00946236"/>
    <w:rsid w:val="0094766C"/>
    <w:rsid w:val="009478F5"/>
    <w:rsid w:val="00947A77"/>
    <w:rsid w:val="00951477"/>
    <w:rsid w:val="0095166C"/>
    <w:rsid w:val="00951B23"/>
    <w:rsid w:val="00951B76"/>
    <w:rsid w:val="0095243B"/>
    <w:rsid w:val="0095245A"/>
    <w:rsid w:val="00952B69"/>
    <w:rsid w:val="00953281"/>
    <w:rsid w:val="00953846"/>
    <w:rsid w:val="00953958"/>
    <w:rsid w:val="009540DD"/>
    <w:rsid w:val="00955011"/>
    <w:rsid w:val="00955308"/>
    <w:rsid w:val="009554C7"/>
    <w:rsid w:val="00955AFA"/>
    <w:rsid w:val="00955F1A"/>
    <w:rsid w:val="009561EF"/>
    <w:rsid w:val="00956687"/>
    <w:rsid w:val="00956702"/>
    <w:rsid w:val="00956FD7"/>
    <w:rsid w:val="00957057"/>
    <w:rsid w:val="00957AF8"/>
    <w:rsid w:val="00960473"/>
    <w:rsid w:val="00960B4A"/>
    <w:rsid w:val="00960EAE"/>
    <w:rsid w:val="00960F9A"/>
    <w:rsid w:val="00961FAC"/>
    <w:rsid w:val="00963E1C"/>
    <w:rsid w:val="0096444F"/>
    <w:rsid w:val="00964968"/>
    <w:rsid w:val="00965D90"/>
    <w:rsid w:val="00966584"/>
    <w:rsid w:val="00966962"/>
    <w:rsid w:val="00966E22"/>
    <w:rsid w:val="00967909"/>
    <w:rsid w:val="0097023B"/>
    <w:rsid w:val="009702C0"/>
    <w:rsid w:val="00971B45"/>
    <w:rsid w:val="00971D5C"/>
    <w:rsid w:val="00971E1C"/>
    <w:rsid w:val="009722CD"/>
    <w:rsid w:val="009723C2"/>
    <w:rsid w:val="00972472"/>
    <w:rsid w:val="0097314F"/>
    <w:rsid w:val="009737B3"/>
    <w:rsid w:val="00973C6E"/>
    <w:rsid w:val="009750AD"/>
    <w:rsid w:val="00975DCB"/>
    <w:rsid w:val="00975FA9"/>
    <w:rsid w:val="00976209"/>
    <w:rsid w:val="0097783B"/>
    <w:rsid w:val="00977A02"/>
    <w:rsid w:val="00980038"/>
    <w:rsid w:val="00980883"/>
    <w:rsid w:val="00980CEB"/>
    <w:rsid w:val="009812BD"/>
    <w:rsid w:val="0098153F"/>
    <w:rsid w:val="0098186F"/>
    <w:rsid w:val="009818A9"/>
    <w:rsid w:val="00982ACE"/>
    <w:rsid w:val="00982AD2"/>
    <w:rsid w:val="009830B0"/>
    <w:rsid w:val="00983698"/>
    <w:rsid w:val="009838AA"/>
    <w:rsid w:val="00983CF1"/>
    <w:rsid w:val="00984441"/>
    <w:rsid w:val="009847FD"/>
    <w:rsid w:val="0098492E"/>
    <w:rsid w:val="00984C44"/>
    <w:rsid w:val="00984DB9"/>
    <w:rsid w:val="00984EE9"/>
    <w:rsid w:val="00986105"/>
    <w:rsid w:val="00987033"/>
    <w:rsid w:val="00987D60"/>
    <w:rsid w:val="009904C4"/>
    <w:rsid w:val="00991611"/>
    <w:rsid w:val="00991AFA"/>
    <w:rsid w:val="00991F40"/>
    <w:rsid w:val="0099234F"/>
    <w:rsid w:val="009923F6"/>
    <w:rsid w:val="00992859"/>
    <w:rsid w:val="00992CC6"/>
    <w:rsid w:val="00992DF7"/>
    <w:rsid w:val="009930E1"/>
    <w:rsid w:val="00993BB4"/>
    <w:rsid w:val="00994612"/>
    <w:rsid w:val="0099470B"/>
    <w:rsid w:val="00994C41"/>
    <w:rsid w:val="00994F8C"/>
    <w:rsid w:val="00995229"/>
    <w:rsid w:val="0099523A"/>
    <w:rsid w:val="009954B8"/>
    <w:rsid w:val="00995617"/>
    <w:rsid w:val="009958F8"/>
    <w:rsid w:val="00995917"/>
    <w:rsid w:val="00995F8D"/>
    <w:rsid w:val="009968CE"/>
    <w:rsid w:val="00996981"/>
    <w:rsid w:val="00996A55"/>
    <w:rsid w:val="00996C81"/>
    <w:rsid w:val="009973CA"/>
    <w:rsid w:val="00997DD0"/>
    <w:rsid w:val="009A0148"/>
    <w:rsid w:val="009A0848"/>
    <w:rsid w:val="009A08C0"/>
    <w:rsid w:val="009A0FE3"/>
    <w:rsid w:val="009A1331"/>
    <w:rsid w:val="009A21D2"/>
    <w:rsid w:val="009A2822"/>
    <w:rsid w:val="009A2C2E"/>
    <w:rsid w:val="009A3646"/>
    <w:rsid w:val="009A3A4B"/>
    <w:rsid w:val="009A3E7A"/>
    <w:rsid w:val="009A3F9C"/>
    <w:rsid w:val="009A5B7B"/>
    <w:rsid w:val="009A5DC8"/>
    <w:rsid w:val="009A61B8"/>
    <w:rsid w:val="009A72C8"/>
    <w:rsid w:val="009A742B"/>
    <w:rsid w:val="009A752A"/>
    <w:rsid w:val="009A7B15"/>
    <w:rsid w:val="009A7D7F"/>
    <w:rsid w:val="009A7DCF"/>
    <w:rsid w:val="009A7EC6"/>
    <w:rsid w:val="009B0D9F"/>
    <w:rsid w:val="009B1315"/>
    <w:rsid w:val="009B150A"/>
    <w:rsid w:val="009B1929"/>
    <w:rsid w:val="009B1C3B"/>
    <w:rsid w:val="009B271A"/>
    <w:rsid w:val="009B29F2"/>
    <w:rsid w:val="009B2A14"/>
    <w:rsid w:val="009B2BD6"/>
    <w:rsid w:val="009B2C07"/>
    <w:rsid w:val="009B2E6C"/>
    <w:rsid w:val="009B2E95"/>
    <w:rsid w:val="009B3AC7"/>
    <w:rsid w:val="009B4100"/>
    <w:rsid w:val="009B4650"/>
    <w:rsid w:val="009B5136"/>
    <w:rsid w:val="009B5777"/>
    <w:rsid w:val="009B5B80"/>
    <w:rsid w:val="009B6091"/>
    <w:rsid w:val="009B63CD"/>
    <w:rsid w:val="009B6F54"/>
    <w:rsid w:val="009B7299"/>
    <w:rsid w:val="009C06CF"/>
    <w:rsid w:val="009C1238"/>
    <w:rsid w:val="009C1952"/>
    <w:rsid w:val="009C1AD6"/>
    <w:rsid w:val="009C2191"/>
    <w:rsid w:val="009C4765"/>
    <w:rsid w:val="009C4811"/>
    <w:rsid w:val="009C4921"/>
    <w:rsid w:val="009C50F7"/>
    <w:rsid w:val="009C70A9"/>
    <w:rsid w:val="009C712B"/>
    <w:rsid w:val="009C7796"/>
    <w:rsid w:val="009D0868"/>
    <w:rsid w:val="009D0C81"/>
    <w:rsid w:val="009D0D5F"/>
    <w:rsid w:val="009D0DAA"/>
    <w:rsid w:val="009D11C3"/>
    <w:rsid w:val="009D1965"/>
    <w:rsid w:val="009D1A52"/>
    <w:rsid w:val="009D2073"/>
    <w:rsid w:val="009D28E4"/>
    <w:rsid w:val="009D4140"/>
    <w:rsid w:val="009D4DBC"/>
    <w:rsid w:val="009D6019"/>
    <w:rsid w:val="009D6557"/>
    <w:rsid w:val="009D751A"/>
    <w:rsid w:val="009D76A2"/>
    <w:rsid w:val="009D7917"/>
    <w:rsid w:val="009D794C"/>
    <w:rsid w:val="009E0103"/>
    <w:rsid w:val="009E03AB"/>
    <w:rsid w:val="009E0664"/>
    <w:rsid w:val="009E0731"/>
    <w:rsid w:val="009E0F05"/>
    <w:rsid w:val="009E116D"/>
    <w:rsid w:val="009E19E9"/>
    <w:rsid w:val="009E1C80"/>
    <w:rsid w:val="009E1D27"/>
    <w:rsid w:val="009E1EAF"/>
    <w:rsid w:val="009E2852"/>
    <w:rsid w:val="009E37A0"/>
    <w:rsid w:val="009E3C85"/>
    <w:rsid w:val="009E3F6E"/>
    <w:rsid w:val="009E4483"/>
    <w:rsid w:val="009E4D6C"/>
    <w:rsid w:val="009E520E"/>
    <w:rsid w:val="009E5ACE"/>
    <w:rsid w:val="009E6144"/>
    <w:rsid w:val="009E67B2"/>
    <w:rsid w:val="009E74AE"/>
    <w:rsid w:val="009E758E"/>
    <w:rsid w:val="009E7E2F"/>
    <w:rsid w:val="009E7E69"/>
    <w:rsid w:val="009F0E6A"/>
    <w:rsid w:val="009F2B05"/>
    <w:rsid w:val="009F3C86"/>
    <w:rsid w:val="009F3CF6"/>
    <w:rsid w:val="009F3F8D"/>
    <w:rsid w:val="009F4358"/>
    <w:rsid w:val="009F4CE2"/>
    <w:rsid w:val="009F4D02"/>
    <w:rsid w:val="009F6928"/>
    <w:rsid w:val="009F6B83"/>
    <w:rsid w:val="009F799A"/>
    <w:rsid w:val="009F7EEF"/>
    <w:rsid w:val="009F7F8E"/>
    <w:rsid w:val="00A0070F"/>
    <w:rsid w:val="00A00F6B"/>
    <w:rsid w:val="00A01418"/>
    <w:rsid w:val="00A01555"/>
    <w:rsid w:val="00A01E6C"/>
    <w:rsid w:val="00A02451"/>
    <w:rsid w:val="00A02B0C"/>
    <w:rsid w:val="00A02E54"/>
    <w:rsid w:val="00A03A58"/>
    <w:rsid w:val="00A03CF2"/>
    <w:rsid w:val="00A04016"/>
    <w:rsid w:val="00A0414F"/>
    <w:rsid w:val="00A04828"/>
    <w:rsid w:val="00A0514E"/>
    <w:rsid w:val="00A05418"/>
    <w:rsid w:val="00A05537"/>
    <w:rsid w:val="00A05A85"/>
    <w:rsid w:val="00A05AA8"/>
    <w:rsid w:val="00A05C6B"/>
    <w:rsid w:val="00A05EC0"/>
    <w:rsid w:val="00A05F95"/>
    <w:rsid w:val="00A0627E"/>
    <w:rsid w:val="00A0652C"/>
    <w:rsid w:val="00A069C5"/>
    <w:rsid w:val="00A06E72"/>
    <w:rsid w:val="00A072CD"/>
    <w:rsid w:val="00A07680"/>
    <w:rsid w:val="00A07CFD"/>
    <w:rsid w:val="00A105B9"/>
    <w:rsid w:val="00A10BDB"/>
    <w:rsid w:val="00A1122C"/>
    <w:rsid w:val="00A1186E"/>
    <w:rsid w:val="00A1194B"/>
    <w:rsid w:val="00A11C0B"/>
    <w:rsid w:val="00A11C3E"/>
    <w:rsid w:val="00A11DBE"/>
    <w:rsid w:val="00A12839"/>
    <w:rsid w:val="00A12F3E"/>
    <w:rsid w:val="00A132D4"/>
    <w:rsid w:val="00A13706"/>
    <w:rsid w:val="00A145B5"/>
    <w:rsid w:val="00A14AC2"/>
    <w:rsid w:val="00A16D16"/>
    <w:rsid w:val="00A17496"/>
    <w:rsid w:val="00A17AB0"/>
    <w:rsid w:val="00A17E11"/>
    <w:rsid w:val="00A2071B"/>
    <w:rsid w:val="00A20E89"/>
    <w:rsid w:val="00A213C3"/>
    <w:rsid w:val="00A2170A"/>
    <w:rsid w:val="00A217FD"/>
    <w:rsid w:val="00A21847"/>
    <w:rsid w:val="00A21999"/>
    <w:rsid w:val="00A2201E"/>
    <w:rsid w:val="00A2235E"/>
    <w:rsid w:val="00A22E6D"/>
    <w:rsid w:val="00A237EC"/>
    <w:rsid w:val="00A248C3"/>
    <w:rsid w:val="00A24B9A"/>
    <w:rsid w:val="00A24C7F"/>
    <w:rsid w:val="00A2524F"/>
    <w:rsid w:val="00A25255"/>
    <w:rsid w:val="00A256CF"/>
    <w:rsid w:val="00A25A10"/>
    <w:rsid w:val="00A25FEE"/>
    <w:rsid w:val="00A2625B"/>
    <w:rsid w:val="00A2660B"/>
    <w:rsid w:val="00A2695A"/>
    <w:rsid w:val="00A2773B"/>
    <w:rsid w:val="00A27A1F"/>
    <w:rsid w:val="00A300C8"/>
    <w:rsid w:val="00A30908"/>
    <w:rsid w:val="00A30E79"/>
    <w:rsid w:val="00A31BB4"/>
    <w:rsid w:val="00A32329"/>
    <w:rsid w:val="00A32456"/>
    <w:rsid w:val="00A32C68"/>
    <w:rsid w:val="00A34AD1"/>
    <w:rsid w:val="00A34B15"/>
    <w:rsid w:val="00A35085"/>
    <w:rsid w:val="00A356D8"/>
    <w:rsid w:val="00A36DEB"/>
    <w:rsid w:val="00A4050A"/>
    <w:rsid w:val="00A40552"/>
    <w:rsid w:val="00A41F19"/>
    <w:rsid w:val="00A42201"/>
    <w:rsid w:val="00A42E7A"/>
    <w:rsid w:val="00A43366"/>
    <w:rsid w:val="00A44A54"/>
    <w:rsid w:val="00A44B27"/>
    <w:rsid w:val="00A44D0C"/>
    <w:rsid w:val="00A459E8"/>
    <w:rsid w:val="00A461E3"/>
    <w:rsid w:val="00A46741"/>
    <w:rsid w:val="00A47969"/>
    <w:rsid w:val="00A47D78"/>
    <w:rsid w:val="00A50198"/>
    <w:rsid w:val="00A503AC"/>
    <w:rsid w:val="00A5085B"/>
    <w:rsid w:val="00A509E8"/>
    <w:rsid w:val="00A51069"/>
    <w:rsid w:val="00A5180E"/>
    <w:rsid w:val="00A525E7"/>
    <w:rsid w:val="00A53137"/>
    <w:rsid w:val="00A54732"/>
    <w:rsid w:val="00A547C1"/>
    <w:rsid w:val="00A5494D"/>
    <w:rsid w:val="00A54FA0"/>
    <w:rsid w:val="00A54FA9"/>
    <w:rsid w:val="00A56882"/>
    <w:rsid w:val="00A57C0E"/>
    <w:rsid w:val="00A60C37"/>
    <w:rsid w:val="00A618B1"/>
    <w:rsid w:val="00A61900"/>
    <w:rsid w:val="00A62774"/>
    <w:rsid w:val="00A62A58"/>
    <w:rsid w:val="00A62AF6"/>
    <w:rsid w:val="00A62D44"/>
    <w:rsid w:val="00A63003"/>
    <w:rsid w:val="00A63037"/>
    <w:rsid w:val="00A6345D"/>
    <w:rsid w:val="00A63D7D"/>
    <w:rsid w:val="00A643F4"/>
    <w:rsid w:val="00A64E2F"/>
    <w:rsid w:val="00A65269"/>
    <w:rsid w:val="00A6537F"/>
    <w:rsid w:val="00A654A3"/>
    <w:rsid w:val="00A656AD"/>
    <w:rsid w:val="00A6599C"/>
    <w:rsid w:val="00A66EBE"/>
    <w:rsid w:val="00A67010"/>
    <w:rsid w:val="00A678BB"/>
    <w:rsid w:val="00A67D5D"/>
    <w:rsid w:val="00A67DAC"/>
    <w:rsid w:val="00A6B884"/>
    <w:rsid w:val="00A70198"/>
    <w:rsid w:val="00A70B7E"/>
    <w:rsid w:val="00A71040"/>
    <w:rsid w:val="00A7122A"/>
    <w:rsid w:val="00A712B0"/>
    <w:rsid w:val="00A718E8"/>
    <w:rsid w:val="00A71F69"/>
    <w:rsid w:val="00A745CD"/>
    <w:rsid w:val="00A7464A"/>
    <w:rsid w:val="00A74E5D"/>
    <w:rsid w:val="00A755D5"/>
    <w:rsid w:val="00A7588A"/>
    <w:rsid w:val="00A75BEF"/>
    <w:rsid w:val="00A75C58"/>
    <w:rsid w:val="00A75D57"/>
    <w:rsid w:val="00A76500"/>
    <w:rsid w:val="00A77681"/>
    <w:rsid w:val="00A77CA5"/>
    <w:rsid w:val="00A77DE7"/>
    <w:rsid w:val="00A801CA"/>
    <w:rsid w:val="00A80959"/>
    <w:rsid w:val="00A80F76"/>
    <w:rsid w:val="00A8185B"/>
    <w:rsid w:val="00A83605"/>
    <w:rsid w:val="00A84104"/>
    <w:rsid w:val="00A8479E"/>
    <w:rsid w:val="00A84F0E"/>
    <w:rsid w:val="00A8602B"/>
    <w:rsid w:val="00A86616"/>
    <w:rsid w:val="00A86F29"/>
    <w:rsid w:val="00A874E5"/>
    <w:rsid w:val="00A879F3"/>
    <w:rsid w:val="00A90165"/>
    <w:rsid w:val="00A90536"/>
    <w:rsid w:val="00A907EA"/>
    <w:rsid w:val="00A91D43"/>
    <w:rsid w:val="00A92652"/>
    <w:rsid w:val="00A929BD"/>
    <w:rsid w:val="00A92BD0"/>
    <w:rsid w:val="00A92CBF"/>
    <w:rsid w:val="00A93EE0"/>
    <w:rsid w:val="00A950FD"/>
    <w:rsid w:val="00A95D0D"/>
    <w:rsid w:val="00A96F8E"/>
    <w:rsid w:val="00A97CC4"/>
    <w:rsid w:val="00A97E9D"/>
    <w:rsid w:val="00AA13D6"/>
    <w:rsid w:val="00AA1765"/>
    <w:rsid w:val="00AA180E"/>
    <w:rsid w:val="00AA2154"/>
    <w:rsid w:val="00AA257A"/>
    <w:rsid w:val="00AA2DF4"/>
    <w:rsid w:val="00AA33B7"/>
    <w:rsid w:val="00AA3782"/>
    <w:rsid w:val="00AA4D55"/>
    <w:rsid w:val="00AA557D"/>
    <w:rsid w:val="00AA5747"/>
    <w:rsid w:val="00AA63FB"/>
    <w:rsid w:val="00AA6F93"/>
    <w:rsid w:val="00AA718D"/>
    <w:rsid w:val="00AA71DF"/>
    <w:rsid w:val="00AA78C9"/>
    <w:rsid w:val="00AA78F4"/>
    <w:rsid w:val="00AB0753"/>
    <w:rsid w:val="00AB07AD"/>
    <w:rsid w:val="00AB0937"/>
    <w:rsid w:val="00AB11C1"/>
    <w:rsid w:val="00AB158C"/>
    <w:rsid w:val="00AB2285"/>
    <w:rsid w:val="00AB308B"/>
    <w:rsid w:val="00AB316F"/>
    <w:rsid w:val="00AB33FE"/>
    <w:rsid w:val="00AB3622"/>
    <w:rsid w:val="00AB3706"/>
    <w:rsid w:val="00AB4604"/>
    <w:rsid w:val="00AB4AA9"/>
    <w:rsid w:val="00AB4BBF"/>
    <w:rsid w:val="00AB52A4"/>
    <w:rsid w:val="00AB5521"/>
    <w:rsid w:val="00AB58A0"/>
    <w:rsid w:val="00AB6D5B"/>
    <w:rsid w:val="00AB6F4E"/>
    <w:rsid w:val="00AB74E5"/>
    <w:rsid w:val="00AB7696"/>
    <w:rsid w:val="00AC01C5"/>
    <w:rsid w:val="00AC0698"/>
    <w:rsid w:val="00AC08D0"/>
    <w:rsid w:val="00AC0F8B"/>
    <w:rsid w:val="00AC11A5"/>
    <w:rsid w:val="00AC14AB"/>
    <w:rsid w:val="00AC1D6F"/>
    <w:rsid w:val="00AC20E6"/>
    <w:rsid w:val="00AC23CC"/>
    <w:rsid w:val="00AC384C"/>
    <w:rsid w:val="00AC396D"/>
    <w:rsid w:val="00AC4DEF"/>
    <w:rsid w:val="00AC5317"/>
    <w:rsid w:val="00AC6084"/>
    <w:rsid w:val="00AC6C8D"/>
    <w:rsid w:val="00AC72E1"/>
    <w:rsid w:val="00AC78A6"/>
    <w:rsid w:val="00AD0BFF"/>
    <w:rsid w:val="00AD1253"/>
    <w:rsid w:val="00AD14D8"/>
    <w:rsid w:val="00AD22C5"/>
    <w:rsid w:val="00AD2530"/>
    <w:rsid w:val="00AD2894"/>
    <w:rsid w:val="00AD2DAE"/>
    <w:rsid w:val="00AD2F94"/>
    <w:rsid w:val="00AD32E6"/>
    <w:rsid w:val="00AD3550"/>
    <w:rsid w:val="00AD3DAF"/>
    <w:rsid w:val="00AD4128"/>
    <w:rsid w:val="00AD4517"/>
    <w:rsid w:val="00AD50F1"/>
    <w:rsid w:val="00AD752B"/>
    <w:rsid w:val="00AD76AD"/>
    <w:rsid w:val="00AE0437"/>
    <w:rsid w:val="00AE04D1"/>
    <w:rsid w:val="00AE0AFE"/>
    <w:rsid w:val="00AE0B36"/>
    <w:rsid w:val="00AE1512"/>
    <w:rsid w:val="00AE18E5"/>
    <w:rsid w:val="00AE25BF"/>
    <w:rsid w:val="00AE31B7"/>
    <w:rsid w:val="00AE3255"/>
    <w:rsid w:val="00AE4334"/>
    <w:rsid w:val="00AE4638"/>
    <w:rsid w:val="00AE4FF6"/>
    <w:rsid w:val="00AE52C4"/>
    <w:rsid w:val="00AE609B"/>
    <w:rsid w:val="00AE6392"/>
    <w:rsid w:val="00AE641B"/>
    <w:rsid w:val="00AE680C"/>
    <w:rsid w:val="00AE68DD"/>
    <w:rsid w:val="00AE6944"/>
    <w:rsid w:val="00AE73A9"/>
    <w:rsid w:val="00AE7810"/>
    <w:rsid w:val="00AE791B"/>
    <w:rsid w:val="00AE7DA5"/>
    <w:rsid w:val="00AF056C"/>
    <w:rsid w:val="00AF1ED0"/>
    <w:rsid w:val="00AF1FFA"/>
    <w:rsid w:val="00AF20CF"/>
    <w:rsid w:val="00AF2373"/>
    <w:rsid w:val="00AF2597"/>
    <w:rsid w:val="00AF2751"/>
    <w:rsid w:val="00AF2A11"/>
    <w:rsid w:val="00AF2A45"/>
    <w:rsid w:val="00AF3651"/>
    <w:rsid w:val="00AF370D"/>
    <w:rsid w:val="00AF3837"/>
    <w:rsid w:val="00AF49F7"/>
    <w:rsid w:val="00AF5414"/>
    <w:rsid w:val="00AF5A6E"/>
    <w:rsid w:val="00AF5F11"/>
    <w:rsid w:val="00AF7285"/>
    <w:rsid w:val="00B00693"/>
    <w:rsid w:val="00B00998"/>
    <w:rsid w:val="00B01283"/>
    <w:rsid w:val="00B01425"/>
    <w:rsid w:val="00B018EC"/>
    <w:rsid w:val="00B01E00"/>
    <w:rsid w:val="00B02C34"/>
    <w:rsid w:val="00B0338A"/>
    <w:rsid w:val="00B03396"/>
    <w:rsid w:val="00B04B8B"/>
    <w:rsid w:val="00B04CFE"/>
    <w:rsid w:val="00B05789"/>
    <w:rsid w:val="00B05AB8"/>
    <w:rsid w:val="00B05B31"/>
    <w:rsid w:val="00B05F25"/>
    <w:rsid w:val="00B06046"/>
    <w:rsid w:val="00B063C1"/>
    <w:rsid w:val="00B06671"/>
    <w:rsid w:val="00B067E5"/>
    <w:rsid w:val="00B069AA"/>
    <w:rsid w:val="00B06A65"/>
    <w:rsid w:val="00B10356"/>
    <w:rsid w:val="00B10567"/>
    <w:rsid w:val="00B1091A"/>
    <w:rsid w:val="00B10E77"/>
    <w:rsid w:val="00B11177"/>
    <w:rsid w:val="00B1291F"/>
    <w:rsid w:val="00B13448"/>
    <w:rsid w:val="00B138A7"/>
    <w:rsid w:val="00B1409F"/>
    <w:rsid w:val="00B156D0"/>
    <w:rsid w:val="00B15B05"/>
    <w:rsid w:val="00B15FF6"/>
    <w:rsid w:val="00B1613B"/>
    <w:rsid w:val="00B16691"/>
    <w:rsid w:val="00B16AE1"/>
    <w:rsid w:val="00B16CF8"/>
    <w:rsid w:val="00B16DCF"/>
    <w:rsid w:val="00B16F42"/>
    <w:rsid w:val="00B1791F"/>
    <w:rsid w:val="00B179D0"/>
    <w:rsid w:val="00B17B03"/>
    <w:rsid w:val="00B17C95"/>
    <w:rsid w:val="00B20D2A"/>
    <w:rsid w:val="00B20D5A"/>
    <w:rsid w:val="00B21A6B"/>
    <w:rsid w:val="00B21D49"/>
    <w:rsid w:val="00B22060"/>
    <w:rsid w:val="00B229A8"/>
    <w:rsid w:val="00B23334"/>
    <w:rsid w:val="00B23823"/>
    <w:rsid w:val="00B23D32"/>
    <w:rsid w:val="00B24594"/>
    <w:rsid w:val="00B24A57"/>
    <w:rsid w:val="00B250A9"/>
    <w:rsid w:val="00B258A9"/>
    <w:rsid w:val="00B25A0C"/>
    <w:rsid w:val="00B25C5E"/>
    <w:rsid w:val="00B26054"/>
    <w:rsid w:val="00B27650"/>
    <w:rsid w:val="00B277D5"/>
    <w:rsid w:val="00B2782D"/>
    <w:rsid w:val="00B3041C"/>
    <w:rsid w:val="00B30C93"/>
    <w:rsid w:val="00B31A88"/>
    <w:rsid w:val="00B32146"/>
    <w:rsid w:val="00B32BC5"/>
    <w:rsid w:val="00B32E22"/>
    <w:rsid w:val="00B331C8"/>
    <w:rsid w:val="00B3344C"/>
    <w:rsid w:val="00B343B1"/>
    <w:rsid w:val="00B34EB5"/>
    <w:rsid w:val="00B352A6"/>
    <w:rsid w:val="00B35721"/>
    <w:rsid w:val="00B3590A"/>
    <w:rsid w:val="00B36219"/>
    <w:rsid w:val="00B36477"/>
    <w:rsid w:val="00B36D62"/>
    <w:rsid w:val="00B3765D"/>
    <w:rsid w:val="00B376F8"/>
    <w:rsid w:val="00B37988"/>
    <w:rsid w:val="00B40321"/>
    <w:rsid w:val="00B404A3"/>
    <w:rsid w:val="00B4055B"/>
    <w:rsid w:val="00B40B64"/>
    <w:rsid w:val="00B40DE3"/>
    <w:rsid w:val="00B40F6F"/>
    <w:rsid w:val="00B410C4"/>
    <w:rsid w:val="00B41629"/>
    <w:rsid w:val="00B419C4"/>
    <w:rsid w:val="00B41BAB"/>
    <w:rsid w:val="00B423E0"/>
    <w:rsid w:val="00B425D1"/>
    <w:rsid w:val="00B432F1"/>
    <w:rsid w:val="00B43D6B"/>
    <w:rsid w:val="00B4404E"/>
    <w:rsid w:val="00B4439F"/>
    <w:rsid w:val="00B448EA"/>
    <w:rsid w:val="00B45D4F"/>
    <w:rsid w:val="00B45DC7"/>
    <w:rsid w:val="00B45F81"/>
    <w:rsid w:val="00B4619C"/>
    <w:rsid w:val="00B469BE"/>
    <w:rsid w:val="00B4765D"/>
    <w:rsid w:val="00B47A9E"/>
    <w:rsid w:val="00B47B85"/>
    <w:rsid w:val="00B50AEB"/>
    <w:rsid w:val="00B51314"/>
    <w:rsid w:val="00B5184F"/>
    <w:rsid w:val="00B51863"/>
    <w:rsid w:val="00B5190E"/>
    <w:rsid w:val="00B51A1F"/>
    <w:rsid w:val="00B52230"/>
    <w:rsid w:val="00B526FB"/>
    <w:rsid w:val="00B53327"/>
    <w:rsid w:val="00B53B55"/>
    <w:rsid w:val="00B54414"/>
    <w:rsid w:val="00B555B1"/>
    <w:rsid w:val="00B569E2"/>
    <w:rsid w:val="00B5771A"/>
    <w:rsid w:val="00B578FF"/>
    <w:rsid w:val="00B6002F"/>
    <w:rsid w:val="00B60322"/>
    <w:rsid w:val="00B60C14"/>
    <w:rsid w:val="00B61111"/>
    <w:rsid w:val="00B61243"/>
    <w:rsid w:val="00B62286"/>
    <w:rsid w:val="00B62470"/>
    <w:rsid w:val="00B627A3"/>
    <w:rsid w:val="00B63E5C"/>
    <w:rsid w:val="00B65432"/>
    <w:rsid w:val="00B65BE3"/>
    <w:rsid w:val="00B66407"/>
    <w:rsid w:val="00B67C76"/>
    <w:rsid w:val="00B70CF1"/>
    <w:rsid w:val="00B70F83"/>
    <w:rsid w:val="00B71661"/>
    <w:rsid w:val="00B71A4D"/>
    <w:rsid w:val="00B7210D"/>
    <w:rsid w:val="00B7255D"/>
    <w:rsid w:val="00B72D7C"/>
    <w:rsid w:val="00B7350C"/>
    <w:rsid w:val="00B74143"/>
    <w:rsid w:val="00B74317"/>
    <w:rsid w:val="00B746D9"/>
    <w:rsid w:val="00B75061"/>
    <w:rsid w:val="00B75B19"/>
    <w:rsid w:val="00B75FD7"/>
    <w:rsid w:val="00B7615F"/>
    <w:rsid w:val="00B764CF"/>
    <w:rsid w:val="00B767E9"/>
    <w:rsid w:val="00B76DD8"/>
    <w:rsid w:val="00B7700B"/>
    <w:rsid w:val="00B77C3F"/>
    <w:rsid w:val="00B77EF4"/>
    <w:rsid w:val="00B8002C"/>
    <w:rsid w:val="00B82C3D"/>
    <w:rsid w:val="00B835FF"/>
    <w:rsid w:val="00B83A04"/>
    <w:rsid w:val="00B83B18"/>
    <w:rsid w:val="00B843A7"/>
    <w:rsid w:val="00B85191"/>
    <w:rsid w:val="00B8535D"/>
    <w:rsid w:val="00B86209"/>
    <w:rsid w:val="00B86F84"/>
    <w:rsid w:val="00B8744A"/>
    <w:rsid w:val="00B874DC"/>
    <w:rsid w:val="00B9004A"/>
    <w:rsid w:val="00B90814"/>
    <w:rsid w:val="00B90815"/>
    <w:rsid w:val="00B90F84"/>
    <w:rsid w:val="00B910E4"/>
    <w:rsid w:val="00B92739"/>
    <w:rsid w:val="00B9275A"/>
    <w:rsid w:val="00B92B76"/>
    <w:rsid w:val="00B92F0E"/>
    <w:rsid w:val="00B93295"/>
    <w:rsid w:val="00B935FD"/>
    <w:rsid w:val="00B93DE2"/>
    <w:rsid w:val="00B94706"/>
    <w:rsid w:val="00B94CB3"/>
    <w:rsid w:val="00B95007"/>
    <w:rsid w:val="00B95228"/>
    <w:rsid w:val="00B96D00"/>
    <w:rsid w:val="00B96E8C"/>
    <w:rsid w:val="00B97567"/>
    <w:rsid w:val="00B97B13"/>
    <w:rsid w:val="00B97B71"/>
    <w:rsid w:val="00B97FD6"/>
    <w:rsid w:val="00BA047E"/>
    <w:rsid w:val="00BA0606"/>
    <w:rsid w:val="00BA0C09"/>
    <w:rsid w:val="00BA16C7"/>
    <w:rsid w:val="00BA22A3"/>
    <w:rsid w:val="00BA326C"/>
    <w:rsid w:val="00BA3A6C"/>
    <w:rsid w:val="00BA3B26"/>
    <w:rsid w:val="00BA439F"/>
    <w:rsid w:val="00BA4443"/>
    <w:rsid w:val="00BA4503"/>
    <w:rsid w:val="00BA4B97"/>
    <w:rsid w:val="00BA505A"/>
    <w:rsid w:val="00BA5A4F"/>
    <w:rsid w:val="00BA719A"/>
    <w:rsid w:val="00BA71C0"/>
    <w:rsid w:val="00BA886B"/>
    <w:rsid w:val="00BB008B"/>
    <w:rsid w:val="00BB051A"/>
    <w:rsid w:val="00BB09A9"/>
    <w:rsid w:val="00BB0BD3"/>
    <w:rsid w:val="00BB0E42"/>
    <w:rsid w:val="00BB14C2"/>
    <w:rsid w:val="00BB1765"/>
    <w:rsid w:val="00BB2646"/>
    <w:rsid w:val="00BB2673"/>
    <w:rsid w:val="00BB3232"/>
    <w:rsid w:val="00BB3317"/>
    <w:rsid w:val="00BB33BD"/>
    <w:rsid w:val="00BB340D"/>
    <w:rsid w:val="00BB3C0F"/>
    <w:rsid w:val="00BB3ECF"/>
    <w:rsid w:val="00BB477E"/>
    <w:rsid w:val="00BB4959"/>
    <w:rsid w:val="00BB4A55"/>
    <w:rsid w:val="00BB4B8F"/>
    <w:rsid w:val="00BB4FF2"/>
    <w:rsid w:val="00BB59D9"/>
    <w:rsid w:val="00BB5FAA"/>
    <w:rsid w:val="00BB660B"/>
    <w:rsid w:val="00BB703D"/>
    <w:rsid w:val="00BB709F"/>
    <w:rsid w:val="00BB7533"/>
    <w:rsid w:val="00BC05B1"/>
    <w:rsid w:val="00BC070F"/>
    <w:rsid w:val="00BC094F"/>
    <w:rsid w:val="00BC140B"/>
    <w:rsid w:val="00BC2292"/>
    <w:rsid w:val="00BC2A41"/>
    <w:rsid w:val="00BC2C42"/>
    <w:rsid w:val="00BC4467"/>
    <w:rsid w:val="00BC4FA8"/>
    <w:rsid w:val="00BC51B8"/>
    <w:rsid w:val="00BC541C"/>
    <w:rsid w:val="00BC5483"/>
    <w:rsid w:val="00BC5958"/>
    <w:rsid w:val="00BC6A45"/>
    <w:rsid w:val="00BC6B77"/>
    <w:rsid w:val="00BC7926"/>
    <w:rsid w:val="00BD06D6"/>
    <w:rsid w:val="00BD0923"/>
    <w:rsid w:val="00BD0977"/>
    <w:rsid w:val="00BD16A7"/>
    <w:rsid w:val="00BD1845"/>
    <w:rsid w:val="00BD1903"/>
    <w:rsid w:val="00BD1CBC"/>
    <w:rsid w:val="00BD277E"/>
    <w:rsid w:val="00BD33A9"/>
    <w:rsid w:val="00BD3921"/>
    <w:rsid w:val="00BD405D"/>
    <w:rsid w:val="00BD4780"/>
    <w:rsid w:val="00BD546D"/>
    <w:rsid w:val="00BD58C7"/>
    <w:rsid w:val="00BD5B2B"/>
    <w:rsid w:val="00BD5DE7"/>
    <w:rsid w:val="00BD7197"/>
    <w:rsid w:val="00BD7791"/>
    <w:rsid w:val="00BD7A82"/>
    <w:rsid w:val="00BD7ABA"/>
    <w:rsid w:val="00BD7C17"/>
    <w:rsid w:val="00BD7E2A"/>
    <w:rsid w:val="00BE05D8"/>
    <w:rsid w:val="00BE1487"/>
    <w:rsid w:val="00BE15DA"/>
    <w:rsid w:val="00BE17A0"/>
    <w:rsid w:val="00BE20AE"/>
    <w:rsid w:val="00BE254D"/>
    <w:rsid w:val="00BE3322"/>
    <w:rsid w:val="00BE4072"/>
    <w:rsid w:val="00BE5BBB"/>
    <w:rsid w:val="00BE6853"/>
    <w:rsid w:val="00BE6B38"/>
    <w:rsid w:val="00BE6B50"/>
    <w:rsid w:val="00BE73EF"/>
    <w:rsid w:val="00BE77A2"/>
    <w:rsid w:val="00BF067A"/>
    <w:rsid w:val="00BF12A6"/>
    <w:rsid w:val="00BF139C"/>
    <w:rsid w:val="00BF15A5"/>
    <w:rsid w:val="00BF1B44"/>
    <w:rsid w:val="00BF1FE2"/>
    <w:rsid w:val="00BF2A8F"/>
    <w:rsid w:val="00BF325F"/>
    <w:rsid w:val="00BF3C3D"/>
    <w:rsid w:val="00BF4F7B"/>
    <w:rsid w:val="00BF548E"/>
    <w:rsid w:val="00BF5540"/>
    <w:rsid w:val="00BF5A99"/>
    <w:rsid w:val="00BF5F95"/>
    <w:rsid w:val="00BF633B"/>
    <w:rsid w:val="00BF717E"/>
    <w:rsid w:val="00BF77CB"/>
    <w:rsid w:val="00BF7934"/>
    <w:rsid w:val="00C0003B"/>
    <w:rsid w:val="00C005B3"/>
    <w:rsid w:val="00C00E1A"/>
    <w:rsid w:val="00C01C4B"/>
    <w:rsid w:val="00C02189"/>
    <w:rsid w:val="00C02966"/>
    <w:rsid w:val="00C030BD"/>
    <w:rsid w:val="00C032DD"/>
    <w:rsid w:val="00C049BC"/>
    <w:rsid w:val="00C04A2D"/>
    <w:rsid w:val="00C053DE"/>
    <w:rsid w:val="00C0662A"/>
    <w:rsid w:val="00C06C1C"/>
    <w:rsid w:val="00C06E88"/>
    <w:rsid w:val="00C07126"/>
    <w:rsid w:val="00C074A3"/>
    <w:rsid w:val="00C07A1F"/>
    <w:rsid w:val="00C07B41"/>
    <w:rsid w:val="00C102C9"/>
    <w:rsid w:val="00C11066"/>
    <w:rsid w:val="00C1224A"/>
    <w:rsid w:val="00C12714"/>
    <w:rsid w:val="00C13A5F"/>
    <w:rsid w:val="00C14652"/>
    <w:rsid w:val="00C1481E"/>
    <w:rsid w:val="00C1498D"/>
    <w:rsid w:val="00C15916"/>
    <w:rsid w:val="00C15A6E"/>
    <w:rsid w:val="00C16875"/>
    <w:rsid w:val="00C16C06"/>
    <w:rsid w:val="00C17545"/>
    <w:rsid w:val="00C17640"/>
    <w:rsid w:val="00C2082D"/>
    <w:rsid w:val="00C21282"/>
    <w:rsid w:val="00C214B6"/>
    <w:rsid w:val="00C220BF"/>
    <w:rsid w:val="00C22486"/>
    <w:rsid w:val="00C22823"/>
    <w:rsid w:val="00C22C27"/>
    <w:rsid w:val="00C23B4D"/>
    <w:rsid w:val="00C23D33"/>
    <w:rsid w:val="00C25438"/>
    <w:rsid w:val="00C25A0D"/>
    <w:rsid w:val="00C25B02"/>
    <w:rsid w:val="00C264D4"/>
    <w:rsid w:val="00C27679"/>
    <w:rsid w:val="00C279F9"/>
    <w:rsid w:val="00C27D1F"/>
    <w:rsid w:val="00C309F4"/>
    <w:rsid w:val="00C30DA9"/>
    <w:rsid w:val="00C31B80"/>
    <w:rsid w:val="00C31E6E"/>
    <w:rsid w:val="00C321F8"/>
    <w:rsid w:val="00C3230A"/>
    <w:rsid w:val="00C323ED"/>
    <w:rsid w:val="00C32538"/>
    <w:rsid w:val="00C329C6"/>
    <w:rsid w:val="00C33840"/>
    <w:rsid w:val="00C33E4A"/>
    <w:rsid w:val="00C34350"/>
    <w:rsid w:val="00C3466F"/>
    <w:rsid w:val="00C34E5E"/>
    <w:rsid w:val="00C35613"/>
    <w:rsid w:val="00C358DF"/>
    <w:rsid w:val="00C35B4A"/>
    <w:rsid w:val="00C35B82"/>
    <w:rsid w:val="00C36B34"/>
    <w:rsid w:val="00C37AA4"/>
    <w:rsid w:val="00C40227"/>
    <w:rsid w:val="00C4134A"/>
    <w:rsid w:val="00C4162B"/>
    <w:rsid w:val="00C41AED"/>
    <w:rsid w:val="00C41B17"/>
    <w:rsid w:val="00C42179"/>
    <w:rsid w:val="00C42B01"/>
    <w:rsid w:val="00C430E2"/>
    <w:rsid w:val="00C4359E"/>
    <w:rsid w:val="00C436C8"/>
    <w:rsid w:val="00C4376D"/>
    <w:rsid w:val="00C4393B"/>
    <w:rsid w:val="00C43C86"/>
    <w:rsid w:val="00C45573"/>
    <w:rsid w:val="00C455F1"/>
    <w:rsid w:val="00C467CC"/>
    <w:rsid w:val="00C467FE"/>
    <w:rsid w:val="00C471F3"/>
    <w:rsid w:val="00C5020B"/>
    <w:rsid w:val="00C503E2"/>
    <w:rsid w:val="00C514B8"/>
    <w:rsid w:val="00C518E1"/>
    <w:rsid w:val="00C51C84"/>
    <w:rsid w:val="00C522FC"/>
    <w:rsid w:val="00C529C9"/>
    <w:rsid w:val="00C53163"/>
    <w:rsid w:val="00C53C5A"/>
    <w:rsid w:val="00C53D70"/>
    <w:rsid w:val="00C542E6"/>
    <w:rsid w:val="00C54643"/>
    <w:rsid w:val="00C54D89"/>
    <w:rsid w:val="00C550EC"/>
    <w:rsid w:val="00C55ACF"/>
    <w:rsid w:val="00C55B36"/>
    <w:rsid w:val="00C560E6"/>
    <w:rsid w:val="00C5639A"/>
    <w:rsid w:val="00C5652C"/>
    <w:rsid w:val="00C56A6F"/>
    <w:rsid w:val="00C56B01"/>
    <w:rsid w:val="00C57515"/>
    <w:rsid w:val="00C61E86"/>
    <w:rsid w:val="00C62588"/>
    <w:rsid w:val="00C6273E"/>
    <w:rsid w:val="00C63731"/>
    <w:rsid w:val="00C63C3F"/>
    <w:rsid w:val="00C6499F"/>
    <w:rsid w:val="00C64A62"/>
    <w:rsid w:val="00C64F13"/>
    <w:rsid w:val="00C650A7"/>
    <w:rsid w:val="00C65118"/>
    <w:rsid w:val="00C651CD"/>
    <w:rsid w:val="00C652B2"/>
    <w:rsid w:val="00C658B8"/>
    <w:rsid w:val="00C66A12"/>
    <w:rsid w:val="00C66E28"/>
    <w:rsid w:val="00C67FEB"/>
    <w:rsid w:val="00C70074"/>
    <w:rsid w:val="00C707F5"/>
    <w:rsid w:val="00C7091D"/>
    <w:rsid w:val="00C7126F"/>
    <w:rsid w:val="00C71401"/>
    <w:rsid w:val="00C72123"/>
    <w:rsid w:val="00C72700"/>
    <w:rsid w:val="00C7289D"/>
    <w:rsid w:val="00C73F5A"/>
    <w:rsid w:val="00C7497E"/>
    <w:rsid w:val="00C74C70"/>
    <w:rsid w:val="00C7558B"/>
    <w:rsid w:val="00C75901"/>
    <w:rsid w:val="00C775F8"/>
    <w:rsid w:val="00C77A10"/>
    <w:rsid w:val="00C77DA9"/>
    <w:rsid w:val="00C801C8"/>
    <w:rsid w:val="00C802EB"/>
    <w:rsid w:val="00C816A3"/>
    <w:rsid w:val="00C816F8"/>
    <w:rsid w:val="00C81F78"/>
    <w:rsid w:val="00C823C2"/>
    <w:rsid w:val="00C82704"/>
    <w:rsid w:val="00C830CF"/>
    <w:rsid w:val="00C83380"/>
    <w:rsid w:val="00C834A8"/>
    <w:rsid w:val="00C8545F"/>
    <w:rsid w:val="00C856B6"/>
    <w:rsid w:val="00C86EF4"/>
    <w:rsid w:val="00C87792"/>
    <w:rsid w:val="00C87E39"/>
    <w:rsid w:val="00C8BB4A"/>
    <w:rsid w:val="00C910F2"/>
    <w:rsid w:val="00C912D5"/>
    <w:rsid w:val="00C918BC"/>
    <w:rsid w:val="00C918E4"/>
    <w:rsid w:val="00C92057"/>
    <w:rsid w:val="00C92477"/>
    <w:rsid w:val="00C92A1E"/>
    <w:rsid w:val="00C939E9"/>
    <w:rsid w:val="00C949B2"/>
    <w:rsid w:val="00C94FC5"/>
    <w:rsid w:val="00C95ECD"/>
    <w:rsid w:val="00C961B1"/>
    <w:rsid w:val="00C9628F"/>
    <w:rsid w:val="00C965AA"/>
    <w:rsid w:val="00C96C02"/>
    <w:rsid w:val="00C96FAA"/>
    <w:rsid w:val="00C9754B"/>
    <w:rsid w:val="00CA02FD"/>
    <w:rsid w:val="00CA08CD"/>
    <w:rsid w:val="00CA09D8"/>
    <w:rsid w:val="00CA1A6E"/>
    <w:rsid w:val="00CA3213"/>
    <w:rsid w:val="00CA45EC"/>
    <w:rsid w:val="00CA4A33"/>
    <w:rsid w:val="00CA4A38"/>
    <w:rsid w:val="00CA5BE7"/>
    <w:rsid w:val="00CA605E"/>
    <w:rsid w:val="00CA6589"/>
    <w:rsid w:val="00CA6C05"/>
    <w:rsid w:val="00CA6D11"/>
    <w:rsid w:val="00CA70DA"/>
    <w:rsid w:val="00CA7E76"/>
    <w:rsid w:val="00CB018D"/>
    <w:rsid w:val="00CB0FE4"/>
    <w:rsid w:val="00CB12AB"/>
    <w:rsid w:val="00CB1691"/>
    <w:rsid w:val="00CB17FD"/>
    <w:rsid w:val="00CB1B9F"/>
    <w:rsid w:val="00CB2873"/>
    <w:rsid w:val="00CB2B7A"/>
    <w:rsid w:val="00CB2D92"/>
    <w:rsid w:val="00CB30C8"/>
    <w:rsid w:val="00CB30D1"/>
    <w:rsid w:val="00CB33D6"/>
    <w:rsid w:val="00CB3483"/>
    <w:rsid w:val="00CB4ACE"/>
    <w:rsid w:val="00CB6471"/>
    <w:rsid w:val="00CC0149"/>
    <w:rsid w:val="00CC04C4"/>
    <w:rsid w:val="00CC06AC"/>
    <w:rsid w:val="00CC07E7"/>
    <w:rsid w:val="00CC1102"/>
    <w:rsid w:val="00CC224E"/>
    <w:rsid w:val="00CC29F3"/>
    <w:rsid w:val="00CC36CE"/>
    <w:rsid w:val="00CC3B1B"/>
    <w:rsid w:val="00CC4A01"/>
    <w:rsid w:val="00CC5204"/>
    <w:rsid w:val="00CC789E"/>
    <w:rsid w:val="00CD09A3"/>
    <w:rsid w:val="00CD09DB"/>
    <w:rsid w:val="00CD1022"/>
    <w:rsid w:val="00CD1447"/>
    <w:rsid w:val="00CD1CE9"/>
    <w:rsid w:val="00CD1D16"/>
    <w:rsid w:val="00CD1EBC"/>
    <w:rsid w:val="00CD2014"/>
    <w:rsid w:val="00CD2E71"/>
    <w:rsid w:val="00CD3384"/>
    <w:rsid w:val="00CD35C3"/>
    <w:rsid w:val="00CD3BC1"/>
    <w:rsid w:val="00CD5346"/>
    <w:rsid w:val="00CD572D"/>
    <w:rsid w:val="00CD6DC6"/>
    <w:rsid w:val="00CE05BE"/>
    <w:rsid w:val="00CE08B5"/>
    <w:rsid w:val="00CE0A80"/>
    <w:rsid w:val="00CE0FAE"/>
    <w:rsid w:val="00CE1133"/>
    <w:rsid w:val="00CE16B1"/>
    <w:rsid w:val="00CE1C67"/>
    <w:rsid w:val="00CE211B"/>
    <w:rsid w:val="00CE2883"/>
    <w:rsid w:val="00CE28A4"/>
    <w:rsid w:val="00CE3704"/>
    <w:rsid w:val="00CE371A"/>
    <w:rsid w:val="00CE39A4"/>
    <w:rsid w:val="00CE5295"/>
    <w:rsid w:val="00CE6382"/>
    <w:rsid w:val="00CE68A4"/>
    <w:rsid w:val="00CE6B27"/>
    <w:rsid w:val="00CE7CC3"/>
    <w:rsid w:val="00CE7CD4"/>
    <w:rsid w:val="00CF030F"/>
    <w:rsid w:val="00CF04FE"/>
    <w:rsid w:val="00CF0FE0"/>
    <w:rsid w:val="00CF12F8"/>
    <w:rsid w:val="00CF165D"/>
    <w:rsid w:val="00CF2784"/>
    <w:rsid w:val="00CF285E"/>
    <w:rsid w:val="00CF3C00"/>
    <w:rsid w:val="00CF3C92"/>
    <w:rsid w:val="00CF3DD5"/>
    <w:rsid w:val="00CF4838"/>
    <w:rsid w:val="00CF4D05"/>
    <w:rsid w:val="00CF50C8"/>
    <w:rsid w:val="00CF52EA"/>
    <w:rsid w:val="00CF5663"/>
    <w:rsid w:val="00CF5996"/>
    <w:rsid w:val="00CF5AEE"/>
    <w:rsid w:val="00CF5CA8"/>
    <w:rsid w:val="00CF6B96"/>
    <w:rsid w:val="00CF7D16"/>
    <w:rsid w:val="00CF7DC8"/>
    <w:rsid w:val="00D0017D"/>
    <w:rsid w:val="00D005C2"/>
    <w:rsid w:val="00D009F1"/>
    <w:rsid w:val="00D0183B"/>
    <w:rsid w:val="00D01AF1"/>
    <w:rsid w:val="00D024B7"/>
    <w:rsid w:val="00D026C4"/>
    <w:rsid w:val="00D02A4D"/>
    <w:rsid w:val="00D0302B"/>
    <w:rsid w:val="00D038AE"/>
    <w:rsid w:val="00D03B5E"/>
    <w:rsid w:val="00D04C37"/>
    <w:rsid w:val="00D058DE"/>
    <w:rsid w:val="00D06264"/>
    <w:rsid w:val="00D065F0"/>
    <w:rsid w:val="00D0682E"/>
    <w:rsid w:val="00D07289"/>
    <w:rsid w:val="00D077AB"/>
    <w:rsid w:val="00D10077"/>
    <w:rsid w:val="00D10104"/>
    <w:rsid w:val="00D10982"/>
    <w:rsid w:val="00D109E9"/>
    <w:rsid w:val="00D10DF2"/>
    <w:rsid w:val="00D10F84"/>
    <w:rsid w:val="00D110E6"/>
    <w:rsid w:val="00D11619"/>
    <w:rsid w:val="00D12378"/>
    <w:rsid w:val="00D128ED"/>
    <w:rsid w:val="00D12DC1"/>
    <w:rsid w:val="00D13378"/>
    <w:rsid w:val="00D13B3D"/>
    <w:rsid w:val="00D13BA5"/>
    <w:rsid w:val="00D13EFC"/>
    <w:rsid w:val="00D1422E"/>
    <w:rsid w:val="00D156F4"/>
    <w:rsid w:val="00D15C11"/>
    <w:rsid w:val="00D15E00"/>
    <w:rsid w:val="00D15E25"/>
    <w:rsid w:val="00D16297"/>
    <w:rsid w:val="00D164A6"/>
    <w:rsid w:val="00D1661F"/>
    <w:rsid w:val="00D16B49"/>
    <w:rsid w:val="00D17099"/>
    <w:rsid w:val="00D17246"/>
    <w:rsid w:val="00D200E8"/>
    <w:rsid w:val="00D2081D"/>
    <w:rsid w:val="00D20E7E"/>
    <w:rsid w:val="00D20FE8"/>
    <w:rsid w:val="00D2115C"/>
    <w:rsid w:val="00D21574"/>
    <w:rsid w:val="00D21D4D"/>
    <w:rsid w:val="00D22860"/>
    <w:rsid w:val="00D22BEF"/>
    <w:rsid w:val="00D23170"/>
    <w:rsid w:val="00D23A49"/>
    <w:rsid w:val="00D24856"/>
    <w:rsid w:val="00D25826"/>
    <w:rsid w:val="00D25D89"/>
    <w:rsid w:val="00D263D7"/>
    <w:rsid w:val="00D2677D"/>
    <w:rsid w:val="00D273A7"/>
    <w:rsid w:val="00D275E0"/>
    <w:rsid w:val="00D27789"/>
    <w:rsid w:val="00D277B8"/>
    <w:rsid w:val="00D27A7D"/>
    <w:rsid w:val="00D30238"/>
    <w:rsid w:val="00D30A21"/>
    <w:rsid w:val="00D30E52"/>
    <w:rsid w:val="00D30F9F"/>
    <w:rsid w:val="00D31246"/>
    <w:rsid w:val="00D323AA"/>
    <w:rsid w:val="00D32999"/>
    <w:rsid w:val="00D3377C"/>
    <w:rsid w:val="00D33BF4"/>
    <w:rsid w:val="00D34A7A"/>
    <w:rsid w:val="00D36414"/>
    <w:rsid w:val="00D3736B"/>
    <w:rsid w:val="00D404AC"/>
    <w:rsid w:val="00D41C94"/>
    <w:rsid w:val="00D4218C"/>
    <w:rsid w:val="00D421B8"/>
    <w:rsid w:val="00D42678"/>
    <w:rsid w:val="00D42708"/>
    <w:rsid w:val="00D42D6F"/>
    <w:rsid w:val="00D45DD8"/>
    <w:rsid w:val="00D46356"/>
    <w:rsid w:val="00D4702C"/>
    <w:rsid w:val="00D47033"/>
    <w:rsid w:val="00D471D7"/>
    <w:rsid w:val="00D47209"/>
    <w:rsid w:val="00D476C3"/>
    <w:rsid w:val="00D47930"/>
    <w:rsid w:val="00D47974"/>
    <w:rsid w:val="00D47B9D"/>
    <w:rsid w:val="00D503F1"/>
    <w:rsid w:val="00D50B29"/>
    <w:rsid w:val="00D52317"/>
    <w:rsid w:val="00D532AE"/>
    <w:rsid w:val="00D54302"/>
    <w:rsid w:val="00D54535"/>
    <w:rsid w:val="00D550CC"/>
    <w:rsid w:val="00D554CA"/>
    <w:rsid w:val="00D561F6"/>
    <w:rsid w:val="00D56A84"/>
    <w:rsid w:val="00D56ED4"/>
    <w:rsid w:val="00D57255"/>
    <w:rsid w:val="00D575A5"/>
    <w:rsid w:val="00D57726"/>
    <w:rsid w:val="00D604E6"/>
    <w:rsid w:val="00D60D27"/>
    <w:rsid w:val="00D6126B"/>
    <w:rsid w:val="00D6164B"/>
    <w:rsid w:val="00D61AC2"/>
    <w:rsid w:val="00D622E9"/>
    <w:rsid w:val="00D649ED"/>
    <w:rsid w:val="00D6556F"/>
    <w:rsid w:val="00D6597D"/>
    <w:rsid w:val="00D6598D"/>
    <w:rsid w:val="00D6613F"/>
    <w:rsid w:val="00D67DAF"/>
    <w:rsid w:val="00D709DC"/>
    <w:rsid w:val="00D70A72"/>
    <w:rsid w:val="00D7109A"/>
    <w:rsid w:val="00D71A86"/>
    <w:rsid w:val="00D71B86"/>
    <w:rsid w:val="00D71FD5"/>
    <w:rsid w:val="00D725A5"/>
    <w:rsid w:val="00D72C01"/>
    <w:rsid w:val="00D72F54"/>
    <w:rsid w:val="00D7318D"/>
    <w:rsid w:val="00D73C2E"/>
    <w:rsid w:val="00D73C4B"/>
    <w:rsid w:val="00D73F58"/>
    <w:rsid w:val="00D7442D"/>
    <w:rsid w:val="00D74652"/>
    <w:rsid w:val="00D746FA"/>
    <w:rsid w:val="00D74766"/>
    <w:rsid w:val="00D74BBB"/>
    <w:rsid w:val="00D74CBF"/>
    <w:rsid w:val="00D75DCC"/>
    <w:rsid w:val="00D765D0"/>
    <w:rsid w:val="00D7747B"/>
    <w:rsid w:val="00D80820"/>
    <w:rsid w:val="00D80C6C"/>
    <w:rsid w:val="00D81038"/>
    <w:rsid w:val="00D81540"/>
    <w:rsid w:val="00D816C6"/>
    <w:rsid w:val="00D81809"/>
    <w:rsid w:val="00D81BCB"/>
    <w:rsid w:val="00D81F34"/>
    <w:rsid w:val="00D82043"/>
    <w:rsid w:val="00D8218E"/>
    <w:rsid w:val="00D827A8"/>
    <w:rsid w:val="00D82B61"/>
    <w:rsid w:val="00D836B8"/>
    <w:rsid w:val="00D83993"/>
    <w:rsid w:val="00D84CA4"/>
    <w:rsid w:val="00D84E21"/>
    <w:rsid w:val="00D851E2"/>
    <w:rsid w:val="00D85D11"/>
    <w:rsid w:val="00D8606D"/>
    <w:rsid w:val="00D87330"/>
    <w:rsid w:val="00D87433"/>
    <w:rsid w:val="00D87941"/>
    <w:rsid w:val="00D87D71"/>
    <w:rsid w:val="00D905DF"/>
    <w:rsid w:val="00D90696"/>
    <w:rsid w:val="00D90A7D"/>
    <w:rsid w:val="00D9153D"/>
    <w:rsid w:val="00D91733"/>
    <w:rsid w:val="00D91A1B"/>
    <w:rsid w:val="00D93E85"/>
    <w:rsid w:val="00D93FA3"/>
    <w:rsid w:val="00D942DD"/>
    <w:rsid w:val="00D94385"/>
    <w:rsid w:val="00D94AFF"/>
    <w:rsid w:val="00D95281"/>
    <w:rsid w:val="00D952B4"/>
    <w:rsid w:val="00D9552C"/>
    <w:rsid w:val="00D975E5"/>
    <w:rsid w:val="00D97724"/>
    <w:rsid w:val="00D97813"/>
    <w:rsid w:val="00D97BD5"/>
    <w:rsid w:val="00DA01D9"/>
    <w:rsid w:val="00DA0813"/>
    <w:rsid w:val="00DA09AE"/>
    <w:rsid w:val="00DA0E82"/>
    <w:rsid w:val="00DA148A"/>
    <w:rsid w:val="00DA176B"/>
    <w:rsid w:val="00DA1CDD"/>
    <w:rsid w:val="00DA1FEA"/>
    <w:rsid w:val="00DA2713"/>
    <w:rsid w:val="00DA2829"/>
    <w:rsid w:val="00DA28FD"/>
    <w:rsid w:val="00DA364A"/>
    <w:rsid w:val="00DA39C3"/>
    <w:rsid w:val="00DA3B92"/>
    <w:rsid w:val="00DA43A8"/>
    <w:rsid w:val="00DA49D4"/>
    <w:rsid w:val="00DA4B5C"/>
    <w:rsid w:val="00DA4C34"/>
    <w:rsid w:val="00DA62F1"/>
    <w:rsid w:val="00DA6AF6"/>
    <w:rsid w:val="00DA6B40"/>
    <w:rsid w:val="00DA700E"/>
    <w:rsid w:val="00DA73F6"/>
    <w:rsid w:val="00DA762E"/>
    <w:rsid w:val="00DB0169"/>
    <w:rsid w:val="00DB311F"/>
    <w:rsid w:val="00DB315E"/>
    <w:rsid w:val="00DB397B"/>
    <w:rsid w:val="00DB3B57"/>
    <w:rsid w:val="00DB426E"/>
    <w:rsid w:val="00DB4818"/>
    <w:rsid w:val="00DB4AAF"/>
    <w:rsid w:val="00DB52EF"/>
    <w:rsid w:val="00DB56D6"/>
    <w:rsid w:val="00DB5BE1"/>
    <w:rsid w:val="00DB5CDF"/>
    <w:rsid w:val="00DB5EE7"/>
    <w:rsid w:val="00DB6AB3"/>
    <w:rsid w:val="00DB6B13"/>
    <w:rsid w:val="00DB72EE"/>
    <w:rsid w:val="00DC058C"/>
    <w:rsid w:val="00DC0B71"/>
    <w:rsid w:val="00DC0BE0"/>
    <w:rsid w:val="00DC0DFC"/>
    <w:rsid w:val="00DC1604"/>
    <w:rsid w:val="00DC1DA2"/>
    <w:rsid w:val="00DC224B"/>
    <w:rsid w:val="00DC2378"/>
    <w:rsid w:val="00DC3F09"/>
    <w:rsid w:val="00DC3FA6"/>
    <w:rsid w:val="00DC4196"/>
    <w:rsid w:val="00DC4284"/>
    <w:rsid w:val="00DC468D"/>
    <w:rsid w:val="00DC5B77"/>
    <w:rsid w:val="00DC5C5F"/>
    <w:rsid w:val="00DC5E58"/>
    <w:rsid w:val="00DC6200"/>
    <w:rsid w:val="00DC636C"/>
    <w:rsid w:val="00DC66C8"/>
    <w:rsid w:val="00DC67C5"/>
    <w:rsid w:val="00DC6BB7"/>
    <w:rsid w:val="00DC761D"/>
    <w:rsid w:val="00DC793D"/>
    <w:rsid w:val="00DD0018"/>
    <w:rsid w:val="00DD0083"/>
    <w:rsid w:val="00DD0869"/>
    <w:rsid w:val="00DD1A69"/>
    <w:rsid w:val="00DD382D"/>
    <w:rsid w:val="00DD4054"/>
    <w:rsid w:val="00DD4FC0"/>
    <w:rsid w:val="00DD50CE"/>
    <w:rsid w:val="00DD5749"/>
    <w:rsid w:val="00DD5954"/>
    <w:rsid w:val="00DD5DDF"/>
    <w:rsid w:val="00DD611E"/>
    <w:rsid w:val="00DD62DF"/>
    <w:rsid w:val="00DD6388"/>
    <w:rsid w:val="00DD70E3"/>
    <w:rsid w:val="00DD728C"/>
    <w:rsid w:val="00DD7B02"/>
    <w:rsid w:val="00DE015C"/>
    <w:rsid w:val="00DE034F"/>
    <w:rsid w:val="00DE0D5F"/>
    <w:rsid w:val="00DE352C"/>
    <w:rsid w:val="00DE3F9A"/>
    <w:rsid w:val="00DE5FF0"/>
    <w:rsid w:val="00DE742B"/>
    <w:rsid w:val="00DE7542"/>
    <w:rsid w:val="00DE79BF"/>
    <w:rsid w:val="00DE7EF8"/>
    <w:rsid w:val="00DF0770"/>
    <w:rsid w:val="00DF096F"/>
    <w:rsid w:val="00DF22CD"/>
    <w:rsid w:val="00DF24C5"/>
    <w:rsid w:val="00DF2780"/>
    <w:rsid w:val="00DF32E3"/>
    <w:rsid w:val="00DF36AB"/>
    <w:rsid w:val="00DF3908"/>
    <w:rsid w:val="00DF4C9C"/>
    <w:rsid w:val="00DF4EE4"/>
    <w:rsid w:val="00DF524B"/>
    <w:rsid w:val="00DF5594"/>
    <w:rsid w:val="00DF571A"/>
    <w:rsid w:val="00DF5B93"/>
    <w:rsid w:val="00DF5ECE"/>
    <w:rsid w:val="00DF6475"/>
    <w:rsid w:val="00DF6AC4"/>
    <w:rsid w:val="00DF6C11"/>
    <w:rsid w:val="00DF7330"/>
    <w:rsid w:val="00DF77C0"/>
    <w:rsid w:val="00DF7FE6"/>
    <w:rsid w:val="00E0095C"/>
    <w:rsid w:val="00E00AB7"/>
    <w:rsid w:val="00E01976"/>
    <w:rsid w:val="00E02101"/>
    <w:rsid w:val="00E02281"/>
    <w:rsid w:val="00E02DCD"/>
    <w:rsid w:val="00E02FD2"/>
    <w:rsid w:val="00E030A3"/>
    <w:rsid w:val="00E03A11"/>
    <w:rsid w:val="00E03F60"/>
    <w:rsid w:val="00E04A18"/>
    <w:rsid w:val="00E05153"/>
    <w:rsid w:val="00E064C6"/>
    <w:rsid w:val="00E06FE5"/>
    <w:rsid w:val="00E0770B"/>
    <w:rsid w:val="00E07840"/>
    <w:rsid w:val="00E079CA"/>
    <w:rsid w:val="00E07E48"/>
    <w:rsid w:val="00E120B8"/>
    <w:rsid w:val="00E123BD"/>
    <w:rsid w:val="00E12730"/>
    <w:rsid w:val="00E12E42"/>
    <w:rsid w:val="00E1311F"/>
    <w:rsid w:val="00E13C08"/>
    <w:rsid w:val="00E158C8"/>
    <w:rsid w:val="00E15B5E"/>
    <w:rsid w:val="00E15F7D"/>
    <w:rsid w:val="00E16CE2"/>
    <w:rsid w:val="00E17335"/>
    <w:rsid w:val="00E17E17"/>
    <w:rsid w:val="00E17F3A"/>
    <w:rsid w:val="00E2094C"/>
    <w:rsid w:val="00E218FB"/>
    <w:rsid w:val="00E22002"/>
    <w:rsid w:val="00E2373E"/>
    <w:rsid w:val="00E238CF"/>
    <w:rsid w:val="00E23F5E"/>
    <w:rsid w:val="00E243B6"/>
    <w:rsid w:val="00E244D2"/>
    <w:rsid w:val="00E24E04"/>
    <w:rsid w:val="00E2547B"/>
    <w:rsid w:val="00E25BF4"/>
    <w:rsid w:val="00E25D86"/>
    <w:rsid w:val="00E26910"/>
    <w:rsid w:val="00E26A78"/>
    <w:rsid w:val="00E26E46"/>
    <w:rsid w:val="00E271BE"/>
    <w:rsid w:val="00E274BD"/>
    <w:rsid w:val="00E2768F"/>
    <w:rsid w:val="00E2790E"/>
    <w:rsid w:val="00E3016A"/>
    <w:rsid w:val="00E31737"/>
    <w:rsid w:val="00E31907"/>
    <w:rsid w:val="00E31E22"/>
    <w:rsid w:val="00E3247D"/>
    <w:rsid w:val="00E32A37"/>
    <w:rsid w:val="00E32BF3"/>
    <w:rsid w:val="00E336AD"/>
    <w:rsid w:val="00E33E42"/>
    <w:rsid w:val="00E34023"/>
    <w:rsid w:val="00E34235"/>
    <w:rsid w:val="00E351D5"/>
    <w:rsid w:val="00E35A49"/>
    <w:rsid w:val="00E35B8F"/>
    <w:rsid w:val="00E35D57"/>
    <w:rsid w:val="00E361DB"/>
    <w:rsid w:val="00E375C0"/>
    <w:rsid w:val="00E37C17"/>
    <w:rsid w:val="00E403F0"/>
    <w:rsid w:val="00E40AF9"/>
    <w:rsid w:val="00E411B3"/>
    <w:rsid w:val="00E41A9A"/>
    <w:rsid w:val="00E41C25"/>
    <w:rsid w:val="00E42B42"/>
    <w:rsid w:val="00E42CA6"/>
    <w:rsid w:val="00E4469F"/>
    <w:rsid w:val="00E44B0C"/>
    <w:rsid w:val="00E44F7D"/>
    <w:rsid w:val="00E46FA3"/>
    <w:rsid w:val="00E47336"/>
    <w:rsid w:val="00E507B6"/>
    <w:rsid w:val="00E50E78"/>
    <w:rsid w:val="00E51A5B"/>
    <w:rsid w:val="00E51E46"/>
    <w:rsid w:val="00E51F9E"/>
    <w:rsid w:val="00E5213F"/>
    <w:rsid w:val="00E52A8D"/>
    <w:rsid w:val="00E52F06"/>
    <w:rsid w:val="00E54999"/>
    <w:rsid w:val="00E55C06"/>
    <w:rsid w:val="00E56405"/>
    <w:rsid w:val="00E5640D"/>
    <w:rsid w:val="00E5688C"/>
    <w:rsid w:val="00E56EC4"/>
    <w:rsid w:val="00E57DC7"/>
    <w:rsid w:val="00E57DF2"/>
    <w:rsid w:val="00E6044C"/>
    <w:rsid w:val="00E6065D"/>
    <w:rsid w:val="00E6079D"/>
    <w:rsid w:val="00E608A7"/>
    <w:rsid w:val="00E609EA"/>
    <w:rsid w:val="00E611F0"/>
    <w:rsid w:val="00E61FEE"/>
    <w:rsid w:val="00E62689"/>
    <w:rsid w:val="00E63E66"/>
    <w:rsid w:val="00E63F16"/>
    <w:rsid w:val="00E64702"/>
    <w:rsid w:val="00E64B9F"/>
    <w:rsid w:val="00E65302"/>
    <w:rsid w:val="00E662EA"/>
    <w:rsid w:val="00E673D1"/>
    <w:rsid w:val="00E70D6F"/>
    <w:rsid w:val="00E71108"/>
    <w:rsid w:val="00E715EB"/>
    <w:rsid w:val="00E731D8"/>
    <w:rsid w:val="00E7353E"/>
    <w:rsid w:val="00E735A8"/>
    <w:rsid w:val="00E73C52"/>
    <w:rsid w:val="00E74811"/>
    <w:rsid w:val="00E748D4"/>
    <w:rsid w:val="00E75007"/>
    <w:rsid w:val="00E75FF0"/>
    <w:rsid w:val="00E76A27"/>
    <w:rsid w:val="00E773ED"/>
    <w:rsid w:val="00E77584"/>
    <w:rsid w:val="00E77730"/>
    <w:rsid w:val="00E778FD"/>
    <w:rsid w:val="00E77A94"/>
    <w:rsid w:val="00E77E63"/>
    <w:rsid w:val="00E80417"/>
    <w:rsid w:val="00E8178E"/>
    <w:rsid w:val="00E81A95"/>
    <w:rsid w:val="00E81B41"/>
    <w:rsid w:val="00E81CE5"/>
    <w:rsid w:val="00E82254"/>
    <w:rsid w:val="00E8229A"/>
    <w:rsid w:val="00E8382D"/>
    <w:rsid w:val="00E84255"/>
    <w:rsid w:val="00E843D8"/>
    <w:rsid w:val="00E844BE"/>
    <w:rsid w:val="00E847BB"/>
    <w:rsid w:val="00E85059"/>
    <w:rsid w:val="00E8534A"/>
    <w:rsid w:val="00E87659"/>
    <w:rsid w:val="00E87E86"/>
    <w:rsid w:val="00E90E11"/>
    <w:rsid w:val="00E9141E"/>
    <w:rsid w:val="00E923E7"/>
    <w:rsid w:val="00E93916"/>
    <w:rsid w:val="00E944D5"/>
    <w:rsid w:val="00E9510A"/>
    <w:rsid w:val="00E95605"/>
    <w:rsid w:val="00E967C2"/>
    <w:rsid w:val="00E96AC4"/>
    <w:rsid w:val="00E96B65"/>
    <w:rsid w:val="00EA0A6B"/>
    <w:rsid w:val="00EA1383"/>
    <w:rsid w:val="00EA201B"/>
    <w:rsid w:val="00EA25FF"/>
    <w:rsid w:val="00EA2C46"/>
    <w:rsid w:val="00EA30D0"/>
    <w:rsid w:val="00EA39DF"/>
    <w:rsid w:val="00EA3A15"/>
    <w:rsid w:val="00EA3A6C"/>
    <w:rsid w:val="00EA4146"/>
    <w:rsid w:val="00EA4508"/>
    <w:rsid w:val="00EA4E14"/>
    <w:rsid w:val="00EA5E40"/>
    <w:rsid w:val="00EA65B9"/>
    <w:rsid w:val="00EA69C6"/>
    <w:rsid w:val="00EAD422"/>
    <w:rsid w:val="00EB0922"/>
    <w:rsid w:val="00EB0FEA"/>
    <w:rsid w:val="00EB120D"/>
    <w:rsid w:val="00EB162B"/>
    <w:rsid w:val="00EB2E75"/>
    <w:rsid w:val="00EB2F68"/>
    <w:rsid w:val="00EB377A"/>
    <w:rsid w:val="00EB3DFA"/>
    <w:rsid w:val="00EB3F5B"/>
    <w:rsid w:val="00EB4837"/>
    <w:rsid w:val="00EB4CB2"/>
    <w:rsid w:val="00EB4F44"/>
    <w:rsid w:val="00EB4FA0"/>
    <w:rsid w:val="00EB57A2"/>
    <w:rsid w:val="00EB6987"/>
    <w:rsid w:val="00EB6C99"/>
    <w:rsid w:val="00EB6F03"/>
    <w:rsid w:val="00EB7136"/>
    <w:rsid w:val="00EB727C"/>
    <w:rsid w:val="00EB7EA6"/>
    <w:rsid w:val="00EC082A"/>
    <w:rsid w:val="00EC1D27"/>
    <w:rsid w:val="00EC1E4B"/>
    <w:rsid w:val="00EC2112"/>
    <w:rsid w:val="00EC2A3E"/>
    <w:rsid w:val="00EC2DDE"/>
    <w:rsid w:val="00EC2E5D"/>
    <w:rsid w:val="00EC304F"/>
    <w:rsid w:val="00EC36C2"/>
    <w:rsid w:val="00EC4104"/>
    <w:rsid w:val="00EC4E3B"/>
    <w:rsid w:val="00EC5251"/>
    <w:rsid w:val="00EC69C2"/>
    <w:rsid w:val="00EC6EF6"/>
    <w:rsid w:val="00EC7265"/>
    <w:rsid w:val="00EC7277"/>
    <w:rsid w:val="00EC7677"/>
    <w:rsid w:val="00EC7739"/>
    <w:rsid w:val="00EC7E38"/>
    <w:rsid w:val="00EC7FE1"/>
    <w:rsid w:val="00ED0491"/>
    <w:rsid w:val="00ED204C"/>
    <w:rsid w:val="00ED22E4"/>
    <w:rsid w:val="00ED2BAB"/>
    <w:rsid w:val="00ED2F3F"/>
    <w:rsid w:val="00ED2F58"/>
    <w:rsid w:val="00ED313F"/>
    <w:rsid w:val="00ED3C02"/>
    <w:rsid w:val="00ED3C7A"/>
    <w:rsid w:val="00ED4C57"/>
    <w:rsid w:val="00ED4E9B"/>
    <w:rsid w:val="00ED504B"/>
    <w:rsid w:val="00ED5D65"/>
    <w:rsid w:val="00ED5FD4"/>
    <w:rsid w:val="00ED6041"/>
    <w:rsid w:val="00ED6457"/>
    <w:rsid w:val="00ED6730"/>
    <w:rsid w:val="00ED6CF5"/>
    <w:rsid w:val="00ED6D7A"/>
    <w:rsid w:val="00ED6DFD"/>
    <w:rsid w:val="00ED790F"/>
    <w:rsid w:val="00EDA900"/>
    <w:rsid w:val="00EE0186"/>
    <w:rsid w:val="00EE13CE"/>
    <w:rsid w:val="00EE15F7"/>
    <w:rsid w:val="00EE17E9"/>
    <w:rsid w:val="00EE28AA"/>
    <w:rsid w:val="00EE2D1C"/>
    <w:rsid w:val="00EE30D7"/>
    <w:rsid w:val="00EE3A31"/>
    <w:rsid w:val="00EE3F1D"/>
    <w:rsid w:val="00EE4665"/>
    <w:rsid w:val="00EE46C1"/>
    <w:rsid w:val="00EE543C"/>
    <w:rsid w:val="00EE567F"/>
    <w:rsid w:val="00EE5F50"/>
    <w:rsid w:val="00EE6525"/>
    <w:rsid w:val="00EE65BF"/>
    <w:rsid w:val="00EE668C"/>
    <w:rsid w:val="00EE715F"/>
    <w:rsid w:val="00EF028C"/>
    <w:rsid w:val="00EF056B"/>
    <w:rsid w:val="00EF078D"/>
    <w:rsid w:val="00EF08D4"/>
    <w:rsid w:val="00EF0A96"/>
    <w:rsid w:val="00EF0DB6"/>
    <w:rsid w:val="00EF185E"/>
    <w:rsid w:val="00EF2513"/>
    <w:rsid w:val="00EF2878"/>
    <w:rsid w:val="00EF2C20"/>
    <w:rsid w:val="00EF31DA"/>
    <w:rsid w:val="00EF328A"/>
    <w:rsid w:val="00EF403E"/>
    <w:rsid w:val="00EF4AD8"/>
    <w:rsid w:val="00EF4DE2"/>
    <w:rsid w:val="00EF5B17"/>
    <w:rsid w:val="00EF6089"/>
    <w:rsid w:val="00EF65A5"/>
    <w:rsid w:val="00EF7589"/>
    <w:rsid w:val="00EF76CB"/>
    <w:rsid w:val="00EF79C2"/>
    <w:rsid w:val="00F0121E"/>
    <w:rsid w:val="00F01223"/>
    <w:rsid w:val="00F013F9"/>
    <w:rsid w:val="00F015B7"/>
    <w:rsid w:val="00F01886"/>
    <w:rsid w:val="00F02331"/>
    <w:rsid w:val="00F02CCC"/>
    <w:rsid w:val="00F0329C"/>
    <w:rsid w:val="00F03C98"/>
    <w:rsid w:val="00F0433A"/>
    <w:rsid w:val="00F04422"/>
    <w:rsid w:val="00F04D51"/>
    <w:rsid w:val="00F068E2"/>
    <w:rsid w:val="00F06F18"/>
    <w:rsid w:val="00F0738F"/>
    <w:rsid w:val="00F078BD"/>
    <w:rsid w:val="00F10EA8"/>
    <w:rsid w:val="00F12832"/>
    <w:rsid w:val="00F12CD9"/>
    <w:rsid w:val="00F12E64"/>
    <w:rsid w:val="00F12E91"/>
    <w:rsid w:val="00F13630"/>
    <w:rsid w:val="00F137C2"/>
    <w:rsid w:val="00F13833"/>
    <w:rsid w:val="00F13C94"/>
    <w:rsid w:val="00F13E7A"/>
    <w:rsid w:val="00F140B5"/>
    <w:rsid w:val="00F142BD"/>
    <w:rsid w:val="00F14445"/>
    <w:rsid w:val="00F14447"/>
    <w:rsid w:val="00F14603"/>
    <w:rsid w:val="00F1523E"/>
    <w:rsid w:val="00F154DE"/>
    <w:rsid w:val="00F159DC"/>
    <w:rsid w:val="00F165EB"/>
    <w:rsid w:val="00F16F86"/>
    <w:rsid w:val="00F17A14"/>
    <w:rsid w:val="00F17EE4"/>
    <w:rsid w:val="00F200DD"/>
    <w:rsid w:val="00F20274"/>
    <w:rsid w:val="00F205A0"/>
    <w:rsid w:val="00F2118D"/>
    <w:rsid w:val="00F2127D"/>
    <w:rsid w:val="00F213AC"/>
    <w:rsid w:val="00F2147B"/>
    <w:rsid w:val="00F21D99"/>
    <w:rsid w:val="00F21DD9"/>
    <w:rsid w:val="00F23880"/>
    <w:rsid w:val="00F23B34"/>
    <w:rsid w:val="00F23D38"/>
    <w:rsid w:val="00F23E43"/>
    <w:rsid w:val="00F2401A"/>
    <w:rsid w:val="00F24F76"/>
    <w:rsid w:val="00F258C2"/>
    <w:rsid w:val="00F25F2D"/>
    <w:rsid w:val="00F2611D"/>
    <w:rsid w:val="00F26911"/>
    <w:rsid w:val="00F26F29"/>
    <w:rsid w:val="00F2760D"/>
    <w:rsid w:val="00F27875"/>
    <w:rsid w:val="00F27AAB"/>
    <w:rsid w:val="00F27C0E"/>
    <w:rsid w:val="00F3097D"/>
    <w:rsid w:val="00F30A4A"/>
    <w:rsid w:val="00F30C99"/>
    <w:rsid w:val="00F30FFE"/>
    <w:rsid w:val="00F311CA"/>
    <w:rsid w:val="00F312E1"/>
    <w:rsid w:val="00F3165F"/>
    <w:rsid w:val="00F31FC7"/>
    <w:rsid w:val="00F32884"/>
    <w:rsid w:val="00F32B62"/>
    <w:rsid w:val="00F343FE"/>
    <w:rsid w:val="00F346AE"/>
    <w:rsid w:val="00F34CC1"/>
    <w:rsid w:val="00F35608"/>
    <w:rsid w:val="00F35E75"/>
    <w:rsid w:val="00F366CC"/>
    <w:rsid w:val="00F37770"/>
    <w:rsid w:val="00F37887"/>
    <w:rsid w:val="00F4044C"/>
    <w:rsid w:val="00F404B5"/>
    <w:rsid w:val="00F405A0"/>
    <w:rsid w:val="00F41E2F"/>
    <w:rsid w:val="00F42024"/>
    <w:rsid w:val="00F42A54"/>
    <w:rsid w:val="00F42CAF"/>
    <w:rsid w:val="00F436FB"/>
    <w:rsid w:val="00F43E6A"/>
    <w:rsid w:val="00F44C6D"/>
    <w:rsid w:val="00F45197"/>
    <w:rsid w:val="00F453E6"/>
    <w:rsid w:val="00F45400"/>
    <w:rsid w:val="00F46CAC"/>
    <w:rsid w:val="00F46FC0"/>
    <w:rsid w:val="00F472FE"/>
    <w:rsid w:val="00F473B6"/>
    <w:rsid w:val="00F475C8"/>
    <w:rsid w:val="00F47FA3"/>
    <w:rsid w:val="00F503E3"/>
    <w:rsid w:val="00F515FF"/>
    <w:rsid w:val="00F520C0"/>
    <w:rsid w:val="00F5244C"/>
    <w:rsid w:val="00F52A37"/>
    <w:rsid w:val="00F535F3"/>
    <w:rsid w:val="00F536BC"/>
    <w:rsid w:val="00F53777"/>
    <w:rsid w:val="00F5381E"/>
    <w:rsid w:val="00F54981"/>
    <w:rsid w:val="00F54A32"/>
    <w:rsid w:val="00F54FAD"/>
    <w:rsid w:val="00F55424"/>
    <w:rsid w:val="00F5568E"/>
    <w:rsid w:val="00F55802"/>
    <w:rsid w:val="00F56AB0"/>
    <w:rsid w:val="00F5789D"/>
    <w:rsid w:val="00F57F15"/>
    <w:rsid w:val="00F61001"/>
    <w:rsid w:val="00F611EE"/>
    <w:rsid w:val="00F61721"/>
    <w:rsid w:val="00F61867"/>
    <w:rsid w:val="00F61E6D"/>
    <w:rsid w:val="00F61F84"/>
    <w:rsid w:val="00F62213"/>
    <w:rsid w:val="00F6232C"/>
    <w:rsid w:val="00F6288F"/>
    <w:rsid w:val="00F63EC7"/>
    <w:rsid w:val="00F6423B"/>
    <w:rsid w:val="00F64B8E"/>
    <w:rsid w:val="00F65EF8"/>
    <w:rsid w:val="00F6649C"/>
    <w:rsid w:val="00F669E6"/>
    <w:rsid w:val="00F6784D"/>
    <w:rsid w:val="00F67E65"/>
    <w:rsid w:val="00F70CEE"/>
    <w:rsid w:val="00F72DE4"/>
    <w:rsid w:val="00F7400E"/>
    <w:rsid w:val="00F74351"/>
    <w:rsid w:val="00F7497C"/>
    <w:rsid w:val="00F75D42"/>
    <w:rsid w:val="00F76392"/>
    <w:rsid w:val="00F76E16"/>
    <w:rsid w:val="00F7747D"/>
    <w:rsid w:val="00F800BB"/>
    <w:rsid w:val="00F809E9"/>
    <w:rsid w:val="00F80F95"/>
    <w:rsid w:val="00F81B09"/>
    <w:rsid w:val="00F81B9D"/>
    <w:rsid w:val="00F81D70"/>
    <w:rsid w:val="00F81FCB"/>
    <w:rsid w:val="00F820F5"/>
    <w:rsid w:val="00F825A4"/>
    <w:rsid w:val="00F82832"/>
    <w:rsid w:val="00F82CDD"/>
    <w:rsid w:val="00F83297"/>
    <w:rsid w:val="00F833BB"/>
    <w:rsid w:val="00F836A7"/>
    <w:rsid w:val="00F85D47"/>
    <w:rsid w:val="00F85E8C"/>
    <w:rsid w:val="00F86AEB"/>
    <w:rsid w:val="00F86D81"/>
    <w:rsid w:val="00F8743A"/>
    <w:rsid w:val="00F87A96"/>
    <w:rsid w:val="00F87BB2"/>
    <w:rsid w:val="00F90C0C"/>
    <w:rsid w:val="00F911AF"/>
    <w:rsid w:val="00F91474"/>
    <w:rsid w:val="00F91756"/>
    <w:rsid w:val="00F9199C"/>
    <w:rsid w:val="00F91FF8"/>
    <w:rsid w:val="00F926A5"/>
    <w:rsid w:val="00F9280E"/>
    <w:rsid w:val="00F92837"/>
    <w:rsid w:val="00F929ED"/>
    <w:rsid w:val="00F929FA"/>
    <w:rsid w:val="00F933DC"/>
    <w:rsid w:val="00F93C64"/>
    <w:rsid w:val="00F94003"/>
    <w:rsid w:val="00F94C81"/>
    <w:rsid w:val="00F94F40"/>
    <w:rsid w:val="00F95307"/>
    <w:rsid w:val="00F956C7"/>
    <w:rsid w:val="00F95D13"/>
    <w:rsid w:val="00F96C4F"/>
    <w:rsid w:val="00FA1066"/>
    <w:rsid w:val="00FA1782"/>
    <w:rsid w:val="00FA2E41"/>
    <w:rsid w:val="00FA3602"/>
    <w:rsid w:val="00FA374B"/>
    <w:rsid w:val="00FA3E76"/>
    <w:rsid w:val="00FA3FA1"/>
    <w:rsid w:val="00FA4019"/>
    <w:rsid w:val="00FA4209"/>
    <w:rsid w:val="00FA4432"/>
    <w:rsid w:val="00FA4582"/>
    <w:rsid w:val="00FA53DA"/>
    <w:rsid w:val="00FA58FE"/>
    <w:rsid w:val="00FA6A22"/>
    <w:rsid w:val="00FA75FB"/>
    <w:rsid w:val="00FA775C"/>
    <w:rsid w:val="00FA7EEE"/>
    <w:rsid w:val="00FA7F69"/>
    <w:rsid w:val="00FB089E"/>
    <w:rsid w:val="00FB1B04"/>
    <w:rsid w:val="00FB2415"/>
    <w:rsid w:val="00FB249E"/>
    <w:rsid w:val="00FB2C03"/>
    <w:rsid w:val="00FB2CCC"/>
    <w:rsid w:val="00FB3333"/>
    <w:rsid w:val="00FB33CA"/>
    <w:rsid w:val="00FB36A1"/>
    <w:rsid w:val="00FB3E2C"/>
    <w:rsid w:val="00FB40ED"/>
    <w:rsid w:val="00FB427D"/>
    <w:rsid w:val="00FB4942"/>
    <w:rsid w:val="00FB557B"/>
    <w:rsid w:val="00FB610A"/>
    <w:rsid w:val="00FB6480"/>
    <w:rsid w:val="00FB6B62"/>
    <w:rsid w:val="00FB6CB2"/>
    <w:rsid w:val="00FB73DB"/>
    <w:rsid w:val="00FB7893"/>
    <w:rsid w:val="00FB7B97"/>
    <w:rsid w:val="00FC059D"/>
    <w:rsid w:val="00FC0B8A"/>
    <w:rsid w:val="00FC16A6"/>
    <w:rsid w:val="00FC20E1"/>
    <w:rsid w:val="00FC36C8"/>
    <w:rsid w:val="00FC3752"/>
    <w:rsid w:val="00FC3F8B"/>
    <w:rsid w:val="00FC5ACC"/>
    <w:rsid w:val="00FC5C82"/>
    <w:rsid w:val="00FC61E3"/>
    <w:rsid w:val="00FC6549"/>
    <w:rsid w:val="00FC706C"/>
    <w:rsid w:val="00FC71ED"/>
    <w:rsid w:val="00FC71F7"/>
    <w:rsid w:val="00FC7C40"/>
    <w:rsid w:val="00FC7D03"/>
    <w:rsid w:val="00FD027B"/>
    <w:rsid w:val="00FD0B43"/>
    <w:rsid w:val="00FD1106"/>
    <w:rsid w:val="00FD124A"/>
    <w:rsid w:val="00FD1592"/>
    <w:rsid w:val="00FD1B82"/>
    <w:rsid w:val="00FD1F9F"/>
    <w:rsid w:val="00FD2651"/>
    <w:rsid w:val="00FD2C7D"/>
    <w:rsid w:val="00FD2EB7"/>
    <w:rsid w:val="00FD3ACD"/>
    <w:rsid w:val="00FD41C4"/>
    <w:rsid w:val="00FD44CD"/>
    <w:rsid w:val="00FD4AA3"/>
    <w:rsid w:val="00FD4CA7"/>
    <w:rsid w:val="00FD4CDB"/>
    <w:rsid w:val="00FD5CC8"/>
    <w:rsid w:val="00FD6372"/>
    <w:rsid w:val="00FD7295"/>
    <w:rsid w:val="00FD7437"/>
    <w:rsid w:val="00FE0022"/>
    <w:rsid w:val="00FE0460"/>
    <w:rsid w:val="00FE0B59"/>
    <w:rsid w:val="00FE1051"/>
    <w:rsid w:val="00FE190D"/>
    <w:rsid w:val="00FE2105"/>
    <w:rsid w:val="00FE2504"/>
    <w:rsid w:val="00FE26D6"/>
    <w:rsid w:val="00FE3318"/>
    <w:rsid w:val="00FE3338"/>
    <w:rsid w:val="00FE3B24"/>
    <w:rsid w:val="00FE3EE7"/>
    <w:rsid w:val="00FE43BD"/>
    <w:rsid w:val="00FE4C31"/>
    <w:rsid w:val="00FE540B"/>
    <w:rsid w:val="00FE6700"/>
    <w:rsid w:val="00FE6A04"/>
    <w:rsid w:val="00FE70D7"/>
    <w:rsid w:val="00FE761E"/>
    <w:rsid w:val="00FE7D34"/>
    <w:rsid w:val="00FE7F8B"/>
    <w:rsid w:val="00FF0CA2"/>
    <w:rsid w:val="00FF23DF"/>
    <w:rsid w:val="00FF2B1B"/>
    <w:rsid w:val="00FF3D4F"/>
    <w:rsid w:val="00FF3FE4"/>
    <w:rsid w:val="00FF4AD0"/>
    <w:rsid w:val="00FF538F"/>
    <w:rsid w:val="00FF5765"/>
    <w:rsid w:val="00FF596B"/>
    <w:rsid w:val="00FF59E8"/>
    <w:rsid w:val="00FF6246"/>
    <w:rsid w:val="00FF757C"/>
    <w:rsid w:val="00FF79A8"/>
    <w:rsid w:val="00FF7D35"/>
    <w:rsid w:val="01085B07"/>
    <w:rsid w:val="010D9103"/>
    <w:rsid w:val="010EFDB8"/>
    <w:rsid w:val="01152ED9"/>
    <w:rsid w:val="012DFA9B"/>
    <w:rsid w:val="0135DD70"/>
    <w:rsid w:val="016E7A31"/>
    <w:rsid w:val="01710428"/>
    <w:rsid w:val="017B71DC"/>
    <w:rsid w:val="0182027D"/>
    <w:rsid w:val="019BD907"/>
    <w:rsid w:val="019BEDEB"/>
    <w:rsid w:val="01A29BBD"/>
    <w:rsid w:val="01A46657"/>
    <w:rsid w:val="01B16BEA"/>
    <w:rsid w:val="01B64A9D"/>
    <w:rsid w:val="01BBEB80"/>
    <w:rsid w:val="01BBF796"/>
    <w:rsid w:val="01CB433A"/>
    <w:rsid w:val="01DFA7AD"/>
    <w:rsid w:val="01F60054"/>
    <w:rsid w:val="01FD0710"/>
    <w:rsid w:val="020464F9"/>
    <w:rsid w:val="0212E397"/>
    <w:rsid w:val="021E61A7"/>
    <w:rsid w:val="023EFDFC"/>
    <w:rsid w:val="0241DA3C"/>
    <w:rsid w:val="024385EF"/>
    <w:rsid w:val="02555379"/>
    <w:rsid w:val="025B637E"/>
    <w:rsid w:val="02689B92"/>
    <w:rsid w:val="0272749D"/>
    <w:rsid w:val="0282D49B"/>
    <w:rsid w:val="029BC041"/>
    <w:rsid w:val="02A09F71"/>
    <w:rsid w:val="02B37059"/>
    <w:rsid w:val="02C7B2CD"/>
    <w:rsid w:val="02CA527F"/>
    <w:rsid w:val="02CC4D27"/>
    <w:rsid w:val="02E45A4F"/>
    <w:rsid w:val="02E7B3A5"/>
    <w:rsid w:val="02E7F5F5"/>
    <w:rsid w:val="02EAF4B2"/>
    <w:rsid w:val="02EB5642"/>
    <w:rsid w:val="0308B148"/>
    <w:rsid w:val="032ADE6F"/>
    <w:rsid w:val="033B8BF6"/>
    <w:rsid w:val="033E4708"/>
    <w:rsid w:val="0340D407"/>
    <w:rsid w:val="034A926D"/>
    <w:rsid w:val="03521079"/>
    <w:rsid w:val="03541126"/>
    <w:rsid w:val="0366D4DF"/>
    <w:rsid w:val="036B520E"/>
    <w:rsid w:val="038447DD"/>
    <w:rsid w:val="03A3B1D1"/>
    <w:rsid w:val="03B7AD95"/>
    <w:rsid w:val="03BD8FCD"/>
    <w:rsid w:val="03C1A900"/>
    <w:rsid w:val="03C337FE"/>
    <w:rsid w:val="03CB57C5"/>
    <w:rsid w:val="03CF488E"/>
    <w:rsid w:val="03E362AB"/>
    <w:rsid w:val="03F258AC"/>
    <w:rsid w:val="03FF8149"/>
    <w:rsid w:val="0405C768"/>
    <w:rsid w:val="041AC4F4"/>
    <w:rsid w:val="041E4ECB"/>
    <w:rsid w:val="041F030D"/>
    <w:rsid w:val="042EB9B7"/>
    <w:rsid w:val="044867A3"/>
    <w:rsid w:val="044E32E7"/>
    <w:rsid w:val="044EC961"/>
    <w:rsid w:val="044F55F0"/>
    <w:rsid w:val="04603C7E"/>
    <w:rsid w:val="04646213"/>
    <w:rsid w:val="046FC1B7"/>
    <w:rsid w:val="047DAB96"/>
    <w:rsid w:val="047EEA19"/>
    <w:rsid w:val="0492647C"/>
    <w:rsid w:val="04927B16"/>
    <w:rsid w:val="04ADE254"/>
    <w:rsid w:val="04CDF2CF"/>
    <w:rsid w:val="04D14711"/>
    <w:rsid w:val="04D7B056"/>
    <w:rsid w:val="04EDBA2B"/>
    <w:rsid w:val="04F436D7"/>
    <w:rsid w:val="04F74B42"/>
    <w:rsid w:val="04FA4492"/>
    <w:rsid w:val="05020ECD"/>
    <w:rsid w:val="051C16D5"/>
    <w:rsid w:val="05202093"/>
    <w:rsid w:val="052404DF"/>
    <w:rsid w:val="0547282F"/>
    <w:rsid w:val="05523E98"/>
    <w:rsid w:val="0555963A"/>
    <w:rsid w:val="05574F61"/>
    <w:rsid w:val="0563090C"/>
    <w:rsid w:val="056497E2"/>
    <w:rsid w:val="05729513"/>
    <w:rsid w:val="05819D92"/>
    <w:rsid w:val="058EAFE0"/>
    <w:rsid w:val="058F23BB"/>
    <w:rsid w:val="059929C3"/>
    <w:rsid w:val="059B4C60"/>
    <w:rsid w:val="05B2D17A"/>
    <w:rsid w:val="05B3380C"/>
    <w:rsid w:val="05C475C6"/>
    <w:rsid w:val="05CCBBF7"/>
    <w:rsid w:val="05F9024B"/>
    <w:rsid w:val="05FC371F"/>
    <w:rsid w:val="060DD340"/>
    <w:rsid w:val="060FAA29"/>
    <w:rsid w:val="06225B27"/>
    <w:rsid w:val="0622FC42"/>
    <w:rsid w:val="0626EFCA"/>
    <w:rsid w:val="062E9633"/>
    <w:rsid w:val="0634CC2B"/>
    <w:rsid w:val="06418BCF"/>
    <w:rsid w:val="064919FD"/>
    <w:rsid w:val="064F7EDD"/>
    <w:rsid w:val="064FF2F1"/>
    <w:rsid w:val="0664088F"/>
    <w:rsid w:val="066E96A1"/>
    <w:rsid w:val="068585DC"/>
    <w:rsid w:val="068E9F29"/>
    <w:rsid w:val="068EA88A"/>
    <w:rsid w:val="06ACA3F5"/>
    <w:rsid w:val="06ADFB17"/>
    <w:rsid w:val="06C0377E"/>
    <w:rsid w:val="06CEA484"/>
    <w:rsid w:val="06DFF0D5"/>
    <w:rsid w:val="06FAD853"/>
    <w:rsid w:val="07003270"/>
    <w:rsid w:val="0708BF09"/>
    <w:rsid w:val="0711D6B1"/>
    <w:rsid w:val="071F25D5"/>
    <w:rsid w:val="0725E358"/>
    <w:rsid w:val="072C4E7A"/>
    <w:rsid w:val="072F8EB1"/>
    <w:rsid w:val="07306920"/>
    <w:rsid w:val="073580D6"/>
    <w:rsid w:val="07386DC5"/>
    <w:rsid w:val="07471E12"/>
    <w:rsid w:val="0747DAAD"/>
    <w:rsid w:val="074E0C6B"/>
    <w:rsid w:val="0753602E"/>
    <w:rsid w:val="07618ABC"/>
    <w:rsid w:val="07799BC4"/>
    <w:rsid w:val="077FE196"/>
    <w:rsid w:val="0780A387"/>
    <w:rsid w:val="07837BB0"/>
    <w:rsid w:val="0786FADA"/>
    <w:rsid w:val="07894A69"/>
    <w:rsid w:val="078B1D06"/>
    <w:rsid w:val="078F1E6B"/>
    <w:rsid w:val="079A1231"/>
    <w:rsid w:val="079D1E30"/>
    <w:rsid w:val="07A83302"/>
    <w:rsid w:val="07CFB14C"/>
    <w:rsid w:val="07D601F2"/>
    <w:rsid w:val="07DB1440"/>
    <w:rsid w:val="07DC739D"/>
    <w:rsid w:val="0808DEC5"/>
    <w:rsid w:val="08240AE4"/>
    <w:rsid w:val="082E6178"/>
    <w:rsid w:val="0836B4F0"/>
    <w:rsid w:val="084D5D47"/>
    <w:rsid w:val="08632D03"/>
    <w:rsid w:val="0866FD7F"/>
    <w:rsid w:val="086EFEBF"/>
    <w:rsid w:val="087EDE1B"/>
    <w:rsid w:val="08986F9C"/>
    <w:rsid w:val="08A24899"/>
    <w:rsid w:val="08B879AA"/>
    <w:rsid w:val="08E176AF"/>
    <w:rsid w:val="08E6584F"/>
    <w:rsid w:val="08E8D4DB"/>
    <w:rsid w:val="08ECD80D"/>
    <w:rsid w:val="08EFDD5F"/>
    <w:rsid w:val="090C2946"/>
    <w:rsid w:val="090D7DE9"/>
    <w:rsid w:val="0919839F"/>
    <w:rsid w:val="091EBCA9"/>
    <w:rsid w:val="0921570E"/>
    <w:rsid w:val="0932A195"/>
    <w:rsid w:val="093E31BF"/>
    <w:rsid w:val="095512F7"/>
    <w:rsid w:val="09575AE0"/>
    <w:rsid w:val="09618B9D"/>
    <w:rsid w:val="09686C1C"/>
    <w:rsid w:val="0973B11F"/>
    <w:rsid w:val="097989A2"/>
    <w:rsid w:val="09838C22"/>
    <w:rsid w:val="099A528B"/>
    <w:rsid w:val="099E0BC4"/>
    <w:rsid w:val="09A808D8"/>
    <w:rsid w:val="09AC673A"/>
    <w:rsid w:val="09B0ADD9"/>
    <w:rsid w:val="09B13D72"/>
    <w:rsid w:val="09BADE0B"/>
    <w:rsid w:val="09C39DA5"/>
    <w:rsid w:val="09C442EF"/>
    <w:rsid w:val="09D0BBA3"/>
    <w:rsid w:val="09DCA108"/>
    <w:rsid w:val="09E2A43D"/>
    <w:rsid w:val="09F058FE"/>
    <w:rsid w:val="09F291D3"/>
    <w:rsid w:val="09FB2338"/>
    <w:rsid w:val="0A126DB2"/>
    <w:rsid w:val="0A183598"/>
    <w:rsid w:val="0A2A0B17"/>
    <w:rsid w:val="0A2DAFB0"/>
    <w:rsid w:val="0A2F9D6F"/>
    <w:rsid w:val="0A3B027F"/>
    <w:rsid w:val="0A3B5BB5"/>
    <w:rsid w:val="0A3C7D2E"/>
    <w:rsid w:val="0A4B2F9A"/>
    <w:rsid w:val="0A5E2E7D"/>
    <w:rsid w:val="0A609559"/>
    <w:rsid w:val="0A60CC0A"/>
    <w:rsid w:val="0A689036"/>
    <w:rsid w:val="0A6A3054"/>
    <w:rsid w:val="0A77DE7B"/>
    <w:rsid w:val="0A7D97C7"/>
    <w:rsid w:val="0A9A6194"/>
    <w:rsid w:val="0A9E26B7"/>
    <w:rsid w:val="0AA7348D"/>
    <w:rsid w:val="0AACEBFA"/>
    <w:rsid w:val="0AC78EE2"/>
    <w:rsid w:val="0AEC9793"/>
    <w:rsid w:val="0AEE330A"/>
    <w:rsid w:val="0AF04DB7"/>
    <w:rsid w:val="0B121DE7"/>
    <w:rsid w:val="0B166B5D"/>
    <w:rsid w:val="0B1A03E7"/>
    <w:rsid w:val="0B1B91E7"/>
    <w:rsid w:val="0B2845DF"/>
    <w:rsid w:val="0B39F2DB"/>
    <w:rsid w:val="0B431422"/>
    <w:rsid w:val="0B47FF38"/>
    <w:rsid w:val="0B573A37"/>
    <w:rsid w:val="0B5AA590"/>
    <w:rsid w:val="0B6176D6"/>
    <w:rsid w:val="0B68787D"/>
    <w:rsid w:val="0B8164C2"/>
    <w:rsid w:val="0B88E923"/>
    <w:rsid w:val="0B9471B8"/>
    <w:rsid w:val="0B99EA94"/>
    <w:rsid w:val="0B9B794F"/>
    <w:rsid w:val="0B9C48D2"/>
    <w:rsid w:val="0B9CA2C2"/>
    <w:rsid w:val="0BA379CF"/>
    <w:rsid w:val="0BAFC39F"/>
    <w:rsid w:val="0BB105F6"/>
    <w:rsid w:val="0BC66002"/>
    <w:rsid w:val="0BC8A122"/>
    <w:rsid w:val="0BCDA7F5"/>
    <w:rsid w:val="0BD34AA4"/>
    <w:rsid w:val="0BD3DBF5"/>
    <w:rsid w:val="0BDCC05D"/>
    <w:rsid w:val="0BE04E00"/>
    <w:rsid w:val="0BFA8330"/>
    <w:rsid w:val="0C10AA64"/>
    <w:rsid w:val="0C119889"/>
    <w:rsid w:val="0C20535E"/>
    <w:rsid w:val="0C20C448"/>
    <w:rsid w:val="0C30D5DD"/>
    <w:rsid w:val="0C31D26E"/>
    <w:rsid w:val="0C33D4A8"/>
    <w:rsid w:val="0C397FD7"/>
    <w:rsid w:val="0C3C1989"/>
    <w:rsid w:val="0C4426E5"/>
    <w:rsid w:val="0C56ACD4"/>
    <w:rsid w:val="0C5A2355"/>
    <w:rsid w:val="0C5F39DF"/>
    <w:rsid w:val="0C71EEAE"/>
    <w:rsid w:val="0C73CADA"/>
    <w:rsid w:val="0C787536"/>
    <w:rsid w:val="0C8B112C"/>
    <w:rsid w:val="0C9B3F9C"/>
    <w:rsid w:val="0CAF4369"/>
    <w:rsid w:val="0CB4C032"/>
    <w:rsid w:val="0CC330CD"/>
    <w:rsid w:val="0CC50643"/>
    <w:rsid w:val="0CE1B7B9"/>
    <w:rsid w:val="0CE2CB1A"/>
    <w:rsid w:val="0CE4F896"/>
    <w:rsid w:val="0CE5659C"/>
    <w:rsid w:val="0CEA2B53"/>
    <w:rsid w:val="0CF2192F"/>
    <w:rsid w:val="0D0823E1"/>
    <w:rsid w:val="0D0D886A"/>
    <w:rsid w:val="0D2BDFE8"/>
    <w:rsid w:val="0D492D11"/>
    <w:rsid w:val="0D4B09C5"/>
    <w:rsid w:val="0D58704E"/>
    <w:rsid w:val="0D668796"/>
    <w:rsid w:val="0D681D35"/>
    <w:rsid w:val="0DAAB14C"/>
    <w:rsid w:val="0DAC5B37"/>
    <w:rsid w:val="0DB62D1D"/>
    <w:rsid w:val="0DC05C78"/>
    <w:rsid w:val="0DC56230"/>
    <w:rsid w:val="0DCB8771"/>
    <w:rsid w:val="0DD79DD0"/>
    <w:rsid w:val="0DDBE21B"/>
    <w:rsid w:val="0DDEDE84"/>
    <w:rsid w:val="0DF4F078"/>
    <w:rsid w:val="0E07A96B"/>
    <w:rsid w:val="0E17136D"/>
    <w:rsid w:val="0E1E885D"/>
    <w:rsid w:val="0E22AF07"/>
    <w:rsid w:val="0E347FC6"/>
    <w:rsid w:val="0E3EF38E"/>
    <w:rsid w:val="0E407DB9"/>
    <w:rsid w:val="0E45AE26"/>
    <w:rsid w:val="0E4C4C59"/>
    <w:rsid w:val="0E507A39"/>
    <w:rsid w:val="0E51204F"/>
    <w:rsid w:val="0E66202E"/>
    <w:rsid w:val="0E7262BF"/>
    <w:rsid w:val="0E747F3F"/>
    <w:rsid w:val="0E787F4B"/>
    <w:rsid w:val="0E811C3B"/>
    <w:rsid w:val="0E88F1FB"/>
    <w:rsid w:val="0EC0F86D"/>
    <w:rsid w:val="0EC7578F"/>
    <w:rsid w:val="0EC9AAB5"/>
    <w:rsid w:val="0ECC99A3"/>
    <w:rsid w:val="0ECD72F3"/>
    <w:rsid w:val="0ED0F7E0"/>
    <w:rsid w:val="0ED41EF3"/>
    <w:rsid w:val="0ED5F81F"/>
    <w:rsid w:val="0EEBC03B"/>
    <w:rsid w:val="0EEDDCB1"/>
    <w:rsid w:val="0F011B59"/>
    <w:rsid w:val="0F051611"/>
    <w:rsid w:val="0F1E0B66"/>
    <w:rsid w:val="0F253E16"/>
    <w:rsid w:val="0F34CEF9"/>
    <w:rsid w:val="0F364A96"/>
    <w:rsid w:val="0F56E36E"/>
    <w:rsid w:val="0F63189E"/>
    <w:rsid w:val="0F643536"/>
    <w:rsid w:val="0F723432"/>
    <w:rsid w:val="0F7C9BE0"/>
    <w:rsid w:val="0F7EE0C9"/>
    <w:rsid w:val="0F820914"/>
    <w:rsid w:val="0F83B9C6"/>
    <w:rsid w:val="0FA60E12"/>
    <w:rsid w:val="0FB9704C"/>
    <w:rsid w:val="0FBC46BB"/>
    <w:rsid w:val="0FC1A8BD"/>
    <w:rsid w:val="0FCE456F"/>
    <w:rsid w:val="0FD1136A"/>
    <w:rsid w:val="0FD33221"/>
    <w:rsid w:val="0FDDF67B"/>
    <w:rsid w:val="0FE0EEA2"/>
    <w:rsid w:val="0FF50110"/>
    <w:rsid w:val="0FFC36CB"/>
    <w:rsid w:val="0FFD119D"/>
    <w:rsid w:val="100051BB"/>
    <w:rsid w:val="1003008F"/>
    <w:rsid w:val="10078620"/>
    <w:rsid w:val="100BBF08"/>
    <w:rsid w:val="1013C71E"/>
    <w:rsid w:val="1019187D"/>
    <w:rsid w:val="102C0D15"/>
    <w:rsid w:val="102F6D38"/>
    <w:rsid w:val="103A6A42"/>
    <w:rsid w:val="1042BAE5"/>
    <w:rsid w:val="104C7EEB"/>
    <w:rsid w:val="10607F85"/>
    <w:rsid w:val="10791080"/>
    <w:rsid w:val="107E7BE8"/>
    <w:rsid w:val="107F5290"/>
    <w:rsid w:val="1086441C"/>
    <w:rsid w:val="108ADB1E"/>
    <w:rsid w:val="10984169"/>
    <w:rsid w:val="10B2C625"/>
    <w:rsid w:val="10B30264"/>
    <w:rsid w:val="10BE4F2C"/>
    <w:rsid w:val="10C75CD6"/>
    <w:rsid w:val="10E7A674"/>
    <w:rsid w:val="10F06D91"/>
    <w:rsid w:val="111C989D"/>
    <w:rsid w:val="111E2ECE"/>
    <w:rsid w:val="1122DDD0"/>
    <w:rsid w:val="1123368C"/>
    <w:rsid w:val="11389912"/>
    <w:rsid w:val="113BE3D5"/>
    <w:rsid w:val="113CF8E4"/>
    <w:rsid w:val="113CFD44"/>
    <w:rsid w:val="114C6F15"/>
    <w:rsid w:val="114EA582"/>
    <w:rsid w:val="11614349"/>
    <w:rsid w:val="11752F50"/>
    <w:rsid w:val="1176B078"/>
    <w:rsid w:val="119DD06D"/>
    <w:rsid w:val="11ADB5CC"/>
    <w:rsid w:val="11BA513E"/>
    <w:rsid w:val="11CAD4CA"/>
    <w:rsid w:val="11CF314B"/>
    <w:rsid w:val="11DFD104"/>
    <w:rsid w:val="11E62A70"/>
    <w:rsid w:val="11FC4F63"/>
    <w:rsid w:val="12183E3B"/>
    <w:rsid w:val="1223F50F"/>
    <w:rsid w:val="1228FDC2"/>
    <w:rsid w:val="1231E40E"/>
    <w:rsid w:val="123DBC9B"/>
    <w:rsid w:val="1245F99C"/>
    <w:rsid w:val="1252DDE5"/>
    <w:rsid w:val="1254184F"/>
    <w:rsid w:val="12557316"/>
    <w:rsid w:val="125724EF"/>
    <w:rsid w:val="125D056A"/>
    <w:rsid w:val="127972C1"/>
    <w:rsid w:val="128B159A"/>
    <w:rsid w:val="12921A56"/>
    <w:rsid w:val="12B53A05"/>
    <w:rsid w:val="12B85A09"/>
    <w:rsid w:val="12BCFB91"/>
    <w:rsid w:val="12C52EAD"/>
    <w:rsid w:val="12CA073A"/>
    <w:rsid w:val="12CAE514"/>
    <w:rsid w:val="12E1D319"/>
    <w:rsid w:val="12EC7927"/>
    <w:rsid w:val="12F03AF5"/>
    <w:rsid w:val="12F87124"/>
    <w:rsid w:val="12F9E7D2"/>
    <w:rsid w:val="12FA3712"/>
    <w:rsid w:val="1306865E"/>
    <w:rsid w:val="130A64AE"/>
    <w:rsid w:val="131AB43B"/>
    <w:rsid w:val="131BEC23"/>
    <w:rsid w:val="132BC4EB"/>
    <w:rsid w:val="1330A392"/>
    <w:rsid w:val="13334EE4"/>
    <w:rsid w:val="133AD4F4"/>
    <w:rsid w:val="1340D462"/>
    <w:rsid w:val="13439D5D"/>
    <w:rsid w:val="134BD30D"/>
    <w:rsid w:val="135EB6CA"/>
    <w:rsid w:val="136249E7"/>
    <w:rsid w:val="137067A3"/>
    <w:rsid w:val="1370D321"/>
    <w:rsid w:val="13916FD1"/>
    <w:rsid w:val="1392A457"/>
    <w:rsid w:val="139E0C48"/>
    <w:rsid w:val="139EE2CE"/>
    <w:rsid w:val="13B85807"/>
    <w:rsid w:val="13C69D56"/>
    <w:rsid w:val="13D84209"/>
    <w:rsid w:val="13DB3349"/>
    <w:rsid w:val="13EA1EE8"/>
    <w:rsid w:val="13EEF32F"/>
    <w:rsid w:val="13F379B9"/>
    <w:rsid w:val="13FDDB37"/>
    <w:rsid w:val="1403600D"/>
    <w:rsid w:val="14058D3F"/>
    <w:rsid w:val="1410BF58"/>
    <w:rsid w:val="1416758B"/>
    <w:rsid w:val="142378BC"/>
    <w:rsid w:val="14360B3F"/>
    <w:rsid w:val="1446809F"/>
    <w:rsid w:val="1459891B"/>
    <w:rsid w:val="145E89E6"/>
    <w:rsid w:val="14636521"/>
    <w:rsid w:val="146DC195"/>
    <w:rsid w:val="149A02AD"/>
    <w:rsid w:val="149AB228"/>
    <w:rsid w:val="14A189C1"/>
    <w:rsid w:val="14A3BB5A"/>
    <w:rsid w:val="14C0AA53"/>
    <w:rsid w:val="14C50E30"/>
    <w:rsid w:val="14CBAD69"/>
    <w:rsid w:val="14D1F67A"/>
    <w:rsid w:val="14D39490"/>
    <w:rsid w:val="14E2DA6C"/>
    <w:rsid w:val="14F7C6F6"/>
    <w:rsid w:val="1505D98D"/>
    <w:rsid w:val="150735E2"/>
    <w:rsid w:val="1507400D"/>
    <w:rsid w:val="150C5FF3"/>
    <w:rsid w:val="15159C67"/>
    <w:rsid w:val="1517A20D"/>
    <w:rsid w:val="1517E9FD"/>
    <w:rsid w:val="153703A8"/>
    <w:rsid w:val="153ADA71"/>
    <w:rsid w:val="153D5F94"/>
    <w:rsid w:val="1544B9BC"/>
    <w:rsid w:val="155BE40B"/>
    <w:rsid w:val="1560C836"/>
    <w:rsid w:val="157E204D"/>
    <w:rsid w:val="15911176"/>
    <w:rsid w:val="159F08A2"/>
    <w:rsid w:val="15D3BB13"/>
    <w:rsid w:val="15DD0EBC"/>
    <w:rsid w:val="15EBF23F"/>
    <w:rsid w:val="15F05A70"/>
    <w:rsid w:val="15F28379"/>
    <w:rsid w:val="15F75F3F"/>
    <w:rsid w:val="15F7658D"/>
    <w:rsid w:val="16001226"/>
    <w:rsid w:val="1603EF44"/>
    <w:rsid w:val="162DF9EB"/>
    <w:rsid w:val="1656D7B2"/>
    <w:rsid w:val="165E600B"/>
    <w:rsid w:val="165EB5A8"/>
    <w:rsid w:val="167901F6"/>
    <w:rsid w:val="167B9632"/>
    <w:rsid w:val="16815832"/>
    <w:rsid w:val="169001E3"/>
    <w:rsid w:val="16915610"/>
    <w:rsid w:val="16AB7EE2"/>
    <w:rsid w:val="16D6CA8E"/>
    <w:rsid w:val="16E8322A"/>
    <w:rsid w:val="17002B3E"/>
    <w:rsid w:val="171A67C8"/>
    <w:rsid w:val="171D12E7"/>
    <w:rsid w:val="1720CAE0"/>
    <w:rsid w:val="172A7FE7"/>
    <w:rsid w:val="1732B225"/>
    <w:rsid w:val="174EC574"/>
    <w:rsid w:val="17620490"/>
    <w:rsid w:val="17780231"/>
    <w:rsid w:val="17798016"/>
    <w:rsid w:val="17AE2FAF"/>
    <w:rsid w:val="17D1F24A"/>
    <w:rsid w:val="17D5D747"/>
    <w:rsid w:val="17DB72FC"/>
    <w:rsid w:val="17E0C891"/>
    <w:rsid w:val="1826D7A3"/>
    <w:rsid w:val="182DB9EE"/>
    <w:rsid w:val="18345367"/>
    <w:rsid w:val="1834D864"/>
    <w:rsid w:val="18374B2F"/>
    <w:rsid w:val="183BDF4E"/>
    <w:rsid w:val="1846153E"/>
    <w:rsid w:val="18726DCF"/>
    <w:rsid w:val="1878AB7C"/>
    <w:rsid w:val="18835285"/>
    <w:rsid w:val="18836B63"/>
    <w:rsid w:val="1885A01D"/>
    <w:rsid w:val="18A9D9D0"/>
    <w:rsid w:val="18AEFAFC"/>
    <w:rsid w:val="18B4DA55"/>
    <w:rsid w:val="18C162B1"/>
    <w:rsid w:val="18C69176"/>
    <w:rsid w:val="18C6B687"/>
    <w:rsid w:val="18CD32E1"/>
    <w:rsid w:val="18E03D22"/>
    <w:rsid w:val="18E27C7C"/>
    <w:rsid w:val="18E65963"/>
    <w:rsid w:val="18E67D12"/>
    <w:rsid w:val="18EDAA87"/>
    <w:rsid w:val="18EEF2E2"/>
    <w:rsid w:val="1925223A"/>
    <w:rsid w:val="1943A68B"/>
    <w:rsid w:val="1943C936"/>
    <w:rsid w:val="194B9124"/>
    <w:rsid w:val="1963435F"/>
    <w:rsid w:val="196361A1"/>
    <w:rsid w:val="19645A18"/>
    <w:rsid w:val="19738951"/>
    <w:rsid w:val="1975F73E"/>
    <w:rsid w:val="1981EEFB"/>
    <w:rsid w:val="19866839"/>
    <w:rsid w:val="199B7F95"/>
    <w:rsid w:val="19A2A0B1"/>
    <w:rsid w:val="19B32D70"/>
    <w:rsid w:val="19B45380"/>
    <w:rsid w:val="19B5354B"/>
    <w:rsid w:val="19C693D8"/>
    <w:rsid w:val="19F497AE"/>
    <w:rsid w:val="19F61DD0"/>
    <w:rsid w:val="1A062042"/>
    <w:rsid w:val="1A34829D"/>
    <w:rsid w:val="1A5F4B34"/>
    <w:rsid w:val="1A652017"/>
    <w:rsid w:val="1A6DA597"/>
    <w:rsid w:val="1A77AC90"/>
    <w:rsid w:val="1A7B47CE"/>
    <w:rsid w:val="1AA17284"/>
    <w:rsid w:val="1AA28149"/>
    <w:rsid w:val="1AAE7830"/>
    <w:rsid w:val="1ABD801C"/>
    <w:rsid w:val="1AE2E39D"/>
    <w:rsid w:val="1AE39DC0"/>
    <w:rsid w:val="1AFE5706"/>
    <w:rsid w:val="1B097034"/>
    <w:rsid w:val="1B29F627"/>
    <w:rsid w:val="1B3274E7"/>
    <w:rsid w:val="1B37B6B5"/>
    <w:rsid w:val="1B475929"/>
    <w:rsid w:val="1B4A872F"/>
    <w:rsid w:val="1B79917F"/>
    <w:rsid w:val="1B86F5C9"/>
    <w:rsid w:val="1B9377BA"/>
    <w:rsid w:val="1BB50D69"/>
    <w:rsid w:val="1BBE45D3"/>
    <w:rsid w:val="1BC0707D"/>
    <w:rsid w:val="1BC29A30"/>
    <w:rsid w:val="1BC7CDB2"/>
    <w:rsid w:val="1BCC997B"/>
    <w:rsid w:val="1BD8D3AF"/>
    <w:rsid w:val="1BE68EF3"/>
    <w:rsid w:val="1BEC79EC"/>
    <w:rsid w:val="1BF59C5C"/>
    <w:rsid w:val="1BF6E636"/>
    <w:rsid w:val="1BF8977F"/>
    <w:rsid w:val="1BF9B00B"/>
    <w:rsid w:val="1C048116"/>
    <w:rsid w:val="1C20FBA1"/>
    <w:rsid w:val="1C51BE45"/>
    <w:rsid w:val="1C548B95"/>
    <w:rsid w:val="1C7D9B24"/>
    <w:rsid w:val="1C8782FF"/>
    <w:rsid w:val="1C95A401"/>
    <w:rsid w:val="1C9797E7"/>
    <w:rsid w:val="1CB4965C"/>
    <w:rsid w:val="1CB674E5"/>
    <w:rsid w:val="1CC5C9B3"/>
    <w:rsid w:val="1CC8378A"/>
    <w:rsid w:val="1CD0BF5F"/>
    <w:rsid w:val="1CDD9689"/>
    <w:rsid w:val="1CEB5850"/>
    <w:rsid w:val="1CF8C270"/>
    <w:rsid w:val="1D015CCD"/>
    <w:rsid w:val="1D028783"/>
    <w:rsid w:val="1D35884C"/>
    <w:rsid w:val="1D35C4F8"/>
    <w:rsid w:val="1D3A6B8E"/>
    <w:rsid w:val="1D42B1F4"/>
    <w:rsid w:val="1D47B215"/>
    <w:rsid w:val="1D549AEC"/>
    <w:rsid w:val="1D5A238D"/>
    <w:rsid w:val="1D5D16A2"/>
    <w:rsid w:val="1D5E912B"/>
    <w:rsid w:val="1D659DB4"/>
    <w:rsid w:val="1D7CA3FF"/>
    <w:rsid w:val="1D848218"/>
    <w:rsid w:val="1D975FAF"/>
    <w:rsid w:val="1D9BC97C"/>
    <w:rsid w:val="1DAE5BE6"/>
    <w:rsid w:val="1DBE1B3D"/>
    <w:rsid w:val="1DC4596A"/>
    <w:rsid w:val="1DD35746"/>
    <w:rsid w:val="1DEDD932"/>
    <w:rsid w:val="1E2A7963"/>
    <w:rsid w:val="1E2BD588"/>
    <w:rsid w:val="1E36C0A8"/>
    <w:rsid w:val="1E43A58E"/>
    <w:rsid w:val="1E4CD0A2"/>
    <w:rsid w:val="1E579DE9"/>
    <w:rsid w:val="1E6578C0"/>
    <w:rsid w:val="1E6B55E2"/>
    <w:rsid w:val="1E89268A"/>
    <w:rsid w:val="1EA1185A"/>
    <w:rsid w:val="1EA60804"/>
    <w:rsid w:val="1EB66813"/>
    <w:rsid w:val="1ECC02D9"/>
    <w:rsid w:val="1ED09A84"/>
    <w:rsid w:val="1ED25FBD"/>
    <w:rsid w:val="1EDEFB38"/>
    <w:rsid w:val="1EE46E96"/>
    <w:rsid w:val="1EE4A470"/>
    <w:rsid w:val="1EE71ABB"/>
    <w:rsid w:val="1EE875D6"/>
    <w:rsid w:val="1EF50858"/>
    <w:rsid w:val="1EF7DB65"/>
    <w:rsid w:val="1EFC75D3"/>
    <w:rsid w:val="1F0F012C"/>
    <w:rsid w:val="1F0F738A"/>
    <w:rsid w:val="1F202122"/>
    <w:rsid w:val="1F2FAD10"/>
    <w:rsid w:val="1F35F1C9"/>
    <w:rsid w:val="1F3653E1"/>
    <w:rsid w:val="1F3744B9"/>
    <w:rsid w:val="1F3DA1E8"/>
    <w:rsid w:val="1F3E0EF5"/>
    <w:rsid w:val="1F3EB554"/>
    <w:rsid w:val="1F5A94F5"/>
    <w:rsid w:val="1F651C67"/>
    <w:rsid w:val="1F775D63"/>
    <w:rsid w:val="1F809990"/>
    <w:rsid w:val="1F8461D7"/>
    <w:rsid w:val="1F9DAE08"/>
    <w:rsid w:val="1FA23B38"/>
    <w:rsid w:val="1FA60D41"/>
    <w:rsid w:val="1FB0056A"/>
    <w:rsid w:val="1FC330B5"/>
    <w:rsid w:val="1FC8DE10"/>
    <w:rsid w:val="1FF10C11"/>
    <w:rsid w:val="1FF6D873"/>
    <w:rsid w:val="1FFE1A37"/>
    <w:rsid w:val="200B2201"/>
    <w:rsid w:val="200BA663"/>
    <w:rsid w:val="20122085"/>
    <w:rsid w:val="202136ED"/>
    <w:rsid w:val="20262009"/>
    <w:rsid w:val="20265043"/>
    <w:rsid w:val="202926A9"/>
    <w:rsid w:val="202DCC21"/>
    <w:rsid w:val="203DE22F"/>
    <w:rsid w:val="20440117"/>
    <w:rsid w:val="2044C709"/>
    <w:rsid w:val="2044C7D2"/>
    <w:rsid w:val="2063406F"/>
    <w:rsid w:val="206E3F18"/>
    <w:rsid w:val="206F122F"/>
    <w:rsid w:val="2079C8B4"/>
    <w:rsid w:val="209FB603"/>
    <w:rsid w:val="20C69ED0"/>
    <w:rsid w:val="20C83189"/>
    <w:rsid w:val="20CE45DC"/>
    <w:rsid w:val="20CE6999"/>
    <w:rsid w:val="20F332AF"/>
    <w:rsid w:val="20F9BF9F"/>
    <w:rsid w:val="20FE0735"/>
    <w:rsid w:val="20FEDED6"/>
    <w:rsid w:val="2124681C"/>
    <w:rsid w:val="21256EDC"/>
    <w:rsid w:val="21265622"/>
    <w:rsid w:val="21277B95"/>
    <w:rsid w:val="215C2639"/>
    <w:rsid w:val="21776226"/>
    <w:rsid w:val="21785AD2"/>
    <w:rsid w:val="217C265E"/>
    <w:rsid w:val="218694BC"/>
    <w:rsid w:val="218B21B1"/>
    <w:rsid w:val="218E1DEC"/>
    <w:rsid w:val="218E650F"/>
    <w:rsid w:val="2193038E"/>
    <w:rsid w:val="2197598C"/>
    <w:rsid w:val="21CA53C6"/>
    <w:rsid w:val="21D9B481"/>
    <w:rsid w:val="21FE5A83"/>
    <w:rsid w:val="21FEBCD1"/>
    <w:rsid w:val="2202A01B"/>
    <w:rsid w:val="22055503"/>
    <w:rsid w:val="220887DD"/>
    <w:rsid w:val="2209BA27"/>
    <w:rsid w:val="220C972B"/>
    <w:rsid w:val="221D6818"/>
    <w:rsid w:val="22291AFD"/>
    <w:rsid w:val="22323865"/>
    <w:rsid w:val="2251F565"/>
    <w:rsid w:val="2256BFBB"/>
    <w:rsid w:val="2257C3D9"/>
    <w:rsid w:val="22611626"/>
    <w:rsid w:val="22818799"/>
    <w:rsid w:val="228D5005"/>
    <w:rsid w:val="2299A370"/>
    <w:rsid w:val="229B1F0A"/>
    <w:rsid w:val="22AF5821"/>
    <w:rsid w:val="22BFEBB5"/>
    <w:rsid w:val="22CDDC90"/>
    <w:rsid w:val="22DD1815"/>
    <w:rsid w:val="2300B703"/>
    <w:rsid w:val="2316AB56"/>
    <w:rsid w:val="233B5BD1"/>
    <w:rsid w:val="23528B14"/>
    <w:rsid w:val="23572CD2"/>
    <w:rsid w:val="23596569"/>
    <w:rsid w:val="23618E1F"/>
    <w:rsid w:val="2365668D"/>
    <w:rsid w:val="236E74E5"/>
    <w:rsid w:val="237FD8D0"/>
    <w:rsid w:val="23804710"/>
    <w:rsid w:val="239C441A"/>
    <w:rsid w:val="23ACFE0A"/>
    <w:rsid w:val="23C29E4D"/>
    <w:rsid w:val="23D0242D"/>
    <w:rsid w:val="23D09672"/>
    <w:rsid w:val="23DF6594"/>
    <w:rsid w:val="23EC7AAF"/>
    <w:rsid w:val="23EDB9E7"/>
    <w:rsid w:val="23F48027"/>
    <w:rsid w:val="23FBB5CA"/>
    <w:rsid w:val="23FEF62A"/>
    <w:rsid w:val="24055587"/>
    <w:rsid w:val="2411DAE5"/>
    <w:rsid w:val="24164E33"/>
    <w:rsid w:val="2416A094"/>
    <w:rsid w:val="242036F0"/>
    <w:rsid w:val="24356587"/>
    <w:rsid w:val="243B7294"/>
    <w:rsid w:val="244A9A43"/>
    <w:rsid w:val="2450F21F"/>
    <w:rsid w:val="246A7B4A"/>
    <w:rsid w:val="2473F23B"/>
    <w:rsid w:val="2475B44C"/>
    <w:rsid w:val="2475CEFE"/>
    <w:rsid w:val="248715AA"/>
    <w:rsid w:val="248BD13E"/>
    <w:rsid w:val="24958D28"/>
    <w:rsid w:val="24CCB21D"/>
    <w:rsid w:val="24DAEC43"/>
    <w:rsid w:val="24DB9386"/>
    <w:rsid w:val="24DD4466"/>
    <w:rsid w:val="24E3EBE8"/>
    <w:rsid w:val="24EE1DB8"/>
    <w:rsid w:val="25046E8F"/>
    <w:rsid w:val="253B2BD3"/>
    <w:rsid w:val="253CF6BD"/>
    <w:rsid w:val="253EF163"/>
    <w:rsid w:val="2541A149"/>
    <w:rsid w:val="254392BB"/>
    <w:rsid w:val="2548061B"/>
    <w:rsid w:val="255FA369"/>
    <w:rsid w:val="2565BD39"/>
    <w:rsid w:val="2594031E"/>
    <w:rsid w:val="259A599F"/>
    <w:rsid w:val="259B040C"/>
    <w:rsid w:val="25A06D8F"/>
    <w:rsid w:val="25A0EFC3"/>
    <w:rsid w:val="25B4C451"/>
    <w:rsid w:val="25B9C9C7"/>
    <w:rsid w:val="25BBFC65"/>
    <w:rsid w:val="25BC5278"/>
    <w:rsid w:val="25C12BED"/>
    <w:rsid w:val="25D6C874"/>
    <w:rsid w:val="25DD20F6"/>
    <w:rsid w:val="25F0A253"/>
    <w:rsid w:val="25FB709D"/>
    <w:rsid w:val="25FC6FF8"/>
    <w:rsid w:val="2600633D"/>
    <w:rsid w:val="260FC0CD"/>
    <w:rsid w:val="2614DFB4"/>
    <w:rsid w:val="2617F0E1"/>
    <w:rsid w:val="26280DE6"/>
    <w:rsid w:val="262C946D"/>
    <w:rsid w:val="26318907"/>
    <w:rsid w:val="26371E30"/>
    <w:rsid w:val="2639CBF3"/>
    <w:rsid w:val="2640796A"/>
    <w:rsid w:val="264C6985"/>
    <w:rsid w:val="2656B4AD"/>
    <w:rsid w:val="2656C216"/>
    <w:rsid w:val="265BF134"/>
    <w:rsid w:val="266158F7"/>
    <w:rsid w:val="26631514"/>
    <w:rsid w:val="266EBA57"/>
    <w:rsid w:val="267319F3"/>
    <w:rsid w:val="2687F07D"/>
    <w:rsid w:val="2699E823"/>
    <w:rsid w:val="26A80248"/>
    <w:rsid w:val="26B6A791"/>
    <w:rsid w:val="26D4299D"/>
    <w:rsid w:val="26E4EA5E"/>
    <w:rsid w:val="26EAB935"/>
    <w:rsid w:val="26EE17E3"/>
    <w:rsid w:val="26F8F53A"/>
    <w:rsid w:val="27318442"/>
    <w:rsid w:val="2743057F"/>
    <w:rsid w:val="275138A9"/>
    <w:rsid w:val="27578C14"/>
    <w:rsid w:val="27610BC0"/>
    <w:rsid w:val="276AB491"/>
    <w:rsid w:val="2774A33B"/>
    <w:rsid w:val="2787602D"/>
    <w:rsid w:val="278CA135"/>
    <w:rsid w:val="27929A40"/>
    <w:rsid w:val="27990C16"/>
    <w:rsid w:val="279E11BA"/>
    <w:rsid w:val="27A6C9D5"/>
    <w:rsid w:val="27C1E5A9"/>
    <w:rsid w:val="27C6CE49"/>
    <w:rsid w:val="27CAF4EA"/>
    <w:rsid w:val="27CD7902"/>
    <w:rsid w:val="27D225B1"/>
    <w:rsid w:val="27E30288"/>
    <w:rsid w:val="27F124FD"/>
    <w:rsid w:val="27F4139A"/>
    <w:rsid w:val="27F8F311"/>
    <w:rsid w:val="27F9C0EE"/>
    <w:rsid w:val="2803DF98"/>
    <w:rsid w:val="2807C891"/>
    <w:rsid w:val="280AB0F3"/>
    <w:rsid w:val="2823243A"/>
    <w:rsid w:val="2828F87E"/>
    <w:rsid w:val="282A4201"/>
    <w:rsid w:val="282F4659"/>
    <w:rsid w:val="28345921"/>
    <w:rsid w:val="283D84B8"/>
    <w:rsid w:val="283F5B4D"/>
    <w:rsid w:val="28430F59"/>
    <w:rsid w:val="284726DA"/>
    <w:rsid w:val="284977CC"/>
    <w:rsid w:val="2852283D"/>
    <w:rsid w:val="286AA723"/>
    <w:rsid w:val="286CE954"/>
    <w:rsid w:val="287BF3B8"/>
    <w:rsid w:val="287EAB0B"/>
    <w:rsid w:val="2888E6ED"/>
    <w:rsid w:val="288EB2F0"/>
    <w:rsid w:val="2896775D"/>
    <w:rsid w:val="28AE0296"/>
    <w:rsid w:val="290A5D73"/>
    <w:rsid w:val="292223B4"/>
    <w:rsid w:val="2927191A"/>
    <w:rsid w:val="2931D237"/>
    <w:rsid w:val="29569882"/>
    <w:rsid w:val="2956A85C"/>
    <w:rsid w:val="29586CD5"/>
    <w:rsid w:val="29789BEB"/>
    <w:rsid w:val="29955768"/>
    <w:rsid w:val="299D7B8E"/>
    <w:rsid w:val="29A0052D"/>
    <w:rsid w:val="29A193DB"/>
    <w:rsid w:val="29A20001"/>
    <w:rsid w:val="29B96914"/>
    <w:rsid w:val="29CAE5AC"/>
    <w:rsid w:val="29D37326"/>
    <w:rsid w:val="29D42BB5"/>
    <w:rsid w:val="29DBD17C"/>
    <w:rsid w:val="29E1DBDE"/>
    <w:rsid w:val="29FB35B6"/>
    <w:rsid w:val="29FEBBCF"/>
    <w:rsid w:val="2A024B1A"/>
    <w:rsid w:val="2A154820"/>
    <w:rsid w:val="2A22EFE3"/>
    <w:rsid w:val="2A2988AD"/>
    <w:rsid w:val="2A3F8506"/>
    <w:rsid w:val="2A421E4C"/>
    <w:rsid w:val="2A453A9A"/>
    <w:rsid w:val="2A48FBF4"/>
    <w:rsid w:val="2A4AAFE3"/>
    <w:rsid w:val="2A629D02"/>
    <w:rsid w:val="2A630004"/>
    <w:rsid w:val="2A679DAA"/>
    <w:rsid w:val="2A7BF0F7"/>
    <w:rsid w:val="2A855CD1"/>
    <w:rsid w:val="2A8B2AEB"/>
    <w:rsid w:val="2A935D99"/>
    <w:rsid w:val="2A978EAA"/>
    <w:rsid w:val="2AAE93BD"/>
    <w:rsid w:val="2AAF070F"/>
    <w:rsid w:val="2AB1C864"/>
    <w:rsid w:val="2ACD23B6"/>
    <w:rsid w:val="2AE1272E"/>
    <w:rsid w:val="2AEC5B5F"/>
    <w:rsid w:val="2AEFD10F"/>
    <w:rsid w:val="2AF468A6"/>
    <w:rsid w:val="2B0EB545"/>
    <w:rsid w:val="2B1408A6"/>
    <w:rsid w:val="2B16FB43"/>
    <w:rsid w:val="2B21E6E1"/>
    <w:rsid w:val="2B2B26DE"/>
    <w:rsid w:val="2B3477F8"/>
    <w:rsid w:val="2B407412"/>
    <w:rsid w:val="2B4A6D5B"/>
    <w:rsid w:val="2B6A43EB"/>
    <w:rsid w:val="2B6C4619"/>
    <w:rsid w:val="2B720C82"/>
    <w:rsid w:val="2B88FE91"/>
    <w:rsid w:val="2B89BA1D"/>
    <w:rsid w:val="2B8A3B6B"/>
    <w:rsid w:val="2B8EFDE4"/>
    <w:rsid w:val="2BA7068F"/>
    <w:rsid w:val="2BC6A506"/>
    <w:rsid w:val="2BD2A5FC"/>
    <w:rsid w:val="2BEA1728"/>
    <w:rsid w:val="2BED2644"/>
    <w:rsid w:val="2BF2DFCE"/>
    <w:rsid w:val="2C06D6F8"/>
    <w:rsid w:val="2C221C22"/>
    <w:rsid w:val="2C3862DF"/>
    <w:rsid w:val="2C57C4FE"/>
    <w:rsid w:val="2C7057B1"/>
    <w:rsid w:val="2C787C0F"/>
    <w:rsid w:val="2C833D64"/>
    <w:rsid w:val="2C8F96EB"/>
    <w:rsid w:val="2C95E3E6"/>
    <w:rsid w:val="2C986C74"/>
    <w:rsid w:val="2CA74197"/>
    <w:rsid w:val="2CA7982E"/>
    <w:rsid w:val="2CAB9859"/>
    <w:rsid w:val="2CBDA34C"/>
    <w:rsid w:val="2CC25657"/>
    <w:rsid w:val="2CD530A9"/>
    <w:rsid w:val="2CE5029A"/>
    <w:rsid w:val="2CE99616"/>
    <w:rsid w:val="2CF000F8"/>
    <w:rsid w:val="2CF7341A"/>
    <w:rsid w:val="2D105760"/>
    <w:rsid w:val="2D3957F7"/>
    <w:rsid w:val="2D3A5B6E"/>
    <w:rsid w:val="2D3D12BB"/>
    <w:rsid w:val="2D48F45E"/>
    <w:rsid w:val="2D5EC947"/>
    <w:rsid w:val="2D6899A9"/>
    <w:rsid w:val="2D6DE227"/>
    <w:rsid w:val="2D6E44A5"/>
    <w:rsid w:val="2D784490"/>
    <w:rsid w:val="2D7BD3E9"/>
    <w:rsid w:val="2D842D5C"/>
    <w:rsid w:val="2D93DB96"/>
    <w:rsid w:val="2D9876C8"/>
    <w:rsid w:val="2D9F1044"/>
    <w:rsid w:val="2DB0D7F2"/>
    <w:rsid w:val="2DB5001A"/>
    <w:rsid w:val="2DB811BF"/>
    <w:rsid w:val="2DD88C0E"/>
    <w:rsid w:val="2DEBBBBD"/>
    <w:rsid w:val="2E186C12"/>
    <w:rsid w:val="2E1D1320"/>
    <w:rsid w:val="2E354EB5"/>
    <w:rsid w:val="2E35BC36"/>
    <w:rsid w:val="2E37A93E"/>
    <w:rsid w:val="2E3F49F9"/>
    <w:rsid w:val="2E46670A"/>
    <w:rsid w:val="2E55E1D9"/>
    <w:rsid w:val="2E70EE35"/>
    <w:rsid w:val="2E791811"/>
    <w:rsid w:val="2E815C38"/>
    <w:rsid w:val="2E8CDEDC"/>
    <w:rsid w:val="2E99F1EB"/>
    <w:rsid w:val="2EA25B29"/>
    <w:rsid w:val="2EA3D2B8"/>
    <w:rsid w:val="2EA4ADC4"/>
    <w:rsid w:val="2EAF082E"/>
    <w:rsid w:val="2EC08B73"/>
    <w:rsid w:val="2EC640E9"/>
    <w:rsid w:val="2EC7CE94"/>
    <w:rsid w:val="2ED82D9F"/>
    <w:rsid w:val="2EEB7E6A"/>
    <w:rsid w:val="2EF338AD"/>
    <w:rsid w:val="2EF425B8"/>
    <w:rsid w:val="2EF569DA"/>
    <w:rsid w:val="2EFBCC91"/>
    <w:rsid w:val="2F1E2F05"/>
    <w:rsid w:val="2F414813"/>
    <w:rsid w:val="2F4E0A3D"/>
    <w:rsid w:val="2F4FA26D"/>
    <w:rsid w:val="2F58FE12"/>
    <w:rsid w:val="2F66F594"/>
    <w:rsid w:val="2F697D6D"/>
    <w:rsid w:val="2F898A92"/>
    <w:rsid w:val="2F8C8B02"/>
    <w:rsid w:val="2F904E78"/>
    <w:rsid w:val="2F941329"/>
    <w:rsid w:val="2F951545"/>
    <w:rsid w:val="2F971BEE"/>
    <w:rsid w:val="2FAD91D9"/>
    <w:rsid w:val="2FAD924A"/>
    <w:rsid w:val="2FAFEFF7"/>
    <w:rsid w:val="2FB0EAFA"/>
    <w:rsid w:val="2FB3FE70"/>
    <w:rsid w:val="2FC2AEB8"/>
    <w:rsid w:val="2FC930A8"/>
    <w:rsid w:val="2FCA8019"/>
    <w:rsid w:val="2FCBFD83"/>
    <w:rsid w:val="2FCE7D4F"/>
    <w:rsid w:val="2FD725AC"/>
    <w:rsid w:val="2FDFFBDC"/>
    <w:rsid w:val="2FE4FCD3"/>
    <w:rsid w:val="2FE7E9F2"/>
    <w:rsid w:val="2FF28105"/>
    <w:rsid w:val="30060113"/>
    <w:rsid w:val="30105D62"/>
    <w:rsid w:val="30193D0A"/>
    <w:rsid w:val="3033115B"/>
    <w:rsid w:val="3051CEFD"/>
    <w:rsid w:val="305FE17B"/>
    <w:rsid w:val="3064DB66"/>
    <w:rsid w:val="308101F9"/>
    <w:rsid w:val="3086A7AE"/>
    <w:rsid w:val="308A8149"/>
    <w:rsid w:val="308C0147"/>
    <w:rsid w:val="3092E200"/>
    <w:rsid w:val="30A6329D"/>
    <w:rsid w:val="30B018DF"/>
    <w:rsid w:val="30B35388"/>
    <w:rsid w:val="30B8AE23"/>
    <w:rsid w:val="30BA7281"/>
    <w:rsid w:val="30C2910F"/>
    <w:rsid w:val="30CC38D5"/>
    <w:rsid w:val="30E21E5E"/>
    <w:rsid w:val="30F94A7D"/>
    <w:rsid w:val="3115CDA3"/>
    <w:rsid w:val="311C44B7"/>
    <w:rsid w:val="311F666B"/>
    <w:rsid w:val="313517D6"/>
    <w:rsid w:val="314B1A4B"/>
    <w:rsid w:val="314F58FD"/>
    <w:rsid w:val="316357C1"/>
    <w:rsid w:val="316DFB64"/>
    <w:rsid w:val="317B2F27"/>
    <w:rsid w:val="31921452"/>
    <w:rsid w:val="319B3BA3"/>
    <w:rsid w:val="319D4D9A"/>
    <w:rsid w:val="31A1B822"/>
    <w:rsid w:val="31A50311"/>
    <w:rsid w:val="31A63860"/>
    <w:rsid w:val="31AF0016"/>
    <w:rsid w:val="31BCA3C4"/>
    <w:rsid w:val="31BD5479"/>
    <w:rsid w:val="31C50394"/>
    <w:rsid w:val="31C7F39F"/>
    <w:rsid w:val="31CD5789"/>
    <w:rsid w:val="31D30191"/>
    <w:rsid w:val="31DA4301"/>
    <w:rsid w:val="31DA8433"/>
    <w:rsid w:val="31E5F93A"/>
    <w:rsid w:val="31F239F0"/>
    <w:rsid w:val="32051E20"/>
    <w:rsid w:val="3228BF4B"/>
    <w:rsid w:val="323EE964"/>
    <w:rsid w:val="3244496D"/>
    <w:rsid w:val="324C5043"/>
    <w:rsid w:val="324D9EE4"/>
    <w:rsid w:val="324EFC16"/>
    <w:rsid w:val="324F92B6"/>
    <w:rsid w:val="3276B3C1"/>
    <w:rsid w:val="327CB630"/>
    <w:rsid w:val="32842975"/>
    <w:rsid w:val="32897101"/>
    <w:rsid w:val="328F1A9F"/>
    <w:rsid w:val="32A4DB93"/>
    <w:rsid w:val="32AD3F68"/>
    <w:rsid w:val="32AF7BE1"/>
    <w:rsid w:val="32B02EF8"/>
    <w:rsid w:val="32B3F018"/>
    <w:rsid w:val="32B5BD6A"/>
    <w:rsid w:val="32C3A189"/>
    <w:rsid w:val="32D09FD1"/>
    <w:rsid w:val="32D26512"/>
    <w:rsid w:val="32D63D38"/>
    <w:rsid w:val="32E1F54A"/>
    <w:rsid w:val="32F5B7C4"/>
    <w:rsid w:val="32F74D6D"/>
    <w:rsid w:val="3300833A"/>
    <w:rsid w:val="33058DC2"/>
    <w:rsid w:val="33183DA6"/>
    <w:rsid w:val="332B2EED"/>
    <w:rsid w:val="3337301B"/>
    <w:rsid w:val="3339F2E2"/>
    <w:rsid w:val="334B9D76"/>
    <w:rsid w:val="334BBF58"/>
    <w:rsid w:val="33593EC3"/>
    <w:rsid w:val="33639BDA"/>
    <w:rsid w:val="33673F8C"/>
    <w:rsid w:val="3370195A"/>
    <w:rsid w:val="33706DB1"/>
    <w:rsid w:val="3371749E"/>
    <w:rsid w:val="33754957"/>
    <w:rsid w:val="3378D70F"/>
    <w:rsid w:val="337DB14F"/>
    <w:rsid w:val="337F3C6E"/>
    <w:rsid w:val="33B9B5D3"/>
    <w:rsid w:val="33BCA1A1"/>
    <w:rsid w:val="33BCA659"/>
    <w:rsid w:val="33DC7BC7"/>
    <w:rsid w:val="33E21717"/>
    <w:rsid w:val="33E410D5"/>
    <w:rsid w:val="33F6D5FE"/>
    <w:rsid w:val="3402D9ED"/>
    <w:rsid w:val="3411BBF0"/>
    <w:rsid w:val="341551D7"/>
    <w:rsid w:val="341A2166"/>
    <w:rsid w:val="341D37D5"/>
    <w:rsid w:val="343583B3"/>
    <w:rsid w:val="343F79EA"/>
    <w:rsid w:val="34407766"/>
    <w:rsid w:val="34460D03"/>
    <w:rsid w:val="3460AC5B"/>
    <w:rsid w:val="34672A78"/>
    <w:rsid w:val="3468FAF9"/>
    <w:rsid w:val="346C2144"/>
    <w:rsid w:val="346E43A3"/>
    <w:rsid w:val="3473557F"/>
    <w:rsid w:val="347D28EA"/>
    <w:rsid w:val="348121EF"/>
    <w:rsid w:val="348B78CC"/>
    <w:rsid w:val="34933A25"/>
    <w:rsid w:val="349739D1"/>
    <w:rsid w:val="34A5CED1"/>
    <w:rsid w:val="34B619FF"/>
    <w:rsid w:val="34E01BA5"/>
    <w:rsid w:val="34F7FCCB"/>
    <w:rsid w:val="34FD4D15"/>
    <w:rsid w:val="35006384"/>
    <w:rsid w:val="35142456"/>
    <w:rsid w:val="35305ECB"/>
    <w:rsid w:val="353A7948"/>
    <w:rsid w:val="353E41E5"/>
    <w:rsid w:val="35406056"/>
    <w:rsid w:val="354B53FF"/>
    <w:rsid w:val="354CF435"/>
    <w:rsid w:val="354E78FE"/>
    <w:rsid w:val="354EE1FA"/>
    <w:rsid w:val="35544325"/>
    <w:rsid w:val="35649514"/>
    <w:rsid w:val="3570D92E"/>
    <w:rsid w:val="3572DD74"/>
    <w:rsid w:val="35762AB2"/>
    <w:rsid w:val="357A0B8A"/>
    <w:rsid w:val="35A72559"/>
    <w:rsid w:val="35CF491D"/>
    <w:rsid w:val="35ECFCB3"/>
    <w:rsid w:val="35EEEB8C"/>
    <w:rsid w:val="35F1CFE4"/>
    <w:rsid w:val="3601683A"/>
    <w:rsid w:val="36035951"/>
    <w:rsid w:val="361C979F"/>
    <w:rsid w:val="36223889"/>
    <w:rsid w:val="36254015"/>
    <w:rsid w:val="3625DF79"/>
    <w:rsid w:val="362A0F2A"/>
    <w:rsid w:val="362AF27C"/>
    <w:rsid w:val="362EA455"/>
    <w:rsid w:val="3630EE3D"/>
    <w:rsid w:val="3634D64E"/>
    <w:rsid w:val="363A1A4A"/>
    <w:rsid w:val="363A7515"/>
    <w:rsid w:val="36400ADC"/>
    <w:rsid w:val="364A7470"/>
    <w:rsid w:val="365C0538"/>
    <w:rsid w:val="36601B27"/>
    <w:rsid w:val="366135C4"/>
    <w:rsid w:val="366B3757"/>
    <w:rsid w:val="366B37EC"/>
    <w:rsid w:val="36709497"/>
    <w:rsid w:val="367AC7E7"/>
    <w:rsid w:val="367DEA9F"/>
    <w:rsid w:val="36873568"/>
    <w:rsid w:val="36885866"/>
    <w:rsid w:val="368875A8"/>
    <w:rsid w:val="368B04FB"/>
    <w:rsid w:val="368BC67B"/>
    <w:rsid w:val="368BCA13"/>
    <w:rsid w:val="368DB595"/>
    <w:rsid w:val="369461B1"/>
    <w:rsid w:val="36AB8837"/>
    <w:rsid w:val="36ABD8EA"/>
    <w:rsid w:val="36BD9405"/>
    <w:rsid w:val="36C0624A"/>
    <w:rsid w:val="36DD14C0"/>
    <w:rsid w:val="36E0D8FC"/>
    <w:rsid w:val="36E11207"/>
    <w:rsid w:val="36EA5B80"/>
    <w:rsid w:val="36F41AC8"/>
    <w:rsid w:val="36FDE800"/>
    <w:rsid w:val="36FE52F1"/>
    <w:rsid w:val="3708BABE"/>
    <w:rsid w:val="370A9AED"/>
    <w:rsid w:val="370B3731"/>
    <w:rsid w:val="37398DAD"/>
    <w:rsid w:val="3744A825"/>
    <w:rsid w:val="3751B4D0"/>
    <w:rsid w:val="37569DEC"/>
    <w:rsid w:val="3758A4F6"/>
    <w:rsid w:val="3758F6DA"/>
    <w:rsid w:val="375D1C89"/>
    <w:rsid w:val="3763335A"/>
    <w:rsid w:val="376EB76A"/>
    <w:rsid w:val="377C7DF9"/>
    <w:rsid w:val="377D833D"/>
    <w:rsid w:val="378611A0"/>
    <w:rsid w:val="378CF32C"/>
    <w:rsid w:val="37936CD0"/>
    <w:rsid w:val="37943A13"/>
    <w:rsid w:val="3799E52D"/>
    <w:rsid w:val="379A2FCB"/>
    <w:rsid w:val="37A327C6"/>
    <w:rsid w:val="37A9CFA5"/>
    <w:rsid w:val="37B0EFED"/>
    <w:rsid w:val="37C294E2"/>
    <w:rsid w:val="37D3F7BD"/>
    <w:rsid w:val="37DC46F1"/>
    <w:rsid w:val="37E58998"/>
    <w:rsid w:val="37E73F87"/>
    <w:rsid w:val="37EF3B2F"/>
    <w:rsid w:val="37FCE3C2"/>
    <w:rsid w:val="380CAB68"/>
    <w:rsid w:val="3815F719"/>
    <w:rsid w:val="38262AA5"/>
    <w:rsid w:val="38326982"/>
    <w:rsid w:val="3838A7D8"/>
    <w:rsid w:val="3841D395"/>
    <w:rsid w:val="384FA242"/>
    <w:rsid w:val="3851E0AE"/>
    <w:rsid w:val="385AEF90"/>
    <w:rsid w:val="3865A71E"/>
    <w:rsid w:val="386C0AB7"/>
    <w:rsid w:val="3872853D"/>
    <w:rsid w:val="3875CB43"/>
    <w:rsid w:val="387D9160"/>
    <w:rsid w:val="388794B7"/>
    <w:rsid w:val="3891110A"/>
    <w:rsid w:val="389F5D4C"/>
    <w:rsid w:val="38AA8E20"/>
    <w:rsid w:val="38B3B81F"/>
    <w:rsid w:val="38BB43CE"/>
    <w:rsid w:val="38BD0A08"/>
    <w:rsid w:val="38CA07A8"/>
    <w:rsid w:val="38CE744C"/>
    <w:rsid w:val="38E7B7C9"/>
    <w:rsid w:val="3903355C"/>
    <w:rsid w:val="3913DD92"/>
    <w:rsid w:val="392202E5"/>
    <w:rsid w:val="392211DC"/>
    <w:rsid w:val="3936933D"/>
    <w:rsid w:val="393997D8"/>
    <w:rsid w:val="39532AB1"/>
    <w:rsid w:val="3956614C"/>
    <w:rsid w:val="39596A36"/>
    <w:rsid w:val="395A75AC"/>
    <w:rsid w:val="396CD997"/>
    <w:rsid w:val="396E809D"/>
    <w:rsid w:val="397D7EA0"/>
    <w:rsid w:val="3989A0BB"/>
    <w:rsid w:val="3990AB6B"/>
    <w:rsid w:val="3990E15F"/>
    <w:rsid w:val="3999F07B"/>
    <w:rsid w:val="399A51A6"/>
    <w:rsid w:val="399BBF2D"/>
    <w:rsid w:val="39B3D478"/>
    <w:rsid w:val="39BA2A06"/>
    <w:rsid w:val="39C24547"/>
    <w:rsid w:val="39CDBC80"/>
    <w:rsid w:val="39CEE4FF"/>
    <w:rsid w:val="39DE15B8"/>
    <w:rsid w:val="39E1091C"/>
    <w:rsid w:val="39EFC2DF"/>
    <w:rsid w:val="39F1D2A1"/>
    <w:rsid w:val="39F455BB"/>
    <w:rsid w:val="39FD2193"/>
    <w:rsid w:val="3A0136B3"/>
    <w:rsid w:val="3A0401CF"/>
    <w:rsid w:val="3A16D2F0"/>
    <w:rsid w:val="3A176D2E"/>
    <w:rsid w:val="3A221014"/>
    <w:rsid w:val="3A233C94"/>
    <w:rsid w:val="3A2405D5"/>
    <w:rsid w:val="3A2C03C0"/>
    <w:rsid w:val="3A34A19C"/>
    <w:rsid w:val="3A6AFE07"/>
    <w:rsid w:val="3A74DA46"/>
    <w:rsid w:val="3A828F53"/>
    <w:rsid w:val="3A9DE365"/>
    <w:rsid w:val="3A9E963B"/>
    <w:rsid w:val="3AB42498"/>
    <w:rsid w:val="3AB51CF0"/>
    <w:rsid w:val="3AC7B467"/>
    <w:rsid w:val="3AE04BC9"/>
    <w:rsid w:val="3AE5C798"/>
    <w:rsid w:val="3AEEDF03"/>
    <w:rsid w:val="3AF89CAD"/>
    <w:rsid w:val="3AF9CDCC"/>
    <w:rsid w:val="3AFB417E"/>
    <w:rsid w:val="3AFCB078"/>
    <w:rsid w:val="3AFE5F74"/>
    <w:rsid w:val="3AFFB8AC"/>
    <w:rsid w:val="3B0240E3"/>
    <w:rsid w:val="3B043EBA"/>
    <w:rsid w:val="3B1336B1"/>
    <w:rsid w:val="3B155CD3"/>
    <w:rsid w:val="3B1CE1CA"/>
    <w:rsid w:val="3B200DA7"/>
    <w:rsid w:val="3B3171E4"/>
    <w:rsid w:val="3B50B6AC"/>
    <w:rsid w:val="3B539C20"/>
    <w:rsid w:val="3B5A1012"/>
    <w:rsid w:val="3B6E0793"/>
    <w:rsid w:val="3B86B834"/>
    <w:rsid w:val="3B8B260C"/>
    <w:rsid w:val="3B98FD99"/>
    <w:rsid w:val="3BA6F81E"/>
    <w:rsid w:val="3BBFA348"/>
    <w:rsid w:val="3BCA93E4"/>
    <w:rsid w:val="3BF4A8B4"/>
    <w:rsid w:val="3BF593A0"/>
    <w:rsid w:val="3C05C3ED"/>
    <w:rsid w:val="3C1C1283"/>
    <w:rsid w:val="3C1C7836"/>
    <w:rsid w:val="3C39BB3B"/>
    <w:rsid w:val="3C4A74CD"/>
    <w:rsid w:val="3C4C3EE7"/>
    <w:rsid w:val="3C66457A"/>
    <w:rsid w:val="3C7BF19D"/>
    <w:rsid w:val="3C7D9138"/>
    <w:rsid w:val="3CA07354"/>
    <w:rsid w:val="3CAE831D"/>
    <w:rsid w:val="3CB79CFC"/>
    <w:rsid w:val="3CCA15AE"/>
    <w:rsid w:val="3CD9F178"/>
    <w:rsid w:val="3CDF010E"/>
    <w:rsid w:val="3D1BFC60"/>
    <w:rsid w:val="3D24F522"/>
    <w:rsid w:val="3D2C4678"/>
    <w:rsid w:val="3D3D83A7"/>
    <w:rsid w:val="3D4F3D3A"/>
    <w:rsid w:val="3D508156"/>
    <w:rsid w:val="3D55949C"/>
    <w:rsid w:val="3D62CF8B"/>
    <w:rsid w:val="3D6B517F"/>
    <w:rsid w:val="3D6C5E60"/>
    <w:rsid w:val="3D789FF1"/>
    <w:rsid w:val="3D9091B1"/>
    <w:rsid w:val="3DBD8F97"/>
    <w:rsid w:val="3DC2491F"/>
    <w:rsid w:val="3DC98386"/>
    <w:rsid w:val="3DD96E66"/>
    <w:rsid w:val="3DE3D8A9"/>
    <w:rsid w:val="3E14FE0D"/>
    <w:rsid w:val="3E184E4A"/>
    <w:rsid w:val="3E1AF1B1"/>
    <w:rsid w:val="3E3860F7"/>
    <w:rsid w:val="3E38EC31"/>
    <w:rsid w:val="3E4736C7"/>
    <w:rsid w:val="3E5B7F04"/>
    <w:rsid w:val="3E5C25B0"/>
    <w:rsid w:val="3E6065A7"/>
    <w:rsid w:val="3E869432"/>
    <w:rsid w:val="3E8D3740"/>
    <w:rsid w:val="3E8E1A9E"/>
    <w:rsid w:val="3E9E78E7"/>
    <w:rsid w:val="3EAA0CE6"/>
    <w:rsid w:val="3EB419F0"/>
    <w:rsid w:val="3EBDE9F2"/>
    <w:rsid w:val="3EC89397"/>
    <w:rsid w:val="3ECBA7D2"/>
    <w:rsid w:val="3ECC073C"/>
    <w:rsid w:val="3ECFF5A1"/>
    <w:rsid w:val="3EE14A8A"/>
    <w:rsid w:val="3EE85A0C"/>
    <w:rsid w:val="3EEF3446"/>
    <w:rsid w:val="3EF35580"/>
    <w:rsid w:val="3F076AE9"/>
    <w:rsid w:val="3F139F0F"/>
    <w:rsid w:val="3F168BFF"/>
    <w:rsid w:val="3F2AB916"/>
    <w:rsid w:val="3F2C38A1"/>
    <w:rsid w:val="3F33B538"/>
    <w:rsid w:val="3F388566"/>
    <w:rsid w:val="3F401297"/>
    <w:rsid w:val="3F55488E"/>
    <w:rsid w:val="3F5A87DE"/>
    <w:rsid w:val="3F5B1B20"/>
    <w:rsid w:val="3F6499B3"/>
    <w:rsid w:val="3F76CE01"/>
    <w:rsid w:val="3F7EEF75"/>
    <w:rsid w:val="3F840E5B"/>
    <w:rsid w:val="3FABD7B4"/>
    <w:rsid w:val="3FACB3E1"/>
    <w:rsid w:val="3FB1F5B8"/>
    <w:rsid w:val="3FB8238C"/>
    <w:rsid w:val="3FBDB799"/>
    <w:rsid w:val="3FC05936"/>
    <w:rsid w:val="3FCF3773"/>
    <w:rsid w:val="3FD19485"/>
    <w:rsid w:val="3FE08838"/>
    <w:rsid w:val="3FE3310F"/>
    <w:rsid w:val="401F8849"/>
    <w:rsid w:val="402717B2"/>
    <w:rsid w:val="402B3AE0"/>
    <w:rsid w:val="40375F70"/>
    <w:rsid w:val="403D42A6"/>
    <w:rsid w:val="40567A9D"/>
    <w:rsid w:val="40649311"/>
    <w:rsid w:val="4067091D"/>
    <w:rsid w:val="406960AD"/>
    <w:rsid w:val="406ABC25"/>
    <w:rsid w:val="407C42A1"/>
    <w:rsid w:val="407CC254"/>
    <w:rsid w:val="408AF26B"/>
    <w:rsid w:val="4093FDC9"/>
    <w:rsid w:val="40A14F38"/>
    <w:rsid w:val="40ABC002"/>
    <w:rsid w:val="40C0E1CE"/>
    <w:rsid w:val="40C68F40"/>
    <w:rsid w:val="40D237B2"/>
    <w:rsid w:val="40D63725"/>
    <w:rsid w:val="40D9C7F7"/>
    <w:rsid w:val="40E0E45E"/>
    <w:rsid w:val="40E4F96E"/>
    <w:rsid w:val="40F2725C"/>
    <w:rsid w:val="4101403B"/>
    <w:rsid w:val="4103686E"/>
    <w:rsid w:val="4123F492"/>
    <w:rsid w:val="412D110C"/>
    <w:rsid w:val="412F16A6"/>
    <w:rsid w:val="413968BB"/>
    <w:rsid w:val="413EF9C6"/>
    <w:rsid w:val="4145D4AD"/>
    <w:rsid w:val="414AD682"/>
    <w:rsid w:val="415EC4BF"/>
    <w:rsid w:val="41709F68"/>
    <w:rsid w:val="4173D10B"/>
    <w:rsid w:val="418E427F"/>
    <w:rsid w:val="418EE381"/>
    <w:rsid w:val="4198A58C"/>
    <w:rsid w:val="41AA5432"/>
    <w:rsid w:val="41ADAB68"/>
    <w:rsid w:val="41AFC18A"/>
    <w:rsid w:val="41C31CB5"/>
    <w:rsid w:val="41D5C9C0"/>
    <w:rsid w:val="41F98EAD"/>
    <w:rsid w:val="421BBCDA"/>
    <w:rsid w:val="422283D9"/>
    <w:rsid w:val="424BF2B1"/>
    <w:rsid w:val="4254A624"/>
    <w:rsid w:val="42569735"/>
    <w:rsid w:val="4266F69C"/>
    <w:rsid w:val="426AC465"/>
    <w:rsid w:val="4273060E"/>
    <w:rsid w:val="4278249A"/>
    <w:rsid w:val="4280AB2F"/>
    <w:rsid w:val="428EA188"/>
    <w:rsid w:val="42932ABA"/>
    <w:rsid w:val="429924BE"/>
    <w:rsid w:val="429D5CA9"/>
    <w:rsid w:val="42A8455F"/>
    <w:rsid w:val="42BAAC57"/>
    <w:rsid w:val="42BABDF9"/>
    <w:rsid w:val="42CD6F49"/>
    <w:rsid w:val="42D44A8D"/>
    <w:rsid w:val="42FA808E"/>
    <w:rsid w:val="430981F5"/>
    <w:rsid w:val="431521CB"/>
    <w:rsid w:val="4318EF8C"/>
    <w:rsid w:val="432B2307"/>
    <w:rsid w:val="432C83D2"/>
    <w:rsid w:val="433D42A3"/>
    <w:rsid w:val="435086C2"/>
    <w:rsid w:val="4351379C"/>
    <w:rsid w:val="4364F64F"/>
    <w:rsid w:val="43675E72"/>
    <w:rsid w:val="4368BB56"/>
    <w:rsid w:val="436DBCCE"/>
    <w:rsid w:val="4371C560"/>
    <w:rsid w:val="43752147"/>
    <w:rsid w:val="437A0DAE"/>
    <w:rsid w:val="438C6302"/>
    <w:rsid w:val="439ACEE9"/>
    <w:rsid w:val="43A2D95B"/>
    <w:rsid w:val="43A623C7"/>
    <w:rsid w:val="43C2B8C0"/>
    <w:rsid w:val="43C68617"/>
    <w:rsid w:val="43DF17AF"/>
    <w:rsid w:val="43E28379"/>
    <w:rsid w:val="43E2C03A"/>
    <w:rsid w:val="4411EC2A"/>
    <w:rsid w:val="441B0F7C"/>
    <w:rsid w:val="44295B7D"/>
    <w:rsid w:val="442FA347"/>
    <w:rsid w:val="44373C97"/>
    <w:rsid w:val="444476B7"/>
    <w:rsid w:val="444915A3"/>
    <w:rsid w:val="447EE40D"/>
    <w:rsid w:val="44861DDE"/>
    <w:rsid w:val="4497C4E4"/>
    <w:rsid w:val="4497CE09"/>
    <w:rsid w:val="449FC402"/>
    <w:rsid w:val="44A510CC"/>
    <w:rsid w:val="44D9E09A"/>
    <w:rsid w:val="44E6DD52"/>
    <w:rsid w:val="4502A660"/>
    <w:rsid w:val="450716BF"/>
    <w:rsid w:val="4508A08D"/>
    <w:rsid w:val="45142BC7"/>
    <w:rsid w:val="45168AA8"/>
    <w:rsid w:val="451C2479"/>
    <w:rsid w:val="452EF67E"/>
    <w:rsid w:val="453BD923"/>
    <w:rsid w:val="455A1540"/>
    <w:rsid w:val="455D4DA6"/>
    <w:rsid w:val="456501E1"/>
    <w:rsid w:val="4570EE1D"/>
    <w:rsid w:val="4577D517"/>
    <w:rsid w:val="457D8E24"/>
    <w:rsid w:val="4583C18E"/>
    <w:rsid w:val="4584E8F8"/>
    <w:rsid w:val="4598ADF6"/>
    <w:rsid w:val="45B1CF60"/>
    <w:rsid w:val="45B77E58"/>
    <w:rsid w:val="45BF0853"/>
    <w:rsid w:val="45C86C2A"/>
    <w:rsid w:val="45CAFF53"/>
    <w:rsid w:val="45CBFF7B"/>
    <w:rsid w:val="45CE1989"/>
    <w:rsid w:val="45E4C82B"/>
    <w:rsid w:val="45F3D031"/>
    <w:rsid w:val="4613E2D3"/>
    <w:rsid w:val="4616C584"/>
    <w:rsid w:val="461E5E0F"/>
    <w:rsid w:val="4626D76F"/>
    <w:rsid w:val="464D9136"/>
    <w:rsid w:val="465B5CCE"/>
    <w:rsid w:val="46635FD1"/>
    <w:rsid w:val="4667AAD2"/>
    <w:rsid w:val="466B2CD8"/>
    <w:rsid w:val="4674828F"/>
    <w:rsid w:val="46770708"/>
    <w:rsid w:val="468390BF"/>
    <w:rsid w:val="4691291D"/>
    <w:rsid w:val="46916135"/>
    <w:rsid w:val="469B1AA1"/>
    <w:rsid w:val="46AD49A5"/>
    <w:rsid w:val="46ADE1EF"/>
    <w:rsid w:val="46C3149E"/>
    <w:rsid w:val="46D08315"/>
    <w:rsid w:val="46D1A8B4"/>
    <w:rsid w:val="46E0A554"/>
    <w:rsid w:val="46F27D8D"/>
    <w:rsid w:val="47124558"/>
    <w:rsid w:val="471738AB"/>
    <w:rsid w:val="471C3F76"/>
    <w:rsid w:val="471C56B1"/>
    <w:rsid w:val="47309590"/>
    <w:rsid w:val="473F4216"/>
    <w:rsid w:val="474D9E2D"/>
    <w:rsid w:val="475693B3"/>
    <w:rsid w:val="47672C09"/>
    <w:rsid w:val="476827E6"/>
    <w:rsid w:val="47854C58"/>
    <w:rsid w:val="478EBC2B"/>
    <w:rsid w:val="47B20916"/>
    <w:rsid w:val="47B71BE7"/>
    <w:rsid w:val="47D265D8"/>
    <w:rsid w:val="47D3ADD7"/>
    <w:rsid w:val="47D4A1E0"/>
    <w:rsid w:val="47DBAB17"/>
    <w:rsid w:val="47E1CBB9"/>
    <w:rsid w:val="47E5296E"/>
    <w:rsid w:val="47EC5394"/>
    <w:rsid w:val="47F1AD6C"/>
    <w:rsid w:val="47FBB4E6"/>
    <w:rsid w:val="480B3F27"/>
    <w:rsid w:val="4816EB62"/>
    <w:rsid w:val="482431CD"/>
    <w:rsid w:val="4828A3BE"/>
    <w:rsid w:val="485EAB90"/>
    <w:rsid w:val="4860F852"/>
    <w:rsid w:val="48623D62"/>
    <w:rsid w:val="486862D4"/>
    <w:rsid w:val="486CA1B8"/>
    <w:rsid w:val="4873A3EF"/>
    <w:rsid w:val="489AF8A9"/>
    <w:rsid w:val="489CE7F4"/>
    <w:rsid w:val="489EB002"/>
    <w:rsid w:val="489F1125"/>
    <w:rsid w:val="48AAF2B4"/>
    <w:rsid w:val="48AD182B"/>
    <w:rsid w:val="48D6AB9F"/>
    <w:rsid w:val="48E3A07F"/>
    <w:rsid w:val="48E9905B"/>
    <w:rsid w:val="48FC8937"/>
    <w:rsid w:val="4900C8C7"/>
    <w:rsid w:val="491A6DE2"/>
    <w:rsid w:val="4927459D"/>
    <w:rsid w:val="4930F1F3"/>
    <w:rsid w:val="493F0348"/>
    <w:rsid w:val="494508DD"/>
    <w:rsid w:val="494867E1"/>
    <w:rsid w:val="494F2775"/>
    <w:rsid w:val="4963069A"/>
    <w:rsid w:val="4981B38A"/>
    <w:rsid w:val="499304EC"/>
    <w:rsid w:val="49A2FA1B"/>
    <w:rsid w:val="49B1936A"/>
    <w:rsid w:val="49C32AAA"/>
    <w:rsid w:val="49C8EB9B"/>
    <w:rsid w:val="49CC8E6C"/>
    <w:rsid w:val="49D35439"/>
    <w:rsid w:val="49DC603C"/>
    <w:rsid w:val="49E4F4A7"/>
    <w:rsid w:val="49F29C36"/>
    <w:rsid w:val="49F6F2DE"/>
    <w:rsid w:val="49FD46C7"/>
    <w:rsid w:val="4A04FAB8"/>
    <w:rsid w:val="4A066A09"/>
    <w:rsid w:val="4A0ADAE6"/>
    <w:rsid w:val="4A1DB8F2"/>
    <w:rsid w:val="4A229E8E"/>
    <w:rsid w:val="4A34C2C0"/>
    <w:rsid w:val="4A48394C"/>
    <w:rsid w:val="4A5BCB3C"/>
    <w:rsid w:val="4A641906"/>
    <w:rsid w:val="4A739A0F"/>
    <w:rsid w:val="4A7542EA"/>
    <w:rsid w:val="4A7636C1"/>
    <w:rsid w:val="4A7868A2"/>
    <w:rsid w:val="4A7DD4F0"/>
    <w:rsid w:val="4A8A33D6"/>
    <w:rsid w:val="4A8EF56A"/>
    <w:rsid w:val="4A96AA42"/>
    <w:rsid w:val="4A9D7D79"/>
    <w:rsid w:val="4AABB826"/>
    <w:rsid w:val="4AAE0916"/>
    <w:rsid w:val="4AC6FCD2"/>
    <w:rsid w:val="4ACF0930"/>
    <w:rsid w:val="4ACFB7AB"/>
    <w:rsid w:val="4ADADF9D"/>
    <w:rsid w:val="4ADBC7D0"/>
    <w:rsid w:val="4AE6666F"/>
    <w:rsid w:val="4AF59F7F"/>
    <w:rsid w:val="4B0FF0DF"/>
    <w:rsid w:val="4B1233C5"/>
    <w:rsid w:val="4B1D1B70"/>
    <w:rsid w:val="4B2B6F83"/>
    <w:rsid w:val="4B33CC1E"/>
    <w:rsid w:val="4B367338"/>
    <w:rsid w:val="4B468570"/>
    <w:rsid w:val="4B473656"/>
    <w:rsid w:val="4B4870B4"/>
    <w:rsid w:val="4B6AD068"/>
    <w:rsid w:val="4B776B98"/>
    <w:rsid w:val="4B98B8FB"/>
    <w:rsid w:val="4B9B1AFC"/>
    <w:rsid w:val="4B9FEA61"/>
    <w:rsid w:val="4BAB60F5"/>
    <w:rsid w:val="4BBF9372"/>
    <w:rsid w:val="4BC39BC2"/>
    <w:rsid w:val="4BC8A50D"/>
    <w:rsid w:val="4BDA0DCD"/>
    <w:rsid w:val="4BDC72D7"/>
    <w:rsid w:val="4BE8384C"/>
    <w:rsid w:val="4BF51372"/>
    <w:rsid w:val="4C1375B6"/>
    <w:rsid w:val="4C1913C7"/>
    <w:rsid w:val="4C394D08"/>
    <w:rsid w:val="4C39F412"/>
    <w:rsid w:val="4C3A72FF"/>
    <w:rsid w:val="4C3C7EA5"/>
    <w:rsid w:val="4C44C67F"/>
    <w:rsid w:val="4C5F3A26"/>
    <w:rsid w:val="4C5FD690"/>
    <w:rsid w:val="4C63BA59"/>
    <w:rsid w:val="4C6B5B54"/>
    <w:rsid w:val="4C6EEC7E"/>
    <w:rsid w:val="4C718C30"/>
    <w:rsid w:val="4C7585EB"/>
    <w:rsid w:val="4C8286A3"/>
    <w:rsid w:val="4C95F0C2"/>
    <w:rsid w:val="4CBCE4E6"/>
    <w:rsid w:val="4CC21025"/>
    <w:rsid w:val="4CCB9AFF"/>
    <w:rsid w:val="4CD81696"/>
    <w:rsid w:val="4CE42864"/>
    <w:rsid w:val="4CE58EEF"/>
    <w:rsid w:val="4CE882E1"/>
    <w:rsid w:val="4CF88B49"/>
    <w:rsid w:val="4CFE2144"/>
    <w:rsid w:val="4D0908F4"/>
    <w:rsid w:val="4D2AD4B4"/>
    <w:rsid w:val="4D2F58A0"/>
    <w:rsid w:val="4D2F64C2"/>
    <w:rsid w:val="4D3353F4"/>
    <w:rsid w:val="4D4495F8"/>
    <w:rsid w:val="4D45BCDE"/>
    <w:rsid w:val="4D5EBB07"/>
    <w:rsid w:val="4D67A5E7"/>
    <w:rsid w:val="4D81E512"/>
    <w:rsid w:val="4D82F281"/>
    <w:rsid w:val="4D8E5D1C"/>
    <w:rsid w:val="4DAC9E45"/>
    <w:rsid w:val="4DB653C0"/>
    <w:rsid w:val="4DB7D067"/>
    <w:rsid w:val="4DC7D3F5"/>
    <w:rsid w:val="4DCF3781"/>
    <w:rsid w:val="4DD7F23F"/>
    <w:rsid w:val="4DD81CFB"/>
    <w:rsid w:val="4DDB44A0"/>
    <w:rsid w:val="4DE8FFE2"/>
    <w:rsid w:val="4DF33291"/>
    <w:rsid w:val="4DFEF62A"/>
    <w:rsid w:val="4E0C07B4"/>
    <w:rsid w:val="4E15152D"/>
    <w:rsid w:val="4E1EC3E6"/>
    <w:rsid w:val="4E354A5C"/>
    <w:rsid w:val="4E3940F4"/>
    <w:rsid w:val="4E465E0E"/>
    <w:rsid w:val="4E4AC9AC"/>
    <w:rsid w:val="4E54AFEC"/>
    <w:rsid w:val="4E72F3B3"/>
    <w:rsid w:val="4E7C3A1B"/>
    <w:rsid w:val="4E850FA7"/>
    <w:rsid w:val="4E957FEA"/>
    <w:rsid w:val="4EA159B9"/>
    <w:rsid w:val="4EA648D7"/>
    <w:rsid w:val="4EB02CC3"/>
    <w:rsid w:val="4EC3337C"/>
    <w:rsid w:val="4ECD38CE"/>
    <w:rsid w:val="4EDD6D4C"/>
    <w:rsid w:val="4EE2C258"/>
    <w:rsid w:val="4EE58B58"/>
    <w:rsid w:val="4EECDEA0"/>
    <w:rsid w:val="4EEFD21D"/>
    <w:rsid w:val="4F014214"/>
    <w:rsid w:val="4F13B611"/>
    <w:rsid w:val="4F170E02"/>
    <w:rsid w:val="4F19BCE8"/>
    <w:rsid w:val="4F1B1973"/>
    <w:rsid w:val="4F28A04B"/>
    <w:rsid w:val="4F49515B"/>
    <w:rsid w:val="4F54134B"/>
    <w:rsid w:val="4F547604"/>
    <w:rsid w:val="4F7581EF"/>
    <w:rsid w:val="4F78CB2A"/>
    <w:rsid w:val="4F7D3158"/>
    <w:rsid w:val="4F86C156"/>
    <w:rsid w:val="4F914974"/>
    <w:rsid w:val="4FA5D02E"/>
    <w:rsid w:val="4FA7802F"/>
    <w:rsid w:val="4FAE0728"/>
    <w:rsid w:val="4FB023D7"/>
    <w:rsid w:val="4FB71C48"/>
    <w:rsid w:val="4FB8B7F5"/>
    <w:rsid w:val="4FBFD8A8"/>
    <w:rsid w:val="4FC136EA"/>
    <w:rsid w:val="4FD01B28"/>
    <w:rsid w:val="4FF26C93"/>
    <w:rsid w:val="4FF4618F"/>
    <w:rsid w:val="500091E2"/>
    <w:rsid w:val="5014D2BA"/>
    <w:rsid w:val="501BD07B"/>
    <w:rsid w:val="5020D1AB"/>
    <w:rsid w:val="502184AC"/>
    <w:rsid w:val="50341816"/>
    <w:rsid w:val="50376B2E"/>
    <w:rsid w:val="503CA9B0"/>
    <w:rsid w:val="50517B1B"/>
    <w:rsid w:val="505C5327"/>
    <w:rsid w:val="505C8139"/>
    <w:rsid w:val="50601906"/>
    <w:rsid w:val="50615CF0"/>
    <w:rsid w:val="506251E6"/>
    <w:rsid w:val="50721605"/>
    <w:rsid w:val="50963E8F"/>
    <w:rsid w:val="509E3DF8"/>
    <w:rsid w:val="509F4951"/>
    <w:rsid w:val="50C389C4"/>
    <w:rsid w:val="50CBC828"/>
    <w:rsid w:val="50D27F71"/>
    <w:rsid w:val="50D6CCC4"/>
    <w:rsid w:val="50D72086"/>
    <w:rsid w:val="50DF6276"/>
    <w:rsid w:val="50E6A561"/>
    <w:rsid w:val="50E6C49B"/>
    <w:rsid w:val="50EDC03E"/>
    <w:rsid w:val="50F1BEAD"/>
    <w:rsid w:val="50F6A9D0"/>
    <w:rsid w:val="51094276"/>
    <w:rsid w:val="51096E31"/>
    <w:rsid w:val="510C3255"/>
    <w:rsid w:val="5112E16E"/>
    <w:rsid w:val="511D5D6C"/>
    <w:rsid w:val="5126AF5F"/>
    <w:rsid w:val="512D6F41"/>
    <w:rsid w:val="51435E75"/>
    <w:rsid w:val="5158056C"/>
    <w:rsid w:val="515829DD"/>
    <w:rsid w:val="51660AE3"/>
    <w:rsid w:val="516A2BA3"/>
    <w:rsid w:val="517142D2"/>
    <w:rsid w:val="517BAE05"/>
    <w:rsid w:val="517F983A"/>
    <w:rsid w:val="519B3C95"/>
    <w:rsid w:val="51C1541E"/>
    <w:rsid w:val="51D1424A"/>
    <w:rsid w:val="51DD5126"/>
    <w:rsid w:val="51E94A61"/>
    <w:rsid w:val="51F755AD"/>
    <w:rsid w:val="5205B087"/>
    <w:rsid w:val="520D895C"/>
    <w:rsid w:val="5221899D"/>
    <w:rsid w:val="5234BB47"/>
    <w:rsid w:val="5247D68B"/>
    <w:rsid w:val="52556BFB"/>
    <w:rsid w:val="525BA364"/>
    <w:rsid w:val="527A8EFF"/>
    <w:rsid w:val="527F42B5"/>
    <w:rsid w:val="528D5A85"/>
    <w:rsid w:val="52AE6B88"/>
    <w:rsid w:val="52B913F8"/>
    <w:rsid w:val="52BAA9F5"/>
    <w:rsid w:val="52D60EA7"/>
    <w:rsid w:val="52FFA716"/>
    <w:rsid w:val="530B3A53"/>
    <w:rsid w:val="530DC292"/>
    <w:rsid w:val="530FF471"/>
    <w:rsid w:val="5310BF99"/>
    <w:rsid w:val="531131EC"/>
    <w:rsid w:val="53128BFF"/>
    <w:rsid w:val="531A8BCD"/>
    <w:rsid w:val="531E1F40"/>
    <w:rsid w:val="53496567"/>
    <w:rsid w:val="534989DE"/>
    <w:rsid w:val="534CA068"/>
    <w:rsid w:val="53641E4E"/>
    <w:rsid w:val="53866C5B"/>
    <w:rsid w:val="538C8B52"/>
    <w:rsid w:val="538CF101"/>
    <w:rsid w:val="53C40E4B"/>
    <w:rsid w:val="53D016EB"/>
    <w:rsid w:val="53D0EEEA"/>
    <w:rsid w:val="53DD68BC"/>
    <w:rsid w:val="53E7E27F"/>
    <w:rsid w:val="53F85F40"/>
    <w:rsid w:val="541BCD34"/>
    <w:rsid w:val="542587FB"/>
    <w:rsid w:val="54277D62"/>
    <w:rsid w:val="5438C33C"/>
    <w:rsid w:val="5449FD62"/>
    <w:rsid w:val="544AE7E4"/>
    <w:rsid w:val="546478AB"/>
    <w:rsid w:val="547AEEB0"/>
    <w:rsid w:val="547C4EDE"/>
    <w:rsid w:val="54993FD4"/>
    <w:rsid w:val="54994631"/>
    <w:rsid w:val="54AB8812"/>
    <w:rsid w:val="54B52211"/>
    <w:rsid w:val="54B84055"/>
    <w:rsid w:val="54B88880"/>
    <w:rsid w:val="54CAB4B6"/>
    <w:rsid w:val="54EAD20D"/>
    <w:rsid w:val="54F37B7F"/>
    <w:rsid w:val="55092263"/>
    <w:rsid w:val="550E7275"/>
    <w:rsid w:val="55126CD1"/>
    <w:rsid w:val="5519E015"/>
    <w:rsid w:val="552962EE"/>
    <w:rsid w:val="55756A93"/>
    <w:rsid w:val="55757163"/>
    <w:rsid w:val="557966BD"/>
    <w:rsid w:val="557CFBA3"/>
    <w:rsid w:val="55832C68"/>
    <w:rsid w:val="5584D3CE"/>
    <w:rsid w:val="558D69C9"/>
    <w:rsid w:val="55969A71"/>
    <w:rsid w:val="55A216FF"/>
    <w:rsid w:val="55A661AC"/>
    <w:rsid w:val="55A90C12"/>
    <w:rsid w:val="55AB47CC"/>
    <w:rsid w:val="55ADF8D0"/>
    <w:rsid w:val="55BCDA2E"/>
    <w:rsid w:val="55EF7B6C"/>
    <w:rsid w:val="55F1AB47"/>
    <w:rsid w:val="5609D0F1"/>
    <w:rsid w:val="56105AED"/>
    <w:rsid w:val="56119BC7"/>
    <w:rsid w:val="56153E97"/>
    <w:rsid w:val="56268AE6"/>
    <w:rsid w:val="562B78E7"/>
    <w:rsid w:val="562E01D1"/>
    <w:rsid w:val="562E0214"/>
    <w:rsid w:val="563FBB7F"/>
    <w:rsid w:val="5649ABE2"/>
    <w:rsid w:val="5658B422"/>
    <w:rsid w:val="5658F847"/>
    <w:rsid w:val="5684FA5A"/>
    <w:rsid w:val="5692E9E3"/>
    <w:rsid w:val="5697B61C"/>
    <w:rsid w:val="56A0A8A2"/>
    <w:rsid w:val="56AB668C"/>
    <w:rsid w:val="56BDCEAE"/>
    <w:rsid w:val="56BDF4C3"/>
    <w:rsid w:val="56C6504C"/>
    <w:rsid w:val="56C876EC"/>
    <w:rsid w:val="56CED471"/>
    <w:rsid w:val="56CF91D7"/>
    <w:rsid w:val="56DEBB8A"/>
    <w:rsid w:val="56F4DF99"/>
    <w:rsid w:val="56FBB329"/>
    <w:rsid w:val="57054532"/>
    <w:rsid w:val="570B6F3D"/>
    <w:rsid w:val="57105B72"/>
    <w:rsid w:val="57150FCB"/>
    <w:rsid w:val="5722C27E"/>
    <w:rsid w:val="573D9D6E"/>
    <w:rsid w:val="5751C941"/>
    <w:rsid w:val="57788986"/>
    <w:rsid w:val="578037D8"/>
    <w:rsid w:val="5782BF95"/>
    <w:rsid w:val="57AB0E34"/>
    <w:rsid w:val="57AEC8F1"/>
    <w:rsid w:val="57B24A0C"/>
    <w:rsid w:val="57B97683"/>
    <w:rsid w:val="57BE42AB"/>
    <w:rsid w:val="57BFD885"/>
    <w:rsid w:val="57C09E26"/>
    <w:rsid w:val="57C5ABE2"/>
    <w:rsid w:val="57CA3914"/>
    <w:rsid w:val="57E61F53"/>
    <w:rsid w:val="57E72B6F"/>
    <w:rsid w:val="57F17895"/>
    <w:rsid w:val="57F3A790"/>
    <w:rsid w:val="57F5E084"/>
    <w:rsid w:val="5807902A"/>
    <w:rsid w:val="5810EE79"/>
    <w:rsid w:val="583180F2"/>
    <w:rsid w:val="58399B4D"/>
    <w:rsid w:val="5842CFEF"/>
    <w:rsid w:val="5850AD49"/>
    <w:rsid w:val="585CA2DD"/>
    <w:rsid w:val="5874F965"/>
    <w:rsid w:val="58861086"/>
    <w:rsid w:val="58870D4C"/>
    <w:rsid w:val="588C8CA6"/>
    <w:rsid w:val="589818F1"/>
    <w:rsid w:val="589D66BE"/>
    <w:rsid w:val="58BA52BB"/>
    <w:rsid w:val="58C79715"/>
    <w:rsid w:val="58CE0FDB"/>
    <w:rsid w:val="58DAB44A"/>
    <w:rsid w:val="58E89679"/>
    <w:rsid w:val="58F51E85"/>
    <w:rsid w:val="58FC8FA3"/>
    <w:rsid w:val="59159766"/>
    <w:rsid w:val="5926B4DC"/>
    <w:rsid w:val="592D15FB"/>
    <w:rsid w:val="592FB1F9"/>
    <w:rsid w:val="5943C7A1"/>
    <w:rsid w:val="5950902F"/>
    <w:rsid w:val="595E383F"/>
    <w:rsid w:val="596F3D47"/>
    <w:rsid w:val="59736221"/>
    <w:rsid w:val="5978DDAD"/>
    <w:rsid w:val="598AE48C"/>
    <w:rsid w:val="599B9046"/>
    <w:rsid w:val="59BC5F7F"/>
    <w:rsid w:val="59C2ED86"/>
    <w:rsid w:val="59D7E1D4"/>
    <w:rsid w:val="59F41DAA"/>
    <w:rsid w:val="5A06FE0D"/>
    <w:rsid w:val="5A1451DE"/>
    <w:rsid w:val="5A155E51"/>
    <w:rsid w:val="5A1A2C17"/>
    <w:rsid w:val="5A3B898F"/>
    <w:rsid w:val="5A469C23"/>
    <w:rsid w:val="5A4FCF86"/>
    <w:rsid w:val="5A5AC5EB"/>
    <w:rsid w:val="5A5E903F"/>
    <w:rsid w:val="5A63D798"/>
    <w:rsid w:val="5A66F30A"/>
    <w:rsid w:val="5A85F019"/>
    <w:rsid w:val="5AA7F347"/>
    <w:rsid w:val="5AA90766"/>
    <w:rsid w:val="5AADB6F3"/>
    <w:rsid w:val="5AB25466"/>
    <w:rsid w:val="5AB86F0D"/>
    <w:rsid w:val="5AE02232"/>
    <w:rsid w:val="5AE854F8"/>
    <w:rsid w:val="5AEFE2E1"/>
    <w:rsid w:val="5AF027F3"/>
    <w:rsid w:val="5AF1E09F"/>
    <w:rsid w:val="5B016B5C"/>
    <w:rsid w:val="5B2425B2"/>
    <w:rsid w:val="5B2B88CC"/>
    <w:rsid w:val="5B2E2E03"/>
    <w:rsid w:val="5B2E7E0D"/>
    <w:rsid w:val="5B2F7A82"/>
    <w:rsid w:val="5B3175F9"/>
    <w:rsid w:val="5B355C91"/>
    <w:rsid w:val="5B3B4A02"/>
    <w:rsid w:val="5B3B7BDB"/>
    <w:rsid w:val="5B404ABD"/>
    <w:rsid w:val="5B47056F"/>
    <w:rsid w:val="5B4CDCCF"/>
    <w:rsid w:val="5B6F77A2"/>
    <w:rsid w:val="5B7897C6"/>
    <w:rsid w:val="5B7F40A7"/>
    <w:rsid w:val="5B84AEC0"/>
    <w:rsid w:val="5B89D013"/>
    <w:rsid w:val="5B9D5A50"/>
    <w:rsid w:val="5B9ECBFE"/>
    <w:rsid w:val="5BB60B81"/>
    <w:rsid w:val="5BB7A563"/>
    <w:rsid w:val="5BDB0672"/>
    <w:rsid w:val="5BDFE7F7"/>
    <w:rsid w:val="5BF4E3B8"/>
    <w:rsid w:val="5BF8B388"/>
    <w:rsid w:val="5BF908FA"/>
    <w:rsid w:val="5C000255"/>
    <w:rsid w:val="5C0EBFB1"/>
    <w:rsid w:val="5C10EA09"/>
    <w:rsid w:val="5C17513A"/>
    <w:rsid w:val="5C3D258B"/>
    <w:rsid w:val="5C4A9700"/>
    <w:rsid w:val="5C4B566D"/>
    <w:rsid w:val="5C597F2F"/>
    <w:rsid w:val="5C660F97"/>
    <w:rsid w:val="5C71137C"/>
    <w:rsid w:val="5C774AA6"/>
    <w:rsid w:val="5C93C37E"/>
    <w:rsid w:val="5C94AC53"/>
    <w:rsid w:val="5C96B413"/>
    <w:rsid w:val="5C99F1CE"/>
    <w:rsid w:val="5CB3BEB7"/>
    <w:rsid w:val="5CBF2597"/>
    <w:rsid w:val="5CC0FC4F"/>
    <w:rsid w:val="5CD11343"/>
    <w:rsid w:val="5CD4F6B9"/>
    <w:rsid w:val="5CD9F306"/>
    <w:rsid w:val="5CDBA64A"/>
    <w:rsid w:val="5CE42F9A"/>
    <w:rsid w:val="5CE6DEBA"/>
    <w:rsid w:val="5CED1BA2"/>
    <w:rsid w:val="5CF38C98"/>
    <w:rsid w:val="5D17FB6C"/>
    <w:rsid w:val="5D429A56"/>
    <w:rsid w:val="5D4B31F8"/>
    <w:rsid w:val="5D5E5267"/>
    <w:rsid w:val="5D71AF9F"/>
    <w:rsid w:val="5D8AF967"/>
    <w:rsid w:val="5D8F3769"/>
    <w:rsid w:val="5D95E656"/>
    <w:rsid w:val="5D9B0F56"/>
    <w:rsid w:val="5DB6FC1F"/>
    <w:rsid w:val="5DB96E03"/>
    <w:rsid w:val="5DBC9D4E"/>
    <w:rsid w:val="5DBD8730"/>
    <w:rsid w:val="5DBDE8FB"/>
    <w:rsid w:val="5DDCB519"/>
    <w:rsid w:val="5DF3E94D"/>
    <w:rsid w:val="5E0E304B"/>
    <w:rsid w:val="5E237362"/>
    <w:rsid w:val="5E23BBEE"/>
    <w:rsid w:val="5E33AA9D"/>
    <w:rsid w:val="5E353905"/>
    <w:rsid w:val="5E539339"/>
    <w:rsid w:val="5E546D27"/>
    <w:rsid w:val="5E68B349"/>
    <w:rsid w:val="5E789948"/>
    <w:rsid w:val="5E8F8B37"/>
    <w:rsid w:val="5E94F01C"/>
    <w:rsid w:val="5E9A58BF"/>
    <w:rsid w:val="5EA416E5"/>
    <w:rsid w:val="5EA637A6"/>
    <w:rsid w:val="5EB3C1E0"/>
    <w:rsid w:val="5EB3D44F"/>
    <w:rsid w:val="5EBAE361"/>
    <w:rsid w:val="5EC1A9E4"/>
    <w:rsid w:val="5ED299E2"/>
    <w:rsid w:val="5ED82A54"/>
    <w:rsid w:val="5ED83676"/>
    <w:rsid w:val="5EDAFA3C"/>
    <w:rsid w:val="5EE7BFAB"/>
    <w:rsid w:val="5EEA8ECB"/>
    <w:rsid w:val="5EEE2511"/>
    <w:rsid w:val="5EF21B56"/>
    <w:rsid w:val="5EF31486"/>
    <w:rsid w:val="5EF87344"/>
    <w:rsid w:val="5EFEC088"/>
    <w:rsid w:val="5F031319"/>
    <w:rsid w:val="5F053DA1"/>
    <w:rsid w:val="5F0A4A98"/>
    <w:rsid w:val="5F14AA84"/>
    <w:rsid w:val="5F16EBAE"/>
    <w:rsid w:val="5F26A095"/>
    <w:rsid w:val="5F33B19E"/>
    <w:rsid w:val="5F39B318"/>
    <w:rsid w:val="5F524589"/>
    <w:rsid w:val="5F5B5534"/>
    <w:rsid w:val="5F721C2D"/>
    <w:rsid w:val="5F8F7E64"/>
    <w:rsid w:val="5F930A71"/>
    <w:rsid w:val="5F988AB4"/>
    <w:rsid w:val="5F9A5D87"/>
    <w:rsid w:val="5FA5B11C"/>
    <w:rsid w:val="5FA60787"/>
    <w:rsid w:val="5FA61934"/>
    <w:rsid w:val="5FB2F724"/>
    <w:rsid w:val="5FBA03AC"/>
    <w:rsid w:val="5FBC8EF9"/>
    <w:rsid w:val="5FC957AC"/>
    <w:rsid w:val="5FC9A526"/>
    <w:rsid w:val="5FCB2290"/>
    <w:rsid w:val="5FD2AAD9"/>
    <w:rsid w:val="5FE5B786"/>
    <w:rsid w:val="5FEAB20B"/>
    <w:rsid w:val="5FED1E1B"/>
    <w:rsid w:val="5FEF80E4"/>
    <w:rsid w:val="5FF52471"/>
    <w:rsid w:val="5FF703B5"/>
    <w:rsid w:val="5FF7E70D"/>
    <w:rsid w:val="600C6FFF"/>
    <w:rsid w:val="60155B57"/>
    <w:rsid w:val="6016CA70"/>
    <w:rsid w:val="6067E52C"/>
    <w:rsid w:val="607DEEEB"/>
    <w:rsid w:val="6083B9F8"/>
    <w:rsid w:val="608634D8"/>
    <w:rsid w:val="608EEFEE"/>
    <w:rsid w:val="60998ECC"/>
    <w:rsid w:val="609E7ABF"/>
    <w:rsid w:val="60A13859"/>
    <w:rsid w:val="60ABD6F9"/>
    <w:rsid w:val="60B3E608"/>
    <w:rsid w:val="60D42199"/>
    <w:rsid w:val="60EF3BBB"/>
    <w:rsid w:val="6109B1F8"/>
    <w:rsid w:val="6115ADAE"/>
    <w:rsid w:val="61184367"/>
    <w:rsid w:val="611B6276"/>
    <w:rsid w:val="611D6C8B"/>
    <w:rsid w:val="611EA954"/>
    <w:rsid w:val="613C9419"/>
    <w:rsid w:val="613EA01A"/>
    <w:rsid w:val="6155AFEB"/>
    <w:rsid w:val="616B1852"/>
    <w:rsid w:val="6174F2E6"/>
    <w:rsid w:val="617A21B8"/>
    <w:rsid w:val="617D3D84"/>
    <w:rsid w:val="6184C8E7"/>
    <w:rsid w:val="61875DA1"/>
    <w:rsid w:val="618DD5ED"/>
    <w:rsid w:val="61AD19B6"/>
    <w:rsid w:val="61AE428A"/>
    <w:rsid w:val="61B1ABF4"/>
    <w:rsid w:val="61C7F45C"/>
    <w:rsid w:val="61D10E1D"/>
    <w:rsid w:val="61E64351"/>
    <w:rsid w:val="61EFDD04"/>
    <w:rsid w:val="61F56552"/>
    <w:rsid w:val="621793BC"/>
    <w:rsid w:val="6249387B"/>
    <w:rsid w:val="624F92D2"/>
    <w:rsid w:val="625AF057"/>
    <w:rsid w:val="625CE874"/>
    <w:rsid w:val="62837AE2"/>
    <w:rsid w:val="6286A1AD"/>
    <w:rsid w:val="6295C30B"/>
    <w:rsid w:val="62A74DE7"/>
    <w:rsid w:val="62BCFCCF"/>
    <w:rsid w:val="62C7706B"/>
    <w:rsid w:val="62CB7BFD"/>
    <w:rsid w:val="62DB956E"/>
    <w:rsid w:val="62E59B03"/>
    <w:rsid w:val="62E75618"/>
    <w:rsid w:val="62E95881"/>
    <w:rsid w:val="62F18CB5"/>
    <w:rsid w:val="62F3D97A"/>
    <w:rsid w:val="63018341"/>
    <w:rsid w:val="630619C5"/>
    <w:rsid w:val="630EA193"/>
    <w:rsid w:val="63100E7E"/>
    <w:rsid w:val="63135736"/>
    <w:rsid w:val="63399AFA"/>
    <w:rsid w:val="6353FF30"/>
    <w:rsid w:val="63792EDF"/>
    <w:rsid w:val="637B6194"/>
    <w:rsid w:val="637F3920"/>
    <w:rsid w:val="6381E342"/>
    <w:rsid w:val="6381FB70"/>
    <w:rsid w:val="63896313"/>
    <w:rsid w:val="638A5640"/>
    <w:rsid w:val="638E0F61"/>
    <w:rsid w:val="63CD9632"/>
    <w:rsid w:val="63DA0C7C"/>
    <w:rsid w:val="63E2C8FB"/>
    <w:rsid w:val="63E31B61"/>
    <w:rsid w:val="63E581E3"/>
    <w:rsid w:val="63E5EA1E"/>
    <w:rsid w:val="63F10B88"/>
    <w:rsid w:val="64023AC1"/>
    <w:rsid w:val="6409E5E3"/>
    <w:rsid w:val="640FF05B"/>
    <w:rsid w:val="641725FC"/>
    <w:rsid w:val="6420C2D6"/>
    <w:rsid w:val="64224775"/>
    <w:rsid w:val="642283C7"/>
    <w:rsid w:val="64376500"/>
    <w:rsid w:val="6439DA58"/>
    <w:rsid w:val="644A4213"/>
    <w:rsid w:val="64567D7C"/>
    <w:rsid w:val="645C63C0"/>
    <w:rsid w:val="645E6954"/>
    <w:rsid w:val="6461A4B4"/>
    <w:rsid w:val="646E3575"/>
    <w:rsid w:val="64764A90"/>
    <w:rsid w:val="647BA323"/>
    <w:rsid w:val="648474DF"/>
    <w:rsid w:val="6485FDCB"/>
    <w:rsid w:val="649E0C1C"/>
    <w:rsid w:val="64ACB237"/>
    <w:rsid w:val="64ACC478"/>
    <w:rsid w:val="64B64C6C"/>
    <w:rsid w:val="64BDB599"/>
    <w:rsid w:val="64D51C11"/>
    <w:rsid w:val="64E2EE28"/>
    <w:rsid w:val="64E9FC10"/>
    <w:rsid w:val="64F1ED95"/>
    <w:rsid w:val="64F8690D"/>
    <w:rsid w:val="64FA58BD"/>
    <w:rsid w:val="650DE31F"/>
    <w:rsid w:val="65185A4A"/>
    <w:rsid w:val="6518DB3A"/>
    <w:rsid w:val="652C1969"/>
    <w:rsid w:val="652D4856"/>
    <w:rsid w:val="65319FDB"/>
    <w:rsid w:val="654AA371"/>
    <w:rsid w:val="65620045"/>
    <w:rsid w:val="656800A0"/>
    <w:rsid w:val="6568678D"/>
    <w:rsid w:val="657592D0"/>
    <w:rsid w:val="657AB3C1"/>
    <w:rsid w:val="6586CF2F"/>
    <w:rsid w:val="65997BB8"/>
    <w:rsid w:val="659A9AE9"/>
    <w:rsid w:val="659CDF52"/>
    <w:rsid w:val="65B21F00"/>
    <w:rsid w:val="65BF3EE4"/>
    <w:rsid w:val="65C3EFD6"/>
    <w:rsid w:val="65C6A34F"/>
    <w:rsid w:val="65CC24B3"/>
    <w:rsid w:val="65E2712A"/>
    <w:rsid w:val="65EB542F"/>
    <w:rsid w:val="65F313F3"/>
    <w:rsid w:val="6605DDCB"/>
    <w:rsid w:val="66069E3D"/>
    <w:rsid w:val="660A2BE9"/>
    <w:rsid w:val="660ABDFB"/>
    <w:rsid w:val="661E5EAD"/>
    <w:rsid w:val="661F0A4E"/>
    <w:rsid w:val="6620C147"/>
    <w:rsid w:val="662399CC"/>
    <w:rsid w:val="6625E979"/>
    <w:rsid w:val="662E8DB0"/>
    <w:rsid w:val="6635C71C"/>
    <w:rsid w:val="6643E341"/>
    <w:rsid w:val="664CE3B8"/>
    <w:rsid w:val="6669348C"/>
    <w:rsid w:val="667B9B42"/>
    <w:rsid w:val="6686D30B"/>
    <w:rsid w:val="6687CCB5"/>
    <w:rsid w:val="6689AA13"/>
    <w:rsid w:val="6699D03C"/>
    <w:rsid w:val="66A02639"/>
    <w:rsid w:val="66AF4DB0"/>
    <w:rsid w:val="66B19E41"/>
    <w:rsid w:val="66C3F794"/>
    <w:rsid w:val="66D2217D"/>
    <w:rsid w:val="66FB5A0B"/>
    <w:rsid w:val="66FEAD75"/>
    <w:rsid w:val="6702DF17"/>
    <w:rsid w:val="670582E6"/>
    <w:rsid w:val="671C09FB"/>
    <w:rsid w:val="671E2F50"/>
    <w:rsid w:val="672223FC"/>
    <w:rsid w:val="672A5EFB"/>
    <w:rsid w:val="67349020"/>
    <w:rsid w:val="673A41BD"/>
    <w:rsid w:val="6745E2FF"/>
    <w:rsid w:val="67533824"/>
    <w:rsid w:val="67535452"/>
    <w:rsid w:val="67553A78"/>
    <w:rsid w:val="67673575"/>
    <w:rsid w:val="676A5574"/>
    <w:rsid w:val="67749A0E"/>
    <w:rsid w:val="6775458E"/>
    <w:rsid w:val="6797D202"/>
    <w:rsid w:val="67B54E1E"/>
    <w:rsid w:val="67C59514"/>
    <w:rsid w:val="67D1E42F"/>
    <w:rsid w:val="67DD5ED7"/>
    <w:rsid w:val="67E9A951"/>
    <w:rsid w:val="67FC743D"/>
    <w:rsid w:val="68023B7B"/>
    <w:rsid w:val="6804A274"/>
    <w:rsid w:val="6804CF45"/>
    <w:rsid w:val="6815E20A"/>
    <w:rsid w:val="681B1626"/>
    <w:rsid w:val="68273165"/>
    <w:rsid w:val="682A40B4"/>
    <w:rsid w:val="683FEEFD"/>
    <w:rsid w:val="684D993B"/>
    <w:rsid w:val="68572534"/>
    <w:rsid w:val="68580D3C"/>
    <w:rsid w:val="685BA89F"/>
    <w:rsid w:val="6866A6D4"/>
    <w:rsid w:val="68693A59"/>
    <w:rsid w:val="686AFA89"/>
    <w:rsid w:val="68770991"/>
    <w:rsid w:val="687F7CE3"/>
    <w:rsid w:val="688202ED"/>
    <w:rsid w:val="688EAAB1"/>
    <w:rsid w:val="689919E7"/>
    <w:rsid w:val="689A453C"/>
    <w:rsid w:val="68BA14EA"/>
    <w:rsid w:val="68BB708F"/>
    <w:rsid w:val="68BED7E7"/>
    <w:rsid w:val="68C23082"/>
    <w:rsid w:val="68D2440C"/>
    <w:rsid w:val="68E5A990"/>
    <w:rsid w:val="68F017E6"/>
    <w:rsid w:val="68FC6F2C"/>
    <w:rsid w:val="6906AC12"/>
    <w:rsid w:val="69144B20"/>
    <w:rsid w:val="69228418"/>
    <w:rsid w:val="6922A194"/>
    <w:rsid w:val="692D4B64"/>
    <w:rsid w:val="692F2E5F"/>
    <w:rsid w:val="693FFA7F"/>
    <w:rsid w:val="6949F965"/>
    <w:rsid w:val="69530D16"/>
    <w:rsid w:val="695721BB"/>
    <w:rsid w:val="695A60A8"/>
    <w:rsid w:val="695C9E5F"/>
    <w:rsid w:val="69611BF1"/>
    <w:rsid w:val="696721BB"/>
    <w:rsid w:val="697FF7E2"/>
    <w:rsid w:val="698445E1"/>
    <w:rsid w:val="6985B0DF"/>
    <w:rsid w:val="698FD71F"/>
    <w:rsid w:val="6991434E"/>
    <w:rsid w:val="69A4F049"/>
    <w:rsid w:val="69AAEE2D"/>
    <w:rsid w:val="69BD193D"/>
    <w:rsid w:val="69EDD055"/>
    <w:rsid w:val="69F61B37"/>
    <w:rsid w:val="69FE9DF3"/>
    <w:rsid w:val="6A089FB6"/>
    <w:rsid w:val="6A22E4FF"/>
    <w:rsid w:val="6A234BCB"/>
    <w:rsid w:val="6A24349E"/>
    <w:rsid w:val="6A2711B3"/>
    <w:rsid w:val="6A2D205D"/>
    <w:rsid w:val="6A388B86"/>
    <w:rsid w:val="6A38CB63"/>
    <w:rsid w:val="6A4AB88C"/>
    <w:rsid w:val="6A52A086"/>
    <w:rsid w:val="6A5762C4"/>
    <w:rsid w:val="6A5FB512"/>
    <w:rsid w:val="6A60AE10"/>
    <w:rsid w:val="6A61A5A3"/>
    <w:rsid w:val="6A772975"/>
    <w:rsid w:val="6AAD34D1"/>
    <w:rsid w:val="6AB5A5D0"/>
    <w:rsid w:val="6AB73C8C"/>
    <w:rsid w:val="6AB99868"/>
    <w:rsid w:val="6ABF677A"/>
    <w:rsid w:val="6ACC5876"/>
    <w:rsid w:val="6ACFE191"/>
    <w:rsid w:val="6AD3014E"/>
    <w:rsid w:val="6AD49CFD"/>
    <w:rsid w:val="6AD6B80A"/>
    <w:rsid w:val="6ADD5073"/>
    <w:rsid w:val="6AED16DA"/>
    <w:rsid w:val="6AEF7FFF"/>
    <w:rsid w:val="6AF6AFF1"/>
    <w:rsid w:val="6AF71E75"/>
    <w:rsid w:val="6AF7F829"/>
    <w:rsid w:val="6B07152B"/>
    <w:rsid w:val="6B1B9DE4"/>
    <w:rsid w:val="6B1BEB7E"/>
    <w:rsid w:val="6B1D19E2"/>
    <w:rsid w:val="6B1D9A52"/>
    <w:rsid w:val="6B2D6B6E"/>
    <w:rsid w:val="6B2E350C"/>
    <w:rsid w:val="6B300B87"/>
    <w:rsid w:val="6B31F5B8"/>
    <w:rsid w:val="6B334A95"/>
    <w:rsid w:val="6B3408AA"/>
    <w:rsid w:val="6B358C90"/>
    <w:rsid w:val="6B3A1DE1"/>
    <w:rsid w:val="6B43CA44"/>
    <w:rsid w:val="6B46CABE"/>
    <w:rsid w:val="6B4918D5"/>
    <w:rsid w:val="6B730351"/>
    <w:rsid w:val="6B7D1EAE"/>
    <w:rsid w:val="6B980589"/>
    <w:rsid w:val="6B9BB1F7"/>
    <w:rsid w:val="6BA9A00C"/>
    <w:rsid w:val="6BC34815"/>
    <w:rsid w:val="6BCF32D5"/>
    <w:rsid w:val="6BD4A9C9"/>
    <w:rsid w:val="6BFFDB7E"/>
    <w:rsid w:val="6C0EA257"/>
    <w:rsid w:val="6C10673C"/>
    <w:rsid w:val="6C10DBA9"/>
    <w:rsid w:val="6C18A42C"/>
    <w:rsid w:val="6C26CE71"/>
    <w:rsid w:val="6C26F09F"/>
    <w:rsid w:val="6C309D6E"/>
    <w:rsid w:val="6C3EAE97"/>
    <w:rsid w:val="6C497392"/>
    <w:rsid w:val="6C49BD35"/>
    <w:rsid w:val="6C5A8F69"/>
    <w:rsid w:val="6C5B7FC7"/>
    <w:rsid w:val="6C740932"/>
    <w:rsid w:val="6C74A332"/>
    <w:rsid w:val="6C7C0790"/>
    <w:rsid w:val="6C8EF4D5"/>
    <w:rsid w:val="6C93D801"/>
    <w:rsid w:val="6C9DD4C5"/>
    <w:rsid w:val="6CA0F62E"/>
    <w:rsid w:val="6CA9D6E8"/>
    <w:rsid w:val="6CB0C1D7"/>
    <w:rsid w:val="6CB1CB23"/>
    <w:rsid w:val="6CBB223F"/>
    <w:rsid w:val="6D002629"/>
    <w:rsid w:val="6D0FAA2A"/>
    <w:rsid w:val="6D1419B8"/>
    <w:rsid w:val="6D21F517"/>
    <w:rsid w:val="6D24D823"/>
    <w:rsid w:val="6D28CCAE"/>
    <w:rsid w:val="6D50F4DD"/>
    <w:rsid w:val="6D573E3F"/>
    <w:rsid w:val="6D5D5211"/>
    <w:rsid w:val="6D65376B"/>
    <w:rsid w:val="6D6D9745"/>
    <w:rsid w:val="6D8972D2"/>
    <w:rsid w:val="6D8EE7D7"/>
    <w:rsid w:val="6D8FD466"/>
    <w:rsid w:val="6D94D940"/>
    <w:rsid w:val="6D9F7494"/>
    <w:rsid w:val="6DD7ABB6"/>
    <w:rsid w:val="6DD891DA"/>
    <w:rsid w:val="6DD9EC72"/>
    <w:rsid w:val="6DEDE5EC"/>
    <w:rsid w:val="6E107F0F"/>
    <w:rsid w:val="6E13E6E8"/>
    <w:rsid w:val="6E154E62"/>
    <w:rsid w:val="6E2E4367"/>
    <w:rsid w:val="6E47625C"/>
    <w:rsid w:val="6E50F37B"/>
    <w:rsid w:val="6E659006"/>
    <w:rsid w:val="6E67F95A"/>
    <w:rsid w:val="6E73E186"/>
    <w:rsid w:val="6E79D0C7"/>
    <w:rsid w:val="6E7E66FB"/>
    <w:rsid w:val="6E82DDF0"/>
    <w:rsid w:val="6E935EB6"/>
    <w:rsid w:val="6E9F528A"/>
    <w:rsid w:val="6EB488B7"/>
    <w:rsid w:val="6ED62E52"/>
    <w:rsid w:val="6ED673B6"/>
    <w:rsid w:val="6EDC479D"/>
    <w:rsid w:val="6EDED461"/>
    <w:rsid w:val="6EE2DE71"/>
    <w:rsid w:val="6EE5F047"/>
    <w:rsid w:val="6EEFF0AE"/>
    <w:rsid w:val="6F2F268C"/>
    <w:rsid w:val="6F310A6D"/>
    <w:rsid w:val="6F483DB8"/>
    <w:rsid w:val="6F54807C"/>
    <w:rsid w:val="6F62DBFF"/>
    <w:rsid w:val="6F6D32E1"/>
    <w:rsid w:val="6F7AE93F"/>
    <w:rsid w:val="6F7CAD31"/>
    <w:rsid w:val="6F7E92FF"/>
    <w:rsid w:val="6F80492E"/>
    <w:rsid w:val="6F945FA5"/>
    <w:rsid w:val="6FCCA87E"/>
    <w:rsid w:val="6FCDE97F"/>
    <w:rsid w:val="6FDAEC71"/>
    <w:rsid w:val="6FF4ABEA"/>
    <w:rsid w:val="7011D142"/>
    <w:rsid w:val="7013468E"/>
    <w:rsid w:val="7017C076"/>
    <w:rsid w:val="702AA39A"/>
    <w:rsid w:val="702AE071"/>
    <w:rsid w:val="703D6641"/>
    <w:rsid w:val="70557609"/>
    <w:rsid w:val="70576C02"/>
    <w:rsid w:val="706B2BC0"/>
    <w:rsid w:val="706FEFE9"/>
    <w:rsid w:val="709D092D"/>
    <w:rsid w:val="70A3ECF6"/>
    <w:rsid w:val="70A8461B"/>
    <w:rsid w:val="70C1A199"/>
    <w:rsid w:val="70D6AAA3"/>
    <w:rsid w:val="70D8225F"/>
    <w:rsid w:val="70E0FD0E"/>
    <w:rsid w:val="70EEB112"/>
    <w:rsid w:val="710EA815"/>
    <w:rsid w:val="71159F20"/>
    <w:rsid w:val="711B327F"/>
    <w:rsid w:val="712013CD"/>
    <w:rsid w:val="71354367"/>
    <w:rsid w:val="713E15DA"/>
    <w:rsid w:val="71502D89"/>
    <w:rsid w:val="719050ED"/>
    <w:rsid w:val="7192F098"/>
    <w:rsid w:val="71B8BBDC"/>
    <w:rsid w:val="71B9C518"/>
    <w:rsid w:val="71CFB313"/>
    <w:rsid w:val="71D1F0F1"/>
    <w:rsid w:val="71D8110D"/>
    <w:rsid w:val="71E3849A"/>
    <w:rsid w:val="71F8F70C"/>
    <w:rsid w:val="7202E0B3"/>
    <w:rsid w:val="72088A0F"/>
    <w:rsid w:val="72116457"/>
    <w:rsid w:val="7215EEB3"/>
    <w:rsid w:val="722F95EF"/>
    <w:rsid w:val="72403F90"/>
    <w:rsid w:val="72576218"/>
    <w:rsid w:val="7263CD82"/>
    <w:rsid w:val="726F282E"/>
    <w:rsid w:val="72792C7F"/>
    <w:rsid w:val="7279CDB0"/>
    <w:rsid w:val="72805433"/>
    <w:rsid w:val="7283E123"/>
    <w:rsid w:val="728499A3"/>
    <w:rsid w:val="728807BA"/>
    <w:rsid w:val="72AA85D8"/>
    <w:rsid w:val="72B237DE"/>
    <w:rsid w:val="72B4F8E6"/>
    <w:rsid w:val="72CD245B"/>
    <w:rsid w:val="72CE23EB"/>
    <w:rsid w:val="72DF729B"/>
    <w:rsid w:val="72EBA71A"/>
    <w:rsid w:val="72EEBC68"/>
    <w:rsid w:val="730104AE"/>
    <w:rsid w:val="731455CA"/>
    <w:rsid w:val="7314D77F"/>
    <w:rsid w:val="731AD3FA"/>
    <w:rsid w:val="7326C3B2"/>
    <w:rsid w:val="7341A7FC"/>
    <w:rsid w:val="7345AC74"/>
    <w:rsid w:val="7351DAD9"/>
    <w:rsid w:val="735DEE2E"/>
    <w:rsid w:val="7360282E"/>
    <w:rsid w:val="7373164A"/>
    <w:rsid w:val="73755A4C"/>
    <w:rsid w:val="737A4C6F"/>
    <w:rsid w:val="738BEA6A"/>
    <w:rsid w:val="73907189"/>
    <w:rsid w:val="739E18A9"/>
    <w:rsid w:val="73D31786"/>
    <w:rsid w:val="74545E39"/>
    <w:rsid w:val="74553C6B"/>
    <w:rsid w:val="745759A1"/>
    <w:rsid w:val="745E083A"/>
    <w:rsid w:val="746A2A48"/>
    <w:rsid w:val="746F537E"/>
    <w:rsid w:val="74A779D6"/>
    <w:rsid w:val="74C95982"/>
    <w:rsid w:val="74F9B744"/>
    <w:rsid w:val="750B3F10"/>
    <w:rsid w:val="750FFA2F"/>
    <w:rsid w:val="751C7D4D"/>
    <w:rsid w:val="75236B72"/>
    <w:rsid w:val="75545245"/>
    <w:rsid w:val="755F98C4"/>
    <w:rsid w:val="758B4C7B"/>
    <w:rsid w:val="75976E41"/>
    <w:rsid w:val="75C2D11D"/>
    <w:rsid w:val="75D60507"/>
    <w:rsid w:val="75D6BA19"/>
    <w:rsid w:val="75E49FB9"/>
    <w:rsid w:val="75E8D5F0"/>
    <w:rsid w:val="75F48DDD"/>
    <w:rsid w:val="76071F92"/>
    <w:rsid w:val="7612EDB0"/>
    <w:rsid w:val="761DF2A1"/>
    <w:rsid w:val="761F2CF7"/>
    <w:rsid w:val="7622A632"/>
    <w:rsid w:val="7626741B"/>
    <w:rsid w:val="7628671A"/>
    <w:rsid w:val="76358009"/>
    <w:rsid w:val="764B2448"/>
    <w:rsid w:val="765331E3"/>
    <w:rsid w:val="767744C1"/>
    <w:rsid w:val="7678A5D2"/>
    <w:rsid w:val="767DAF46"/>
    <w:rsid w:val="76985475"/>
    <w:rsid w:val="7698813E"/>
    <w:rsid w:val="769F602B"/>
    <w:rsid w:val="76A2BC93"/>
    <w:rsid w:val="76AD65FA"/>
    <w:rsid w:val="76B43409"/>
    <w:rsid w:val="76BA2237"/>
    <w:rsid w:val="76BF529C"/>
    <w:rsid w:val="76C42675"/>
    <w:rsid w:val="76CB6AD3"/>
    <w:rsid w:val="76CC4488"/>
    <w:rsid w:val="76D15B34"/>
    <w:rsid w:val="76D362CD"/>
    <w:rsid w:val="76F10BB6"/>
    <w:rsid w:val="76F57059"/>
    <w:rsid w:val="77013847"/>
    <w:rsid w:val="770F7250"/>
    <w:rsid w:val="774F8B50"/>
    <w:rsid w:val="7758F1ED"/>
    <w:rsid w:val="775DC32F"/>
    <w:rsid w:val="77642661"/>
    <w:rsid w:val="776466B0"/>
    <w:rsid w:val="7772FA34"/>
    <w:rsid w:val="77810C4E"/>
    <w:rsid w:val="779AB35D"/>
    <w:rsid w:val="77A15087"/>
    <w:rsid w:val="77A31F19"/>
    <w:rsid w:val="77B70B63"/>
    <w:rsid w:val="77BACD67"/>
    <w:rsid w:val="77D24741"/>
    <w:rsid w:val="77D36259"/>
    <w:rsid w:val="77E9A727"/>
    <w:rsid w:val="77EAE503"/>
    <w:rsid w:val="77F8A38B"/>
    <w:rsid w:val="7809A6A6"/>
    <w:rsid w:val="78185FA6"/>
    <w:rsid w:val="781CD3B3"/>
    <w:rsid w:val="78225375"/>
    <w:rsid w:val="78308943"/>
    <w:rsid w:val="784D797E"/>
    <w:rsid w:val="784FEB65"/>
    <w:rsid w:val="785D61AC"/>
    <w:rsid w:val="789BD016"/>
    <w:rsid w:val="78A7EE62"/>
    <w:rsid w:val="78DF65F4"/>
    <w:rsid w:val="78E5B11D"/>
    <w:rsid w:val="78E90569"/>
    <w:rsid w:val="78F8D300"/>
    <w:rsid w:val="791736CD"/>
    <w:rsid w:val="7917C6F7"/>
    <w:rsid w:val="7921556F"/>
    <w:rsid w:val="79499241"/>
    <w:rsid w:val="794AF59B"/>
    <w:rsid w:val="795622C8"/>
    <w:rsid w:val="7963C028"/>
    <w:rsid w:val="799B22DF"/>
    <w:rsid w:val="799C32D8"/>
    <w:rsid w:val="79A0D5E9"/>
    <w:rsid w:val="79AA36C1"/>
    <w:rsid w:val="79B342B9"/>
    <w:rsid w:val="79BF2C0F"/>
    <w:rsid w:val="79C747ED"/>
    <w:rsid w:val="79C7CE11"/>
    <w:rsid w:val="79CCD85B"/>
    <w:rsid w:val="79CE7CB9"/>
    <w:rsid w:val="79F47276"/>
    <w:rsid w:val="79F5D6BB"/>
    <w:rsid w:val="79FA7E99"/>
    <w:rsid w:val="7A0B7F3B"/>
    <w:rsid w:val="7A273556"/>
    <w:rsid w:val="7A46A766"/>
    <w:rsid w:val="7A49E71D"/>
    <w:rsid w:val="7A52C2CC"/>
    <w:rsid w:val="7A5E3360"/>
    <w:rsid w:val="7A7CA727"/>
    <w:rsid w:val="7A7D723A"/>
    <w:rsid w:val="7A850FDF"/>
    <w:rsid w:val="7A9AEB6E"/>
    <w:rsid w:val="7AAA51B3"/>
    <w:rsid w:val="7AB3EAFB"/>
    <w:rsid w:val="7ABE313A"/>
    <w:rsid w:val="7AD4B5F9"/>
    <w:rsid w:val="7AD98E9B"/>
    <w:rsid w:val="7AE24CFF"/>
    <w:rsid w:val="7B0DD303"/>
    <w:rsid w:val="7B25AFEA"/>
    <w:rsid w:val="7B27D696"/>
    <w:rsid w:val="7B3254B3"/>
    <w:rsid w:val="7B3A2CD8"/>
    <w:rsid w:val="7B499A89"/>
    <w:rsid w:val="7B4D3504"/>
    <w:rsid w:val="7B4DF8DF"/>
    <w:rsid w:val="7B50F7FB"/>
    <w:rsid w:val="7B521205"/>
    <w:rsid w:val="7B58457D"/>
    <w:rsid w:val="7B735CD4"/>
    <w:rsid w:val="7BA847C0"/>
    <w:rsid w:val="7BB04830"/>
    <w:rsid w:val="7BB55E90"/>
    <w:rsid w:val="7BDB59F6"/>
    <w:rsid w:val="7BDB9B72"/>
    <w:rsid w:val="7BE37BF7"/>
    <w:rsid w:val="7BE42256"/>
    <w:rsid w:val="7BEB4478"/>
    <w:rsid w:val="7BEFAFA4"/>
    <w:rsid w:val="7BEFDAE8"/>
    <w:rsid w:val="7BF50202"/>
    <w:rsid w:val="7BFC00F0"/>
    <w:rsid w:val="7BFC2D13"/>
    <w:rsid w:val="7BFD73A2"/>
    <w:rsid w:val="7C001C22"/>
    <w:rsid w:val="7C034CF3"/>
    <w:rsid w:val="7C054946"/>
    <w:rsid w:val="7C128959"/>
    <w:rsid w:val="7C14600D"/>
    <w:rsid w:val="7C15CA46"/>
    <w:rsid w:val="7C1D7FD0"/>
    <w:rsid w:val="7C331E5F"/>
    <w:rsid w:val="7C379508"/>
    <w:rsid w:val="7C383DF0"/>
    <w:rsid w:val="7C386B4C"/>
    <w:rsid w:val="7C3F0192"/>
    <w:rsid w:val="7C494880"/>
    <w:rsid w:val="7C57F69B"/>
    <w:rsid w:val="7C6A03F9"/>
    <w:rsid w:val="7C87390B"/>
    <w:rsid w:val="7C8FA767"/>
    <w:rsid w:val="7C96AB4A"/>
    <w:rsid w:val="7C981340"/>
    <w:rsid w:val="7CA5881D"/>
    <w:rsid w:val="7CAAAA8A"/>
    <w:rsid w:val="7CB23986"/>
    <w:rsid w:val="7CB3FFA6"/>
    <w:rsid w:val="7CBDBB8D"/>
    <w:rsid w:val="7CC9367D"/>
    <w:rsid w:val="7CCA166C"/>
    <w:rsid w:val="7CCDDF93"/>
    <w:rsid w:val="7CCEFB8E"/>
    <w:rsid w:val="7CD582B0"/>
    <w:rsid w:val="7CDBC6C3"/>
    <w:rsid w:val="7CE206F5"/>
    <w:rsid w:val="7CE2E0FB"/>
    <w:rsid w:val="7CF69BE5"/>
    <w:rsid w:val="7CFA4215"/>
    <w:rsid w:val="7CFE1082"/>
    <w:rsid w:val="7D0A90AE"/>
    <w:rsid w:val="7D13739A"/>
    <w:rsid w:val="7D1C0265"/>
    <w:rsid w:val="7D1C6ACD"/>
    <w:rsid w:val="7D1EFCEC"/>
    <w:rsid w:val="7D289476"/>
    <w:rsid w:val="7D35D69B"/>
    <w:rsid w:val="7D472BB4"/>
    <w:rsid w:val="7D5E3439"/>
    <w:rsid w:val="7D670A16"/>
    <w:rsid w:val="7D6BD479"/>
    <w:rsid w:val="7D866BC0"/>
    <w:rsid w:val="7D8D4AE7"/>
    <w:rsid w:val="7D96DF8F"/>
    <w:rsid w:val="7D9D5E1B"/>
    <w:rsid w:val="7DB24097"/>
    <w:rsid w:val="7DB94954"/>
    <w:rsid w:val="7DBB7232"/>
    <w:rsid w:val="7DBDA194"/>
    <w:rsid w:val="7DC579DE"/>
    <w:rsid w:val="7DE2E738"/>
    <w:rsid w:val="7DEA3D04"/>
    <w:rsid w:val="7DED6710"/>
    <w:rsid w:val="7E003645"/>
    <w:rsid w:val="7E0542FE"/>
    <w:rsid w:val="7E12DB8B"/>
    <w:rsid w:val="7E25B43A"/>
    <w:rsid w:val="7E2A5F94"/>
    <w:rsid w:val="7E3C0FB4"/>
    <w:rsid w:val="7E481C63"/>
    <w:rsid w:val="7E5DA4FF"/>
    <w:rsid w:val="7E623107"/>
    <w:rsid w:val="7E649B90"/>
    <w:rsid w:val="7E775C1C"/>
    <w:rsid w:val="7E7C1D15"/>
    <w:rsid w:val="7E894C7F"/>
    <w:rsid w:val="7E8B5B92"/>
    <w:rsid w:val="7E9BD152"/>
    <w:rsid w:val="7EA2E895"/>
    <w:rsid w:val="7EC2C877"/>
    <w:rsid w:val="7EDC6AFF"/>
    <w:rsid w:val="7EE2A5EF"/>
    <w:rsid w:val="7EE607D6"/>
    <w:rsid w:val="7EF577CD"/>
    <w:rsid w:val="7EFA83C1"/>
    <w:rsid w:val="7F16EC83"/>
    <w:rsid w:val="7F2557CC"/>
    <w:rsid w:val="7F40F7A3"/>
    <w:rsid w:val="7F4E18B6"/>
    <w:rsid w:val="7F58DE86"/>
    <w:rsid w:val="7F593E31"/>
    <w:rsid w:val="7F673DF4"/>
    <w:rsid w:val="7F67B060"/>
    <w:rsid w:val="7F76FA08"/>
    <w:rsid w:val="7F80CE79"/>
    <w:rsid w:val="7F8AEBC3"/>
    <w:rsid w:val="7F8E1C96"/>
    <w:rsid w:val="7F8F94EA"/>
    <w:rsid w:val="7F9C25D1"/>
    <w:rsid w:val="7FA0FB58"/>
    <w:rsid w:val="7FC64D59"/>
    <w:rsid w:val="7FE21588"/>
    <w:rsid w:val="7FE769BC"/>
    <w:rsid w:val="7FEA7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558ACD18-924D-4F11-8682-E589D171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F3213"/>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22C"/>
    <w:rPr>
      <w:rFonts w:ascii="Segoe UI" w:hAnsi="Segoe UI" w:cs="Segoe UI"/>
      <w:sz w:val="18"/>
      <w:szCs w:val="18"/>
    </w:rPr>
  </w:style>
  <w:style w:type="character" w:styleId="Heading2Char" w:customStyle="1">
    <w:name w:val="Heading 2 Char"/>
    <w:basedOn w:val="DefaultParagraphFont"/>
    <w:link w:val="Heading2"/>
    <w:rsid w:val="003D222C"/>
    <w:rPr>
      <w:rFonts w:ascii="Arial" w:hAnsi="Arial" w:eastAsia="Times New Roman"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styleId="ListParagraphChar" w:customStyle="1">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hAnsi="Arial" w:eastAsia="Times New Roman" w:cs="Times New Roman"/>
      <w:sz w:val="24"/>
      <w:szCs w:val="20"/>
      <w:lang w:eastAsia="en-GB"/>
    </w:rPr>
  </w:style>
  <w:style w:type="table" w:styleId="TableGrid">
    <w:name w:val="Table Grid"/>
    <w:basedOn w:val="TableNormal"/>
    <w:rsid w:val="003D222C"/>
    <w:pPr>
      <w:spacing w:after="0" w:line="240" w:lineRule="auto"/>
    </w:pPr>
    <w:rPr>
      <w:rFonts w:ascii="Times New Roman" w:hAnsi="Times New Roman" w:eastAsia="Times New Roman" w:cs="Times New Roman"/>
      <w:sz w:val="20"/>
      <w:szCs w:val="20"/>
      <w:lang w:eastAsia="en-GB"/>
    </w:rPr>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styleId="HeaderChar" w:customStyle="1">
    <w:name w:val="Header Char"/>
    <w:basedOn w:val="DefaultParagraphFont"/>
    <w:link w:val="Header"/>
    <w:uiPriority w:val="99"/>
    <w:rsid w:val="003D222C"/>
    <w:rPr>
      <w:rFonts w:ascii="Arial" w:hAnsi="Arial" w:eastAsia="Times New Roman"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styleId="FooterChar" w:customStyle="1">
    <w:name w:val="Footer Char"/>
    <w:basedOn w:val="DefaultParagraphFont"/>
    <w:link w:val="Footer"/>
    <w:uiPriority w:val="99"/>
    <w:rsid w:val="001A4AA4"/>
    <w:rPr>
      <w:rFonts w:ascii="Arial" w:hAnsi="Arial" w:eastAsia="Times New Roman"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hAnsi="Arial" w:eastAsia="Times New Roman" w:cs="Times New Roman"/>
      <w:sz w:val="24"/>
      <w:szCs w:val="24"/>
    </w:rPr>
  </w:style>
  <w:style w:type="paragraph" w:styleId="BEISTitle" w:customStyle="1">
    <w:name w:val="BEIS Title"/>
    <w:basedOn w:val="Normal"/>
    <w:next w:val="Normal"/>
    <w:rsid w:val="00885BB9"/>
    <w:pPr>
      <w:spacing w:after="240" w:line="320" w:lineRule="atLeast"/>
    </w:pPr>
    <w:rPr>
      <w:rFonts w:eastAsiaTheme="minorHAnsi" w:cstheme="minorBidi"/>
      <w:color w:val="041E42"/>
      <w:sz w:val="76"/>
      <w:szCs w:val="22"/>
    </w:rPr>
  </w:style>
  <w:style w:type="paragraph" w:styleId="BEISDate" w:customStyle="1">
    <w:name w:val="BEIS Date"/>
    <w:basedOn w:val="Normal"/>
    <w:rsid w:val="00090217"/>
    <w:pPr>
      <w:spacing w:line="320" w:lineRule="atLeast"/>
    </w:pPr>
    <w:rPr>
      <w:rFonts w:eastAsiaTheme="minorHAnsi" w:cstheme="minorBidi"/>
      <w:color w:val="868686"/>
      <w:sz w:val="28"/>
      <w:szCs w:val="22"/>
    </w:rPr>
  </w:style>
  <w:style w:type="character" w:styleId="Heading1Char" w:customStyle="1">
    <w:name w:val="Heading 1 Char"/>
    <w:basedOn w:val="DefaultParagraphFont"/>
    <w:link w:val="Heading1"/>
    <w:uiPriority w:val="9"/>
    <w:rsid w:val="001B14B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styleId="Heading3Char" w:customStyle="1">
    <w:name w:val="Heading 3 Char"/>
    <w:basedOn w:val="DefaultParagraphFont"/>
    <w:link w:val="Heading3"/>
    <w:uiPriority w:val="9"/>
    <w:rsid w:val="00953846"/>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annotation reference"/>
    <w:basedOn w:val="DefaultParagraphFont"/>
    <w:uiPriority w:val="99"/>
    <w:semiHidden/>
    <w:unhideWhenUsed/>
    <w:rsid w:val="00497D69"/>
    <w:rPr>
      <w:sz w:val="16"/>
      <w:szCs w:val="16"/>
    </w:rPr>
  </w:style>
  <w:style w:type="paragraph" w:styleId="CommentText">
    <w:name w:val="annotation text"/>
    <w:basedOn w:val="Normal"/>
    <w:link w:val="CommentTextChar"/>
    <w:uiPriority w:val="99"/>
    <w:unhideWhenUsed/>
    <w:rsid w:val="00497D69"/>
    <w:rPr>
      <w:sz w:val="20"/>
      <w:szCs w:val="20"/>
    </w:rPr>
  </w:style>
  <w:style w:type="character" w:styleId="CommentTextChar" w:customStyle="1">
    <w:name w:val="Comment Text Char"/>
    <w:basedOn w:val="DefaultParagraphFont"/>
    <w:link w:val="CommentText"/>
    <w:uiPriority w:val="99"/>
    <w:rsid w:val="00497D69"/>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7D69"/>
    <w:rPr>
      <w:b/>
      <w:bCs/>
    </w:rPr>
  </w:style>
  <w:style w:type="character" w:styleId="CommentSubjectChar" w:customStyle="1">
    <w:name w:val="Comment Subject Char"/>
    <w:basedOn w:val="CommentTextChar"/>
    <w:link w:val="CommentSubject"/>
    <w:uiPriority w:val="99"/>
    <w:semiHidden/>
    <w:rsid w:val="00497D69"/>
    <w:rPr>
      <w:rFonts w:ascii="Arial" w:hAnsi="Arial" w:eastAsia="Times New Roman" w:cs="Times New Roman"/>
      <w:b/>
      <w:bCs/>
      <w:sz w:val="20"/>
      <w:szCs w:val="20"/>
    </w:rPr>
  </w:style>
  <w:style w:type="paragraph" w:styleId="FootnoteText">
    <w:name w:val="footnote text"/>
    <w:basedOn w:val="Normal"/>
    <w:link w:val="FootnoteTextChar"/>
    <w:uiPriority w:val="99"/>
    <w:semiHidden/>
    <w:unhideWhenUsed/>
    <w:rsid w:val="6922A194"/>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sid w:val="53DD68BC"/>
    <w:pPr>
      <w:spacing w:after="0"/>
    </w:pPr>
  </w:style>
  <w:style w:type="character" w:styleId="FootnoteTextChar" w:customStyle="1">
    <w:name w:val="Footnote Text Char"/>
    <w:basedOn w:val="DefaultParagraphFont"/>
    <w:link w:val="FootnoteText"/>
    <w:uiPriority w:val="99"/>
    <w:semiHidden/>
    <w:rsid w:val="00172291"/>
    <w:rPr>
      <w:rFonts w:ascii="Arial" w:hAnsi="Arial" w:eastAsia="Times New Roman" w:cs="Times New Roman"/>
      <w:sz w:val="20"/>
      <w:szCs w:val="20"/>
    </w:rPr>
  </w:style>
  <w:style w:type="paragraph" w:styleId="NormalWeb">
    <w:name w:val="Normal (Web)"/>
    <w:basedOn w:val="Normal"/>
    <w:uiPriority w:val="99"/>
    <w:semiHidden/>
    <w:unhideWhenUsed/>
    <w:rsid w:val="002163FA"/>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AB3706"/>
    <w:rPr>
      <w:b/>
      <w:bCs/>
    </w:rPr>
  </w:style>
</w:styles>
</file>

<file path=word/tasks.xml><?xml version="1.0" encoding="utf-8"?>
<t:Tasks xmlns:t="http://schemas.microsoft.com/office/tasks/2019/documenttasks" xmlns:oel="http://schemas.microsoft.com/office/2019/extlst">
  <t:Task id="{EF7AD9E0-8FBF-4DD4-BDF7-95F2F3B0BAD4}">
    <t:Anchor>
      <t:Comment id="1302930330"/>
    </t:Anchor>
    <t:History>
      <t:Event id="{23850486-842A-4637-8B2C-81829A25EC06}" time="2025-12-02T07:19:57.758Z">
        <t:Attribution userId="S::tim.mcneill@energysecurity.gov.uk::132d74ed-b374-4d7a-97ae-4e8bc4d49e31" userProvider="AD" userName="Mcneill, Tim (Energy Security)"/>
        <t:Anchor>
          <t:Comment id="1302930330"/>
        </t:Anchor>
        <t:Create/>
      </t:Event>
      <t:Event id="{1F811C72-74CF-4667-ACBE-32BCBA64819D}" time="2025-12-02T07:19:57.758Z">
        <t:Attribution userId="S::tim.mcneill@energysecurity.gov.uk::132d74ed-b374-4d7a-97ae-4e8bc4d49e31" userProvider="AD" userName="Mcneill, Tim (Energy Security)"/>
        <t:Anchor>
          <t:Comment id="1302930330"/>
        </t:Anchor>
        <t:Assign userId="S::Henry.Parrin@energysecurity.gov.uk::698aed9b-778b-45fe-bc9f-80a3bef660cd" userProvider="AD" userName="Parrin, Henry (Energy Security)"/>
      </t:Event>
      <t:Event id="{31A7AE56-E63E-49CA-9E47-EAFEBE92C4B5}" time="2025-12-02T07:19:57.758Z">
        <t:Attribution userId="S::tim.mcneill@energysecurity.gov.uk::132d74ed-b374-4d7a-97ae-4e8bc4d49e31" userProvider="AD" userName="Mcneill, Tim (Energy Security)"/>
        <t:Anchor>
          <t:Comment id="1302930330"/>
        </t:Anchor>
        <t:SetTitle title="@Parrin, Henry (Energy Security) not sure this is correct - there's just no target!"/>
      </t:Event>
      <t:Event id="{7DBBEDC2-F392-44F2-92FC-9B4D663D4C3D}" time="2025-12-09T14:33:09.862Z">
        <t:Attribution userId="S::jessica.graydon@energysecurity.gov.uk::93ba42ea-2a50-4834-be07-d485eac1a682" userProvider="AD" userName="Graydon, Jessica (Energy Security)"/>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027">
      <w:bodyDiv w:val="1"/>
      <w:marLeft w:val="0"/>
      <w:marRight w:val="0"/>
      <w:marTop w:val="0"/>
      <w:marBottom w:val="0"/>
      <w:divBdr>
        <w:top w:val="none" w:sz="0" w:space="0" w:color="auto"/>
        <w:left w:val="none" w:sz="0" w:space="0" w:color="auto"/>
        <w:bottom w:val="none" w:sz="0" w:space="0" w:color="auto"/>
        <w:right w:val="none" w:sz="0" w:space="0" w:color="auto"/>
      </w:divBdr>
      <w:divsChild>
        <w:div w:id="1303190386">
          <w:marLeft w:val="0"/>
          <w:marRight w:val="0"/>
          <w:marTop w:val="0"/>
          <w:marBottom w:val="0"/>
          <w:divBdr>
            <w:top w:val="none" w:sz="0" w:space="0" w:color="auto"/>
            <w:left w:val="none" w:sz="0" w:space="0" w:color="auto"/>
            <w:bottom w:val="none" w:sz="0" w:space="0" w:color="auto"/>
            <w:right w:val="none" w:sz="0" w:space="0" w:color="auto"/>
          </w:divBdr>
        </w:div>
      </w:divsChild>
    </w:div>
    <w:div w:id="21782649">
      <w:bodyDiv w:val="1"/>
      <w:marLeft w:val="0"/>
      <w:marRight w:val="0"/>
      <w:marTop w:val="0"/>
      <w:marBottom w:val="0"/>
      <w:divBdr>
        <w:top w:val="none" w:sz="0" w:space="0" w:color="auto"/>
        <w:left w:val="none" w:sz="0" w:space="0" w:color="auto"/>
        <w:bottom w:val="none" w:sz="0" w:space="0" w:color="auto"/>
        <w:right w:val="none" w:sz="0" w:space="0" w:color="auto"/>
      </w:divBdr>
      <w:divsChild>
        <w:div w:id="45573657">
          <w:marLeft w:val="0"/>
          <w:marRight w:val="0"/>
          <w:marTop w:val="0"/>
          <w:marBottom w:val="0"/>
          <w:divBdr>
            <w:top w:val="none" w:sz="0" w:space="0" w:color="auto"/>
            <w:left w:val="none" w:sz="0" w:space="0" w:color="auto"/>
            <w:bottom w:val="none" w:sz="0" w:space="0" w:color="auto"/>
            <w:right w:val="none" w:sz="0" w:space="0" w:color="auto"/>
          </w:divBdr>
        </w:div>
        <w:div w:id="1524783674">
          <w:marLeft w:val="0"/>
          <w:marRight w:val="0"/>
          <w:marTop w:val="0"/>
          <w:marBottom w:val="0"/>
          <w:divBdr>
            <w:top w:val="none" w:sz="0" w:space="0" w:color="auto"/>
            <w:left w:val="none" w:sz="0" w:space="0" w:color="auto"/>
            <w:bottom w:val="none" w:sz="0" w:space="0" w:color="auto"/>
            <w:right w:val="none" w:sz="0" w:space="0" w:color="auto"/>
          </w:divBdr>
        </w:div>
        <w:div w:id="1888830274">
          <w:marLeft w:val="0"/>
          <w:marRight w:val="0"/>
          <w:marTop w:val="0"/>
          <w:marBottom w:val="0"/>
          <w:divBdr>
            <w:top w:val="none" w:sz="0" w:space="0" w:color="auto"/>
            <w:left w:val="none" w:sz="0" w:space="0" w:color="auto"/>
            <w:bottom w:val="none" w:sz="0" w:space="0" w:color="auto"/>
            <w:right w:val="none" w:sz="0" w:space="0" w:color="auto"/>
          </w:divBdr>
        </w:div>
      </w:divsChild>
    </w:div>
    <w:div w:id="91778181">
      <w:bodyDiv w:val="1"/>
      <w:marLeft w:val="0"/>
      <w:marRight w:val="0"/>
      <w:marTop w:val="0"/>
      <w:marBottom w:val="0"/>
      <w:divBdr>
        <w:top w:val="none" w:sz="0" w:space="0" w:color="auto"/>
        <w:left w:val="none" w:sz="0" w:space="0" w:color="auto"/>
        <w:bottom w:val="none" w:sz="0" w:space="0" w:color="auto"/>
        <w:right w:val="none" w:sz="0" w:space="0" w:color="auto"/>
      </w:divBdr>
    </w:div>
    <w:div w:id="97524643">
      <w:bodyDiv w:val="1"/>
      <w:marLeft w:val="0"/>
      <w:marRight w:val="0"/>
      <w:marTop w:val="0"/>
      <w:marBottom w:val="0"/>
      <w:divBdr>
        <w:top w:val="none" w:sz="0" w:space="0" w:color="auto"/>
        <w:left w:val="none" w:sz="0" w:space="0" w:color="auto"/>
        <w:bottom w:val="none" w:sz="0" w:space="0" w:color="auto"/>
        <w:right w:val="none" w:sz="0" w:space="0" w:color="auto"/>
      </w:divBdr>
    </w:div>
    <w:div w:id="153684297">
      <w:bodyDiv w:val="1"/>
      <w:marLeft w:val="0"/>
      <w:marRight w:val="0"/>
      <w:marTop w:val="0"/>
      <w:marBottom w:val="0"/>
      <w:divBdr>
        <w:top w:val="none" w:sz="0" w:space="0" w:color="auto"/>
        <w:left w:val="none" w:sz="0" w:space="0" w:color="auto"/>
        <w:bottom w:val="none" w:sz="0" w:space="0" w:color="auto"/>
        <w:right w:val="none" w:sz="0" w:space="0" w:color="auto"/>
      </w:divBdr>
      <w:divsChild>
        <w:div w:id="169178744">
          <w:marLeft w:val="0"/>
          <w:marRight w:val="0"/>
          <w:marTop w:val="0"/>
          <w:marBottom w:val="0"/>
          <w:divBdr>
            <w:top w:val="none" w:sz="0" w:space="0" w:color="auto"/>
            <w:left w:val="none" w:sz="0" w:space="0" w:color="auto"/>
            <w:bottom w:val="none" w:sz="0" w:space="0" w:color="auto"/>
            <w:right w:val="none" w:sz="0" w:space="0" w:color="auto"/>
          </w:divBdr>
        </w:div>
        <w:div w:id="648830291">
          <w:marLeft w:val="0"/>
          <w:marRight w:val="0"/>
          <w:marTop w:val="0"/>
          <w:marBottom w:val="0"/>
          <w:divBdr>
            <w:top w:val="none" w:sz="0" w:space="0" w:color="auto"/>
            <w:left w:val="none" w:sz="0" w:space="0" w:color="auto"/>
            <w:bottom w:val="none" w:sz="0" w:space="0" w:color="auto"/>
            <w:right w:val="none" w:sz="0" w:space="0" w:color="auto"/>
          </w:divBdr>
        </w:div>
        <w:div w:id="840509328">
          <w:marLeft w:val="0"/>
          <w:marRight w:val="0"/>
          <w:marTop w:val="0"/>
          <w:marBottom w:val="0"/>
          <w:divBdr>
            <w:top w:val="none" w:sz="0" w:space="0" w:color="auto"/>
            <w:left w:val="none" w:sz="0" w:space="0" w:color="auto"/>
            <w:bottom w:val="none" w:sz="0" w:space="0" w:color="auto"/>
            <w:right w:val="none" w:sz="0" w:space="0" w:color="auto"/>
          </w:divBdr>
        </w:div>
        <w:div w:id="998121471">
          <w:marLeft w:val="0"/>
          <w:marRight w:val="0"/>
          <w:marTop w:val="0"/>
          <w:marBottom w:val="0"/>
          <w:divBdr>
            <w:top w:val="none" w:sz="0" w:space="0" w:color="auto"/>
            <w:left w:val="none" w:sz="0" w:space="0" w:color="auto"/>
            <w:bottom w:val="none" w:sz="0" w:space="0" w:color="auto"/>
            <w:right w:val="none" w:sz="0" w:space="0" w:color="auto"/>
          </w:divBdr>
        </w:div>
        <w:div w:id="1162350293">
          <w:marLeft w:val="0"/>
          <w:marRight w:val="0"/>
          <w:marTop w:val="0"/>
          <w:marBottom w:val="0"/>
          <w:divBdr>
            <w:top w:val="none" w:sz="0" w:space="0" w:color="auto"/>
            <w:left w:val="none" w:sz="0" w:space="0" w:color="auto"/>
            <w:bottom w:val="none" w:sz="0" w:space="0" w:color="auto"/>
            <w:right w:val="none" w:sz="0" w:space="0" w:color="auto"/>
          </w:divBdr>
        </w:div>
      </w:divsChild>
    </w:div>
    <w:div w:id="200024361">
      <w:bodyDiv w:val="1"/>
      <w:marLeft w:val="0"/>
      <w:marRight w:val="0"/>
      <w:marTop w:val="0"/>
      <w:marBottom w:val="0"/>
      <w:divBdr>
        <w:top w:val="none" w:sz="0" w:space="0" w:color="auto"/>
        <w:left w:val="none" w:sz="0" w:space="0" w:color="auto"/>
        <w:bottom w:val="none" w:sz="0" w:space="0" w:color="auto"/>
        <w:right w:val="none" w:sz="0" w:space="0" w:color="auto"/>
      </w:divBdr>
      <w:divsChild>
        <w:div w:id="219172981">
          <w:marLeft w:val="30"/>
          <w:marRight w:val="30"/>
          <w:marTop w:val="0"/>
          <w:marBottom w:val="0"/>
          <w:divBdr>
            <w:top w:val="none" w:sz="0" w:space="0" w:color="auto"/>
            <w:left w:val="none" w:sz="0" w:space="0" w:color="auto"/>
            <w:bottom w:val="none" w:sz="0" w:space="0" w:color="auto"/>
            <w:right w:val="none" w:sz="0" w:space="0" w:color="auto"/>
          </w:divBdr>
          <w:divsChild>
            <w:div w:id="450174932">
              <w:marLeft w:val="0"/>
              <w:marRight w:val="0"/>
              <w:marTop w:val="30"/>
              <w:marBottom w:val="30"/>
              <w:divBdr>
                <w:top w:val="none" w:sz="0" w:space="0" w:color="auto"/>
                <w:left w:val="none" w:sz="0" w:space="0" w:color="auto"/>
                <w:bottom w:val="none" w:sz="0" w:space="0" w:color="auto"/>
                <w:right w:val="none" w:sz="0" w:space="0" w:color="auto"/>
              </w:divBdr>
              <w:divsChild>
                <w:div w:id="647169705">
                  <w:marLeft w:val="60"/>
                  <w:marRight w:val="0"/>
                  <w:marTop w:val="0"/>
                  <w:marBottom w:val="0"/>
                  <w:divBdr>
                    <w:top w:val="none" w:sz="0" w:space="0" w:color="auto"/>
                    <w:left w:val="none" w:sz="0" w:space="0" w:color="auto"/>
                    <w:bottom w:val="none" w:sz="0" w:space="0" w:color="auto"/>
                    <w:right w:val="none" w:sz="0" w:space="0" w:color="auto"/>
                  </w:divBdr>
                </w:div>
                <w:div w:id="1150752500">
                  <w:marLeft w:val="0"/>
                  <w:marRight w:val="0"/>
                  <w:marTop w:val="0"/>
                  <w:marBottom w:val="0"/>
                  <w:divBdr>
                    <w:top w:val="none" w:sz="0" w:space="0" w:color="auto"/>
                    <w:left w:val="none" w:sz="0" w:space="0" w:color="auto"/>
                    <w:bottom w:val="none" w:sz="0" w:space="0" w:color="auto"/>
                    <w:right w:val="none" w:sz="0" w:space="0" w:color="auto"/>
                  </w:divBdr>
                  <w:divsChild>
                    <w:div w:id="1340933466">
                      <w:marLeft w:val="0"/>
                      <w:marRight w:val="0"/>
                      <w:marTop w:val="0"/>
                      <w:marBottom w:val="0"/>
                      <w:divBdr>
                        <w:top w:val="none" w:sz="0" w:space="0" w:color="auto"/>
                        <w:left w:val="none" w:sz="0" w:space="0" w:color="auto"/>
                        <w:bottom w:val="none" w:sz="0" w:space="0" w:color="auto"/>
                        <w:right w:val="none" w:sz="0" w:space="0" w:color="auto"/>
                      </w:divBdr>
                      <w:divsChild>
                        <w:div w:id="229776451">
                          <w:marLeft w:val="0"/>
                          <w:marRight w:val="0"/>
                          <w:marTop w:val="0"/>
                          <w:marBottom w:val="0"/>
                          <w:divBdr>
                            <w:top w:val="none" w:sz="0" w:space="0" w:color="auto"/>
                            <w:left w:val="none" w:sz="0" w:space="0" w:color="auto"/>
                            <w:bottom w:val="none" w:sz="0" w:space="0" w:color="auto"/>
                            <w:right w:val="none" w:sz="0" w:space="0" w:color="auto"/>
                          </w:divBdr>
                          <w:divsChild>
                            <w:div w:id="11398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9777">
          <w:marLeft w:val="30"/>
          <w:marRight w:val="30"/>
          <w:marTop w:val="0"/>
          <w:marBottom w:val="0"/>
          <w:divBdr>
            <w:top w:val="none" w:sz="0" w:space="0" w:color="auto"/>
            <w:left w:val="none" w:sz="0" w:space="0" w:color="auto"/>
            <w:bottom w:val="none" w:sz="0" w:space="0" w:color="auto"/>
            <w:right w:val="none" w:sz="0" w:space="0" w:color="auto"/>
          </w:divBdr>
          <w:divsChild>
            <w:div w:id="457721695">
              <w:marLeft w:val="0"/>
              <w:marRight w:val="0"/>
              <w:marTop w:val="30"/>
              <w:marBottom w:val="30"/>
              <w:divBdr>
                <w:top w:val="none" w:sz="0" w:space="0" w:color="auto"/>
                <w:left w:val="none" w:sz="0" w:space="0" w:color="auto"/>
                <w:bottom w:val="none" w:sz="0" w:space="0" w:color="auto"/>
                <w:right w:val="none" w:sz="0" w:space="0" w:color="auto"/>
              </w:divBdr>
              <w:divsChild>
                <w:div w:id="963078582">
                  <w:marLeft w:val="60"/>
                  <w:marRight w:val="0"/>
                  <w:marTop w:val="0"/>
                  <w:marBottom w:val="0"/>
                  <w:divBdr>
                    <w:top w:val="none" w:sz="0" w:space="0" w:color="auto"/>
                    <w:left w:val="none" w:sz="0" w:space="0" w:color="auto"/>
                    <w:bottom w:val="none" w:sz="0" w:space="0" w:color="auto"/>
                    <w:right w:val="none" w:sz="0" w:space="0" w:color="auto"/>
                  </w:divBdr>
                </w:div>
                <w:div w:id="1333989602">
                  <w:marLeft w:val="0"/>
                  <w:marRight w:val="0"/>
                  <w:marTop w:val="0"/>
                  <w:marBottom w:val="0"/>
                  <w:divBdr>
                    <w:top w:val="none" w:sz="0" w:space="0" w:color="auto"/>
                    <w:left w:val="none" w:sz="0" w:space="0" w:color="auto"/>
                    <w:bottom w:val="none" w:sz="0" w:space="0" w:color="auto"/>
                    <w:right w:val="none" w:sz="0" w:space="0" w:color="auto"/>
                  </w:divBdr>
                  <w:divsChild>
                    <w:div w:id="1328249206">
                      <w:marLeft w:val="0"/>
                      <w:marRight w:val="0"/>
                      <w:marTop w:val="0"/>
                      <w:marBottom w:val="0"/>
                      <w:divBdr>
                        <w:top w:val="none" w:sz="0" w:space="0" w:color="auto"/>
                        <w:left w:val="none" w:sz="0" w:space="0" w:color="auto"/>
                        <w:bottom w:val="none" w:sz="0" w:space="0" w:color="auto"/>
                        <w:right w:val="none" w:sz="0" w:space="0" w:color="auto"/>
                      </w:divBdr>
                      <w:divsChild>
                        <w:div w:id="2111192998">
                          <w:marLeft w:val="0"/>
                          <w:marRight w:val="0"/>
                          <w:marTop w:val="0"/>
                          <w:marBottom w:val="0"/>
                          <w:divBdr>
                            <w:top w:val="none" w:sz="0" w:space="0" w:color="auto"/>
                            <w:left w:val="none" w:sz="0" w:space="0" w:color="auto"/>
                            <w:bottom w:val="none" w:sz="0" w:space="0" w:color="auto"/>
                            <w:right w:val="none" w:sz="0" w:space="0" w:color="auto"/>
                          </w:divBdr>
                          <w:divsChild>
                            <w:div w:id="16729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573427">
              <w:marLeft w:val="60"/>
              <w:marRight w:val="60"/>
              <w:marTop w:val="0"/>
              <w:marBottom w:val="0"/>
              <w:divBdr>
                <w:top w:val="none" w:sz="0" w:space="0" w:color="auto"/>
                <w:left w:val="none" w:sz="0" w:space="0" w:color="auto"/>
                <w:bottom w:val="none" w:sz="0" w:space="0" w:color="auto"/>
                <w:right w:val="none" w:sz="0" w:space="0" w:color="auto"/>
              </w:divBdr>
              <w:divsChild>
                <w:div w:id="676033987">
                  <w:marLeft w:val="0"/>
                  <w:marRight w:val="0"/>
                  <w:marTop w:val="0"/>
                  <w:marBottom w:val="0"/>
                  <w:divBdr>
                    <w:top w:val="none" w:sz="0" w:space="0" w:color="auto"/>
                    <w:left w:val="none" w:sz="0" w:space="0" w:color="auto"/>
                    <w:bottom w:val="none" w:sz="0" w:space="0" w:color="auto"/>
                    <w:right w:val="none" w:sz="0" w:space="0" w:color="auto"/>
                  </w:divBdr>
                  <w:divsChild>
                    <w:div w:id="1268973749">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sChild>
        </w:div>
        <w:div w:id="2127692217">
          <w:marLeft w:val="30"/>
          <w:marRight w:val="30"/>
          <w:marTop w:val="0"/>
          <w:marBottom w:val="0"/>
          <w:divBdr>
            <w:top w:val="none" w:sz="0" w:space="0" w:color="auto"/>
            <w:left w:val="none" w:sz="0" w:space="0" w:color="auto"/>
            <w:bottom w:val="none" w:sz="0" w:space="0" w:color="auto"/>
            <w:right w:val="none" w:sz="0" w:space="0" w:color="auto"/>
          </w:divBdr>
          <w:divsChild>
            <w:div w:id="1197960258">
              <w:marLeft w:val="60"/>
              <w:marRight w:val="60"/>
              <w:marTop w:val="0"/>
              <w:marBottom w:val="0"/>
              <w:divBdr>
                <w:top w:val="none" w:sz="0" w:space="0" w:color="auto"/>
                <w:left w:val="none" w:sz="0" w:space="0" w:color="auto"/>
                <w:bottom w:val="none" w:sz="0" w:space="0" w:color="auto"/>
                <w:right w:val="none" w:sz="0" w:space="0" w:color="auto"/>
              </w:divBdr>
              <w:divsChild>
                <w:div w:id="1685589705">
                  <w:marLeft w:val="0"/>
                  <w:marRight w:val="0"/>
                  <w:marTop w:val="0"/>
                  <w:marBottom w:val="0"/>
                  <w:divBdr>
                    <w:top w:val="none" w:sz="0" w:space="0" w:color="auto"/>
                    <w:left w:val="none" w:sz="0" w:space="0" w:color="auto"/>
                    <w:bottom w:val="none" w:sz="0" w:space="0" w:color="auto"/>
                    <w:right w:val="none" w:sz="0" w:space="0" w:color="auto"/>
                  </w:divBdr>
                  <w:divsChild>
                    <w:div w:id="1231192055">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 w:id="2145855551">
              <w:marLeft w:val="0"/>
              <w:marRight w:val="0"/>
              <w:marTop w:val="30"/>
              <w:marBottom w:val="30"/>
              <w:divBdr>
                <w:top w:val="none" w:sz="0" w:space="0" w:color="auto"/>
                <w:left w:val="none" w:sz="0" w:space="0" w:color="auto"/>
                <w:bottom w:val="none" w:sz="0" w:space="0" w:color="auto"/>
                <w:right w:val="none" w:sz="0" w:space="0" w:color="auto"/>
              </w:divBdr>
              <w:divsChild>
                <w:div w:id="1690834332">
                  <w:marLeft w:val="0"/>
                  <w:marRight w:val="0"/>
                  <w:marTop w:val="0"/>
                  <w:marBottom w:val="0"/>
                  <w:divBdr>
                    <w:top w:val="none" w:sz="0" w:space="0" w:color="auto"/>
                    <w:left w:val="none" w:sz="0" w:space="0" w:color="auto"/>
                    <w:bottom w:val="none" w:sz="0" w:space="0" w:color="auto"/>
                    <w:right w:val="none" w:sz="0" w:space="0" w:color="auto"/>
                  </w:divBdr>
                  <w:divsChild>
                    <w:div w:id="558171002">
                      <w:marLeft w:val="0"/>
                      <w:marRight w:val="0"/>
                      <w:marTop w:val="0"/>
                      <w:marBottom w:val="0"/>
                      <w:divBdr>
                        <w:top w:val="none" w:sz="0" w:space="0" w:color="auto"/>
                        <w:left w:val="none" w:sz="0" w:space="0" w:color="auto"/>
                        <w:bottom w:val="none" w:sz="0" w:space="0" w:color="auto"/>
                        <w:right w:val="none" w:sz="0" w:space="0" w:color="auto"/>
                      </w:divBdr>
                      <w:divsChild>
                        <w:div w:id="553548502">
                          <w:marLeft w:val="0"/>
                          <w:marRight w:val="0"/>
                          <w:marTop w:val="0"/>
                          <w:marBottom w:val="0"/>
                          <w:divBdr>
                            <w:top w:val="none" w:sz="0" w:space="0" w:color="auto"/>
                            <w:left w:val="none" w:sz="0" w:space="0" w:color="auto"/>
                            <w:bottom w:val="none" w:sz="0" w:space="0" w:color="auto"/>
                            <w:right w:val="none" w:sz="0" w:space="0" w:color="auto"/>
                          </w:divBdr>
                          <w:divsChild>
                            <w:div w:id="14382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0763">
      <w:bodyDiv w:val="1"/>
      <w:marLeft w:val="0"/>
      <w:marRight w:val="0"/>
      <w:marTop w:val="0"/>
      <w:marBottom w:val="0"/>
      <w:divBdr>
        <w:top w:val="none" w:sz="0" w:space="0" w:color="auto"/>
        <w:left w:val="none" w:sz="0" w:space="0" w:color="auto"/>
        <w:bottom w:val="none" w:sz="0" w:space="0" w:color="auto"/>
        <w:right w:val="none" w:sz="0" w:space="0" w:color="auto"/>
      </w:divBdr>
    </w:div>
    <w:div w:id="209388816">
      <w:bodyDiv w:val="1"/>
      <w:marLeft w:val="0"/>
      <w:marRight w:val="0"/>
      <w:marTop w:val="0"/>
      <w:marBottom w:val="0"/>
      <w:divBdr>
        <w:top w:val="none" w:sz="0" w:space="0" w:color="auto"/>
        <w:left w:val="none" w:sz="0" w:space="0" w:color="auto"/>
        <w:bottom w:val="none" w:sz="0" w:space="0" w:color="auto"/>
        <w:right w:val="none" w:sz="0" w:space="0" w:color="auto"/>
      </w:divBdr>
    </w:div>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266281244">
      <w:bodyDiv w:val="1"/>
      <w:marLeft w:val="0"/>
      <w:marRight w:val="0"/>
      <w:marTop w:val="0"/>
      <w:marBottom w:val="0"/>
      <w:divBdr>
        <w:top w:val="none" w:sz="0" w:space="0" w:color="auto"/>
        <w:left w:val="none" w:sz="0" w:space="0" w:color="auto"/>
        <w:bottom w:val="none" w:sz="0" w:space="0" w:color="auto"/>
        <w:right w:val="none" w:sz="0" w:space="0" w:color="auto"/>
      </w:divBdr>
    </w:div>
    <w:div w:id="288515470">
      <w:bodyDiv w:val="1"/>
      <w:marLeft w:val="0"/>
      <w:marRight w:val="0"/>
      <w:marTop w:val="0"/>
      <w:marBottom w:val="0"/>
      <w:divBdr>
        <w:top w:val="none" w:sz="0" w:space="0" w:color="auto"/>
        <w:left w:val="none" w:sz="0" w:space="0" w:color="auto"/>
        <w:bottom w:val="none" w:sz="0" w:space="0" w:color="auto"/>
        <w:right w:val="none" w:sz="0" w:space="0" w:color="auto"/>
      </w:divBdr>
    </w:div>
    <w:div w:id="358244228">
      <w:bodyDiv w:val="1"/>
      <w:marLeft w:val="0"/>
      <w:marRight w:val="0"/>
      <w:marTop w:val="0"/>
      <w:marBottom w:val="0"/>
      <w:divBdr>
        <w:top w:val="none" w:sz="0" w:space="0" w:color="auto"/>
        <w:left w:val="none" w:sz="0" w:space="0" w:color="auto"/>
        <w:bottom w:val="none" w:sz="0" w:space="0" w:color="auto"/>
        <w:right w:val="none" w:sz="0" w:space="0" w:color="auto"/>
      </w:divBdr>
      <w:divsChild>
        <w:div w:id="35593585">
          <w:marLeft w:val="0"/>
          <w:marRight w:val="0"/>
          <w:marTop w:val="0"/>
          <w:marBottom w:val="0"/>
          <w:divBdr>
            <w:top w:val="none" w:sz="0" w:space="0" w:color="auto"/>
            <w:left w:val="none" w:sz="0" w:space="0" w:color="auto"/>
            <w:bottom w:val="none" w:sz="0" w:space="0" w:color="auto"/>
            <w:right w:val="none" w:sz="0" w:space="0" w:color="auto"/>
          </w:divBdr>
        </w:div>
      </w:divsChild>
    </w:div>
    <w:div w:id="430008194">
      <w:bodyDiv w:val="1"/>
      <w:marLeft w:val="0"/>
      <w:marRight w:val="0"/>
      <w:marTop w:val="0"/>
      <w:marBottom w:val="0"/>
      <w:divBdr>
        <w:top w:val="none" w:sz="0" w:space="0" w:color="auto"/>
        <w:left w:val="none" w:sz="0" w:space="0" w:color="auto"/>
        <w:bottom w:val="none" w:sz="0" w:space="0" w:color="auto"/>
        <w:right w:val="none" w:sz="0" w:space="0" w:color="auto"/>
      </w:divBdr>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461266194">
      <w:bodyDiv w:val="1"/>
      <w:marLeft w:val="0"/>
      <w:marRight w:val="0"/>
      <w:marTop w:val="0"/>
      <w:marBottom w:val="0"/>
      <w:divBdr>
        <w:top w:val="none" w:sz="0" w:space="0" w:color="auto"/>
        <w:left w:val="none" w:sz="0" w:space="0" w:color="auto"/>
        <w:bottom w:val="none" w:sz="0" w:space="0" w:color="auto"/>
        <w:right w:val="none" w:sz="0" w:space="0" w:color="auto"/>
      </w:divBdr>
    </w:div>
    <w:div w:id="463668387">
      <w:bodyDiv w:val="1"/>
      <w:marLeft w:val="0"/>
      <w:marRight w:val="0"/>
      <w:marTop w:val="0"/>
      <w:marBottom w:val="0"/>
      <w:divBdr>
        <w:top w:val="none" w:sz="0" w:space="0" w:color="auto"/>
        <w:left w:val="none" w:sz="0" w:space="0" w:color="auto"/>
        <w:bottom w:val="none" w:sz="0" w:space="0" w:color="auto"/>
        <w:right w:val="none" w:sz="0" w:space="0" w:color="auto"/>
      </w:divBdr>
    </w:div>
    <w:div w:id="491870953">
      <w:bodyDiv w:val="1"/>
      <w:marLeft w:val="0"/>
      <w:marRight w:val="0"/>
      <w:marTop w:val="0"/>
      <w:marBottom w:val="0"/>
      <w:divBdr>
        <w:top w:val="none" w:sz="0" w:space="0" w:color="auto"/>
        <w:left w:val="none" w:sz="0" w:space="0" w:color="auto"/>
        <w:bottom w:val="none" w:sz="0" w:space="0" w:color="auto"/>
        <w:right w:val="none" w:sz="0" w:space="0" w:color="auto"/>
      </w:divBdr>
    </w:div>
    <w:div w:id="672806748">
      <w:bodyDiv w:val="1"/>
      <w:marLeft w:val="0"/>
      <w:marRight w:val="0"/>
      <w:marTop w:val="0"/>
      <w:marBottom w:val="0"/>
      <w:divBdr>
        <w:top w:val="none" w:sz="0" w:space="0" w:color="auto"/>
        <w:left w:val="none" w:sz="0" w:space="0" w:color="auto"/>
        <w:bottom w:val="none" w:sz="0" w:space="0" w:color="auto"/>
        <w:right w:val="none" w:sz="0" w:space="0" w:color="auto"/>
      </w:divBdr>
      <w:divsChild>
        <w:div w:id="36321931">
          <w:marLeft w:val="0"/>
          <w:marRight w:val="0"/>
          <w:marTop w:val="0"/>
          <w:marBottom w:val="0"/>
          <w:divBdr>
            <w:top w:val="none" w:sz="0" w:space="0" w:color="auto"/>
            <w:left w:val="none" w:sz="0" w:space="0" w:color="auto"/>
            <w:bottom w:val="none" w:sz="0" w:space="0" w:color="auto"/>
            <w:right w:val="none" w:sz="0" w:space="0" w:color="auto"/>
          </w:divBdr>
        </w:div>
        <w:div w:id="1631089662">
          <w:marLeft w:val="0"/>
          <w:marRight w:val="0"/>
          <w:marTop w:val="0"/>
          <w:marBottom w:val="0"/>
          <w:divBdr>
            <w:top w:val="none" w:sz="0" w:space="0" w:color="auto"/>
            <w:left w:val="none" w:sz="0" w:space="0" w:color="auto"/>
            <w:bottom w:val="none" w:sz="0" w:space="0" w:color="auto"/>
            <w:right w:val="none" w:sz="0" w:space="0" w:color="auto"/>
          </w:divBdr>
        </w:div>
        <w:div w:id="1865704753">
          <w:marLeft w:val="0"/>
          <w:marRight w:val="0"/>
          <w:marTop w:val="0"/>
          <w:marBottom w:val="0"/>
          <w:divBdr>
            <w:top w:val="none" w:sz="0" w:space="0" w:color="auto"/>
            <w:left w:val="none" w:sz="0" w:space="0" w:color="auto"/>
            <w:bottom w:val="none" w:sz="0" w:space="0" w:color="auto"/>
            <w:right w:val="none" w:sz="0" w:space="0" w:color="auto"/>
          </w:divBdr>
        </w:div>
      </w:divsChild>
    </w:div>
    <w:div w:id="674693346">
      <w:bodyDiv w:val="1"/>
      <w:marLeft w:val="0"/>
      <w:marRight w:val="0"/>
      <w:marTop w:val="0"/>
      <w:marBottom w:val="0"/>
      <w:divBdr>
        <w:top w:val="none" w:sz="0" w:space="0" w:color="auto"/>
        <w:left w:val="none" w:sz="0" w:space="0" w:color="auto"/>
        <w:bottom w:val="none" w:sz="0" w:space="0" w:color="auto"/>
        <w:right w:val="none" w:sz="0" w:space="0" w:color="auto"/>
      </w:divBdr>
      <w:divsChild>
        <w:div w:id="741676729">
          <w:marLeft w:val="0"/>
          <w:marRight w:val="0"/>
          <w:marTop w:val="0"/>
          <w:marBottom w:val="0"/>
          <w:divBdr>
            <w:top w:val="none" w:sz="0" w:space="0" w:color="auto"/>
            <w:left w:val="none" w:sz="0" w:space="0" w:color="auto"/>
            <w:bottom w:val="none" w:sz="0" w:space="0" w:color="auto"/>
            <w:right w:val="none" w:sz="0" w:space="0" w:color="auto"/>
          </w:divBdr>
        </w:div>
        <w:div w:id="1048991337">
          <w:marLeft w:val="0"/>
          <w:marRight w:val="0"/>
          <w:marTop w:val="0"/>
          <w:marBottom w:val="0"/>
          <w:divBdr>
            <w:top w:val="none" w:sz="0" w:space="0" w:color="auto"/>
            <w:left w:val="none" w:sz="0" w:space="0" w:color="auto"/>
            <w:bottom w:val="none" w:sz="0" w:space="0" w:color="auto"/>
            <w:right w:val="none" w:sz="0" w:space="0" w:color="auto"/>
          </w:divBdr>
        </w:div>
        <w:div w:id="1091466930">
          <w:marLeft w:val="0"/>
          <w:marRight w:val="0"/>
          <w:marTop w:val="0"/>
          <w:marBottom w:val="0"/>
          <w:divBdr>
            <w:top w:val="none" w:sz="0" w:space="0" w:color="auto"/>
            <w:left w:val="none" w:sz="0" w:space="0" w:color="auto"/>
            <w:bottom w:val="none" w:sz="0" w:space="0" w:color="auto"/>
            <w:right w:val="none" w:sz="0" w:space="0" w:color="auto"/>
          </w:divBdr>
        </w:div>
      </w:divsChild>
    </w:div>
    <w:div w:id="684208990">
      <w:bodyDiv w:val="1"/>
      <w:marLeft w:val="0"/>
      <w:marRight w:val="0"/>
      <w:marTop w:val="0"/>
      <w:marBottom w:val="0"/>
      <w:divBdr>
        <w:top w:val="none" w:sz="0" w:space="0" w:color="auto"/>
        <w:left w:val="none" w:sz="0" w:space="0" w:color="auto"/>
        <w:bottom w:val="none" w:sz="0" w:space="0" w:color="auto"/>
        <w:right w:val="none" w:sz="0" w:space="0" w:color="auto"/>
      </w:divBdr>
    </w:div>
    <w:div w:id="734352549">
      <w:bodyDiv w:val="1"/>
      <w:marLeft w:val="0"/>
      <w:marRight w:val="0"/>
      <w:marTop w:val="0"/>
      <w:marBottom w:val="0"/>
      <w:divBdr>
        <w:top w:val="none" w:sz="0" w:space="0" w:color="auto"/>
        <w:left w:val="none" w:sz="0" w:space="0" w:color="auto"/>
        <w:bottom w:val="none" w:sz="0" w:space="0" w:color="auto"/>
        <w:right w:val="none" w:sz="0" w:space="0" w:color="auto"/>
      </w:divBdr>
    </w:div>
    <w:div w:id="760107907">
      <w:bodyDiv w:val="1"/>
      <w:marLeft w:val="0"/>
      <w:marRight w:val="0"/>
      <w:marTop w:val="0"/>
      <w:marBottom w:val="0"/>
      <w:divBdr>
        <w:top w:val="none" w:sz="0" w:space="0" w:color="auto"/>
        <w:left w:val="none" w:sz="0" w:space="0" w:color="auto"/>
        <w:bottom w:val="none" w:sz="0" w:space="0" w:color="auto"/>
        <w:right w:val="none" w:sz="0" w:space="0" w:color="auto"/>
      </w:divBdr>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815296460">
      <w:bodyDiv w:val="1"/>
      <w:marLeft w:val="0"/>
      <w:marRight w:val="0"/>
      <w:marTop w:val="0"/>
      <w:marBottom w:val="0"/>
      <w:divBdr>
        <w:top w:val="none" w:sz="0" w:space="0" w:color="auto"/>
        <w:left w:val="none" w:sz="0" w:space="0" w:color="auto"/>
        <w:bottom w:val="none" w:sz="0" w:space="0" w:color="auto"/>
        <w:right w:val="none" w:sz="0" w:space="0" w:color="auto"/>
      </w:divBdr>
    </w:div>
    <w:div w:id="831599862">
      <w:bodyDiv w:val="1"/>
      <w:marLeft w:val="0"/>
      <w:marRight w:val="0"/>
      <w:marTop w:val="0"/>
      <w:marBottom w:val="0"/>
      <w:divBdr>
        <w:top w:val="none" w:sz="0" w:space="0" w:color="auto"/>
        <w:left w:val="none" w:sz="0" w:space="0" w:color="auto"/>
        <w:bottom w:val="none" w:sz="0" w:space="0" w:color="auto"/>
        <w:right w:val="none" w:sz="0" w:space="0" w:color="auto"/>
      </w:divBdr>
    </w:div>
    <w:div w:id="939988955">
      <w:bodyDiv w:val="1"/>
      <w:marLeft w:val="0"/>
      <w:marRight w:val="0"/>
      <w:marTop w:val="0"/>
      <w:marBottom w:val="0"/>
      <w:divBdr>
        <w:top w:val="none" w:sz="0" w:space="0" w:color="auto"/>
        <w:left w:val="none" w:sz="0" w:space="0" w:color="auto"/>
        <w:bottom w:val="none" w:sz="0" w:space="0" w:color="auto"/>
        <w:right w:val="none" w:sz="0" w:space="0" w:color="auto"/>
      </w:divBdr>
    </w:div>
    <w:div w:id="949555261">
      <w:bodyDiv w:val="1"/>
      <w:marLeft w:val="0"/>
      <w:marRight w:val="0"/>
      <w:marTop w:val="0"/>
      <w:marBottom w:val="0"/>
      <w:divBdr>
        <w:top w:val="none" w:sz="0" w:space="0" w:color="auto"/>
        <w:left w:val="none" w:sz="0" w:space="0" w:color="auto"/>
        <w:bottom w:val="none" w:sz="0" w:space="0" w:color="auto"/>
        <w:right w:val="none" w:sz="0" w:space="0" w:color="auto"/>
      </w:divBdr>
    </w:div>
    <w:div w:id="964893380">
      <w:bodyDiv w:val="1"/>
      <w:marLeft w:val="0"/>
      <w:marRight w:val="0"/>
      <w:marTop w:val="0"/>
      <w:marBottom w:val="0"/>
      <w:divBdr>
        <w:top w:val="none" w:sz="0" w:space="0" w:color="auto"/>
        <w:left w:val="none" w:sz="0" w:space="0" w:color="auto"/>
        <w:bottom w:val="none" w:sz="0" w:space="0" w:color="auto"/>
        <w:right w:val="none" w:sz="0" w:space="0" w:color="auto"/>
      </w:divBdr>
    </w:div>
    <w:div w:id="976105948">
      <w:bodyDiv w:val="1"/>
      <w:marLeft w:val="0"/>
      <w:marRight w:val="0"/>
      <w:marTop w:val="0"/>
      <w:marBottom w:val="0"/>
      <w:divBdr>
        <w:top w:val="none" w:sz="0" w:space="0" w:color="auto"/>
        <w:left w:val="none" w:sz="0" w:space="0" w:color="auto"/>
        <w:bottom w:val="none" w:sz="0" w:space="0" w:color="auto"/>
        <w:right w:val="none" w:sz="0" w:space="0" w:color="auto"/>
      </w:divBdr>
    </w:div>
    <w:div w:id="1045714159">
      <w:bodyDiv w:val="1"/>
      <w:marLeft w:val="0"/>
      <w:marRight w:val="0"/>
      <w:marTop w:val="0"/>
      <w:marBottom w:val="0"/>
      <w:divBdr>
        <w:top w:val="none" w:sz="0" w:space="0" w:color="auto"/>
        <w:left w:val="none" w:sz="0" w:space="0" w:color="auto"/>
        <w:bottom w:val="none" w:sz="0" w:space="0" w:color="auto"/>
        <w:right w:val="none" w:sz="0" w:space="0" w:color="auto"/>
      </w:divBdr>
    </w:div>
    <w:div w:id="1072200297">
      <w:bodyDiv w:val="1"/>
      <w:marLeft w:val="0"/>
      <w:marRight w:val="0"/>
      <w:marTop w:val="0"/>
      <w:marBottom w:val="0"/>
      <w:divBdr>
        <w:top w:val="none" w:sz="0" w:space="0" w:color="auto"/>
        <w:left w:val="none" w:sz="0" w:space="0" w:color="auto"/>
        <w:bottom w:val="none" w:sz="0" w:space="0" w:color="auto"/>
        <w:right w:val="none" w:sz="0" w:space="0" w:color="auto"/>
      </w:divBdr>
    </w:div>
    <w:div w:id="1113283279">
      <w:bodyDiv w:val="1"/>
      <w:marLeft w:val="0"/>
      <w:marRight w:val="0"/>
      <w:marTop w:val="0"/>
      <w:marBottom w:val="0"/>
      <w:divBdr>
        <w:top w:val="none" w:sz="0" w:space="0" w:color="auto"/>
        <w:left w:val="none" w:sz="0" w:space="0" w:color="auto"/>
        <w:bottom w:val="none" w:sz="0" w:space="0" w:color="auto"/>
        <w:right w:val="none" w:sz="0" w:space="0" w:color="auto"/>
      </w:divBdr>
    </w:div>
    <w:div w:id="1126392109">
      <w:bodyDiv w:val="1"/>
      <w:marLeft w:val="0"/>
      <w:marRight w:val="0"/>
      <w:marTop w:val="0"/>
      <w:marBottom w:val="0"/>
      <w:divBdr>
        <w:top w:val="none" w:sz="0" w:space="0" w:color="auto"/>
        <w:left w:val="none" w:sz="0" w:space="0" w:color="auto"/>
        <w:bottom w:val="none" w:sz="0" w:space="0" w:color="auto"/>
        <w:right w:val="none" w:sz="0" w:space="0" w:color="auto"/>
      </w:divBdr>
      <w:divsChild>
        <w:div w:id="1843662093">
          <w:marLeft w:val="0"/>
          <w:marRight w:val="0"/>
          <w:marTop w:val="0"/>
          <w:marBottom w:val="0"/>
          <w:divBdr>
            <w:top w:val="none" w:sz="0" w:space="0" w:color="auto"/>
            <w:left w:val="none" w:sz="0" w:space="0" w:color="auto"/>
            <w:bottom w:val="none" w:sz="0" w:space="0" w:color="auto"/>
            <w:right w:val="none" w:sz="0" w:space="0" w:color="auto"/>
          </w:divBdr>
        </w:div>
      </w:divsChild>
    </w:div>
    <w:div w:id="1127317071">
      <w:bodyDiv w:val="1"/>
      <w:marLeft w:val="0"/>
      <w:marRight w:val="0"/>
      <w:marTop w:val="0"/>
      <w:marBottom w:val="0"/>
      <w:divBdr>
        <w:top w:val="none" w:sz="0" w:space="0" w:color="auto"/>
        <w:left w:val="none" w:sz="0" w:space="0" w:color="auto"/>
        <w:bottom w:val="none" w:sz="0" w:space="0" w:color="auto"/>
        <w:right w:val="none" w:sz="0" w:space="0" w:color="auto"/>
      </w:divBdr>
    </w:div>
    <w:div w:id="1133597355">
      <w:bodyDiv w:val="1"/>
      <w:marLeft w:val="0"/>
      <w:marRight w:val="0"/>
      <w:marTop w:val="0"/>
      <w:marBottom w:val="0"/>
      <w:divBdr>
        <w:top w:val="none" w:sz="0" w:space="0" w:color="auto"/>
        <w:left w:val="none" w:sz="0" w:space="0" w:color="auto"/>
        <w:bottom w:val="none" w:sz="0" w:space="0" w:color="auto"/>
        <w:right w:val="none" w:sz="0" w:space="0" w:color="auto"/>
      </w:divBdr>
    </w:div>
    <w:div w:id="1172716381">
      <w:bodyDiv w:val="1"/>
      <w:marLeft w:val="0"/>
      <w:marRight w:val="0"/>
      <w:marTop w:val="0"/>
      <w:marBottom w:val="0"/>
      <w:divBdr>
        <w:top w:val="none" w:sz="0" w:space="0" w:color="auto"/>
        <w:left w:val="none" w:sz="0" w:space="0" w:color="auto"/>
        <w:bottom w:val="none" w:sz="0" w:space="0" w:color="auto"/>
        <w:right w:val="none" w:sz="0" w:space="0" w:color="auto"/>
      </w:divBdr>
    </w:div>
    <w:div w:id="1239830988">
      <w:bodyDiv w:val="1"/>
      <w:marLeft w:val="0"/>
      <w:marRight w:val="0"/>
      <w:marTop w:val="0"/>
      <w:marBottom w:val="0"/>
      <w:divBdr>
        <w:top w:val="none" w:sz="0" w:space="0" w:color="auto"/>
        <w:left w:val="none" w:sz="0" w:space="0" w:color="auto"/>
        <w:bottom w:val="none" w:sz="0" w:space="0" w:color="auto"/>
        <w:right w:val="none" w:sz="0" w:space="0" w:color="auto"/>
      </w:divBdr>
      <w:divsChild>
        <w:div w:id="327682087">
          <w:marLeft w:val="0"/>
          <w:marRight w:val="0"/>
          <w:marTop w:val="0"/>
          <w:marBottom w:val="0"/>
          <w:divBdr>
            <w:top w:val="none" w:sz="0" w:space="0" w:color="auto"/>
            <w:left w:val="none" w:sz="0" w:space="0" w:color="auto"/>
            <w:bottom w:val="none" w:sz="0" w:space="0" w:color="auto"/>
            <w:right w:val="none" w:sz="0" w:space="0" w:color="auto"/>
          </w:divBdr>
        </w:div>
      </w:divsChild>
    </w:div>
    <w:div w:id="1255476098">
      <w:bodyDiv w:val="1"/>
      <w:marLeft w:val="0"/>
      <w:marRight w:val="0"/>
      <w:marTop w:val="0"/>
      <w:marBottom w:val="0"/>
      <w:divBdr>
        <w:top w:val="none" w:sz="0" w:space="0" w:color="auto"/>
        <w:left w:val="none" w:sz="0" w:space="0" w:color="auto"/>
        <w:bottom w:val="none" w:sz="0" w:space="0" w:color="auto"/>
        <w:right w:val="none" w:sz="0" w:space="0" w:color="auto"/>
      </w:divBdr>
    </w:div>
    <w:div w:id="1325865045">
      <w:bodyDiv w:val="1"/>
      <w:marLeft w:val="0"/>
      <w:marRight w:val="0"/>
      <w:marTop w:val="0"/>
      <w:marBottom w:val="0"/>
      <w:divBdr>
        <w:top w:val="none" w:sz="0" w:space="0" w:color="auto"/>
        <w:left w:val="none" w:sz="0" w:space="0" w:color="auto"/>
        <w:bottom w:val="none" w:sz="0" w:space="0" w:color="auto"/>
        <w:right w:val="none" w:sz="0" w:space="0" w:color="auto"/>
      </w:divBdr>
      <w:divsChild>
        <w:div w:id="1203202504">
          <w:marLeft w:val="0"/>
          <w:marRight w:val="0"/>
          <w:marTop w:val="0"/>
          <w:marBottom w:val="0"/>
          <w:divBdr>
            <w:top w:val="none" w:sz="0" w:space="0" w:color="auto"/>
            <w:left w:val="none" w:sz="0" w:space="0" w:color="auto"/>
            <w:bottom w:val="none" w:sz="0" w:space="0" w:color="auto"/>
            <w:right w:val="none" w:sz="0" w:space="0" w:color="auto"/>
          </w:divBdr>
        </w:div>
        <w:div w:id="1324817916">
          <w:marLeft w:val="0"/>
          <w:marRight w:val="0"/>
          <w:marTop w:val="0"/>
          <w:marBottom w:val="0"/>
          <w:divBdr>
            <w:top w:val="none" w:sz="0" w:space="0" w:color="auto"/>
            <w:left w:val="none" w:sz="0" w:space="0" w:color="auto"/>
            <w:bottom w:val="none" w:sz="0" w:space="0" w:color="auto"/>
            <w:right w:val="none" w:sz="0" w:space="0" w:color="auto"/>
          </w:divBdr>
        </w:div>
        <w:div w:id="1873494282">
          <w:marLeft w:val="0"/>
          <w:marRight w:val="0"/>
          <w:marTop w:val="0"/>
          <w:marBottom w:val="0"/>
          <w:divBdr>
            <w:top w:val="none" w:sz="0" w:space="0" w:color="auto"/>
            <w:left w:val="none" w:sz="0" w:space="0" w:color="auto"/>
            <w:bottom w:val="none" w:sz="0" w:space="0" w:color="auto"/>
            <w:right w:val="none" w:sz="0" w:space="0" w:color="auto"/>
          </w:divBdr>
        </w:div>
      </w:divsChild>
    </w:div>
    <w:div w:id="1335381798">
      <w:bodyDiv w:val="1"/>
      <w:marLeft w:val="0"/>
      <w:marRight w:val="0"/>
      <w:marTop w:val="0"/>
      <w:marBottom w:val="0"/>
      <w:divBdr>
        <w:top w:val="none" w:sz="0" w:space="0" w:color="auto"/>
        <w:left w:val="none" w:sz="0" w:space="0" w:color="auto"/>
        <w:bottom w:val="none" w:sz="0" w:space="0" w:color="auto"/>
        <w:right w:val="none" w:sz="0" w:space="0" w:color="auto"/>
      </w:divBdr>
      <w:divsChild>
        <w:div w:id="646206315">
          <w:marLeft w:val="30"/>
          <w:marRight w:val="30"/>
          <w:marTop w:val="0"/>
          <w:marBottom w:val="0"/>
          <w:divBdr>
            <w:top w:val="none" w:sz="0" w:space="0" w:color="auto"/>
            <w:left w:val="none" w:sz="0" w:space="0" w:color="auto"/>
            <w:bottom w:val="none" w:sz="0" w:space="0" w:color="auto"/>
            <w:right w:val="none" w:sz="0" w:space="0" w:color="auto"/>
          </w:divBdr>
          <w:divsChild>
            <w:div w:id="500631997">
              <w:marLeft w:val="0"/>
              <w:marRight w:val="0"/>
              <w:marTop w:val="30"/>
              <w:marBottom w:val="30"/>
              <w:divBdr>
                <w:top w:val="none" w:sz="0" w:space="0" w:color="auto"/>
                <w:left w:val="none" w:sz="0" w:space="0" w:color="auto"/>
                <w:bottom w:val="none" w:sz="0" w:space="0" w:color="auto"/>
                <w:right w:val="none" w:sz="0" w:space="0" w:color="auto"/>
              </w:divBdr>
              <w:divsChild>
                <w:div w:id="1084575180">
                  <w:marLeft w:val="0"/>
                  <w:marRight w:val="0"/>
                  <w:marTop w:val="0"/>
                  <w:marBottom w:val="0"/>
                  <w:divBdr>
                    <w:top w:val="none" w:sz="0" w:space="0" w:color="auto"/>
                    <w:left w:val="none" w:sz="0" w:space="0" w:color="auto"/>
                    <w:bottom w:val="none" w:sz="0" w:space="0" w:color="auto"/>
                    <w:right w:val="none" w:sz="0" w:space="0" w:color="auto"/>
                  </w:divBdr>
                  <w:divsChild>
                    <w:div w:id="1275287750">
                      <w:marLeft w:val="0"/>
                      <w:marRight w:val="0"/>
                      <w:marTop w:val="0"/>
                      <w:marBottom w:val="0"/>
                      <w:divBdr>
                        <w:top w:val="none" w:sz="0" w:space="0" w:color="auto"/>
                        <w:left w:val="none" w:sz="0" w:space="0" w:color="auto"/>
                        <w:bottom w:val="none" w:sz="0" w:space="0" w:color="auto"/>
                        <w:right w:val="none" w:sz="0" w:space="0" w:color="auto"/>
                      </w:divBdr>
                      <w:divsChild>
                        <w:div w:id="1060517133">
                          <w:marLeft w:val="0"/>
                          <w:marRight w:val="0"/>
                          <w:marTop w:val="0"/>
                          <w:marBottom w:val="0"/>
                          <w:divBdr>
                            <w:top w:val="none" w:sz="0" w:space="0" w:color="auto"/>
                            <w:left w:val="none" w:sz="0" w:space="0" w:color="auto"/>
                            <w:bottom w:val="none" w:sz="0" w:space="0" w:color="auto"/>
                            <w:right w:val="none" w:sz="0" w:space="0" w:color="auto"/>
                          </w:divBdr>
                          <w:divsChild>
                            <w:div w:id="17927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21488">
              <w:marLeft w:val="60"/>
              <w:marRight w:val="60"/>
              <w:marTop w:val="0"/>
              <w:marBottom w:val="0"/>
              <w:divBdr>
                <w:top w:val="none" w:sz="0" w:space="0" w:color="auto"/>
                <w:left w:val="none" w:sz="0" w:space="0" w:color="auto"/>
                <w:bottom w:val="none" w:sz="0" w:space="0" w:color="auto"/>
                <w:right w:val="none" w:sz="0" w:space="0" w:color="auto"/>
              </w:divBdr>
              <w:divsChild>
                <w:div w:id="1395352469">
                  <w:marLeft w:val="0"/>
                  <w:marRight w:val="0"/>
                  <w:marTop w:val="0"/>
                  <w:marBottom w:val="0"/>
                  <w:divBdr>
                    <w:top w:val="none" w:sz="0" w:space="0" w:color="auto"/>
                    <w:left w:val="none" w:sz="0" w:space="0" w:color="auto"/>
                    <w:bottom w:val="none" w:sz="0" w:space="0" w:color="auto"/>
                    <w:right w:val="none" w:sz="0" w:space="0" w:color="auto"/>
                  </w:divBdr>
                  <w:divsChild>
                    <w:div w:id="578826619">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sChild>
        </w:div>
        <w:div w:id="662701034">
          <w:marLeft w:val="30"/>
          <w:marRight w:val="30"/>
          <w:marTop w:val="0"/>
          <w:marBottom w:val="0"/>
          <w:divBdr>
            <w:top w:val="none" w:sz="0" w:space="0" w:color="auto"/>
            <w:left w:val="none" w:sz="0" w:space="0" w:color="auto"/>
            <w:bottom w:val="none" w:sz="0" w:space="0" w:color="auto"/>
            <w:right w:val="none" w:sz="0" w:space="0" w:color="auto"/>
          </w:divBdr>
          <w:divsChild>
            <w:div w:id="363412339">
              <w:marLeft w:val="60"/>
              <w:marRight w:val="60"/>
              <w:marTop w:val="0"/>
              <w:marBottom w:val="0"/>
              <w:divBdr>
                <w:top w:val="none" w:sz="0" w:space="0" w:color="auto"/>
                <w:left w:val="none" w:sz="0" w:space="0" w:color="auto"/>
                <w:bottom w:val="none" w:sz="0" w:space="0" w:color="auto"/>
                <w:right w:val="none" w:sz="0" w:space="0" w:color="auto"/>
              </w:divBdr>
              <w:divsChild>
                <w:div w:id="1918633331">
                  <w:marLeft w:val="0"/>
                  <w:marRight w:val="0"/>
                  <w:marTop w:val="0"/>
                  <w:marBottom w:val="0"/>
                  <w:divBdr>
                    <w:top w:val="none" w:sz="0" w:space="0" w:color="auto"/>
                    <w:left w:val="none" w:sz="0" w:space="0" w:color="auto"/>
                    <w:bottom w:val="none" w:sz="0" w:space="0" w:color="auto"/>
                    <w:right w:val="none" w:sz="0" w:space="0" w:color="auto"/>
                  </w:divBdr>
                  <w:divsChild>
                    <w:div w:id="800922362">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 w:id="579413065">
              <w:marLeft w:val="0"/>
              <w:marRight w:val="0"/>
              <w:marTop w:val="30"/>
              <w:marBottom w:val="30"/>
              <w:divBdr>
                <w:top w:val="none" w:sz="0" w:space="0" w:color="auto"/>
                <w:left w:val="none" w:sz="0" w:space="0" w:color="auto"/>
                <w:bottom w:val="none" w:sz="0" w:space="0" w:color="auto"/>
                <w:right w:val="none" w:sz="0" w:space="0" w:color="auto"/>
              </w:divBdr>
              <w:divsChild>
                <w:div w:id="1649168600">
                  <w:marLeft w:val="0"/>
                  <w:marRight w:val="0"/>
                  <w:marTop w:val="0"/>
                  <w:marBottom w:val="0"/>
                  <w:divBdr>
                    <w:top w:val="none" w:sz="0" w:space="0" w:color="auto"/>
                    <w:left w:val="none" w:sz="0" w:space="0" w:color="auto"/>
                    <w:bottom w:val="none" w:sz="0" w:space="0" w:color="auto"/>
                    <w:right w:val="none" w:sz="0" w:space="0" w:color="auto"/>
                  </w:divBdr>
                  <w:divsChild>
                    <w:div w:id="510340922">
                      <w:marLeft w:val="0"/>
                      <w:marRight w:val="0"/>
                      <w:marTop w:val="0"/>
                      <w:marBottom w:val="0"/>
                      <w:divBdr>
                        <w:top w:val="none" w:sz="0" w:space="0" w:color="auto"/>
                        <w:left w:val="none" w:sz="0" w:space="0" w:color="auto"/>
                        <w:bottom w:val="none" w:sz="0" w:space="0" w:color="auto"/>
                        <w:right w:val="none" w:sz="0" w:space="0" w:color="auto"/>
                      </w:divBdr>
                      <w:divsChild>
                        <w:div w:id="1250315103">
                          <w:marLeft w:val="0"/>
                          <w:marRight w:val="0"/>
                          <w:marTop w:val="0"/>
                          <w:marBottom w:val="0"/>
                          <w:divBdr>
                            <w:top w:val="none" w:sz="0" w:space="0" w:color="auto"/>
                            <w:left w:val="none" w:sz="0" w:space="0" w:color="auto"/>
                            <w:bottom w:val="none" w:sz="0" w:space="0" w:color="auto"/>
                            <w:right w:val="none" w:sz="0" w:space="0" w:color="auto"/>
                          </w:divBdr>
                          <w:divsChild>
                            <w:div w:id="10024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56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60317952">
          <w:marLeft w:val="30"/>
          <w:marRight w:val="30"/>
          <w:marTop w:val="0"/>
          <w:marBottom w:val="0"/>
          <w:divBdr>
            <w:top w:val="none" w:sz="0" w:space="0" w:color="auto"/>
            <w:left w:val="none" w:sz="0" w:space="0" w:color="auto"/>
            <w:bottom w:val="none" w:sz="0" w:space="0" w:color="auto"/>
            <w:right w:val="none" w:sz="0" w:space="0" w:color="auto"/>
          </w:divBdr>
          <w:divsChild>
            <w:div w:id="291448060">
              <w:marLeft w:val="0"/>
              <w:marRight w:val="0"/>
              <w:marTop w:val="30"/>
              <w:marBottom w:val="30"/>
              <w:divBdr>
                <w:top w:val="none" w:sz="0" w:space="0" w:color="auto"/>
                <w:left w:val="none" w:sz="0" w:space="0" w:color="auto"/>
                <w:bottom w:val="none" w:sz="0" w:space="0" w:color="auto"/>
                <w:right w:val="none" w:sz="0" w:space="0" w:color="auto"/>
              </w:divBdr>
              <w:divsChild>
                <w:div w:id="1130977844">
                  <w:marLeft w:val="60"/>
                  <w:marRight w:val="0"/>
                  <w:marTop w:val="0"/>
                  <w:marBottom w:val="0"/>
                  <w:divBdr>
                    <w:top w:val="none" w:sz="0" w:space="0" w:color="auto"/>
                    <w:left w:val="none" w:sz="0" w:space="0" w:color="auto"/>
                    <w:bottom w:val="none" w:sz="0" w:space="0" w:color="auto"/>
                    <w:right w:val="none" w:sz="0" w:space="0" w:color="auto"/>
                  </w:divBdr>
                </w:div>
                <w:div w:id="1413235745">
                  <w:marLeft w:val="0"/>
                  <w:marRight w:val="0"/>
                  <w:marTop w:val="0"/>
                  <w:marBottom w:val="0"/>
                  <w:divBdr>
                    <w:top w:val="none" w:sz="0" w:space="0" w:color="auto"/>
                    <w:left w:val="none" w:sz="0" w:space="0" w:color="auto"/>
                    <w:bottom w:val="none" w:sz="0" w:space="0" w:color="auto"/>
                    <w:right w:val="none" w:sz="0" w:space="0" w:color="auto"/>
                  </w:divBdr>
                  <w:divsChild>
                    <w:div w:id="761075559">
                      <w:marLeft w:val="0"/>
                      <w:marRight w:val="0"/>
                      <w:marTop w:val="0"/>
                      <w:marBottom w:val="0"/>
                      <w:divBdr>
                        <w:top w:val="none" w:sz="0" w:space="0" w:color="auto"/>
                        <w:left w:val="none" w:sz="0" w:space="0" w:color="auto"/>
                        <w:bottom w:val="none" w:sz="0" w:space="0" w:color="auto"/>
                        <w:right w:val="none" w:sz="0" w:space="0" w:color="auto"/>
                      </w:divBdr>
                      <w:divsChild>
                        <w:div w:id="1858302251">
                          <w:marLeft w:val="0"/>
                          <w:marRight w:val="0"/>
                          <w:marTop w:val="0"/>
                          <w:marBottom w:val="0"/>
                          <w:divBdr>
                            <w:top w:val="none" w:sz="0" w:space="0" w:color="auto"/>
                            <w:left w:val="none" w:sz="0" w:space="0" w:color="auto"/>
                            <w:bottom w:val="none" w:sz="0" w:space="0" w:color="auto"/>
                            <w:right w:val="none" w:sz="0" w:space="0" w:color="auto"/>
                          </w:divBdr>
                          <w:divsChild>
                            <w:div w:id="5774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11846">
      <w:bodyDiv w:val="1"/>
      <w:marLeft w:val="0"/>
      <w:marRight w:val="0"/>
      <w:marTop w:val="0"/>
      <w:marBottom w:val="0"/>
      <w:divBdr>
        <w:top w:val="none" w:sz="0" w:space="0" w:color="auto"/>
        <w:left w:val="none" w:sz="0" w:space="0" w:color="auto"/>
        <w:bottom w:val="none" w:sz="0" w:space="0" w:color="auto"/>
        <w:right w:val="none" w:sz="0" w:space="0" w:color="auto"/>
      </w:divBdr>
    </w:div>
    <w:div w:id="1356270370">
      <w:bodyDiv w:val="1"/>
      <w:marLeft w:val="0"/>
      <w:marRight w:val="0"/>
      <w:marTop w:val="0"/>
      <w:marBottom w:val="0"/>
      <w:divBdr>
        <w:top w:val="none" w:sz="0" w:space="0" w:color="auto"/>
        <w:left w:val="none" w:sz="0" w:space="0" w:color="auto"/>
        <w:bottom w:val="none" w:sz="0" w:space="0" w:color="auto"/>
        <w:right w:val="none" w:sz="0" w:space="0" w:color="auto"/>
      </w:divBdr>
    </w:div>
    <w:div w:id="1394036954">
      <w:bodyDiv w:val="1"/>
      <w:marLeft w:val="0"/>
      <w:marRight w:val="0"/>
      <w:marTop w:val="0"/>
      <w:marBottom w:val="0"/>
      <w:divBdr>
        <w:top w:val="none" w:sz="0" w:space="0" w:color="auto"/>
        <w:left w:val="none" w:sz="0" w:space="0" w:color="auto"/>
        <w:bottom w:val="none" w:sz="0" w:space="0" w:color="auto"/>
        <w:right w:val="none" w:sz="0" w:space="0" w:color="auto"/>
      </w:divBdr>
      <w:divsChild>
        <w:div w:id="1546258138">
          <w:marLeft w:val="0"/>
          <w:marRight w:val="0"/>
          <w:marTop w:val="0"/>
          <w:marBottom w:val="0"/>
          <w:divBdr>
            <w:top w:val="none" w:sz="0" w:space="0" w:color="auto"/>
            <w:left w:val="none" w:sz="0" w:space="0" w:color="auto"/>
            <w:bottom w:val="none" w:sz="0" w:space="0" w:color="auto"/>
            <w:right w:val="none" w:sz="0" w:space="0" w:color="auto"/>
          </w:divBdr>
        </w:div>
      </w:divsChild>
    </w:div>
    <w:div w:id="1445463882">
      <w:bodyDiv w:val="1"/>
      <w:marLeft w:val="0"/>
      <w:marRight w:val="0"/>
      <w:marTop w:val="0"/>
      <w:marBottom w:val="0"/>
      <w:divBdr>
        <w:top w:val="none" w:sz="0" w:space="0" w:color="auto"/>
        <w:left w:val="none" w:sz="0" w:space="0" w:color="auto"/>
        <w:bottom w:val="none" w:sz="0" w:space="0" w:color="auto"/>
        <w:right w:val="none" w:sz="0" w:space="0" w:color="auto"/>
      </w:divBdr>
    </w:div>
    <w:div w:id="1541435033">
      <w:bodyDiv w:val="1"/>
      <w:marLeft w:val="0"/>
      <w:marRight w:val="0"/>
      <w:marTop w:val="0"/>
      <w:marBottom w:val="0"/>
      <w:divBdr>
        <w:top w:val="none" w:sz="0" w:space="0" w:color="auto"/>
        <w:left w:val="none" w:sz="0" w:space="0" w:color="auto"/>
        <w:bottom w:val="none" w:sz="0" w:space="0" w:color="auto"/>
        <w:right w:val="none" w:sz="0" w:space="0" w:color="auto"/>
      </w:divBdr>
      <w:divsChild>
        <w:div w:id="1057584747">
          <w:marLeft w:val="0"/>
          <w:marRight w:val="0"/>
          <w:marTop w:val="0"/>
          <w:marBottom w:val="0"/>
          <w:divBdr>
            <w:top w:val="none" w:sz="0" w:space="0" w:color="auto"/>
            <w:left w:val="none" w:sz="0" w:space="0" w:color="auto"/>
            <w:bottom w:val="none" w:sz="0" w:space="0" w:color="auto"/>
            <w:right w:val="none" w:sz="0" w:space="0" w:color="auto"/>
          </w:divBdr>
          <w:divsChild>
            <w:div w:id="366493789">
              <w:marLeft w:val="0"/>
              <w:marRight w:val="0"/>
              <w:marTop w:val="0"/>
              <w:marBottom w:val="0"/>
              <w:divBdr>
                <w:top w:val="none" w:sz="0" w:space="0" w:color="auto"/>
                <w:left w:val="none" w:sz="0" w:space="0" w:color="auto"/>
                <w:bottom w:val="none" w:sz="0" w:space="0" w:color="auto"/>
                <w:right w:val="none" w:sz="0" w:space="0" w:color="auto"/>
              </w:divBdr>
            </w:div>
            <w:div w:id="402798895">
              <w:marLeft w:val="0"/>
              <w:marRight w:val="0"/>
              <w:marTop w:val="0"/>
              <w:marBottom w:val="0"/>
              <w:divBdr>
                <w:top w:val="none" w:sz="0" w:space="0" w:color="auto"/>
                <w:left w:val="none" w:sz="0" w:space="0" w:color="auto"/>
                <w:bottom w:val="none" w:sz="0" w:space="0" w:color="auto"/>
                <w:right w:val="none" w:sz="0" w:space="0" w:color="auto"/>
              </w:divBdr>
            </w:div>
            <w:div w:id="1124931584">
              <w:marLeft w:val="0"/>
              <w:marRight w:val="0"/>
              <w:marTop w:val="0"/>
              <w:marBottom w:val="0"/>
              <w:divBdr>
                <w:top w:val="none" w:sz="0" w:space="0" w:color="auto"/>
                <w:left w:val="none" w:sz="0" w:space="0" w:color="auto"/>
                <w:bottom w:val="none" w:sz="0" w:space="0" w:color="auto"/>
                <w:right w:val="none" w:sz="0" w:space="0" w:color="auto"/>
              </w:divBdr>
            </w:div>
            <w:div w:id="1272936707">
              <w:marLeft w:val="0"/>
              <w:marRight w:val="0"/>
              <w:marTop w:val="0"/>
              <w:marBottom w:val="0"/>
              <w:divBdr>
                <w:top w:val="none" w:sz="0" w:space="0" w:color="auto"/>
                <w:left w:val="none" w:sz="0" w:space="0" w:color="auto"/>
                <w:bottom w:val="none" w:sz="0" w:space="0" w:color="auto"/>
                <w:right w:val="none" w:sz="0" w:space="0" w:color="auto"/>
              </w:divBdr>
            </w:div>
            <w:div w:id="1279066210">
              <w:marLeft w:val="0"/>
              <w:marRight w:val="0"/>
              <w:marTop w:val="0"/>
              <w:marBottom w:val="0"/>
              <w:divBdr>
                <w:top w:val="none" w:sz="0" w:space="0" w:color="auto"/>
                <w:left w:val="none" w:sz="0" w:space="0" w:color="auto"/>
                <w:bottom w:val="none" w:sz="0" w:space="0" w:color="auto"/>
                <w:right w:val="none" w:sz="0" w:space="0" w:color="auto"/>
              </w:divBdr>
            </w:div>
            <w:div w:id="1344354323">
              <w:marLeft w:val="0"/>
              <w:marRight w:val="0"/>
              <w:marTop w:val="0"/>
              <w:marBottom w:val="0"/>
              <w:divBdr>
                <w:top w:val="none" w:sz="0" w:space="0" w:color="auto"/>
                <w:left w:val="none" w:sz="0" w:space="0" w:color="auto"/>
                <w:bottom w:val="none" w:sz="0" w:space="0" w:color="auto"/>
                <w:right w:val="none" w:sz="0" w:space="0" w:color="auto"/>
              </w:divBdr>
            </w:div>
            <w:div w:id="1418332183">
              <w:marLeft w:val="0"/>
              <w:marRight w:val="0"/>
              <w:marTop w:val="0"/>
              <w:marBottom w:val="0"/>
              <w:divBdr>
                <w:top w:val="none" w:sz="0" w:space="0" w:color="auto"/>
                <w:left w:val="none" w:sz="0" w:space="0" w:color="auto"/>
                <w:bottom w:val="none" w:sz="0" w:space="0" w:color="auto"/>
                <w:right w:val="none" w:sz="0" w:space="0" w:color="auto"/>
              </w:divBdr>
            </w:div>
            <w:div w:id="1783500361">
              <w:marLeft w:val="0"/>
              <w:marRight w:val="0"/>
              <w:marTop w:val="0"/>
              <w:marBottom w:val="0"/>
              <w:divBdr>
                <w:top w:val="none" w:sz="0" w:space="0" w:color="auto"/>
                <w:left w:val="none" w:sz="0" w:space="0" w:color="auto"/>
                <w:bottom w:val="none" w:sz="0" w:space="0" w:color="auto"/>
                <w:right w:val="none" w:sz="0" w:space="0" w:color="auto"/>
              </w:divBdr>
            </w:div>
          </w:divsChild>
        </w:div>
        <w:div w:id="1406564406">
          <w:marLeft w:val="0"/>
          <w:marRight w:val="0"/>
          <w:marTop w:val="0"/>
          <w:marBottom w:val="0"/>
          <w:divBdr>
            <w:top w:val="none" w:sz="0" w:space="0" w:color="auto"/>
            <w:left w:val="none" w:sz="0" w:space="0" w:color="auto"/>
            <w:bottom w:val="none" w:sz="0" w:space="0" w:color="auto"/>
            <w:right w:val="none" w:sz="0" w:space="0" w:color="auto"/>
          </w:divBdr>
          <w:divsChild>
            <w:div w:id="49693507">
              <w:marLeft w:val="0"/>
              <w:marRight w:val="0"/>
              <w:marTop w:val="0"/>
              <w:marBottom w:val="0"/>
              <w:divBdr>
                <w:top w:val="none" w:sz="0" w:space="0" w:color="auto"/>
                <w:left w:val="none" w:sz="0" w:space="0" w:color="auto"/>
                <w:bottom w:val="none" w:sz="0" w:space="0" w:color="auto"/>
                <w:right w:val="none" w:sz="0" w:space="0" w:color="auto"/>
              </w:divBdr>
            </w:div>
            <w:div w:id="245723017">
              <w:marLeft w:val="0"/>
              <w:marRight w:val="0"/>
              <w:marTop w:val="0"/>
              <w:marBottom w:val="0"/>
              <w:divBdr>
                <w:top w:val="none" w:sz="0" w:space="0" w:color="auto"/>
                <w:left w:val="none" w:sz="0" w:space="0" w:color="auto"/>
                <w:bottom w:val="none" w:sz="0" w:space="0" w:color="auto"/>
                <w:right w:val="none" w:sz="0" w:space="0" w:color="auto"/>
              </w:divBdr>
            </w:div>
            <w:div w:id="373963403">
              <w:marLeft w:val="0"/>
              <w:marRight w:val="0"/>
              <w:marTop w:val="0"/>
              <w:marBottom w:val="0"/>
              <w:divBdr>
                <w:top w:val="none" w:sz="0" w:space="0" w:color="auto"/>
                <w:left w:val="none" w:sz="0" w:space="0" w:color="auto"/>
                <w:bottom w:val="none" w:sz="0" w:space="0" w:color="auto"/>
                <w:right w:val="none" w:sz="0" w:space="0" w:color="auto"/>
              </w:divBdr>
            </w:div>
            <w:div w:id="896432453">
              <w:marLeft w:val="0"/>
              <w:marRight w:val="0"/>
              <w:marTop w:val="0"/>
              <w:marBottom w:val="0"/>
              <w:divBdr>
                <w:top w:val="none" w:sz="0" w:space="0" w:color="auto"/>
                <w:left w:val="none" w:sz="0" w:space="0" w:color="auto"/>
                <w:bottom w:val="none" w:sz="0" w:space="0" w:color="auto"/>
                <w:right w:val="none" w:sz="0" w:space="0" w:color="auto"/>
              </w:divBdr>
            </w:div>
            <w:div w:id="1145510894">
              <w:marLeft w:val="0"/>
              <w:marRight w:val="0"/>
              <w:marTop w:val="0"/>
              <w:marBottom w:val="0"/>
              <w:divBdr>
                <w:top w:val="none" w:sz="0" w:space="0" w:color="auto"/>
                <w:left w:val="none" w:sz="0" w:space="0" w:color="auto"/>
                <w:bottom w:val="none" w:sz="0" w:space="0" w:color="auto"/>
                <w:right w:val="none" w:sz="0" w:space="0" w:color="auto"/>
              </w:divBdr>
            </w:div>
            <w:div w:id="1222710686">
              <w:marLeft w:val="0"/>
              <w:marRight w:val="0"/>
              <w:marTop w:val="0"/>
              <w:marBottom w:val="0"/>
              <w:divBdr>
                <w:top w:val="none" w:sz="0" w:space="0" w:color="auto"/>
                <w:left w:val="none" w:sz="0" w:space="0" w:color="auto"/>
                <w:bottom w:val="none" w:sz="0" w:space="0" w:color="auto"/>
                <w:right w:val="none" w:sz="0" w:space="0" w:color="auto"/>
              </w:divBdr>
            </w:div>
            <w:div w:id="2075158881">
              <w:marLeft w:val="0"/>
              <w:marRight w:val="0"/>
              <w:marTop w:val="0"/>
              <w:marBottom w:val="0"/>
              <w:divBdr>
                <w:top w:val="none" w:sz="0" w:space="0" w:color="auto"/>
                <w:left w:val="none" w:sz="0" w:space="0" w:color="auto"/>
                <w:bottom w:val="none" w:sz="0" w:space="0" w:color="auto"/>
                <w:right w:val="none" w:sz="0" w:space="0" w:color="auto"/>
              </w:divBdr>
            </w:div>
            <w:div w:id="21329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7232">
      <w:bodyDiv w:val="1"/>
      <w:marLeft w:val="0"/>
      <w:marRight w:val="0"/>
      <w:marTop w:val="0"/>
      <w:marBottom w:val="0"/>
      <w:divBdr>
        <w:top w:val="none" w:sz="0" w:space="0" w:color="auto"/>
        <w:left w:val="none" w:sz="0" w:space="0" w:color="auto"/>
        <w:bottom w:val="none" w:sz="0" w:space="0" w:color="auto"/>
        <w:right w:val="none" w:sz="0" w:space="0" w:color="auto"/>
      </w:divBdr>
      <w:divsChild>
        <w:div w:id="203106339">
          <w:marLeft w:val="0"/>
          <w:marRight w:val="0"/>
          <w:marTop w:val="0"/>
          <w:marBottom w:val="0"/>
          <w:divBdr>
            <w:top w:val="none" w:sz="0" w:space="0" w:color="auto"/>
            <w:left w:val="none" w:sz="0" w:space="0" w:color="auto"/>
            <w:bottom w:val="none" w:sz="0" w:space="0" w:color="auto"/>
            <w:right w:val="none" w:sz="0" w:space="0" w:color="auto"/>
          </w:divBdr>
        </w:div>
      </w:divsChild>
    </w:div>
    <w:div w:id="1713575787">
      <w:bodyDiv w:val="1"/>
      <w:marLeft w:val="0"/>
      <w:marRight w:val="0"/>
      <w:marTop w:val="0"/>
      <w:marBottom w:val="0"/>
      <w:divBdr>
        <w:top w:val="none" w:sz="0" w:space="0" w:color="auto"/>
        <w:left w:val="none" w:sz="0" w:space="0" w:color="auto"/>
        <w:bottom w:val="none" w:sz="0" w:space="0" w:color="auto"/>
        <w:right w:val="none" w:sz="0" w:space="0" w:color="auto"/>
      </w:divBdr>
    </w:div>
    <w:div w:id="1716152176">
      <w:bodyDiv w:val="1"/>
      <w:marLeft w:val="0"/>
      <w:marRight w:val="0"/>
      <w:marTop w:val="0"/>
      <w:marBottom w:val="0"/>
      <w:divBdr>
        <w:top w:val="none" w:sz="0" w:space="0" w:color="auto"/>
        <w:left w:val="none" w:sz="0" w:space="0" w:color="auto"/>
        <w:bottom w:val="none" w:sz="0" w:space="0" w:color="auto"/>
        <w:right w:val="none" w:sz="0" w:space="0" w:color="auto"/>
      </w:divBdr>
    </w:div>
    <w:div w:id="1745300534">
      <w:bodyDiv w:val="1"/>
      <w:marLeft w:val="0"/>
      <w:marRight w:val="0"/>
      <w:marTop w:val="0"/>
      <w:marBottom w:val="0"/>
      <w:divBdr>
        <w:top w:val="none" w:sz="0" w:space="0" w:color="auto"/>
        <w:left w:val="none" w:sz="0" w:space="0" w:color="auto"/>
        <w:bottom w:val="none" w:sz="0" w:space="0" w:color="auto"/>
        <w:right w:val="none" w:sz="0" w:space="0" w:color="auto"/>
      </w:divBdr>
    </w:div>
    <w:div w:id="1771969753">
      <w:bodyDiv w:val="1"/>
      <w:marLeft w:val="0"/>
      <w:marRight w:val="0"/>
      <w:marTop w:val="0"/>
      <w:marBottom w:val="0"/>
      <w:divBdr>
        <w:top w:val="none" w:sz="0" w:space="0" w:color="auto"/>
        <w:left w:val="none" w:sz="0" w:space="0" w:color="auto"/>
        <w:bottom w:val="none" w:sz="0" w:space="0" w:color="auto"/>
        <w:right w:val="none" w:sz="0" w:space="0" w:color="auto"/>
      </w:divBdr>
      <w:divsChild>
        <w:div w:id="648750945">
          <w:marLeft w:val="0"/>
          <w:marRight w:val="0"/>
          <w:marTop w:val="0"/>
          <w:marBottom w:val="0"/>
          <w:divBdr>
            <w:top w:val="none" w:sz="0" w:space="0" w:color="auto"/>
            <w:left w:val="none" w:sz="0" w:space="0" w:color="auto"/>
            <w:bottom w:val="none" w:sz="0" w:space="0" w:color="auto"/>
            <w:right w:val="none" w:sz="0" w:space="0" w:color="auto"/>
          </w:divBdr>
        </w:div>
        <w:div w:id="662662284">
          <w:marLeft w:val="0"/>
          <w:marRight w:val="0"/>
          <w:marTop w:val="0"/>
          <w:marBottom w:val="0"/>
          <w:divBdr>
            <w:top w:val="none" w:sz="0" w:space="0" w:color="auto"/>
            <w:left w:val="none" w:sz="0" w:space="0" w:color="auto"/>
            <w:bottom w:val="none" w:sz="0" w:space="0" w:color="auto"/>
            <w:right w:val="none" w:sz="0" w:space="0" w:color="auto"/>
          </w:divBdr>
        </w:div>
        <w:div w:id="1428767136">
          <w:marLeft w:val="0"/>
          <w:marRight w:val="0"/>
          <w:marTop w:val="0"/>
          <w:marBottom w:val="0"/>
          <w:divBdr>
            <w:top w:val="none" w:sz="0" w:space="0" w:color="auto"/>
            <w:left w:val="none" w:sz="0" w:space="0" w:color="auto"/>
            <w:bottom w:val="none" w:sz="0" w:space="0" w:color="auto"/>
            <w:right w:val="none" w:sz="0" w:space="0" w:color="auto"/>
          </w:divBdr>
        </w:div>
        <w:div w:id="1873347287">
          <w:marLeft w:val="0"/>
          <w:marRight w:val="0"/>
          <w:marTop w:val="0"/>
          <w:marBottom w:val="0"/>
          <w:divBdr>
            <w:top w:val="none" w:sz="0" w:space="0" w:color="auto"/>
            <w:left w:val="none" w:sz="0" w:space="0" w:color="auto"/>
            <w:bottom w:val="none" w:sz="0" w:space="0" w:color="auto"/>
            <w:right w:val="none" w:sz="0" w:space="0" w:color="auto"/>
          </w:divBdr>
        </w:div>
        <w:div w:id="2144734260">
          <w:marLeft w:val="0"/>
          <w:marRight w:val="0"/>
          <w:marTop w:val="0"/>
          <w:marBottom w:val="0"/>
          <w:divBdr>
            <w:top w:val="none" w:sz="0" w:space="0" w:color="auto"/>
            <w:left w:val="none" w:sz="0" w:space="0" w:color="auto"/>
            <w:bottom w:val="none" w:sz="0" w:space="0" w:color="auto"/>
            <w:right w:val="none" w:sz="0" w:space="0" w:color="auto"/>
          </w:divBdr>
        </w:div>
      </w:divsChild>
    </w:div>
    <w:div w:id="1777869311">
      <w:bodyDiv w:val="1"/>
      <w:marLeft w:val="0"/>
      <w:marRight w:val="0"/>
      <w:marTop w:val="0"/>
      <w:marBottom w:val="0"/>
      <w:divBdr>
        <w:top w:val="none" w:sz="0" w:space="0" w:color="auto"/>
        <w:left w:val="none" w:sz="0" w:space="0" w:color="auto"/>
        <w:bottom w:val="none" w:sz="0" w:space="0" w:color="auto"/>
        <w:right w:val="none" w:sz="0" w:space="0" w:color="auto"/>
      </w:divBdr>
      <w:divsChild>
        <w:div w:id="460617549">
          <w:marLeft w:val="0"/>
          <w:marRight w:val="0"/>
          <w:marTop w:val="0"/>
          <w:marBottom w:val="0"/>
          <w:divBdr>
            <w:top w:val="none" w:sz="0" w:space="0" w:color="auto"/>
            <w:left w:val="none" w:sz="0" w:space="0" w:color="auto"/>
            <w:bottom w:val="none" w:sz="0" w:space="0" w:color="auto"/>
            <w:right w:val="none" w:sz="0" w:space="0" w:color="auto"/>
          </w:divBdr>
        </w:div>
        <w:div w:id="1052660039">
          <w:marLeft w:val="0"/>
          <w:marRight w:val="0"/>
          <w:marTop w:val="0"/>
          <w:marBottom w:val="0"/>
          <w:divBdr>
            <w:top w:val="none" w:sz="0" w:space="0" w:color="auto"/>
            <w:left w:val="none" w:sz="0" w:space="0" w:color="auto"/>
            <w:bottom w:val="none" w:sz="0" w:space="0" w:color="auto"/>
            <w:right w:val="none" w:sz="0" w:space="0" w:color="auto"/>
          </w:divBdr>
        </w:div>
        <w:div w:id="1203206644">
          <w:marLeft w:val="0"/>
          <w:marRight w:val="0"/>
          <w:marTop w:val="0"/>
          <w:marBottom w:val="0"/>
          <w:divBdr>
            <w:top w:val="none" w:sz="0" w:space="0" w:color="auto"/>
            <w:left w:val="none" w:sz="0" w:space="0" w:color="auto"/>
            <w:bottom w:val="none" w:sz="0" w:space="0" w:color="auto"/>
            <w:right w:val="none" w:sz="0" w:space="0" w:color="auto"/>
          </w:divBdr>
        </w:div>
        <w:div w:id="1492332243">
          <w:marLeft w:val="0"/>
          <w:marRight w:val="0"/>
          <w:marTop w:val="0"/>
          <w:marBottom w:val="0"/>
          <w:divBdr>
            <w:top w:val="none" w:sz="0" w:space="0" w:color="auto"/>
            <w:left w:val="none" w:sz="0" w:space="0" w:color="auto"/>
            <w:bottom w:val="none" w:sz="0" w:space="0" w:color="auto"/>
            <w:right w:val="none" w:sz="0" w:space="0" w:color="auto"/>
          </w:divBdr>
        </w:div>
        <w:div w:id="1671330841">
          <w:marLeft w:val="0"/>
          <w:marRight w:val="0"/>
          <w:marTop w:val="0"/>
          <w:marBottom w:val="0"/>
          <w:divBdr>
            <w:top w:val="none" w:sz="0" w:space="0" w:color="auto"/>
            <w:left w:val="none" w:sz="0" w:space="0" w:color="auto"/>
            <w:bottom w:val="none" w:sz="0" w:space="0" w:color="auto"/>
            <w:right w:val="none" w:sz="0" w:space="0" w:color="auto"/>
          </w:divBdr>
        </w:div>
      </w:divsChild>
    </w:div>
    <w:div w:id="1922107304">
      <w:bodyDiv w:val="1"/>
      <w:marLeft w:val="0"/>
      <w:marRight w:val="0"/>
      <w:marTop w:val="0"/>
      <w:marBottom w:val="0"/>
      <w:divBdr>
        <w:top w:val="none" w:sz="0" w:space="0" w:color="auto"/>
        <w:left w:val="none" w:sz="0" w:space="0" w:color="auto"/>
        <w:bottom w:val="none" w:sz="0" w:space="0" w:color="auto"/>
        <w:right w:val="none" w:sz="0" w:space="0" w:color="auto"/>
      </w:divBdr>
    </w:div>
    <w:div w:id="1950159906">
      <w:bodyDiv w:val="1"/>
      <w:marLeft w:val="0"/>
      <w:marRight w:val="0"/>
      <w:marTop w:val="0"/>
      <w:marBottom w:val="0"/>
      <w:divBdr>
        <w:top w:val="none" w:sz="0" w:space="0" w:color="auto"/>
        <w:left w:val="none" w:sz="0" w:space="0" w:color="auto"/>
        <w:bottom w:val="none" w:sz="0" w:space="0" w:color="auto"/>
        <w:right w:val="none" w:sz="0" w:space="0" w:color="auto"/>
      </w:divBdr>
    </w:div>
    <w:div w:id="1970476115">
      <w:bodyDiv w:val="1"/>
      <w:marLeft w:val="0"/>
      <w:marRight w:val="0"/>
      <w:marTop w:val="0"/>
      <w:marBottom w:val="0"/>
      <w:divBdr>
        <w:top w:val="none" w:sz="0" w:space="0" w:color="auto"/>
        <w:left w:val="none" w:sz="0" w:space="0" w:color="auto"/>
        <w:bottom w:val="none" w:sz="0" w:space="0" w:color="auto"/>
        <w:right w:val="none" w:sz="0" w:space="0" w:color="auto"/>
      </w:divBdr>
    </w:div>
    <w:div w:id="1989047644">
      <w:bodyDiv w:val="1"/>
      <w:marLeft w:val="0"/>
      <w:marRight w:val="0"/>
      <w:marTop w:val="0"/>
      <w:marBottom w:val="0"/>
      <w:divBdr>
        <w:top w:val="none" w:sz="0" w:space="0" w:color="auto"/>
        <w:left w:val="none" w:sz="0" w:space="0" w:color="auto"/>
        <w:bottom w:val="none" w:sz="0" w:space="0" w:color="auto"/>
        <w:right w:val="none" w:sz="0" w:space="0" w:color="auto"/>
      </w:divBdr>
      <w:divsChild>
        <w:div w:id="343820580">
          <w:marLeft w:val="0"/>
          <w:marRight w:val="0"/>
          <w:marTop w:val="0"/>
          <w:marBottom w:val="0"/>
          <w:divBdr>
            <w:top w:val="none" w:sz="0" w:space="0" w:color="auto"/>
            <w:left w:val="none" w:sz="0" w:space="0" w:color="auto"/>
            <w:bottom w:val="none" w:sz="0" w:space="0" w:color="auto"/>
            <w:right w:val="none" w:sz="0" w:space="0" w:color="auto"/>
          </w:divBdr>
        </w:div>
      </w:divsChild>
    </w:div>
    <w:div w:id="2006083287">
      <w:bodyDiv w:val="1"/>
      <w:marLeft w:val="0"/>
      <w:marRight w:val="0"/>
      <w:marTop w:val="0"/>
      <w:marBottom w:val="0"/>
      <w:divBdr>
        <w:top w:val="none" w:sz="0" w:space="0" w:color="auto"/>
        <w:left w:val="none" w:sz="0" w:space="0" w:color="auto"/>
        <w:bottom w:val="none" w:sz="0" w:space="0" w:color="auto"/>
        <w:right w:val="none" w:sz="0" w:space="0" w:color="auto"/>
      </w:divBdr>
    </w:div>
    <w:div w:id="2018534720">
      <w:bodyDiv w:val="1"/>
      <w:marLeft w:val="0"/>
      <w:marRight w:val="0"/>
      <w:marTop w:val="0"/>
      <w:marBottom w:val="0"/>
      <w:divBdr>
        <w:top w:val="none" w:sz="0" w:space="0" w:color="auto"/>
        <w:left w:val="none" w:sz="0" w:space="0" w:color="auto"/>
        <w:bottom w:val="none" w:sz="0" w:space="0" w:color="auto"/>
        <w:right w:val="none" w:sz="0" w:space="0" w:color="auto"/>
      </w:divBdr>
      <w:divsChild>
        <w:div w:id="1417359176">
          <w:marLeft w:val="0"/>
          <w:marRight w:val="0"/>
          <w:marTop w:val="0"/>
          <w:marBottom w:val="0"/>
          <w:divBdr>
            <w:top w:val="none" w:sz="0" w:space="0" w:color="auto"/>
            <w:left w:val="none" w:sz="0" w:space="0" w:color="auto"/>
            <w:bottom w:val="none" w:sz="0" w:space="0" w:color="auto"/>
            <w:right w:val="none" w:sz="0" w:space="0" w:color="auto"/>
          </w:divBdr>
        </w:div>
      </w:divsChild>
    </w:div>
    <w:div w:id="2036537953">
      <w:bodyDiv w:val="1"/>
      <w:marLeft w:val="0"/>
      <w:marRight w:val="0"/>
      <w:marTop w:val="0"/>
      <w:marBottom w:val="0"/>
      <w:divBdr>
        <w:top w:val="none" w:sz="0" w:space="0" w:color="auto"/>
        <w:left w:val="none" w:sz="0" w:space="0" w:color="auto"/>
        <w:bottom w:val="none" w:sz="0" w:space="0" w:color="auto"/>
        <w:right w:val="none" w:sz="0" w:space="0" w:color="auto"/>
      </w:divBdr>
      <w:divsChild>
        <w:div w:id="1169515697">
          <w:marLeft w:val="0"/>
          <w:marRight w:val="0"/>
          <w:marTop w:val="0"/>
          <w:marBottom w:val="0"/>
          <w:divBdr>
            <w:top w:val="none" w:sz="0" w:space="0" w:color="auto"/>
            <w:left w:val="none" w:sz="0" w:space="0" w:color="auto"/>
            <w:bottom w:val="none" w:sz="0" w:space="0" w:color="auto"/>
            <w:right w:val="none" w:sz="0" w:space="0" w:color="auto"/>
          </w:divBdr>
        </w:div>
      </w:divsChild>
    </w:div>
    <w:div w:id="2041853451">
      <w:bodyDiv w:val="1"/>
      <w:marLeft w:val="0"/>
      <w:marRight w:val="0"/>
      <w:marTop w:val="0"/>
      <w:marBottom w:val="0"/>
      <w:divBdr>
        <w:top w:val="none" w:sz="0" w:space="0" w:color="auto"/>
        <w:left w:val="none" w:sz="0" w:space="0" w:color="auto"/>
        <w:bottom w:val="none" w:sz="0" w:space="0" w:color="auto"/>
        <w:right w:val="none" w:sz="0" w:space="0" w:color="auto"/>
      </w:divBdr>
    </w:div>
    <w:div w:id="2069453589">
      <w:bodyDiv w:val="1"/>
      <w:marLeft w:val="0"/>
      <w:marRight w:val="0"/>
      <w:marTop w:val="0"/>
      <w:marBottom w:val="0"/>
      <w:divBdr>
        <w:top w:val="none" w:sz="0" w:space="0" w:color="auto"/>
        <w:left w:val="none" w:sz="0" w:space="0" w:color="auto"/>
        <w:bottom w:val="none" w:sz="0" w:space="0" w:color="auto"/>
        <w:right w:val="none" w:sz="0" w:space="0" w:color="auto"/>
      </w:divBdr>
      <w:divsChild>
        <w:div w:id="211037173">
          <w:marLeft w:val="0"/>
          <w:marRight w:val="0"/>
          <w:marTop w:val="0"/>
          <w:marBottom w:val="0"/>
          <w:divBdr>
            <w:top w:val="none" w:sz="0" w:space="0" w:color="auto"/>
            <w:left w:val="none" w:sz="0" w:space="0" w:color="auto"/>
            <w:bottom w:val="none" w:sz="0" w:space="0" w:color="auto"/>
            <w:right w:val="none" w:sz="0" w:space="0" w:color="auto"/>
          </w:divBdr>
        </w:div>
      </w:divsChild>
    </w:div>
    <w:div w:id="2084913584">
      <w:bodyDiv w:val="1"/>
      <w:marLeft w:val="0"/>
      <w:marRight w:val="0"/>
      <w:marTop w:val="0"/>
      <w:marBottom w:val="0"/>
      <w:divBdr>
        <w:top w:val="none" w:sz="0" w:space="0" w:color="auto"/>
        <w:left w:val="none" w:sz="0" w:space="0" w:color="auto"/>
        <w:bottom w:val="none" w:sz="0" w:space="0" w:color="auto"/>
        <w:right w:val="none" w:sz="0" w:space="0" w:color="auto"/>
      </w:divBdr>
      <w:divsChild>
        <w:div w:id="388262236">
          <w:marLeft w:val="0"/>
          <w:marRight w:val="0"/>
          <w:marTop w:val="0"/>
          <w:marBottom w:val="0"/>
          <w:divBdr>
            <w:top w:val="none" w:sz="0" w:space="0" w:color="auto"/>
            <w:left w:val="none" w:sz="0" w:space="0" w:color="auto"/>
            <w:bottom w:val="none" w:sz="0" w:space="0" w:color="auto"/>
            <w:right w:val="none" w:sz="0" w:space="0" w:color="auto"/>
          </w:divBdr>
        </w:div>
        <w:div w:id="490563278">
          <w:marLeft w:val="0"/>
          <w:marRight w:val="0"/>
          <w:marTop w:val="0"/>
          <w:marBottom w:val="0"/>
          <w:divBdr>
            <w:top w:val="none" w:sz="0" w:space="0" w:color="auto"/>
            <w:left w:val="none" w:sz="0" w:space="0" w:color="auto"/>
            <w:bottom w:val="none" w:sz="0" w:space="0" w:color="auto"/>
            <w:right w:val="none" w:sz="0" w:space="0" w:color="auto"/>
          </w:divBdr>
        </w:div>
        <w:div w:id="582840164">
          <w:marLeft w:val="0"/>
          <w:marRight w:val="0"/>
          <w:marTop w:val="0"/>
          <w:marBottom w:val="0"/>
          <w:divBdr>
            <w:top w:val="none" w:sz="0" w:space="0" w:color="auto"/>
            <w:left w:val="none" w:sz="0" w:space="0" w:color="auto"/>
            <w:bottom w:val="none" w:sz="0" w:space="0" w:color="auto"/>
            <w:right w:val="none" w:sz="0" w:space="0" w:color="auto"/>
          </w:divBdr>
        </w:div>
        <w:div w:id="1383871381">
          <w:marLeft w:val="0"/>
          <w:marRight w:val="0"/>
          <w:marTop w:val="0"/>
          <w:marBottom w:val="0"/>
          <w:divBdr>
            <w:top w:val="none" w:sz="0" w:space="0" w:color="auto"/>
            <w:left w:val="none" w:sz="0" w:space="0" w:color="auto"/>
            <w:bottom w:val="none" w:sz="0" w:space="0" w:color="auto"/>
            <w:right w:val="none" w:sz="0" w:space="0" w:color="auto"/>
          </w:divBdr>
        </w:div>
        <w:div w:id="1839923562">
          <w:marLeft w:val="0"/>
          <w:marRight w:val="0"/>
          <w:marTop w:val="0"/>
          <w:marBottom w:val="0"/>
          <w:divBdr>
            <w:top w:val="none" w:sz="0" w:space="0" w:color="auto"/>
            <w:left w:val="none" w:sz="0" w:space="0" w:color="auto"/>
            <w:bottom w:val="none" w:sz="0" w:space="0" w:color="auto"/>
            <w:right w:val="none" w:sz="0" w:space="0" w:color="auto"/>
          </w:divBdr>
        </w:div>
      </w:divsChild>
    </w:div>
    <w:div w:id="2096438235">
      <w:bodyDiv w:val="1"/>
      <w:marLeft w:val="0"/>
      <w:marRight w:val="0"/>
      <w:marTop w:val="0"/>
      <w:marBottom w:val="0"/>
      <w:divBdr>
        <w:top w:val="none" w:sz="0" w:space="0" w:color="auto"/>
        <w:left w:val="none" w:sz="0" w:space="0" w:color="auto"/>
        <w:bottom w:val="none" w:sz="0" w:space="0" w:color="auto"/>
        <w:right w:val="none" w:sz="0" w:space="0" w:color="auto"/>
      </w:divBdr>
    </w:div>
    <w:div w:id="2120104591">
      <w:bodyDiv w:val="1"/>
      <w:marLeft w:val="0"/>
      <w:marRight w:val="0"/>
      <w:marTop w:val="0"/>
      <w:marBottom w:val="0"/>
      <w:divBdr>
        <w:top w:val="none" w:sz="0" w:space="0" w:color="auto"/>
        <w:left w:val="none" w:sz="0" w:space="0" w:color="auto"/>
        <w:bottom w:val="none" w:sz="0" w:space="0" w:color="auto"/>
        <w:right w:val="none" w:sz="0" w:space="0" w:color="auto"/>
      </w:divBdr>
      <w:divsChild>
        <w:div w:id="1127434174">
          <w:marLeft w:val="0"/>
          <w:marRight w:val="0"/>
          <w:marTop w:val="0"/>
          <w:marBottom w:val="0"/>
          <w:divBdr>
            <w:top w:val="none" w:sz="0" w:space="0" w:color="auto"/>
            <w:left w:val="none" w:sz="0" w:space="0" w:color="auto"/>
            <w:bottom w:val="none" w:sz="0" w:space="0" w:color="auto"/>
            <w:right w:val="none" w:sz="0" w:space="0" w:color="auto"/>
          </w:divBdr>
          <w:divsChild>
            <w:div w:id="56558110">
              <w:marLeft w:val="0"/>
              <w:marRight w:val="0"/>
              <w:marTop w:val="0"/>
              <w:marBottom w:val="0"/>
              <w:divBdr>
                <w:top w:val="none" w:sz="0" w:space="0" w:color="auto"/>
                <w:left w:val="none" w:sz="0" w:space="0" w:color="auto"/>
                <w:bottom w:val="none" w:sz="0" w:space="0" w:color="auto"/>
                <w:right w:val="none" w:sz="0" w:space="0" w:color="auto"/>
              </w:divBdr>
            </w:div>
            <w:div w:id="1029065929">
              <w:marLeft w:val="0"/>
              <w:marRight w:val="0"/>
              <w:marTop w:val="0"/>
              <w:marBottom w:val="0"/>
              <w:divBdr>
                <w:top w:val="none" w:sz="0" w:space="0" w:color="auto"/>
                <w:left w:val="none" w:sz="0" w:space="0" w:color="auto"/>
                <w:bottom w:val="none" w:sz="0" w:space="0" w:color="auto"/>
                <w:right w:val="none" w:sz="0" w:space="0" w:color="auto"/>
              </w:divBdr>
            </w:div>
            <w:div w:id="1303073403">
              <w:marLeft w:val="0"/>
              <w:marRight w:val="0"/>
              <w:marTop w:val="0"/>
              <w:marBottom w:val="0"/>
              <w:divBdr>
                <w:top w:val="none" w:sz="0" w:space="0" w:color="auto"/>
                <w:left w:val="none" w:sz="0" w:space="0" w:color="auto"/>
                <w:bottom w:val="none" w:sz="0" w:space="0" w:color="auto"/>
                <w:right w:val="none" w:sz="0" w:space="0" w:color="auto"/>
              </w:divBdr>
            </w:div>
            <w:div w:id="1379629416">
              <w:marLeft w:val="0"/>
              <w:marRight w:val="0"/>
              <w:marTop w:val="0"/>
              <w:marBottom w:val="0"/>
              <w:divBdr>
                <w:top w:val="none" w:sz="0" w:space="0" w:color="auto"/>
                <w:left w:val="none" w:sz="0" w:space="0" w:color="auto"/>
                <w:bottom w:val="none" w:sz="0" w:space="0" w:color="auto"/>
                <w:right w:val="none" w:sz="0" w:space="0" w:color="auto"/>
              </w:divBdr>
            </w:div>
            <w:div w:id="1527014580">
              <w:marLeft w:val="0"/>
              <w:marRight w:val="0"/>
              <w:marTop w:val="0"/>
              <w:marBottom w:val="0"/>
              <w:divBdr>
                <w:top w:val="none" w:sz="0" w:space="0" w:color="auto"/>
                <w:left w:val="none" w:sz="0" w:space="0" w:color="auto"/>
                <w:bottom w:val="none" w:sz="0" w:space="0" w:color="auto"/>
                <w:right w:val="none" w:sz="0" w:space="0" w:color="auto"/>
              </w:divBdr>
            </w:div>
            <w:div w:id="1545369887">
              <w:marLeft w:val="0"/>
              <w:marRight w:val="0"/>
              <w:marTop w:val="0"/>
              <w:marBottom w:val="0"/>
              <w:divBdr>
                <w:top w:val="none" w:sz="0" w:space="0" w:color="auto"/>
                <w:left w:val="none" w:sz="0" w:space="0" w:color="auto"/>
                <w:bottom w:val="none" w:sz="0" w:space="0" w:color="auto"/>
                <w:right w:val="none" w:sz="0" w:space="0" w:color="auto"/>
              </w:divBdr>
            </w:div>
            <w:div w:id="1639606018">
              <w:marLeft w:val="0"/>
              <w:marRight w:val="0"/>
              <w:marTop w:val="0"/>
              <w:marBottom w:val="0"/>
              <w:divBdr>
                <w:top w:val="none" w:sz="0" w:space="0" w:color="auto"/>
                <w:left w:val="none" w:sz="0" w:space="0" w:color="auto"/>
                <w:bottom w:val="none" w:sz="0" w:space="0" w:color="auto"/>
                <w:right w:val="none" w:sz="0" w:space="0" w:color="auto"/>
              </w:divBdr>
            </w:div>
            <w:div w:id="1953629221">
              <w:marLeft w:val="0"/>
              <w:marRight w:val="0"/>
              <w:marTop w:val="0"/>
              <w:marBottom w:val="0"/>
              <w:divBdr>
                <w:top w:val="none" w:sz="0" w:space="0" w:color="auto"/>
                <w:left w:val="none" w:sz="0" w:space="0" w:color="auto"/>
                <w:bottom w:val="none" w:sz="0" w:space="0" w:color="auto"/>
                <w:right w:val="none" w:sz="0" w:space="0" w:color="auto"/>
              </w:divBdr>
            </w:div>
          </w:divsChild>
        </w:div>
        <w:div w:id="1801531541">
          <w:marLeft w:val="0"/>
          <w:marRight w:val="0"/>
          <w:marTop w:val="0"/>
          <w:marBottom w:val="0"/>
          <w:divBdr>
            <w:top w:val="none" w:sz="0" w:space="0" w:color="auto"/>
            <w:left w:val="none" w:sz="0" w:space="0" w:color="auto"/>
            <w:bottom w:val="none" w:sz="0" w:space="0" w:color="auto"/>
            <w:right w:val="none" w:sz="0" w:space="0" w:color="auto"/>
          </w:divBdr>
          <w:divsChild>
            <w:div w:id="269123139">
              <w:marLeft w:val="0"/>
              <w:marRight w:val="0"/>
              <w:marTop w:val="0"/>
              <w:marBottom w:val="0"/>
              <w:divBdr>
                <w:top w:val="none" w:sz="0" w:space="0" w:color="auto"/>
                <w:left w:val="none" w:sz="0" w:space="0" w:color="auto"/>
                <w:bottom w:val="none" w:sz="0" w:space="0" w:color="auto"/>
                <w:right w:val="none" w:sz="0" w:space="0" w:color="auto"/>
              </w:divBdr>
            </w:div>
            <w:div w:id="283779467">
              <w:marLeft w:val="0"/>
              <w:marRight w:val="0"/>
              <w:marTop w:val="0"/>
              <w:marBottom w:val="0"/>
              <w:divBdr>
                <w:top w:val="none" w:sz="0" w:space="0" w:color="auto"/>
                <w:left w:val="none" w:sz="0" w:space="0" w:color="auto"/>
                <w:bottom w:val="none" w:sz="0" w:space="0" w:color="auto"/>
                <w:right w:val="none" w:sz="0" w:space="0" w:color="auto"/>
              </w:divBdr>
            </w:div>
            <w:div w:id="467357043">
              <w:marLeft w:val="0"/>
              <w:marRight w:val="0"/>
              <w:marTop w:val="0"/>
              <w:marBottom w:val="0"/>
              <w:divBdr>
                <w:top w:val="none" w:sz="0" w:space="0" w:color="auto"/>
                <w:left w:val="none" w:sz="0" w:space="0" w:color="auto"/>
                <w:bottom w:val="none" w:sz="0" w:space="0" w:color="auto"/>
                <w:right w:val="none" w:sz="0" w:space="0" w:color="auto"/>
              </w:divBdr>
            </w:div>
            <w:div w:id="486435458">
              <w:marLeft w:val="0"/>
              <w:marRight w:val="0"/>
              <w:marTop w:val="0"/>
              <w:marBottom w:val="0"/>
              <w:divBdr>
                <w:top w:val="none" w:sz="0" w:space="0" w:color="auto"/>
                <w:left w:val="none" w:sz="0" w:space="0" w:color="auto"/>
                <w:bottom w:val="none" w:sz="0" w:space="0" w:color="auto"/>
                <w:right w:val="none" w:sz="0" w:space="0" w:color="auto"/>
              </w:divBdr>
            </w:div>
            <w:div w:id="565923335">
              <w:marLeft w:val="0"/>
              <w:marRight w:val="0"/>
              <w:marTop w:val="0"/>
              <w:marBottom w:val="0"/>
              <w:divBdr>
                <w:top w:val="none" w:sz="0" w:space="0" w:color="auto"/>
                <w:left w:val="none" w:sz="0" w:space="0" w:color="auto"/>
                <w:bottom w:val="none" w:sz="0" w:space="0" w:color="auto"/>
                <w:right w:val="none" w:sz="0" w:space="0" w:color="auto"/>
              </w:divBdr>
            </w:div>
            <w:div w:id="733161044">
              <w:marLeft w:val="0"/>
              <w:marRight w:val="0"/>
              <w:marTop w:val="0"/>
              <w:marBottom w:val="0"/>
              <w:divBdr>
                <w:top w:val="none" w:sz="0" w:space="0" w:color="auto"/>
                <w:left w:val="none" w:sz="0" w:space="0" w:color="auto"/>
                <w:bottom w:val="none" w:sz="0" w:space="0" w:color="auto"/>
                <w:right w:val="none" w:sz="0" w:space="0" w:color="auto"/>
              </w:divBdr>
            </w:div>
            <w:div w:id="1023942601">
              <w:marLeft w:val="0"/>
              <w:marRight w:val="0"/>
              <w:marTop w:val="0"/>
              <w:marBottom w:val="0"/>
              <w:divBdr>
                <w:top w:val="none" w:sz="0" w:space="0" w:color="auto"/>
                <w:left w:val="none" w:sz="0" w:space="0" w:color="auto"/>
                <w:bottom w:val="none" w:sz="0" w:space="0" w:color="auto"/>
                <w:right w:val="none" w:sz="0" w:space="0" w:color="auto"/>
              </w:divBdr>
            </w:div>
            <w:div w:id="14263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3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ationalarchives.gov.uk/doc/open-government-licence/version/3/" TargetMode="External" Id="rId13" /><Relationship Type="http://schemas.openxmlformats.org/officeDocument/2006/relationships/header" Target="header1.xml" Id="rId26" /><Relationship Type="http://schemas.openxmlformats.org/officeDocument/2006/relationships/customXml" Target="../customXml/item3.xml" Id="rId3" /><Relationship Type="http://schemas.microsoft.com/office/2016/09/relationships/commentsIds" Target="commentsIds.xml" Id="rId21" /><Relationship Type="http://schemas.microsoft.com/office/2020/10/relationships/intelligence" Target="intelligence2.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biocarbonfund-isfl.org/knowledge-center"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microsoft.com/office/2011/relationships/commentsExtended" Target="commentsExtended.xm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biocarbonfund-isfl.org/approach" TargetMode="External" Id="rId24" /><Relationship Type="http://schemas.microsoft.com/office/2011/relationships/people" Target="people.xml" Id="rId32" /><Relationship Type="http://schemas.openxmlformats.org/officeDocument/2006/relationships/customXml" Target="../customXml/item5.xml" Id="rId5" /><Relationship Type="http://schemas.openxmlformats.org/officeDocument/2006/relationships/hyperlink" Target="mailto:ODA-Transparency@beis.gov.uk" TargetMode="External" Id="rId15"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si@nationalarchives.gsi.gov.uk" TargetMode="External" Id="rId14"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settings" Target="settings.xml" Id="rId8" /><Relationship Type="http://schemas.microsoft.com/office/2019/05/relationships/documenttasks" Target="tasks.xml" Id="R1784536ecab6498c" /><Relationship Type="http://schemas.openxmlformats.org/officeDocument/2006/relationships/hyperlink" Target="https://devtracker.fcdo.gov.uk/programme/GB-GOV-13-ICF-0016-BioCF/documents" TargetMode="External" Id="R88d766f435e14b17" /><Relationship Type="http://schemas.openxmlformats.org/officeDocument/2006/relationships/hyperlink" Target="https://devtracker.fcdo.gov.uk/programme/GB-GOV-13-ICF-0016-BioCF/documents" TargetMode="External" Id="Rc3468921bd4e4449"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1a4b2dde6a0e1464fee28d76c93f4fa4">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96db9fcc0bbc22ca1da760f2f048ce4c"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839018be-1fd5-46c8-bb5f-8e5f297ce001">N3MC4NMT5URJ-1164569100-19140</_dlc_DocId>
    <TaxCatchAll xmlns="839018be-1fd5-46c8-bb5f-8e5f297ce001">
      <Value>3</Value>
      <Value>2</Value>
      <Value>1</Value>
    </TaxCatchAll>
    <_dlc_DocIdUrl xmlns="839018be-1fd5-46c8-bb5f-8e5f297ce001">
      <Url>https://beisgov.sharepoint.com/sites/InternationalForests-EXT-OS/_layouts/15/DocIdRedir.aspx?ID=N3MC4NMT5URJ-1164569100-19140</Url>
      <Description>N3MC4NMT5URJ-1164569100-19140</Description>
    </_dlc_DocIdUrl>
    <SharedWithUsers xmlns="839018be-1fd5-46c8-bb5f-8e5f297ce001">
      <UserInfo>
        <DisplayName>zz_Bray, Callum (BEIS)</DisplayName>
        <AccountId>1135</AccountId>
        <AccountType/>
      </UserInfo>
      <UserInfo>
        <DisplayName>zz_Lugt, Ellie (International - Climate and Energy)</DisplayName>
        <AccountId>1134</AccountId>
        <AccountType/>
      </UserInfo>
      <UserInfo>
        <DisplayName>White, James (DSIT)</DisplayName>
        <AccountId>1136</AccountId>
        <AccountType/>
      </UserInfo>
      <UserInfo>
        <DisplayName>zz_Walter,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Patrick, Niall (Energy Security)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zz_Donegan, Brendan (Energy Security)</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(Energy Security)</DisplayName>
        <AccountId>142</AccountId>
        <AccountType/>
      </UserInfo>
      <UserInfo>
        <DisplayName>Ahmed, Tajbee (Energy Security)</DisplayName>
        <AccountId>219</AccountId>
        <AccountType/>
      </UserInfo>
      <UserInfo>
        <DisplayName>zz_Evans, Sian (Intl Climate Finance - Partnerships)</DisplayName>
        <AccountId>104</AccountId>
        <AccountType/>
      </UserInfo>
      <UserInfo>
        <DisplayName>Davis, Owen (Energy Security)</DisplayName>
        <AccountId>245</AccountId>
        <AccountType/>
      </UserInfo>
      <UserInfo>
        <DisplayName>Paton, Ellen (Energy Security)</DisplayName>
        <AccountId>37</AccountId>
        <AccountType/>
      </UserInfo>
      <UserInfo>
        <DisplayName>zz_Kasliwal, Pritika (Intl Climate Finance - Partnerships)</DisplayName>
        <AccountId>81</AccountId>
        <AccountType/>
      </UserInfo>
      <UserInfo>
        <DisplayName>Hirschhausen, Lara (Energy Security)</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(DSIT)</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(Energy Security)</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(Energy Security)</DisplayName>
        <AccountId>723</AccountId>
        <AccountType/>
      </UserInfo>
      <UserInfo>
        <DisplayName>zz_Enevoldsen, Chloe (NZSI - International Net Zero)</DisplayName>
        <AccountId>5447</AccountId>
        <AccountType/>
      </UserInfo>
      <UserInfo>
        <DisplayName>zz_Carro, Inigo (BEIS)</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zz_Hodgetts, George (NZSI - International Net Zero)</DisplayName>
        <AccountId>101</AccountId>
        <AccountType/>
      </UserInfo>
      <UserInfo>
        <DisplayName>zz_Keene, Alexander (Topps - National Security &amp; International)</DisplayName>
        <AccountId>5053</AccountId>
        <AccountType/>
      </UserInfo>
      <UserInfo>
        <DisplayName>Hillson, Isabelle (Energy Security)</DisplayName>
        <AccountId>2927</AccountId>
        <AccountType/>
      </UserInfo>
      <UserInfo>
        <DisplayName>Smithers, William (Energy Security)</DisplayName>
        <AccountId>15</AccountId>
        <AccountType/>
      </UserInfo>
      <UserInfo>
        <DisplayName>Bunte, Svenja (Energy Security)</DisplayName>
        <AccountId>5357</AccountId>
        <AccountType/>
      </UserInfo>
      <UserInfo>
        <DisplayName>Jones3, Philip (Energy Security)</DisplayName>
        <AccountId>8101</AccountId>
        <AccountType/>
      </UserInfo>
      <UserInfo>
        <DisplayName>Sarah Pettem</DisplayName>
        <AccountId>7821</AccountId>
        <AccountType/>
      </UserInfo>
      <UserInfo>
        <DisplayName>Boustead, Rebecca (Energy Security)</DisplayName>
        <AccountId>3176</AccountId>
        <AccountType/>
      </UserInfo>
      <UserInfo>
        <DisplayName>Evans, Rachael (Energy Security)</DisplayName>
        <AccountId>8412</AccountId>
        <AccountType/>
      </UserInfo>
      <UserInfo>
        <DisplayName>LeNagard, Clementine (Energy Security)</DisplayName>
        <AccountId>8741</AccountId>
        <AccountType/>
      </UserInfo>
      <UserInfo>
        <DisplayName>zz_Birkett, Joe (Energy Security)</DisplayName>
        <AccountId>8537</AccountId>
        <AccountType/>
      </UserInfo>
      <UserInfo>
        <DisplayName>Poletti, Monica (Energy Security)</DisplayName>
        <AccountId>8373</AccountId>
        <AccountType/>
      </UserInfo>
      <UserInfo>
        <DisplayName>Flanagan, Thomas (Energy Supply - Energy Affordability)</DisplayName>
        <AccountId>8834</AccountId>
        <AccountType/>
      </UserInfo>
      <UserInfo>
        <DisplayName>Evans, Jacob (Energy Security)</DisplayName>
        <AccountId>8531</AccountId>
        <AccountType/>
      </UserInfo>
      <UserInfo>
        <DisplayName>Wong2, Matthew (Energy Security)</DisplayName>
        <AccountId>8545</AccountId>
        <AccountType/>
      </UserInfo>
      <UserInfo>
        <DisplayName>zz_Haddad, Marie (Energy Security)</DisplayName>
        <AccountId>8530</AccountId>
        <AccountType/>
      </UserInfo>
      <UserInfo>
        <DisplayName>zz_Carroll, Sabrina (Energy Security)</DisplayName>
        <AccountId>8195</AccountId>
        <AccountType/>
      </UserInfo>
      <UserInfo>
        <DisplayName>Norman-Rhodes, Alex (Energy Security)</DisplayName>
        <AccountId>8102</AccountId>
        <AccountType/>
      </UserInfo>
      <UserInfo>
        <DisplayName>Connolly, Michael (Energy Security)</DisplayName>
        <AccountId>8895</AccountId>
        <AccountType/>
      </UserInfo>
      <UserInfo>
        <DisplayName>zz_Salt, Fred (NZSI - International Net Zero )</DisplayName>
        <AccountId>8544</AccountId>
        <AccountType/>
      </UserInfo>
      <UserInfo>
        <DisplayName>Parris, Francesca (Energy Security)</DisplayName>
        <AccountId>3785</AccountId>
        <AccountType/>
      </UserInfo>
      <UserInfo>
        <DisplayName>Sanyal, Sean (Energy Security)</DisplayName>
        <AccountId>8539</AccountId>
        <AccountType/>
      </UserInfo>
      <UserInfo>
        <DisplayName>Bertrand, Jeromine (Energy Security)</DisplayName>
        <AccountId>80</AccountId>
        <AccountType/>
      </UserInfo>
      <UserInfo>
        <DisplayName>Apine, Alina (Energy Security)</DisplayName>
        <AccountId>4968</AccountId>
        <AccountType/>
      </UserInfo>
      <UserInfo>
        <DisplayName>Hampton-Ball, Simon (Energy Security)</DisplayName>
        <AccountId>53</AccountId>
        <AccountType/>
      </UserInfo>
      <UserInfo>
        <DisplayName>zz_Wastie, Tayah (Energy Security)</DisplayName>
        <AccountId>8372</AccountId>
        <AccountType/>
      </UserInfo>
      <UserInfo>
        <DisplayName>zz_Rodriguez, Poppy (Energy Security)</DisplayName>
        <AccountId>9126</AccountId>
        <AccountType/>
      </UserInfo>
      <UserInfo>
        <DisplayName>Livesey, Renee (Energy Security)</DisplayName>
        <AccountId>306</AccountId>
        <AccountType/>
      </UserInfo>
      <UserInfo>
        <DisplayName>Shipley, Chris (Energy Security)</DisplayName>
        <AccountId>68</AccountId>
        <AccountType/>
      </UserInfo>
      <UserInfo>
        <DisplayName>Bennett, Victoria (Energy Security)</DisplayName>
        <AccountId>9902</AccountId>
        <AccountType/>
      </UserInfo>
      <UserInfo>
        <DisplayName>Stringer, Fiona (Energy Security)</DisplayName>
        <AccountId>99</AccountId>
        <AccountType/>
      </UserInfo>
      <UserInfo>
        <DisplayName>Situ, Victoria (Energy Security)</DisplayName>
        <AccountId>183</AccountId>
        <AccountType/>
      </UserInfo>
      <UserInfo>
        <DisplayName>Mohammadpour, Parmida (Energy Security)</DisplayName>
        <AccountId>9464</AccountId>
        <AccountType/>
      </UserInfo>
      <UserInfo>
        <DisplayName>Walker, Joe (Energy Security)</DisplayName>
        <AccountId>10364</AccountId>
        <AccountType/>
      </UserInfo>
      <UserInfo>
        <DisplayName>Raichoora, Ravi (Energy Security)</DisplayName>
        <AccountId>10201</AccountId>
        <AccountType/>
      </UserInfo>
      <UserInfo>
        <DisplayName>Firth, Rosalind (Energy Security)</DisplayName>
        <AccountId>11555</AccountId>
        <AccountType/>
      </UserInfo>
      <UserInfo>
        <DisplayName>Catton, Ryan (Energy Security)</DisplayName>
        <AccountId>10905</AccountId>
        <AccountType/>
      </UserInfo>
      <UserInfo>
        <DisplayName>Biddle, Harry (Topps - Analysis Directorate)</DisplayName>
        <AccountId>10842</AccountId>
        <AccountType/>
      </UserInfo>
    </SharedWithUsers>
    <lcf76f155ced4ddcb4097134ff3c332f xmlns="b3d83fe4-f584-44c1-ada4-cced241b61b0">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2.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3.xml><?xml version="1.0" encoding="utf-8"?>
<ds:datastoreItem xmlns:ds="http://schemas.openxmlformats.org/officeDocument/2006/customXml" ds:itemID="{EE163672-F265-4D88-BAE5-C30B50689CF9}"/>
</file>

<file path=customXml/itemProps4.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839018be-1fd5-46c8-bb5f-8e5f297ce001"/>
    <ds:schemaRef ds:uri="b3d83fe4-f584-44c1-ada4-cced241b61b0"/>
    <ds:schemaRef ds:uri="0f9fa326-da26-4ea8-b6a9-645e8136fe1d"/>
  </ds:schemaRefs>
</ds:datastoreItem>
</file>

<file path=customXml/itemProps5.xml><?xml version="1.0" encoding="utf-8"?>
<ds:datastoreItem xmlns:ds="http://schemas.openxmlformats.org/officeDocument/2006/customXml" ds:itemID="{49948BD2-19FB-4A1A-9F04-1E661C4B97AC}">
  <ds:schemaRefs>
    <ds:schemaRef ds:uri="http://schemas.microsoft.com/sharepoint/event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 id="{e7c92da8-516f-407c-b6fd-575b3af06b0c}" enabled="1" method="Privileged" siteId="{d3a2d0d3-7cc8-4f52-bbf9-85bd43d942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Graydon, Jessica (Energy Security)</cp:lastModifiedBy>
  <cp:revision>1973</cp:revision>
  <dcterms:created xsi:type="dcterms:W3CDTF">2024-10-09T09:11:00Z</dcterms:created>
  <dcterms:modified xsi:type="dcterms:W3CDTF">2025-12-17T14:13:36Z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0x0101004691A8DE0991884F8E90AD6474FC737301002EDB4F82A4FD31439328CBC569C1149B</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_dlc_DocIdItemGuid">
    <vt:lpwstr>92077b9b-fb9c-4855-8589-863293cc0087</vt:lpwstr>
  </property>
  <property fmtid="{D5CDD505-2E9C-101B-9397-08002B2CF9AE}" pid="21" name="Business_x0020_Unit">
    <vt:lpwstr>1;#International Climate Finance|25a07eec-082c-4868-be05-2bef48a6767e</vt:lpwstr>
  </property>
  <property fmtid="{D5CDD505-2E9C-101B-9397-08002B2CF9AE}" pid="22" name="KIM_Activity">
    <vt:lpwstr>2;#International Climate and Energy,|8ce3479e-0228-4d4b-8382-a951e8f3cec1</vt:lpwstr>
  </property>
  <property fmtid="{D5CDD505-2E9C-101B-9397-08002B2CF9AE}" pid="23" name="KIM_GovernmentBody">
    <vt:lpwstr>3;#BEIS|b386cac2-c28c-4db4-8fca-43733d0e74ef</vt:lpwstr>
  </property>
  <property fmtid="{D5CDD505-2E9C-101B-9397-08002B2CF9AE}" pid="24" name="KIM_Function">
    <vt:lpwstr>1;#Energy and Climate|67dfd3db-8e6c-4d42-96c1-aed1098cd89b</vt:lpwstr>
  </property>
  <property fmtid="{D5CDD505-2E9C-101B-9397-08002B2CF9AE}" pid="25" name="ClassificationContentMarkingHeaderShapeIds">
    <vt:lpwstr>7d50e880,6d215874,258f058c</vt:lpwstr>
  </property>
  <property fmtid="{D5CDD505-2E9C-101B-9397-08002B2CF9AE}" pid="26" name="ClassificationContentMarkingHeaderFontProps">
    <vt:lpwstr>#000000,10,Calibri</vt:lpwstr>
  </property>
  <property fmtid="{D5CDD505-2E9C-101B-9397-08002B2CF9AE}" pid="27" name="ClassificationContentMarkingHeaderText">
    <vt:lpwstr>UK OFFICIAL</vt:lpwstr>
  </property>
  <property fmtid="{D5CDD505-2E9C-101B-9397-08002B2CF9AE}" pid="28" name="ClassificationContentMarkingFooterShapeIds">
    <vt:lpwstr>54e80413,1e9ce39f,226b5cd5</vt:lpwstr>
  </property>
  <property fmtid="{D5CDD505-2E9C-101B-9397-08002B2CF9AE}" pid="29" name="ClassificationContentMarkingFooterFontProps">
    <vt:lpwstr>#000000,10,Calibri</vt:lpwstr>
  </property>
  <property fmtid="{D5CDD505-2E9C-101B-9397-08002B2CF9AE}" pid="30" name="ClassificationContentMarkingFooterText">
    <vt:lpwstr>UK OFFICIAL</vt:lpwstr>
  </property>
  <property fmtid="{D5CDD505-2E9C-101B-9397-08002B2CF9AE}" pid="31" name="docLang">
    <vt:lpwstr>en</vt:lpwstr>
  </property>
</Properties>
</file>