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Blank"/>
        <w:tblpPr w:leftFromText="142" w:rightFromText="142" w:horzAnchor="margin" w:tblpXSpec="right" w:tblpYSpec="bottom"/>
        <w:tblW w:w="4958" w:type="pct"/>
        <w:tblLayout w:type="fixed"/>
        <w:tblLook w:val="04A0" w:firstRow="1" w:lastRow="0" w:firstColumn="1" w:lastColumn="0" w:noHBand="0" w:noVBand="1"/>
      </w:tblPr>
      <w:tblGrid>
        <w:gridCol w:w="8950"/>
      </w:tblGrid>
      <w:tr w:rsidR="009D16B9" w:rsidRPr="00554B41" w14:paraId="046CF823" w14:textId="77777777" w:rsidTr="00BF64D2">
        <w:trPr>
          <w:cantSplit/>
          <w:trHeight w:val="283"/>
        </w:trPr>
        <w:tc>
          <w:tcPr>
            <w:tcW w:w="8950" w:type="dxa"/>
          </w:tcPr>
          <w:bookmarkStart w:id="0" w:name="_Hlk104298566"/>
          <w:p w14:paraId="32F88E04" w14:textId="2916A3BF" w:rsidR="009D16B9" w:rsidRPr="00554B41" w:rsidRDefault="00F36BE2">
            <w:pPr>
              <w:pStyle w:val="Cover-Date"/>
            </w:pPr>
            <w:sdt>
              <w:sdtPr>
                <w:rPr>
                  <w:rStyle w:val="Cover-DateChar"/>
                </w:rPr>
                <w:tag w:val="l_date"/>
                <w:id w:val="-471682309"/>
                <w:placeholder>
                  <w:docPart w:val="F342B4D47C6E4AA987EDA78CA892E5E3"/>
                </w:placeholder>
                <w:dataBinding w:prefixMappings="xmlns:ns0='http://niras/templates/labels' " w:xpath="/ns0:labels[1]/ns0:Date[1]" w:storeItemID="{A7E9DC5A-3E65-439A-8E20-A9CAA6A46846}"/>
                <w:text/>
              </w:sdtPr>
              <w:sdtContent>
                <w:r w:rsidR="009D16B9" w:rsidRPr="00554B41">
                  <w:rPr>
                    <w:rStyle w:val="Cover-DateChar"/>
                  </w:rPr>
                  <w:t>Date</w:t>
                </w:r>
              </w:sdtContent>
            </w:sdt>
            <w:r w:rsidR="009D16B9" w:rsidRPr="00554B41">
              <w:t xml:space="preserve">: </w:t>
            </w:r>
            <w:r w:rsidR="009D16B9" w:rsidRPr="00554B41">
              <w:rPr>
                <w:rStyle w:val="Cover-DateChar"/>
              </w:rPr>
              <w:t>Ju</w:t>
            </w:r>
            <w:r w:rsidR="0D333284" w:rsidRPr="00554B41">
              <w:rPr>
                <w:rStyle w:val="Cover-DateChar"/>
              </w:rPr>
              <w:t>ly</w:t>
            </w:r>
            <w:r w:rsidR="009D16B9" w:rsidRPr="00554B41">
              <w:rPr>
                <w:rStyle w:val="Cover-DateChar"/>
              </w:rPr>
              <w:t xml:space="preserve"> 2025</w:t>
            </w:r>
          </w:p>
        </w:tc>
      </w:tr>
    </w:tbl>
    <w:p w14:paraId="63781188" w14:textId="116B7A80" w:rsidR="009D16B9" w:rsidRPr="00554B41" w:rsidRDefault="00BF64D2" w:rsidP="009D16B9">
      <w:pPr>
        <w:pStyle w:val="Template-N"/>
      </w:pPr>
      <w:r w:rsidRPr="00554B41">
        <w:rPr>
          <w:noProof/>
        </w:rPr>
        <w:drawing>
          <wp:anchor distT="0" distB="0" distL="114300" distR="114300" simplePos="0" relativeHeight="251658245" behindDoc="0" locked="0" layoutInCell="1" allowOverlap="1" wp14:anchorId="63474AAD" wp14:editId="064E46FD">
            <wp:simplePos x="0" y="0"/>
            <wp:positionH relativeFrom="column">
              <wp:posOffset>-914400</wp:posOffset>
            </wp:positionH>
            <wp:positionV relativeFrom="paragraph">
              <wp:posOffset>43180</wp:posOffset>
            </wp:positionV>
            <wp:extent cx="9352229" cy="5129857"/>
            <wp:effectExtent l="0" t="0" r="9525" b="0"/>
            <wp:wrapTopAndBottom/>
            <wp:docPr id="4" name="Picture 4" descr="A dirt road through a forest&#10;&#10;AI-generated content may be incorrect."/>
            <wp:cNvGraphicFramePr/>
            <a:graphic xmlns:a="http://schemas.openxmlformats.org/drawingml/2006/main">
              <a:graphicData uri="http://schemas.openxmlformats.org/drawingml/2006/picture">
                <pic:pic xmlns:pic="http://schemas.openxmlformats.org/drawingml/2006/picture">
                  <pic:nvPicPr>
                    <pic:cNvPr id="4" name="Picture 4" descr="A dirt road through a forest&#10;&#10;AI-generated content may be incorrect."/>
                    <pic:cNvPicPr/>
                  </pic:nvPicPr>
                  <pic:blipFill>
                    <a:blip r:embed="rId19"/>
                    <a:srcRect t="12204" b="12204"/>
                    <a:stretch>
                      <a:fillRect/>
                    </a:stretch>
                  </pic:blipFill>
                  <pic:spPr bwMode="auto">
                    <a:xfrm>
                      <a:off x="0" y="0"/>
                      <a:ext cx="9352229" cy="51298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16B9" w:rsidRPr="00554B41">
        <w:rPr>
          <w:noProof/>
        </w:rPr>
        <mc:AlternateContent>
          <mc:Choice Requires="wps">
            <w:drawing>
              <wp:anchor distT="0" distB="0" distL="114300" distR="114300" simplePos="0" relativeHeight="251658244" behindDoc="1" locked="1" layoutInCell="1" allowOverlap="1" wp14:anchorId="10457ECD" wp14:editId="662075A6">
                <wp:simplePos x="0" y="0"/>
                <wp:positionH relativeFrom="page">
                  <wp:align>left</wp:align>
                </wp:positionH>
                <wp:positionV relativeFrom="page">
                  <wp:posOffset>1224280</wp:posOffset>
                </wp:positionV>
                <wp:extent cx="7560000" cy="5112000"/>
                <wp:effectExtent l="0" t="0" r="3175" b="0"/>
                <wp:wrapNone/>
                <wp:docPr id="14"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5112000"/>
                        </a:xfrm>
                        <a:prstGeom prst="rect">
                          <a:avLst/>
                        </a:prstGeom>
                        <a:blipFill>
                          <a:blip r:embed="rId20"/>
                          <a:stretch>
                            <a:fillRect t="-706" r="-420" b="-1510"/>
                          </a:stretch>
                        </a:blipFill>
                        <a:ln w="12700"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562C8B5">
              <v:rect id="Rectangle 14" style="position:absolute;margin-left:0;margin-top:96.4pt;width:595.3pt;height:402.5pt;z-index:-25165823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spid="_x0000_s1026" stroked="f" strokeweight="1pt" w14:anchorId="228C4EA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">
                <v:fill type="frame" o:title="" recolor="t" rotate="t" r:id="rId21"/>
                <o:lock v:ext="edit" aspectratio="t"/>
                <v:textbox inset="0,0,0,0"/>
                <w10:wrap anchorx="page" anchory="page"/>
                <w10:anchorlock/>
              </v:rect>
            </w:pict>
          </mc:Fallback>
        </mc:AlternateContent>
      </w:r>
    </w:p>
    <w:tbl>
      <w:tblPr>
        <w:tblStyle w:val="Blank"/>
        <w:tblpPr w:leftFromText="142" w:rightFromText="142" w:horzAnchor="margin" w:tblpXSpec="right" w:tblpYSpec="bottom"/>
        <w:tblW w:w="5507" w:type="pct"/>
        <w:tblLayout w:type="fixed"/>
        <w:tblLook w:val="04A0" w:firstRow="1" w:lastRow="0" w:firstColumn="1" w:lastColumn="0" w:noHBand="0" w:noVBand="1"/>
      </w:tblPr>
      <w:tblGrid>
        <w:gridCol w:w="5503"/>
        <w:gridCol w:w="4438"/>
      </w:tblGrid>
      <w:tr w:rsidR="008C4581" w:rsidRPr="00554B41" w14:paraId="3E8C459D" w14:textId="77777777" w:rsidTr="008C4581">
        <w:trPr>
          <w:cantSplit/>
          <w:trHeight w:val="1304"/>
        </w:trPr>
        <w:tc>
          <w:tcPr>
            <w:tcW w:w="9942" w:type="dxa"/>
            <w:gridSpan w:val="2"/>
            <w:vAlign w:val="bottom"/>
          </w:tcPr>
          <w:p w14:paraId="421BC61E" w14:textId="07546D5B" w:rsidR="008C4581" w:rsidRPr="00554B41" w:rsidRDefault="008C4581" w:rsidP="00F1116B">
            <w:pPr>
              <w:pStyle w:val="Cover-Title"/>
              <w:spacing w:line="600" w:lineRule="exact"/>
              <w:rPr>
                <w:sz w:val="32"/>
                <w:szCs w:val="32"/>
              </w:rPr>
            </w:pPr>
            <w:r w:rsidRPr="00554B41">
              <w:rPr>
                <w:rStyle w:val="Cover-TitleChar"/>
                <w:sz w:val="40"/>
                <w:szCs w:val="40"/>
              </w:rPr>
              <w:t>Independent Learning and Evaluation of the Effectiveness of the UK’s Support to Climate Vulnerable Country Negotiating Groups in International Climate Negotiations</w:t>
            </w:r>
          </w:p>
        </w:tc>
      </w:tr>
      <w:tr w:rsidR="008C4581" w:rsidRPr="00554B41" w14:paraId="1E7C9241" w14:textId="77777777" w:rsidTr="008C4581">
        <w:trPr>
          <w:cantSplit/>
          <w:trHeight w:hRule="exact" w:val="113"/>
        </w:trPr>
        <w:tc>
          <w:tcPr>
            <w:tcW w:w="5504" w:type="dxa"/>
          </w:tcPr>
          <w:p w14:paraId="26577446" w14:textId="77777777" w:rsidR="008C4581" w:rsidRPr="00554B41" w:rsidRDefault="008C4581">
            <w:pPr>
              <w:pStyle w:val="Cover-Title"/>
            </w:pPr>
          </w:p>
        </w:tc>
        <w:tc>
          <w:tcPr>
            <w:tcW w:w="4438" w:type="dxa"/>
            <w:shd w:val="clear" w:color="auto" w:fill="282829"/>
          </w:tcPr>
          <w:p w14:paraId="04146BEA" w14:textId="77777777" w:rsidR="008C4581" w:rsidRPr="00554B41" w:rsidRDefault="008C4581">
            <w:pPr>
              <w:pStyle w:val="Cover-Title"/>
            </w:pPr>
          </w:p>
        </w:tc>
      </w:tr>
      <w:tr w:rsidR="008C4581" w:rsidRPr="00554B41" w14:paraId="1CA45262" w14:textId="77777777" w:rsidTr="008C4581">
        <w:trPr>
          <w:cantSplit/>
          <w:trHeight w:hRule="exact" w:val="227"/>
        </w:trPr>
        <w:tc>
          <w:tcPr>
            <w:tcW w:w="9942" w:type="dxa"/>
            <w:gridSpan w:val="2"/>
          </w:tcPr>
          <w:p w14:paraId="2C037B77" w14:textId="77777777" w:rsidR="008C4581" w:rsidRPr="00554B41" w:rsidRDefault="008C4581">
            <w:pPr>
              <w:pStyle w:val="Cover-Title"/>
            </w:pPr>
          </w:p>
        </w:tc>
      </w:tr>
      <w:tr w:rsidR="008C4581" w:rsidRPr="00554B41" w14:paraId="02DB2C11" w14:textId="77777777" w:rsidTr="008C4581">
        <w:trPr>
          <w:cantSplit/>
          <w:trHeight w:val="1496"/>
        </w:trPr>
        <w:tc>
          <w:tcPr>
            <w:tcW w:w="9942" w:type="dxa"/>
            <w:gridSpan w:val="2"/>
          </w:tcPr>
          <w:p w14:paraId="718934BA" w14:textId="004F286B" w:rsidR="008C4581" w:rsidRPr="00554B41" w:rsidRDefault="008C4581">
            <w:pPr>
              <w:pStyle w:val="Cover-Subtitle"/>
              <w:rPr>
                <w:rStyle w:val="Cover-SubtitleChar"/>
              </w:rPr>
            </w:pPr>
            <w:r w:rsidRPr="00554B41">
              <w:rPr>
                <w:rStyle w:val="Cover-SubtitleChar"/>
              </w:rPr>
              <w:t>Final Evaluation of the CASA II programme 2023</w:t>
            </w:r>
            <w:r w:rsidR="00CE5680" w:rsidRPr="00554B41">
              <w:rPr>
                <w:rStyle w:val="Cover-SubtitleChar"/>
              </w:rPr>
              <w:t>–</w:t>
            </w:r>
            <w:r w:rsidRPr="00554B41">
              <w:rPr>
                <w:rStyle w:val="Cover-SubtitleChar"/>
              </w:rPr>
              <w:t>25</w:t>
            </w:r>
            <w:r w:rsidR="00CE5680" w:rsidRPr="00554B41">
              <w:rPr>
                <w:rStyle w:val="Cover-SubtitleChar"/>
              </w:rPr>
              <w:t>:</w:t>
            </w:r>
          </w:p>
          <w:p w14:paraId="66F93E62" w14:textId="6D87E139" w:rsidR="001A29D4" w:rsidRPr="00554B41" w:rsidRDefault="001A29D4">
            <w:pPr>
              <w:pStyle w:val="Cover-Subtitle"/>
            </w:pPr>
            <w:r w:rsidRPr="00554B41">
              <w:rPr>
                <w:rStyle w:val="Cover-SubtitleChar"/>
              </w:rPr>
              <w:t>Case</w:t>
            </w:r>
            <w:r w:rsidR="00C75DA0" w:rsidRPr="00554B41">
              <w:rPr>
                <w:rStyle w:val="Cover-SubtitleChar"/>
              </w:rPr>
              <w:t xml:space="preserve"> Studies</w:t>
            </w:r>
            <w:r w:rsidRPr="00554B41">
              <w:rPr>
                <w:rStyle w:val="Cover-SubtitleChar"/>
              </w:rPr>
              <w:t xml:space="preserve">  </w:t>
            </w:r>
          </w:p>
        </w:tc>
      </w:tr>
      <w:tr w:rsidR="008C4581" w:rsidRPr="00554B41" w14:paraId="159B1BD6" w14:textId="77777777" w:rsidTr="008C4581">
        <w:trPr>
          <w:cantSplit/>
          <w:trHeight w:val="567"/>
        </w:trPr>
        <w:tc>
          <w:tcPr>
            <w:tcW w:w="9942" w:type="dxa"/>
            <w:gridSpan w:val="2"/>
          </w:tcPr>
          <w:p w14:paraId="2D364252" w14:textId="77777777" w:rsidR="008C4581" w:rsidRPr="00554B41" w:rsidRDefault="008C4581">
            <w:pPr>
              <w:pStyle w:val="Cover-Text"/>
              <w:rPr>
                <w:b/>
                <w:bCs/>
              </w:rPr>
            </w:pPr>
            <w:r w:rsidRPr="00554B41">
              <w:rPr>
                <w:rStyle w:val="Cover-TextChar"/>
                <w:b/>
                <w:bCs/>
              </w:rPr>
              <w:t>DESNZ</w:t>
            </w:r>
          </w:p>
        </w:tc>
      </w:tr>
      <w:tr w:rsidR="008C4581" w:rsidRPr="00554B41" w14:paraId="3E763835" w14:textId="77777777" w:rsidTr="008C4581">
        <w:trPr>
          <w:cantSplit/>
          <w:trHeight w:val="283"/>
        </w:trPr>
        <w:tc>
          <w:tcPr>
            <w:tcW w:w="9942" w:type="dxa"/>
            <w:gridSpan w:val="2"/>
          </w:tcPr>
          <w:p w14:paraId="7A879544" w14:textId="2FD0DB9B" w:rsidR="008C4581" w:rsidRPr="00554B41" w:rsidRDefault="008C4581">
            <w:pPr>
              <w:pStyle w:val="Cover-Date"/>
            </w:pPr>
          </w:p>
        </w:tc>
      </w:tr>
    </w:tbl>
    <w:p w14:paraId="1B6A42A7" w14:textId="2745F95A" w:rsidR="00F23A45" w:rsidRPr="00554B41" w:rsidRDefault="00F23A45" w:rsidP="008F35BF">
      <w:pPr>
        <w:pStyle w:val="Template-N"/>
      </w:pPr>
    </w:p>
    <w:bookmarkEnd w:id="0" w:displacedByCustomXml="next"/>
    <w:bookmarkStart w:id="1" w:name="_Toc200119896" w:displacedByCustomXml="next"/>
    <w:sdt>
      <w:sdtPr>
        <w:rPr>
          <w:rFonts w:ascii="Segoe UI" w:eastAsiaTheme="minorEastAsia" w:hAnsi="Segoe UI" w:cstheme="minorBidi"/>
          <w:sz w:val="20"/>
          <w:szCs w:val="20"/>
        </w:rPr>
        <w:id w:val="1160963953"/>
        <w:docPartObj>
          <w:docPartGallery w:val="Table of Contents"/>
          <w:docPartUnique/>
        </w:docPartObj>
      </w:sdtPr>
      <w:sdtEndPr>
        <w:rPr>
          <w:b/>
          <w:bCs/>
        </w:rPr>
      </w:sdtEndPr>
      <w:sdtContent>
        <w:p w14:paraId="19B31D87" w14:textId="4DFA9E58" w:rsidR="008A4D4C" w:rsidRPr="00554B41" w:rsidRDefault="008A4D4C" w:rsidP="004E34DB">
          <w:pPr>
            <w:pStyle w:val="TOCHeading"/>
            <w:spacing w:after="720"/>
          </w:pPr>
          <w:r w:rsidRPr="00554B41">
            <w:t>Contents</w:t>
          </w:r>
        </w:p>
        <w:p w14:paraId="4055A4C8" w14:textId="3AC2FF33" w:rsidR="00776E8D" w:rsidRDefault="008A4D4C">
          <w:pPr>
            <w:pStyle w:val="TOC1"/>
            <w:rPr>
              <w:rFonts w:asciiTheme="minorHAnsi" w:eastAsiaTheme="minorEastAsia" w:hAnsiTheme="minorHAnsi"/>
              <w:b w:val="0"/>
              <w:noProof/>
              <w:kern w:val="2"/>
              <w:sz w:val="24"/>
              <w:szCs w:val="24"/>
              <w:lang w:eastAsia="en-GB"/>
              <w14:ligatures w14:val="standardContextual"/>
            </w:rPr>
          </w:pPr>
          <w:r w:rsidRPr="00554B41">
            <w:fldChar w:fldCharType="begin"/>
          </w:r>
          <w:r w:rsidRPr="00554B41">
            <w:instrText xml:space="preserve"> TOC \o "1-3" \h \z \u </w:instrText>
          </w:r>
          <w:r w:rsidRPr="00554B41">
            <w:fldChar w:fldCharType="separate"/>
          </w:r>
          <w:hyperlink w:anchor="_Toc204967820" w:history="1">
            <w:r w:rsidR="00776E8D" w:rsidRPr="00132766">
              <w:rPr>
                <w:rStyle w:val="Hyperlink"/>
                <w:noProof/>
              </w:rPr>
              <w:t>1.</w:t>
            </w:r>
            <w:r w:rsidR="00776E8D">
              <w:rPr>
                <w:rFonts w:asciiTheme="minorHAnsi" w:eastAsiaTheme="minorEastAsia" w:hAnsiTheme="minorHAnsi"/>
                <w:b w:val="0"/>
                <w:noProof/>
                <w:kern w:val="2"/>
                <w:sz w:val="24"/>
                <w:szCs w:val="24"/>
                <w:lang w:eastAsia="en-GB"/>
                <w14:ligatures w14:val="standardContextual"/>
              </w:rPr>
              <w:tab/>
            </w:r>
            <w:r w:rsidR="00776E8D" w:rsidRPr="00132766">
              <w:rPr>
                <w:rStyle w:val="Hyperlink"/>
                <w:noProof/>
              </w:rPr>
              <w:t>Case study 1: Least Developed Countries (LDC) Group</w:t>
            </w:r>
            <w:r w:rsidR="00776E8D">
              <w:rPr>
                <w:noProof/>
                <w:webHidden/>
              </w:rPr>
              <w:tab/>
            </w:r>
            <w:r w:rsidR="00776E8D">
              <w:rPr>
                <w:noProof/>
                <w:webHidden/>
              </w:rPr>
              <w:fldChar w:fldCharType="begin"/>
            </w:r>
            <w:r w:rsidR="00776E8D">
              <w:rPr>
                <w:noProof/>
                <w:webHidden/>
              </w:rPr>
              <w:instrText xml:space="preserve"> PAGEREF _Toc204967820 \h </w:instrText>
            </w:r>
            <w:r w:rsidR="00776E8D">
              <w:rPr>
                <w:noProof/>
                <w:webHidden/>
              </w:rPr>
            </w:r>
            <w:r w:rsidR="00776E8D">
              <w:rPr>
                <w:noProof/>
                <w:webHidden/>
              </w:rPr>
              <w:fldChar w:fldCharType="separate"/>
            </w:r>
            <w:r w:rsidR="00776E8D">
              <w:rPr>
                <w:noProof/>
                <w:webHidden/>
              </w:rPr>
              <w:t>7</w:t>
            </w:r>
            <w:r w:rsidR="00776E8D">
              <w:rPr>
                <w:noProof/>
                <w:webHidden/>
              </w:rPr>
              <w:fldChar w:fldCharType="end"/>
            </w:r>
          </w:hyperlink>
        </w:p>
        <w:p w14:paraId="309F51AB" w14:textId="56EE6133"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21" w:history="1">
            <w:r w:rsidRPr="00132766">
              <w:rPr>
                <w:rStyle w:val="Hyperlink"/>
                <w:noProof/>
              </w:rPr>
              <w:t>1.1</w:t>
            </w:r>
            <w:r>
              <w:rPr>
                <w:rFonts w:asciiTheme="minorHAnsi" w:eastAsiaTheme="minorEastAsia" w:hAnsiTheme="minorHAnsi"/>
                <w:noProof/>
                <w:kern w:val="2"/>
                <w:sz w:val="24"/>
                <w:szCs w:val="24"/>
                <w:lang w:eastAsia="en-GB"/>
                <w14:ligatures w14:val="standardContextual"/>
              </w:rPr>
              <w:tab/>
            </w:r>
            <w:r w:rsidRPr="00132766">
              <w:rPr>
                <w:rStyle w:val="Hyperlink"/>
                <w:noProof/>
              </w:rPr>
              <w:t>Summary of CASA II contribution</w:t>
            </w:r>
            <w:r>
              <w:rPr>
                <w:noProof/>
                <w:webHidden/>
              </w:rPr>
              <w:tab/>
            </w:r>
            <w:r>
              <w:rPr>
                <w:noProof/>
                <w:webHidden/>
              </w:rPr>
              <w:fldChar w:fldCharType="begin"/>
            </w:r>
            <w:r>
              <w:rPr>
                <w:noProof/>
                <w:webHidden/>
              </w:rPr>
              <w:instrText xml:space="preserve"> PAGEREF _Toc204967821 \h </w:instrText>
            </w:r>
            <w:r>
              <w:rPr>
                <w:noProof/>
                <w:webHidden/>
              </w:rPr>
            </w:r>
            <w:r>
              <w:rPr>
                <w:noProof/>
                <w:webHidden/>
              </w:rPr>
              <w:fldChar w:fldCharType="separate"/>
            </w:r>
            <w:r>
              <w:rPr>
                <w:noProof/>
                <w:webHidden/>
              </w:rPr>
              <w:t>7</w:t>
            </w:r>
            <w:r>
              <w:rPr>
                <w:noProof/>
                <w:webHidden/>
              </w:rPr>
              <w:fldChar w:fldCharType="end"/>
            </w:r>
          </w:hyperlink>
        </w:p>
        <w:p w14:paraId="6B0CCBC2" w14:textId="19EB181E"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22" w:history="1">
            <w:r w:rsidRPr="00132766">
              <w:rPr>
                <w:rStyle w:val="Hyperlink"/>
                <w:noProof/>
              </w:rPr>
              <w:t>1.2</w:t>
            </w:r>
            <w:r>
              <w:rPr>
                <w:rFonts w:asciiTheme="minorHAnsi" w:eastAsiaTheme="minorEastAsia" w:hAnsiTheme="minorHAnsi"/>
                <w:noProof/>
                <w:kern w:val="2"/>
                <w:sz w:val="24"/>
                <w:szCs w:val="24"/>
                <w:lang w:eastAsia="en-GB"/>
                <w14:ligatures w14:val="standardContextual"/>
              </w:rPr>
              <w:tab/>
            </w:r>
            <w:r w:rsidRPr="00132766">
              <w:rPr>
                <w:rStyle w:val="Hyperlink"/>
                <w:noProof/>
              </w:rPr>
              <w:t>Summary of the contribution of other actors and factors</w:t>
            </w:r>
            <w:r>
              <w:rPr>
                <w:noProof/>
                <w:webHidden/>
              </w:rPr>
              <w:tab/>
            </w:r>
            <w:r>
              <w:rPr>
                <w:noProof/>
                <w:webHidden/>
              </w:rPr>
              <w:fldChar w:fldCharType="begin"/>
            </w:r>
            <w:r>
              <w:rPr>
                <w:noProof/>
                <w:webHidden/>
              </w:rPr>
              <w:instrText xml:space="preserve"> PAGEREF _Toc204967822 \h </w:instrText>
            </w:r>
            <w:r>
              <w:rPr>
                <w:noProof/>
                <w:webHidden/>
              </w:rPr>
            </w:r>
            <w:r>
              <w:rPr>
                <w:noProof/>
                <w:webHidden/>
              </w:rPr>
              <w:fldChar w:fldCharType="separate"/>
            </w:r>
            <w:r>
              <w:rPr>
                <w:noProof/>
                <w:webHidden/>
              </w:rPr>
              <w:t>7</w:t>
            </w:r>
            <w:r>
              <w:rPr>
                <w:noProof/>
                <w:webHidden/>
              </w:rPr>
              <w:fldChar w:fldCharType="end"/>
            </w:r>
          </w:hyperlink>
        </w:p>
        <w:p w14:paraId="64F1CBFB" w14:textId="50703268"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23" w:history="1">
            <w:r w:rsidRPr="00132766">
              <w:rPr>
                <w:rStyle w:val="Hyperlink"/>
                <w:noProof/>
              </w:rPr>
              <w:t>1.3</w:t>
            </w:r>
            <w:r>
              <w:rPr>
                <w:rFonts w:asciiTheme="minorHAnsi" w:eastAsiaTheme="minorEastAsia" w:hAnsiTheme="minorHAnsi"/>
                <w:noProof/>
                <w:kern w:val="2"/>
                <w:sz w:val="24"/>
                <w:szCs w:val="24"/>
                <w:lang w:eastAsia="en-GB"/>
                <w14:ligatures w14:val="standardContextual"/>
              </w:rPr>
              <w:tab/>
            </w:r>
            <w:r w:rsidRPr="00132766">
              <w:rPr>
                <w:rStyle w:val="Hyperlink"/>
                <w:noProof/>
              </w:rPr>
              <w:t>Geographic and temporal context</w:t>
            </w:r>
            <w:r>
              <w:rPr>
                <w:noProof/>
                <w:webHidden/>
              </w:rPr>
              <w:tab/>
            </w:r>
            <w:r>
              <w:rPr>
                <w:noProof/>
                <w:webHidden/>
              </w:rPr>
              <w:fldChar w:fldCharType="begin"/>
            </w:r>
            <w:r>
              <w:rPr>
                <w:noProof/>
                <w:webHidden/>
              </w:rPr>
              <w:instrText xml:space="preserve"> PAGEREF _Toc204967823 \h </w:instrText>
            </w:r>
            <w:r>
              <w:rPr>
                <w:noProof/>
                <w:webHidden/>
              </w:rPr>
            </w:r>
            <w:r>
              <w:rPr>
                <w:noProof/>
                <w:webHidden/>
              </w:rPr>
              <w:fldChar w:fldCharType="separate"/>
            </w:r>
            <w:r>
              <w:rPr>
                <w:noProof/>
                <w:webHidden/>
              </w:rPr>
              <w:t>8</w:t>
            </w:r>
            <w:r>
              <w:rPr>
                <w:noProof/>
                <w:webHidden/>
              </w:rPr>
              <w:fldChar w:fldCharType="end"/>
            </w:r>
          </w:hyperlink>
        </w:p>
        <w:p w14:paraId="2B2B5BCA" w14:textId="7B2495B4"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24" w:history="1">
            <w:r w:rsidRPr="00132766">
              <w:rPr>
                <w:rStyle w:val="Hyperlink"/>
                <w:noProof/>
              </w:rPr>
              <w:t>1.4</w:t>
            </w:r>
            <w:r>
              <w:rPr>
                <w:rFonts w:asciiTheme="minorHAnsi" w:eastAsiaTheme="minorEastAsia" w:hAnsiTheme="minorHAnsi"/>
                <w:noProof/>
                <w:kern w:val="2"/>
                <w:sz w:val="24"/>
                <w:szCs w:val="24"/>
                <w:lang w:eastAsia="en-GB"/>
                <w14:ligatures w14:val="standardContextual"/>
              </w:rPr>
              <w:tab/>
            </w:r>
            <w:r w:rsidRPr="00132766">
              <w:rPr>
                <w:rStyle w:val="Hyperlink"/>
                <w:noProof/>
              </w:rPr>
              <w:t>What did the LDC Group do?</w:t>
            </w:r>
            <w:r>
              <w:rPr>
                <w:noProof/>
                <w:webHidden/>
              </w:rPr>
              <w:tab/>
            </w:r>
            <w:r>
              <w:rPr>
                <w:noProof/>
                <w:webHidden/>
              </w:rPr>
              <w:fldChar w:fldCharType="begin"/>
            </w:r>
            <w:r>
              <w:rPr>
                <w:noProof/>
                <w:webHidden/>
              </w:rPr>
              <w:instrText xml:space="preserve"> PAGEREF _Toc204967824 \h </w:instrText>
            </w:r>
            <w:r>
              <w:rPr>
                <w:noProof/>
                <w:webHidden/>
              </w:rPr>
            </w:r>
            <w:r>
              <w:rPr>
                <w:noProof/>
                <w:webHidden/>
              </w:rPr>
              <w:fldChar w:fldCharType="separate"/>
            </w:r>
            <w:r>
              <w:rPr>
                <w:noProof/>
                <w:webHidden/>
              </w:rPr>
              <w:t>9</w:t>
            </w:r>
            <w:r>
              <w:rPr>
                <w:noProof/>
                <w:webHidden/>
              </w:rPr>
              <w:fldChar w:fldCharType="end"/>
            </w:r>
          </w:hyperlink>
        </w:p>
        <w:p w14:paraId="396D14AC" w14:textId="41622D1C"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25" w:history="1">
            <w:r w:rsidRPr="00132766">
              <w:rPr>
                <w:rStyle w:val="Hyperlink"/>
                <w:noProof/>
              </w:rPr>
              <w:t>1.5</w:t>
            </w:r>
            <w:r>
              <w:rPr>
                <w:rFonts w:asciiTheme="minorHAnsi" w:eastAsiaTheme="minorEastAsia" w:hAnsiTheme="minorHAnsi"/>
                <w:noProof/>
                <w:kern w:val="2"/>
                <w:sz w:val="24"/>
                <w:szCs w:val="24"/>
                <w:lang w:eastAsia="en-GB"/>
                <w14:ligatures w14:val="standardContextual"/>
              </w:rPr>
              <w:tab/>
            </w:r>
            <w:r w:rsidRPr="00132766">
              <w:rPr>
                <w:rStyle w:val="Hyperlink"/>
                <w:noProof/>
              </w:rPr>
              <w:t>Intermediate outcomes – What changed?</w:t>
            </w:r>
            <w:r>
              <w:rPr>
                <w:noProof/>
                <w:webHidden/>
              </w:rPr>
              <w:tab/>
            </w:r>
            <w:r>
              <w:rPr>
                <w:noProof/>
                <w:webHidden/>
              </w:rPr>
              <w:fldChar w:fldCharType="begin"/>
            </w:r>
            <w:r>
              <w:rPr>
                <w:noProof/>
                <w:webHidden/>
              </w:rPr>
              <w:instrText xml:space="preserve"> PAGEREF _Toc204967825 \h </w:instrText>
            </w:r>
            <w:r>
              <w:rPr>
                <w:noProof/>
                <w:webHidden/>
              </w:rPr>
            </w:r>
            <w:r>
              <w:rPr>
                <w:noProof/>
                <w:webHidden/>
              </w:rPr>
              <w:fldChar w:fldCharType="separate"/>
            </w:r>
            <w:r>
              <w:rPr>
                <w:noProof/>
                <w:webHidden/>
              </w:rPr>
              <w:t>11</w:t>
            </w:r>
            <w:r>
              <w:rPr>
                <w:noProof/>
                <w:webHidden/>
              </w:rPr>
              <w:fldChar w:fldCharType="end"/>
            </w:r>
          </w:hyperlink>
        </w:p>
        <w:p w14:paraId="28BEDE7B" w14:textId="59A034EE"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26" w:history="1">
            <w:r w:rsidRPr="00132766">
              <w:rPr>
                <w:rStyle w:val="Hyperlink"/>
                <w:noProof/>
              </w:rPr>
              <w:t>1.6</w:t>
            </w:r>
            <w:r>
              <w:rPr>
                <w:rFonts w:asciiTheme="minorHAnsi" w:eastAsiaTheme="minorEastAsia" w:hAnsiTheme="minorHAnsi"/>
                <w:noProof/>
                <w:kern w:val="2"/>
                <w:sz w:val="24"/>
                <w:szCs w:val="24"/>
                <w:lang w:eastAsia="en-GB"/>
                <w14:ligatures w14:val="standardContextual"/>
              </w:rPr>
              <w:tab/>
            </w:r>
            <w:r w:rsidRPr="00132766">
              <w:rPr>
                <w:rStyle w:val="Hyperlink"/>
                <w:noProof/>
              </w:rPr>
              <w:t>How effective were TPs in this period?</w:t>
            </w:r>
            <w:r>
              <w:rPr>
                <w:noProof/>
                <w:webHidden/>
              </w:rPr>
              <w:tab/>
            </w:r>
            <w:r>
              <w:rPr>
                <w:noProof/>
                <w:webHidden/>
              </w:rPr>
              <w:fldChar w:fldCharType="begin"/>
            </w:r>
            <w:r>
              <w:rPr>
                <w:noProof/>
                <w:webHidden/>
              </w:rPr>
              <w:instrText xml:space="preserve"> PAGEREF _Toc204967826 \h </w:instrText>
            </w:r>
            <w:r>
              <w:rPr>
                <w:noProof/>
                <w:webHidden/>
              </w:rPr>
            </w:r>
            <w:r>
              <w:rPr>
                <w:noProof/>
                <w:webHidden/>
              </w:rPr>
              <w:fldChar w:fldCharType="separate"/>
            </w:r>
            <w:r>
              <w:rPr>
                <w:noProof/>
                <w:webHidden/>
              </w:rPr>
              <w:t>15</w:t>
            </w:r>
            <w:r>
              <w:rPr>
                <w:noProof/>
                <w:webHidden/>
              </w:rPr>
              <w:fldChar w:fldCharType="end"/>
            </w:r>
          </w:hyperlink>
        </w:p>
        <w:p w14:paraId="3D69DFE9" w14:textId="1FCAEBAA"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27" w:history="1">
            <w:r w:rsidRPr="00132766">
              <w:rPr>
                <w:rStyle w:val="Hyperlink"/>
                <w:noProof/>
              </w:rPr>
              <w:t>1.7</w:t>
            </w:r>
            <w:r>
              <w:rPr>
                <w:rFonts w:asciiTheme="minorHAnsi" w:eastAsiaTheme="minorEastAsia" w:hAnsiTheme="minorHAnsi"/>
                <w:noProof/>
                <w:kern w:val="2"/>
                <w:sz w:val="24"/>
                <w:szCs w:val="24"/>
                <w:lang w:eastAsia="en-GB"/>
                <w14:ligatures w14:val="standardContextual"/>
              </w:rPr>
              <w:tab/>
            </w:r>
            <w:r w:rsidRPr="00132766">
              <w:rPr>
                <w:rStyle w:val="Hyperlink"/>
                <w:noProof/>
              </w:rPr>
              <w:t>What were other advocates/actors doing during the same period?</w:t>
            </w:r>
            <w:r>
              <w:rPr>
                <w:noProof/>
                <w:webHidden/>
              </w:rPr>
              <w:tab/>
            </w:r>
            <w:r>
              <w:rPr>
                <w:noProof/>
                <w:webHidden/>
              </w:rPr>
              <w:fldChar w:fldCharType="begin"/>
            </w:r>
            <w:r>
              <w:rPr>
                <w:noProof/>
                <w:webHidden/>
              </w:rPr>
              <w:instrText xml:space="preserve"> PAGEREF _Toc204967827 \h </w:instrText>
            </w:r>
            <w:r>
              <w:rPr>
                <w:noProof/>
                <w:webHidden/>
              </w:rPr>
            </w:r>
            <w:r>
              <w:rPr>
                <w:noProof/>
                <w:webHidden/>
              </w:rPr>
              <w:fldChar w:fldCharType="separate"/>
            </w:r>
            <w:r>
              <w:rPr>
                <w:noProof/>
                <w:webHidden/>
              </w:rPr>
              <w:t>17</w:t>
            </w:r>
            <w:r>
              <w:rPr>
                <w:noProof/>
                <w:webHidden/>
              </w:rPr>
              <w:fldChar w:fldCharType="end"/>
            </w:r>
          </w:hyperlink>
        </w:p>
        <w:p w14:paraId="21BFD592" w14:textId="412E0088"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28" w:history="1">
            <w:r w:rsidRPr="00132766">
              <w:rPr>
                <w:rStyle w:val="Hyperlink"/>
                <w:noProof/>
              </w:rPr>
              <w:t>1.8</w:t>
            </w:r>
            <w:r>
              <w:rPr>
                <w:rFonts w:asciiTheme="minorHAnsi" w:eastAsiaTheme="minorEastAsia" w:hAnsiTheme="minorHAnsi"/>
                <w:noProof/>
                <w:kern w:val="2"/>
                <w:sz w:val="24"/>
                <w:szCs w:val="24"/>
                <w:lang w:eastAsia="en-GB"/>
                <w14:ligatures w14:val="standardContextual"/>
              </w:rPr>
              <w:tab/>
            </w:r>
            <w:r w:rsidRPr="00132766">
              <w:rPr>
                <w:rStyle w:val="Hyperlink"/>
                <w:noProof/>
              </w:rPr>
              <w:t>What were the key factors in determining the outcome?</w:t>
            </w:r>
            <w:r>
              <w:rPr>
                <w:noProof/>
                <w:webHidden/>
              </w:rPr>
              <w:tab/>
            </w:r>
            <w:r>
              <w:rPr>
                <w:noProof/>
                <w:webHidden/>
              </w:rPr>
              <w:fldChar w:fldCharType="begin"/>
            </w:r>
            <w:r>
              <w:rPr>
                <w:noProof/>
                <w:webHidden/>
              </w:rPr>
              <w:instrText xml:space="preserve"> PAGEREF _Toc204967828 \h </w:instrText>
            </w:r>
            <w:r>
              <w:rPr>
                <w:noProof/>
                <w:webHidden/>
              </w:rPr>
            </w:r>
            <w:r>
              <w:rPr>
                <w:noProof/>
                <w:webHidden/>
              </w:rPr>
              <w:fldChar w:fldCharType="separate"/>
            </w:r>
            <w:r>
              <w:rPr>
                <w:noProof/>
                <w:webHidden/>
              </w:rPr>
              <w:t>18</w:t>
            </w:r>
            <w:r>
              <w:rPr>
                <w:noProof/>
                <w:webHidden/>
              </w:rPr>
              <w:fldChar w:fldCharType="end"/>
            </w:r>
          </w:hyperlink>
        </w:p>
        <w:p w14:paraId="57711968" w14:textId="09E5DC18" w:rsidR="00776E8D" w:rsidRDefault="00776E8D">
          <w:pPr>
            <w:pStyle w:val="TOC1"/>
            <w:rPr>
              <w:rFonts w:asciiTheme="minorHAnsi" w:eastAsiaTheme="minorEastAsia" w:hAnsiTheme="minorHAnsi"/>
              <w:b w:val="0"/>
              <w:noProof/>
              <w:kern w:val="2"/>
              <w:sz w:val="24"/>
              <w:szCs w:val="24"/>
              <w:lang w:eastAsia="en-GB"/>
              <w14:ligatures w14:val="standardContextual"/>
            </w:rPr>
          </w:pPr>
          <w:hyperlink w:anchor="_Toc204967829" w:history="1">
            <w:r w:rsidRPr="00132766">
              <w:rPr>
                <w:rStyle w:val="Hyperlink"/>
                <w:noProof/>
              </w:rPr>
              <w:t>2.</w:t>
            </w:r>
            <w:r>
              <w:rPr>
                <w:rFonts w:asciiTheme="minorHAnsi" w:eastAsiaTheme="minorEastAsia" w:hAnsiTheme="minorHAnsi"/>
                <w:b w:val="0"/>
                <w:noProof/>
                <w:kern w:val="2"/>
                <w:sz w:val="24"/>
                <w:szCs w:val="24"/>
                <w:lang w:eastAsia="en-GB"/>
                <w14:ligatures w14:val="standardContextual"/>
              </w:rPr>
              <w:tab/>
            </w:r>
            <w:r w:rsidRPr="00132766">
              <w:rPr>
                <w:rStyle w:val="Hyperlink"/>
                <w:noProof/>
              </w:rPr>
              <w:t>Case study 2: Legal Response Initiative</w:t>
            </w:r>
            <w:r>
              <w:rPr>
                <w:noProof/>
                <w:webHidden/>
              </w:rPr>
              <w:tab/>
            </w:r>
            <w:r>
              <w:rPr>
                <w:noProof/>
                <w:webHidden/>
              </w:rPr>
              <w:fldChar w:fldCharType="begin"/>
            </w:r>
            <w:r>
              <w:rPr>
                <w:noProof/>
                <w:webHidden/>
              </w:rPr>
              <w:instrText xml:space="preserve"> PAGEREF _Toc204967829 \h </w:instrText>
            </w:r>
            <w:r>
              <w:rPr>
                <w:noProof/>
                <w:webHidden/>
              </w:rPr>
            </w:r>
            <w:r>
              <w:rPr>
                <w:noProof/>
                <w:webHidden/>
              </w:rPr>
              <w:fldChar w:fldCharType="separate"/>
            </w:r>
            <w:r>
              <w:rPr>
                <w:noProof/>
                <w:webHidden/>
              </w:rPr>
              <w:t>22</w:t>
            </w:r>
            <w:r>
              <w:rPr>
                <w:noProof/>
                <w:webHidden/>
              </w:rPr>
              <w:fldChar w:fldCharType="end"/>
            </w:r>
          </w:hyperlink>
        </w:p>
        <w:p w14:paraId="28E87CAE" w14:textId="79139D7D"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30" w:history="1">
            <w:r w:rsidRPr="00132766">
              <w:rPr>
                <w:rStyle w:val="Hyperlink"/>
                <w:noProof/>
              </w:rPr>
              <w:t>2.1</w:t>
            </w:r>
            <w:r>
              <w:rPr>
                <w:rFonts w:asciiTheme="minorHAnsi" w:eastAsiaTheme="minorEastAsia" w:hAnsiTheme="minorHAnsi"/>
                <w:noProof/>
                <w:kern w:val="2"/>
                <w:sz w:val="24"/>
                <w:szCs w:val="24"/>
                <w:lang w:eastAsia="en-GB"/>
                <w14:ligatures w14:val="standardContextual"/>
              </w:rPr>
              <w:tab/>
            </w:r>
            <w:r w:rsidRPr="00132766">
              <w:rPr>
                <w:rStyle w:val="Hyperlink"/>
                <w:noProof/>
              </w:rPr>
              <w:t>Summary of CASA II contribution</w:t>
            </w:r>
            <w:r>
              <w:rPr>
                <w:noProof/>
                <w:webHidden/>
              </w:rPr>
              <w:tab/>
            </w:r>
            <w:r>
              <w:rPr>
                <w:noProof/>
                <w:webHidden/>
              </w:rPr>
              <w:fldChar w:fldCharType="begin"/>
            </w:r>
            <w:r>
              <w:rPr>
                <w:noProof/>
                <w:webHidden/>
              </w:rPr>
              <w:instrText xml:space="preserve"> PAGEREF _Toc204967830 \h </w:instrText>
            </w:r>
            <w:r>
              <w:rPr>
                <w:noProof/>
                <w:webHidden/>
              </w:rPr>
            </w:r>
            <w:r>
              <w:rPr>
                <w:noProof/>
                <w:webHidden/>
              </w:rPr>
              <w:fldChar w:fldCharType="separate"/>
            </w:r>
            <w:r>
              <w:rPr>
                <w:noProof/>
                <w:webHidden/>
              </w:rPr>
              <w:t>22</w:t>
            </w:r>
            <w:r>
              <w:rPr>
                <w:noProof/>
                <w:webHidden/>
              </w:rPr>
              <w:fldChar w:fldCharType="end"/>
            </w:r>
          </w:hyperlink>
        </w:p>
        <w:p w14:paraId="7A03E724" w14:textId="564174DF"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31" w:history="1">
            <w:r w:rsidRPr="00132766">
              <w:rPr>
                <w:rStyle w:val="Hyperlink"/>
                <w:noProof/>
              </w:rPr>
              <w:t>2.2</w:t>
            </w:r>
            <w:r>
              <w:rPr>
                <w:rFonts w:asciiTheme="minorHAnsi" w:eastAsiaTheme="minorEastAsia" w:hAnsiTheme="minorHAnsi"/>
                <w:noProof/>
                <w:kern w:val="2"/>
                <w:sz w:val="24"/>
                <w:szCs w:val="24"/>
                <w:lang w:eastAsia="en-GB"/>
                <w14:ligatures w14:val="standardContextual"/>
              </w:rPr>
              <w:tab/>
            </w:r>
            <w:r w:rsidRPr="00132766">
              <w:rPr>
                <w:rStyle w:val="Hyperlink"/>
                <w:noProof/>
              </w:rPr>
              <w:t>Summary of the contribution of other actors and factors</w:t>
            </w:r>
            <w:r>
              <w:rPr>
                <w:noProof/>
                <w:webHidden/>
              </w:rPr>
              <w:tab/>
            </w:r>
            <w:r>
              <w:rPr>
                <w:noProof/>
                <w:webHidden/>
              </w:rPr>
              <w:fldChar w:fldCharType="begin"/>
            </w:r>
            <w:r>
              <w:rPr>
                <w:noProof/>
                <w:webHidden/>
              </w:rPr>
              <w:instrText xml:space="preserve"> PAGEREF _Toc204967831 \h </w:instrText>
            </w:r>
            <w:r>
              <w:rPr>
                <w:noProof/>
                <w:webHidden/>
              </w:rPr>
            </w:r>
            <w:r>
              <w:rPr>
                <w:noProof/>
                <w:webHidden/>
              </w:rPr>
              <w:fldChar w:fldCharType="separate"/>
            </w:r>
            <w:r>
              <w:rPr>
                <w:noProof/>
                <w:webHidden/>
              </w:rPr>
              <w:t>22</w:t>
            </w:r>
            <w:r>
              <w:rPr>
                <w:noProof/>
                <w:webHidden/>
              </w:rPr>
              <w:fldChar w:fldCharType="end"/>
            </w:r>
          </w:hyperlink>
        </w:p>
        <w:p w14:paraId="02C7384F" w14:textId="73D11129"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32" w:history="1">
            <w:r w:rsidRPr="00132766">
              <w:rPr>
                <w:rStyle w:val="Hyperlink"/>
                <w:noProof/>
              </w:rPr>
              <w:t>2.3</w:t>
            </w:r>
            <w:r>
              <w:rPr>
                <w:rFonts w:asciiTheme="minorHAnsi" w:eastAsiaTheme="minorEastAsia" w:hAnsiTheme="minorHAnsi"/>
                <w:noProof/>
                <w:kern w:val="2"/>
                <w:sz w:val="24"/>
                <w:szCs w:val="24"/>
                <w:lang w:eastAsia="en-GB"/>
                <w14:ligatures w14:val="standardContextual"/>
              </w:rPr>
              <w:tab/>
            </w:r>
            <w:r w:rsidRPr="00132766">
              <w:rPr>
                <w:rStyle w:val="Hyperlink"/>
                <w:noProof/>
              </w:rPr>
              <w:t>Geographic and temporal context</w:t>
            </w:r>
            <w:r>
              <w:rPr>
                <w:noProof/>
                <w:webHidden/>
              </w:rPr>
              <w:tab/>
            </w:r>
            <w:r>
              <w:rPr>
                <w:noProof/>
                <w:webHidden/>
              </w:rPr>
              <w:fldChar w:fldCharType="begin"/>
            </w:r>
            <w:r>
              <w:rPr>
                <w:noProof/>
                <w:webHidden/>
              </w:rPr>
              <w:instrText xml:space="preserve"> PAGEREF _Toc204967832 \h </w:instrText>
            </w:r>
            <w:r>
              <w:rPr>
                <w:noProof/>
                <w:webHidden/>
              </w:rPr>
            </w:r>
            <w:r>
              <w:rPr>
                <w:noProof/>
                <w:webHidden/>
              </w:rPr>
              <w:fldChar w:fldCharType="separate"/>
            </w:r>
            <w:r>
              <w:rPr>
                <w:noProof/>
                <w:webHidden/>
              </w:rPr>
              <w:t>22</w:t>
            </w:r>
            <w:r>
              <w:rPr>
                <w:noProof/>
                <w:webHidden/>
              </w:rPr>
              <w:fldChar w:fldCharType="end"/>
            </w:r>
          </w:hyperlink>
        </w:p>
        <w:p w14:paraId="2FC7D54A" w14:textId="3F956212"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33" w:history="1">
            <w:r w:rsidRPr="00132766">
              <w:rPr>
                <w:rStyle w:val="Hyperlink"/>
                <w:noProof/>
              </w:rPr>
              <w:t>2.4</w:t>
            </w:r>
            <w:r>
              <w:rPr>
                <w:rFonts w:asciiTheme="minorHAnsi" w:eastAsiaTheme="minorEastAsia" w:hAnsiTheme="minorHAnsi"/>
                <w:noProof/>
                <w:kern w:val="2"/>
                <w:sz w:val="24"/>
                <w:szCs w:val="24"/>
                <w:lang w:eastAsia="en-GB"/>
                <w14:ligatures w14:val="standardContextual"/>
              </w:rPr>
              <w:tab/>
            </w:r>
            <w:r w:rsidRPr="00132766">
              <w:rPr>
                <w:rStyle w:val="Hyperlink"/>
                <w:noProof/>
              </w:rPr>
              <w:t>What did LRI do?</w:t>
            </w:r>
            <w:r>
              <w:rPr>
                <w:noProof/>
                <w:webHidden/>
              </w:rPr>
              <w:tab/>
            </w:r>
            <w:r>
              <w:rPr>
                <w:noProof/>
                <w:webHidden/>
              </w:rPr>
              <w:fldChar w:fldCharType="begin"/>
            </w:r>
            <w:r>
              <w:rPr>
                <w:noProof/>
                <w:webHidden/>
              </w:rPr>
              <w:instrText xml:space="preserve"> PAGEREF _Toc204967833 \h </w:instrText>
            </w:r>
            <w:r>
              <w:rPr>
                <w:noProof/>
                <w:webHidden/>
              </w:rPr>
            </w:r>
            <w:r>
              <w:rPr>
                <w:noProof/>
                <w:webHidden/>
              </w:rPr>
              <w:fldChar w:fldCharType="separate"/>
            </w:r>
            <w:r>
              <w:rPr>
                <w:noProof/>
                <w:webHidden/>
              </w:rPr>
              <w:t>23</w:t>
            </w:r>
            <w:r>
              <w:rPr>
                <w:noProof/>
                <w:webHidden/>
              </w:rPr>
              <w:fldChar w:fldCharType="end"/>
            </w:r>
          </w:hyperlink>
        </w:p>
        <w:p w14:paraId="204E4045" w14:textId="133E3CA1"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34" w:history="1">
            <w:r w:rsidRPr="00132766">
              <w:rPr>
                <w:rStyle w:val="Hyperlink"/>
                <w:noProof/>
              </w:rPr>
              <w:t>2.5</w:t>
            </w:r>
            <w:r>
              <w:rPr>
                <w:rFonts w:asciiTheme="minorHAnsi" w:eastAsiaTheme="minorEastAsia" w:hAnsiTheme="minorHAnsi"/>
                <w:noProof/>
                <w:kern w:val="2"/>
                <w:sz w:val="24"/>
                <w:szCs w:val="24"/>
                <w:lang w:eastAsia="en-GB"/>
                <w14:ligatures w14:val="standardContextual"/>
              </w:rPr>
              <w:tab/>
            </w:r>
            <w:r w:rsidRPr="00132766">
              <w:rPr>
                <w:rStyle w:val="Hyperlink"/>
                <w:noProof/>
              </w:rPr>
              <w:t>Intermediate outcomes – What changed?</w:t>
            </w:r>
            <w:r>
              <w:rPr>
                <w:noProof/>
                <w:webHidden/>
              </w:rPr>
              <w:tab/>
            </w:r>
            <w:r>
              <w:rPr>
                <w:noProof/>
                <w:webHidden/>
              </w:rPr>
              <w:fldChar w:fldCharType="begin"/>
            </w:r>
            <w:r>
              <w:rPr>
                <w:noProof/>
                <w:webHidden/>
              </w:rPr>
              <w:instrText xml:space="preserve"> PAGEREF _Toc204967834 \h </w:instrText>
            </w:r>
            <w:r>
              <w:rPr>
                <w:noProof/>
                <w:webHidden/>
              </w:rPr>
            </w:r>
            <w:r>
              <w:rPr>
                <w:noProof/>
                <w:webHidden/>
              </w:rPr>
              <w:fldChar w:fldCharType="separate"/>
            </w:r>
            <w:r>
              <w:rPr>
                <w:noProof/>
                <w:webHidden/>
              </w:rPr>
              <w:t>24</w:t>
            </w:r>
            <w:r>
              <w:rPr>
                <w:noProof/>
                <w:webHidden/>
              </w:rPr>
              <w:fldChar w:fldCharType="end"/>
            </w:r>
          </w:hyperlink>
        </w:p>
        <w:p w14:paraId="75044D03" w14:textId="3FCE86C2"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35" w:history="1">
            <w:r w:rsidRPr="00132766">
              <w:rPr>
                <w:rStyle w:val="Hyperlink"/>
                <w:noProof/>
              </w:rPr>
              <w:t>2.6</w:t>
            </w:r>
            <w:r>
              <w:rPr>
                <w:rFonts w:asciiTheme="minorHAnsi" w:eastAsiaTheme="minorEastAsia" w:hAnsiTheme="minorHAnsi"/>
                <w:noProof/>
                <w:kern w:val="2"/>
                <w:sz w:val="24"/>
                <w:szCs w:val="24"/>
                <w:lang w:eastAsia="en-GB"/>
                <w14:ligatures w14:val="standardContextual"/>
              </w:rPr>
              <w:tab/>
            </w:r>
            <w:r w:rsidRPr="00132766">
              <w:rPr>
                <w:rStyle w:val="Hyperlink"/>
                <w:noProof/>
              </w:rPr>
              <w:t>How effective were the TPs during the period?</w:t>
            </w:r>
            <w:r>
              <w:rPr>
                <w:noProof/>
                <w:webHidden/>
              </w:rPr>
              <w:tab/>
            </w:r>
            <w:r>
              <w:rPr>
                <w:noProof/>
                <w:webHidden/>
              </w:rPr>
              <w:fldChar w:fldCharType="begin"/>
            </w:r>
            <w:r>
              <w:rPr>
                <w:noProof/>
                <w:webHidden/>
              </w:rPr>
              <w:instrText xml:space="preserve"> PAGEREF _Toc204967835 \h </w:instrText>
            </w:r>
            <w:r>
              <w:rPr>
                <w:noProof/>
                <w:webHidden/>
              </w:rPr>
            </w:r>
            <w:r>
              <w:rPr>
                <w:noProof/>
                <w:webHidden/>
              </w:rPr>
              <w:fldChar w:fldCharType="separate"/>
            </w:r>
            <w:r>
              <w:rPr>
                <w:noProof/>
                <w:webHidden/>
              </w:rPr>
              <w:t>26</w:t>
            </w:r>
            <w:r>
              <w:rPr>
                <w:noProof/>
                <w:webHidden/>
              </w:rPr>
              <w:fldChar w:fldCharType="end"/>
            </w:r>
          </w:hyperlink>
        </w:p>
        <w:p w14:paraId="410B63E7" w14:textId="3DEF8CEB"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36" w:history="1">
            <w:r w:rsidRPr="00132766">
              <w:rPr>
                <w:rStyle w:val="Hyperlink"/>
                <w:noProof/>
              </w:rPr>
              <w:t>2.7</w:t>
            </w:r>
            <w:r>
              <w:rPr>
                <w:rFonts w:asciiTheme="minorHAnsi" w:eastAsiaTheme="minorEastAsia" w:hAnsiTheme="minorHAnsi"/>
                <w:noProof/>
                <w:kern w:val="2"/>
                <w:sz w:val="24"/>
                <w:szCs w:val="24"/>
                <w:lang w:eastAsia="en-GB"/>
                <w14:ligatures w14:val="standardContextual"/>
              </w:rPr>
              <w:tab/>
            </w:r>
            <w:r w:rsidRPr="00132766">
              <w:rPr>
                <w:rStyle w:val="Hyperlink"/>
                <w:noProof/>
              </w:rPr>
              <w:t>What were other advocates/actors doing during the same period?</w:t>
            </w:r>
            <w:r>
              <w:rPr>
                <w:noProof/>
                <w:webHidden/>
              </w:rPr>
              <w:tab/>
            </w:r>
            <w:r>
              <w:rPr>
                <w:noProof/>
                <w:webHidden/>
              </w:rPr>
              <w:fldChar w:fldCharType="begin"/>
            </w:r>
            <w:r>
              <w:rPr>
                <w:noProof/>
                <w:webHidden/>
              </w:rPr>
              <w:instrText xml:space="preserve"> PAGEREF _Toc204967836 \h </w:instrText>
            </w:r>
            <w:r>
              <w:rPr>
                <w:noProof/>
                <w:webHidden/>
              </w:rPr>
            </w:r>
            <w:r>
              <w:rPr>
                <w:noProof/>
                <w:webHidden/>
              </w:rPr>
              <w:fldChar w:fldCharType="separate"/>
            </w:r>
            <w:r>
              <w:rPr>
                <w:noProof/>
                <w:webHidden/>
              </w:rPr>
              <w:t>26</w:t>
            </w:r>
            <w:r>
              <w:rPr>
                <w:noProof/>
                <w:webHidden/>
              </w:rPr>
              <w:fldChar w:fldCharType="end"/>
            </w:r>
          </w:hyperlink>
        </w:p>
        <w:p w14:paraId="6D04597A" w14:textId="0C7F4DEF"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37" w:history="1">
            <w:r w:rsidRPr="00132766">
              <w:rPr>
                <w:rStyle w:val="Hyperlink"/>
                <w:noProof/>
              </w:rPr>
              <w:t>2.8</w:t>
            </w:r>
            <w:r>
              <w:rPr>
                <w:rFonts w:asciiTheme="minorHAnsi" w:eastAsiaTheme="minorEastAsia" w:hAnsiTheme="minorHAnsi"/>
                <w:noProof/>
                <w:kern w:val="2"/>
                <w:sz w:val="24"/>
                <w:szCs w:val="24"/>
                <w:lang w:eastAsia="en-GB"/>
                <w14:ligatures w14:val="standardContextual"/>
              </w:rPr>
              <w:tab/>
            </w:r>
            <w:r w:rsidRPr="00132766">
              <w:rPr>
                <w:rStyle w:val="Hyperlink"/>
                <w:noProof/>
              </w:rPr>
              <w:t>What were the key factors in determining the outcome?</w:t>
            </w:r>
            <w:r>
              <w:rPr>
                <w:noProof/>
                <w:webHidden/>
              </w:rPr>
              <w:tab/>
            </w:r>
            <w:r>
              <w:rPr>
                <w:noProof/>
                <w:webHidden/>
              </w:rPr>
              <w:fldChar w:fldCharType="begin"/>
            </w:r>
            <w:r>
              <w:rPr>
                <w:noProof/>
                <w:webHidden/>
              </w:rPr>
              <w:instrText xml:space="preserve"> PAGEREF _Toc204967837 \h </w:instrText>
            </w:r>
            <w:r>
              <w:rPr>
                <w:noProof/>
                <w:webHidden/>
              </w:rPr>
            </w:r>
            <w:r>
              <w:rPr>
                <w:noProof/>
                <w:webHidden/>
              </w:rPr>
              <w:fldChar w:fldCharType="separate"/>
            </w:r>
            <w:r>
              <w:rPr>
                <w:noProof/>
                <w:webHidden/>
              </w:rPr>
              <w:t>27</w:t>
            </w:r>
            <w:r>
              <w:rPr>
                <w:noProof/>
                <w:webHidden/>
              </w:rPr>
              <w:fldChar w:fldCharType="end"/>
            </w:r>
          </w:hyperlink>
        </w:p>
        <w:p w14:paraId="5AE97EE0" w14:textId="6C22DB67" w:rsidR="00776E8D" w:rsidRDefault="00776E8D">
          <w:pPr>
            <w:pStyle w:val="TOC1"/>
            <w:rPr>
              <w:rFonts w:asciiTheme="minorHAnsi" w:eastAsiaTheme="minorEastAsia" w:hAnsiTheme="minorHAnsi"/>
              <w:b w:val="0"/>
              <w:noProof/>
              <w:kern w:val="2"/>
              <w:sz w:val="24"/>
              <w:szCs w:val="24"/>
              <w:lang w:eastAsia="en-GB"/>
              <w14:ligatures w14:val="standardContextual"/>
            </w:rPr>
          </w:pPr>
          <w:hyperlink w:anchor="_Toc204967838" w:history="1">
            <w:r w:rsidRPr="00132766">
              <w:rPr>
                <w:rStyle w:val="Hyperlink"/>
                <w:noProof/>
              </w:rPr>
              <w:t>3.</w:t>
            </w:r>
            <w:r>
              <w:rPr>
                <w:rFonts w:asciiTheme="minorHAnsi" w:eastAsiaTheme="minorEastAsia" w:hAnsiTheme="minorHAnsi"/>
                <w:b w:val="0"/>
                <w:noProof/>
                <w:kern w:val="2"/>
                <w:sz w:val="24"/>
                <w:szCs w:val="24"/>
                <w:lang w:eastAsia="en-GB"/>
                <w14:ligatures w14:val="standardContextual"/>
              </w:rPr>
              <w:tab/>
            </w:r>
            <w:r w:rsidRPr="00132766">
              <w:rPr>
                <w:rStyle w:val="Hyperlink"/>
                <w:noProof/>
              </w:rPr>
              <w:t>Case study 3: New Generation Programme</w:t>
            </w:r>
            <w:r>
              <w:rPr>
                <w:noProof/>
                <w:webHidden/>
              </w:rPr>
              <w:tab/>
            </w:r>
            <w:r>
              <w:rPr>
                <w:noProof/>
                <w:webHidden/>
              </w:rPr>
              <w:fldChar w:fldCharType="begin"/>
            </w:r>
            <w:r>
              <w:rPr>
                <w:noProof/>
                <w:webHidden/>
              </w:rPr>
              <w:instrText xml:space="preserve"> PAGEREF _Toc204967838 \h </w:instrText>
            </w:r>
            <w:r>
              <w:rPr>
                <w:noProof/>
                <w:webHidden/>
              </w:rPr>
            </w:r>
            <w:r>
              <w:rPr>
                <w:noProof/>
                <w:webHidden/>
              </w:rPr>
              <w:fldChar w:fldCharType="separate"/>
            </w:r>
            <w:r>
              <w:rPr>
                <w:noProof/>
                <w:webHidden/>
              </w:rPr>
              <w:t>30</w:t>
            </w:r>
            <w:r>
              <w:rPr>
                <w:noProof/>
                <w:webHidden/>
              </w:rPr>
              <w:fldChar w:fldCharType="end"/>
            </w:r>
          </w:hyperlink>
        </w:p>
        <w:p w14:paraId="4AB54465" w14:textId="3464B27E"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39" w:history="1">
            <w:r w:rsidRPr="00132766">
              <w:rPr>
                <w:rStyle w:val="Hyperlink"/>
                <w:noProof/>
              </w:rPr>
              <w:t>3.1</w:t>
            </w:r>
            <w:r>
              <w:rPr>
                <w:rFonts w:asciiTheme="minorHAnsi" w:eastAsiaTheme="minorEastAsia" w:hAnsiTheme="minorHAnsi"/>
                <w:noProof/>
                <w:kern w:val="2"/>
                <w:sz w:val="24"/>
                <w:szCs w:val="24"/>
                <w:lang w:eastAsia="en-GB"/>
                <w14:ligatures w14:val="standardContextual"/>
              </w:rPr>
              <w:tab/>
            </w:r>
            <w:r w:rsidRPr="00132766">
              <w:rPr>
                <w:rStyle w:val="Hyperlink"/>
                <w:noProof/>
              </w:rPr>
              <w:t>Summary of CASA II contribution</w:t>
            </w:r>
            <w:r>
              <w:rPr>
                <w:noProof/>
                <w:webHidden/>
              </w:rPr>
              <w:tab/>
            </w:r>
            <w:r>
              <w:rPr>
                <w:noProof/>
                <w:webHidden/>
              </w:rPr>
              <w:fldChar w:fldCharType="begin"/>
            </w:r>
            <w:r>
              <w:rPr>
                <w:noProof/>
                <w:webHidden/>
              </w:rPr>
              <w:instrText xml:space="preserve"> PAGEREF _Toc204967839 \h </w:instrText>
            </w:r>
            <w:r>
              <w:rPr>
                <w:noProof/>
                <w:webHidden/>
              </w:rPr>
            </w:r>
            <w:r>
              <w:rPr>
                <w:noProof/>
                <w:webHidden/>
              </w:rPr>
              <w:fldChar w:fldCharType="separate"/>
            </w:r>
            <w:r>
              <w:rPr>
                <w:noProof/>
                <w:webHidden/>
              </w:rPr>
              <w:t>30</w:t>
            </w:r>
            <w:r>
              <w:rPr>
                <w:noProof/>
                <w:webHidden/>
              </w:rPr>
              <w:fldChar w:fldCharType="end"/>
            </w:r>
          </w:hyperlink>
        </w:p>
        <w:p w14:paraId="270DBB8C" w14:textId="73BBEBA5"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40" w:history="1">
            <w:r w:rsidRPr="00132766">
              <w:rPr>
                <w:rStyle w:val="Hyperlink"/>
                <w:noProof/>
              </w:rPr>
              <w:t>3.2</w:t>
            </w:r>
            <w:r>
              <w:rPr>
                <w:rFonts w:asciiTheme="minorHAnsi" w:eastAsiaTheme="minorEastAsia" w:hAnsiTheme="minorHAnsi"/>
                <w:noProof/>
                <w:kern w:val="2"/>
                <w:sz w:val="24"/>
                <w:szCs w:val="24"/>
                <w:lang w:eastAsia="en-GB"/>
                <w14:ligatures w14:val="standardContextual"/>
              </w:rPr>
              <w:tab/>
            </w:r>
            <w:r w:rsidRPr="00132766">
              <w:rPr>
                <w:rStyle w:val="Hyperlink"/>
                <w:noProof/>
              </w:rPr>
              <w:t>Summary of the contribution of other actors and factors</w:t>
            </w:r>
            <w:r>
              <w:rPr>
                <w:noProof/>
                <w:webHidden/>
              </w:rPr>
              <w:tab/>
            </w:r>
            <w:r>
              <w:rPr>
                <w:noProof/>
                <w:webHidden/>
              </w:rPr>
              <w:fldChar w:fldCharType="begin"/>
            </w:r>
            <w:r>
              <w:rPr>
                <w:noProof/>
                <w:webHidden/>
              </w:rPr>
              <w:instrText xml:space="preserve"> PAGEREF _Toc204967840 \h </w:instrText>
            </w:r>
            <w:r>
              <w:rPr>
                <w:noProof/>
                <w:webHidden/>
              </w:rPr>
            </w:r>
            <w:r>
              <w:rPr>
                <w:noProof/>
                <w:webHidden/>
              </w:rPr>
              <w:fldChar w:fldCharType="separate"/>
            </w:r>
            <w:r>
              <w:rPr>
                <w:noProof/>
                <w:webHidden/>
              </w:rPr>
              <w:t>30</w:t>
            </w:r>
            <w:r>
              <w:rPr>
                <w:noProof/>
                <w:webHidden/>
              </w:rPr>
              <w:fldChar w:fldCharType="end"/>
            </w:r>
          </w:hyperlink>
        </w:p>
        <w:p w14:paraId="54E0B011" w14:textId="7F202CC5"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41" w:history="1">
            <w:r w:rsidRPr="00132766">
              <w:rPr>
                <w:rStyle w:val="Hyperlink"/>
                <w:noProof/>
              </w:rPr>
              <w:t>3.3</w:t>
            </w:r>
            <w:r>
              <w:rPr>
                <w:rFonts w:asciiTheme="minorHAnsi" w:eastAsiaTheme="minorEastAsia" w:hAnsiTheme="minorHAnsi"/>
                <w:noProof/>
                <w:kern w:val="2"/>
                <w:sz w:val="24"/>
                <w:szCs w:val="24"/>
                <w:lang w:eastAsia="en-GB"/>
                <w14:ligatures w14:val="standardContextual"/>
              </w:rPr>
              <w:tab/>
            </w:r>
            <w:r w:rsidRPr="00132766">
              <w:rPr>
                <w:rStyle w:val="Hyperlink"/>
                <w:noProof/>
              </w:rPr>
              <w:t>Geographic and temporal context</w:t>
            </w:r>
            <w:r>
              <w:rPr>
                <w:noProof/>
                <w:webHidden/>
              </w:rPr>
              <w:tab/>
            </w:r>
            <w:r>
              <w:rPr>
                <w:noProof/>
                <w:webHidden/>
              </w:rPr>
              <w:fldChar w:fldCharType="begin"/>
            </w:r>
            <w:r>
              <w:rPr>
                <w:noProof/>
                <w:webHidden/>
              </w:rPr>
              <w:instrText xml:space="preserve"> PAGEREF _Toc204967841 \h </w:instrText>
            </w:r>
            <w:r>
              <w:rPr>
                <w:noProof/>
                <w:webHidden/>
              </w:rPr>
            </w:r>
            <w:r>
              <w:rPr>
                <w:noProof/>
                <w:webHidden/>
              </w:rPr>
              <w:fldChar w:fldCharType="separate"/>
            </w:r>
            <w:r>
              <w:rPr>
                <w:noProof/>
                <w:webHidden/>
              </w:rPr>
              <w:t>31</w:t>
            </w:r>
            <w:r>
              <w:rPr>
                <w:noProof/>
                <w:webHidden/>
              </w:rPr>
              <w:fldChar w:fldCharType="end"/>
            </w:r>
          </w:hyperlink>
        </w:p>
        <w:p w14:paraId="4ACF5D95" w14:textId="303E3BB0"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42" w:history="1">
            <w:r w:rsidRPr="00132766">
              <w:rPr>
                <w:rStyle w:val="Hyperlink"/>
                <w:noProof/>
              </w:rPr>
              <w:t>3.4</w:t>
            </w:r>
            <w:r>
              <w:rPr>
                <w:rFonts w:asciiTheme="minorHAnsi" w:eastAsiaTheme="minorEastAsia" w:hAnsiTheme="minorHAnsi"/>
                <w:noProof/>
                <w:kern w:val="2"/>
                <w:sz w:val="24"/>
                <w:szCs w:val="24"/>
                <w:lang w:eastAsia="en-GB"/>
                <w14:ligatures w14:val="standardContextual"/>
              </w:rPr>
              <w:tab/>
            </w:r>
            <w:r w:rsidRPr="00132766">
              <w:rPr>
                <w:rStyle w:val="Hyperlink"/>
                <w:noProof/>
              </w:rPr>
              <w:t>What did NGP do?</w:t>
            </w:r>
            <w:r>
              <w:rPr>
                <w:noProof/>
                <w:webHidden/>
              </w:rPr>
              <w:tab/>
            </w:r>
            <w:r>
              <w:rPr>
                <w:noProof/>
                <w:webHidden/>
              </w:rPr>
              <w:fldChar w:fldCharType="begin"/>
            </w:r>
            <w:r>
              <w:rPr>
                <w:noProof/>
                <w:webHidden/>
              </w:rPr>
              <w:instrText xml:space="preserve"> PAGEREF _Toc204967842 \h </w:instrText>
            </w:r>
            <w:r>
              <w:rPr>
                <w:noProof/>
                <w:webHidden/>
              </w:rPr>
            </w:r>
            <w:r>
              <w:rPr>
                <w:noProof/>
                <w:webHidden/>
              </w:rPr>
              <w:fldChar w:fldCharType="separate"/>
            </w:r>
            <w:r>
              <w:rPr>
                <w:noProof/>
                <w:webHidden/>
              </w:rPr>
              <w:t>31</w:t>
            </w:r>
            <w:r>
              <w:rPr>
                <w:noProof/>
                <w:webHidden/>
              </w:rPr>
              <w:fldChar w:fldCharType="end"/>
            </w:r>
          </w:hyperlink>
        </w:p>
        <w:p w14:paraId="1045FC11" w14:textId="215756F6"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43" w:history="1">
            <w:r w:rsidRPr="00132766">
              <w:rPr>
                <w:rStyle w:val="Hyperlink"/>
                <w:noProof/>
              </w:rPr>
              <w:t>3.5</w:t>
            </w:r>
            <w:r>
              <w:rPr>
                <w:rFonts w:asciiTheme="minorHAnsi" w:eastAsiaTheme="minorEastAsia" w:hAnsiTheme="minorHAnsi"/>
                <w:noProof/>
                <w:kern w:val="2"/>
                <w:sz w:val="24"/>
                <w:szCs w:val="24"/>
                <w:lang w:eastAsia="en-GB"/>
                <w14:ligatures w14:val="standardContextual"/>
              </w:rPr>
              <w:tab/>
            </w:r>
            <w:r w:rsidRPr="00132766">
              <w:rPr>
                <w:rStyle w:val="Hyperlink"/>
                <w:noProof/>
              </w:rPr>
              <w:t>Intermediate outcomes – What changed?</w:t>
            </w:r>
            <w:r>
              <w:rPr>
                <w:noProof/>
                <w:webHidden/>
              </w:rPr>
              <w:tab/>
            </w:r>
            <w:r>
              <w:rPr>
                <w:noProof/>
                <w:webHidden/>
              </w:rPr>
              <w:fldChar w:fldCharType="begin"/>
            </w:r>
            <w:r>
              <w:rPr>
                <w:noProof/>
                <w:webHidden/>
              </w:rPr>
              <w:instrText xml:space="preserve"> PAGEREF _Toc204967843 \h </w:instrText>
            </w:r>
            <w:r>
              <w:rPr>
                <w:noProof/>
                <w:webHidden/>
              </w:rPr>
            </w:r>
            <w:r>
              <w:rPr>
                <w:noProof/>
                <w:webHidden/>
              </w:rPr>
              <w:fldChar w:fldCharType="separate"/>
            </w:r>
            <w:r>
              <w:rPr>
                <w:noProof/>
                <w:webHidden/>
              </w:rPr>
              <w:t>32</w:t>
            </w:r>
            <w:r>
              <w:rPr>
                <w:noProof/>
                <w:webHidden/>
              </w:rPr>
              <w:fldChar w:fldCharType="end"/>
            </w:r>
          </w:hyperlink>
        </w:p>
        <w:p w14:paraId="67E3D0F8" w14:textId="2A4E5E41"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44" w:history="1">
            <w:r w:rsidRPr="00132766">
              <w:rPr>
                <w:rStyle w:val="Hyperlink"/>
                <w:noProof/>
              </w:rPr>
              <w:t>3.6</w:t>
            </w:r>
            <w:r>
              <w:rPr>
                <w:rFonts w:asciiTheme="minorHAnsi" w:eastAsiaTheme="minorEastAsia" w:hAnsiTheme="minorHAnsi"/>
                <w:noProof/>
                <w:kern w:val="2"/>
                <w:sz w:val="24"/>
                <w:szCs w:val="24"/>
                <w:lang w:eastAsia="en-GB"/>
                <w14:ligatures w14:val="standardContextual"/>
              </w:rPr>
              <w:tab/>
            </w:r>
            <w:r w:rsidRPr="00132766">
              <w:rPr>
                <w:rStyle w:val="Hyperlink"/>
                <w:noProof/>
              </w:rPr>
              <w:t>How effective was the implementation of NGP?</w:t>
            </w:r>
            <w:r>
              <w:rPr>
                <w:noProof/>
                <w:webHidden/>
              </w:rPr>
              <w:tab/>
            </w:r>
            <w:r>
              <w:rPr>
                <w:noProof/>
                <w:webHidden/>
              </w:rPr>
              <w:fldChar w:fldCharType="begin"/>
            </w:r>
            <w:r>
              <w:rPr>
                <w:noProof/>
                <w:webHidden/>
              </w:rPr>
              <w:instrText xml:space="preserve"> PAGEREF _Toc204967844 \h </w:instrText>
            </w:r>
            <w:r>
              <w:rPr>
                <w:noProof/>
                <w:webHidden/>
              </w:rPr>
            </w:r>
            <w:r>
              <w:rPr>
                <w:noProof/>
                <w:webHidden/>
              </w:rPr>
              <w:fldChar w:fldCharType="separate"/>
            </w:r>
            <w:r>
              <w:rPr>
                <w:noProof/>
                <w:webHidden/>
              </w:rPr>
              <w:t>33</w:t>
            </w:r>
            <w:r>
              <w:rPr>
                <w:noProof/>
                <w:webHidden/>
              </w:rPr>
              <w:fldChar w:fldCharType="end"/>
            </w:r>
          </w:hyperlink>
        </w:p>
        <w:p w14:paraId="29D4AE29" w14:textId="7E6C222F"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45" w:history="1">
            <w:r w:rsidRPr="00132766">
              <w:rPr>
                <w:rStyle w:val="Hyperlink"/>
                <w:noProof/>
              </w:rPr>
              <w:t>3.7</w:t>
            </w:r>
            <w:r>
              <w:rPr>
                <w:rFonts w:asciiTheme="minorHAnsi" w:eastAsiaTheme="minorEastAsia" w:hAnsiTheme="minorHAnsi"/>
                <w:noProof/>
                <w:kern w:val="2"/>
                <w:sz w:val="24"/>
                <w:szCs w:val="24"/>
                <w:lang w:eastAsia="en-GB"/>
                <w14:ligatures w14:val="standardContextual"/>
              </w:rPr>
              <w:tab/>
            </w:r>
            <w:r w:rsidRPr="00132766">
              <w:rPr>
                <w:rStyle w:val="Hyperlink"/>
                <w:noProof/>
              </w:rPr>
              <w:t>What were other advocates/actors doing during the same period?</w:t>
            </w:r>
            <w:r>
              <w:rPr>
                <w:noProof/>
                <w:webHidden/>
              </w:rPr>
              <w:tab/>
            </w:r>
            <w:r>
              <w:rPr>
                <w:noProof/>
                <w:webHidden/>
              </w:rPr>
              <w:fldChar w:fldCharType="begin"/>
            </w:r>
            <w:r>
              <w:rPr>
                <w:noProof/>
                <w:webHidden/>
              </w:rPr>
              <w:instrText xml:space="preserve"> PAGEREF _Toc204967845 \h </w:instrText>
            </w:r>
            <w:r>
              <w:rPr>
                <w:noProof/>
                <w:webHidden/>
              </w:rPr>
            </w:r>
            <w:r>
              <w:rPr>
                <w:noProof/>
                <w:webHidden/>
              </w:rPr>
              <w:fldChar w:fldCharType="separate"/>
            </w:r>
            <w:r>
              <w:rPr>
                <w:noProof/>
                <w:webHidden/>
              </w:rPr>
              <w:t>34</w:t>
            </w:r>
            <w:r>
              <w:rPr>
                <w:noProof/>
                <w:webHidden/>
              </w:rPr>
              <w:fldChar w:fldCharType="end"/>
            </w:r>
          </w:hyperlink>
        </w:p>
        <w:p w14:paraId="5F2A1C3B" w14:textId="61330444"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46" w:history="1">
            <w:r w:rsidRPr="00132766">
              <w:rPr>
                <w:rStyle w:val="Hyperlink"/>
                <w:noProof/>
              </w:rPr>
              <w:t>3.8</w:t>
            </w:r>
            <w:r>
              <w:rPr>
                <w:rFonts w:asciiTheme="minorHAnsi" w:eastAsiaTheme="minorEastAsia" w:hAnsiTheme="minorHAnsi"/>
                <w:noProof/>
                <w:kern w:val="2"/>
                <w:sz w:val="24"/>
                <w:szCs w:val="24"/>
                <w:lang w:eastAsia="en-GB"/>
                <w14:ligatures w14:val="standardContextual"/>
              </w:rPr>
              <w:tab/>
            </w:r>
            <w:r w:rsidRPr="00132766">
              <w:rPr>
                <w:rStyle w:val="Hyperlink"/>
                <w:noProof/>
              </w:rPr>
              <w:t>What were the key factors in determining the outcome?</w:t>
            </w:r>
            <w:r>
              <w:rPr>
                <w:noProof/>
                <w:webHidden/>
              </w:rPr>
              <w:tab/>
            </w:r>
            <w:r>
              <w:rPr>
                <w:noProof/>
                <w:webHidden/>
              </w:rPr>
              <w:fldChar w:fldCharType="begin"/>
            </w:r>
            <w:r>
              <w:rPr>
                <w:noProof/>
                <w:webHidden/>
              </w:rPr>
              <w:instrText xml:space="preserve"> PAGEREF _Toc204967846 \h </w:instrText>
            </w:r>
            <w:r>
              <w:rPr>
                <w:noProof/>
                <w:webHidden/>
              </w:rPr>
            </w:r>
            <w:r>
              <w:rPr>
                <w:noProof/>
                <w:webHidden/>
              </w:rPr>
              <w:fldChar w:fldCharType="separate"/>
            </w:r>
            <w:r>
              <w:rPr>
                <w:noProof/>
                <w:webHidden/>
              </w:rPr>
              <w:t>34</w:t>
            </w:r>
            <w:r>
              <w:rPr>
                <w:noProof/>
                <w:webHidden/>
              </w:rPr>
              <w:fldChar w:fldCharType="end"/>
            </w:r>
          </w:hyperlink>
        </w:p>
        <w:p w14:paraId="6D89EC41" w14:textId="55ED016F" w:rsidR="00776E8D" w:rsidRDefault="00776E8D">
          <w:pPr>
            <w:pStyle w:val="TOC1"/>
            <w:rPr>
              <w:rFonts w:asciiTheme="minorHAnsi" w:eastAsiaTheme="minorEastAsia" w:hAnsiTheme="minorHAnsi"/>
              <w:b w:val="0"/>
              <w:noProof/>
              <w:kern w:val="2"/>
              <w:sz w:val="24"/>
              <w:szCs w:val="24"/>
              <w:lang w:eastAsia="en-GB"/>
              <w14:ligatures w14:val="standardContextual"/>
            </w:rPr>
          </w:pPr>
          <w:hyperlink w:anchor="_Toc204967847" w:history="1">
            <w:r w:rsidRPr="00132766">
              <w:rPr>
                <w:rStyle w:val="Hyperlink"/>
                <w:noProof/>
              </w:rPr>
              <w:t>4.</w:t>
            </w:r>
            <w:r>
              <w:rPr>
                <w:rFonts w:asciiTheme="minorHAnsi" w:eastAsiaTheme="minorEastAsia" w:hAnsiTheme="minorHAnsi"/>
                <w:b w:val="0"/>
                <w:noProof/>
                <w:kern w:val="2"/>
                <w:sz w:val="24"/>
                <w:szCs w:val="24"/>
                <w:lang w:eastAsia="en-GB"/>
                <w14:ligatures w14:val="standardContextual"/>
              </w:rPr>
              <w:tab/>
            </w:r>
            <w:r w:rsidRPr="00132766">
              <w:rPr>
                <w:rStyle w:val="Hyperlink"/>
                <w:noProof/>
              </w:rPr>
              <w:t>Case study 4: Republic of the Marshall Islands and the High Ambition Coalition</w:t>
            </w:r>
            <w:r>
              <w:rPr>
                <w:noProof/>
                <w:webHidden/>
              </w:rPr>
              <w:tab/>
            </w:r>
            <w:r>
              <w:rPr>
                <w:noProof/>
                <w:webHidden/>
              </w:rPr>
              <w:fldChar w:fldCharType="begin"/>
            </w:r>
            <w:r>
              <w:rPr>
                <w:noProof/>
                <w:webHidden/>
              </w:rPr>
              <w:instrText xml:space="preserve"> PAGEREF _Toc204967847 \h </w:instrText>
            </w:r>
            <w:r>
              <w:rPr>
                <w:noProof/>
                <w:webHidden/>
              </w:rPr>
            </w:r>
            <w:r>
              <w:rPr>
                <w:noProof/>
                <w:webHidden/>
              </w:rPr>
              <w:fldChar w:fldCharType="separate"/>
            </w:r>
            <w:r>
              <w:rPr>
                <w:noProof/>
                <w:webHidden/>
              </w:rPr>
              <w:t>38</w:t>
            </w:r>
            <w:r>
              <w:rPr>
                <w:noProof/>
                <w:webHidden/>
              </w:rPr>
              <w:fldChar w:fldCharType="end"/>
            </w:r>
          </w:hyperlink>
        </w:p>
        <w:p w14:paraId="5F397E3C" w14:textId="05712D05"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48" w:history="1">
            <w:r w:rsidRPr="00132766">
              <w:rPr>
                <w:rStyle w:val="Hyperlink"/>
                <w:noProof/>
              </w:rPr>
              <w:t>4.1</w:t>
            </w:r>
            <w:r>
              <w:rPr>
                <w:rFonts w:asciiTheme="minorHAnsi" w:eastAsiaTheme="minorEastAsia" w:hAnsiTheme="minorHAnsi"/>
                <w:noProof/>
                <w:kern w:val="2"/>
                <w:sz w:val="24"/>
                <w:szCs w:val="24"/>
                <w:lang w:eastAsia="en-GB"/>
                <w14:ligatures w14:val="standardContextual"/>
              </w:rPr>
              <w:tab/>
            </w:r>
            <w:r w:rsidRPr="00132766">
              <w:rPr>
                <w:rStyle w:val="Hyperlink"/>
                <w:noProof/>
              </w:rPr>
              <w:t>Summary of CASA II contribution</w:t>
            </w:r>
            <w:r>
              <w:rPr>
                <w:noProof/>
                <w:webHidden/>
              </w:rPr>
              <w:tab/>
            </w:r>
            <w:r>
              <w:rPr>
                <w:noProof/>
                <w:webHidden/>
              </w:rPr>
              <w:fldChar w:fldCharType="begin"/>
            </w:r>
            <w:r>
              <w:rPr>
                <w:noProof/>
                <w:webHidden/>
              </w:rPr>
              <w:instrText xml:space="preserve"> PAGEREF _Toc204967848 \h </w:instrText>
            </w:r>
            <w:r>
              <w:rPr>
                <w:noProof/>
                <w:webHidden/>
              </w:rPr>
            </w:r>
            <w:r>
              <w:rPr>
                <w:noProof/>
                <w:webHidden/>
              </w:rPr>
              <w:fldChar w:fldCharType="separate"/>
            </w:r>
            <w:r>
              <w:rPr>
                <w:noProof/>
                <w:webHidden/>
              </w:rPr>
              <w:t>38</w:t>
            </w:r>
            <w:r>
              <w:rPr>
                <w:noProof/>
                <w:webHidden/>
              </w:rPr>
              <w:fldChar w:fldCharType="end"/>
            </w:r>
          </w:hyperlink>
        </w:p>
        <w:p w14:paraId="3BACB11E" w14:textId="54983F7F"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49" w:history="1">
            <w:r w:rsidRPr="00132766">
              <w:rPr>
                <w:rStyle w:val="Hyperlink"/>
                <w:noProof/>
              </w:rPr>
              <w:t>4.2</w:t>
            </w:r>
            <w:r>
              <w:rPr>
                <w:rFonts w:asciiTheme="minorHAnsi" w:eastAsiaTheme="minorEastAsia" w:hAnsiTheme="minorHAnsi"/>
                <w:noProof/>
                <w:kern w:val="2"/>
                <w:sz w:val="24"/>
                <w:szCs w:val="24"/>
                <w:lang w:eastAsia="en-GB"/>
                <w14:ligatures w14:val="standardContextual"/>
              </w:rPr>
              <w:tab/>
            </w:r>
            <w:r w:rsidRPr="00132766">
              <w:rPr>
                <w:rStyle w:val="Hyperlink"/>
                <w:noProof/>
              </w:rPr>
              <w:t>Summary of the contribution of other actors and factors</w:t>
            </w:r>
            <w:r>
              <w:rPr>
                <w:noProof/>
                <w:webHidden/>
              </w:rPr>
              <w:tab/>
            </w:r>
            <w:r>
              <w:rPr>
                <w:noProof/>
                <w:webHidden/>
              </w:rPr>
              <w:fldChar w:fldCharType="begin"/>
            </w:r>
            <w:r>
              <w:rPr>
                <w:noProof/>
                <w:webHidden/>
              </w:rPr>
              <w:instrText xml:space="preserve"> PAGEREF _Toc204967849 \h </w:instrText>
            </w:r>
            <w:r>
              <w:rPr>
                <w:noProof/>
                <w:webHidden/>
              </w:rPr>
            </w:r>
            <w:r>
              <w:rPr>
                <w:noProof/>
                <w:webHidden/>
              </w:rPr>
              <w:fldChar w:fldCharType="separate"/>
            </w:r>
            <w:r>
              <w:rPr>
                <w:noProof/>
                <w:webHidden/>
              </w:rPr>
              <w:t>38</w:t>
            </w:r>
            <w:r>
              <w:rPr>
                <w:noProof/>
                <w:webHidden/>
              </w:rPr>
              <w:fldChar w:fldCharType="end"/>
            </w:r>
          </w:hyperlink>
        </w:p>
        <w:p w14:paraId="6B13A642" w14:textId="06A9406F"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50" w:history="1">
            <w:r w:rsidRPr="00132766">
              <w:rPr>
                <w:rStyle w:val="Hyperlink"/>
                <w:noProof/>
              </w:rPr>
              <w:t>4.3</w:t>
            </w:r>
            <w:r>
              <w:rPr>
                <w:rFonts w:asciiTheme="minorHAnsi" w:eastAsiaTheme="minorEastAsia" w:hAnsiTheme="minorHAnsi"/>
                <w:noProof/>
                <w:kern w:val="2"/>
                <w:sz w:val="24"/>
                <w:szCs w:val="24"/>
                <w:lang w:eastAsia="en-GB"/>
                <w14:ligatures w14:val="standardContextual"/>
              </w:rPr>
              <w:tab/>
            </w:r>
            <w:r w:rsidRPr="00132766">
              <w:rPr>
                <w:rStyle w:val="Hyperlink"/>
                <w:noProof/>
              </w:rPr>
              <w:t>Geographic and temporal context</w:t>
            </w:r>
            <w:r>
              <w:rPr>
                <w:noProof/>
                <w:webHidden/>
              </w:rPr>
              <w:tab/>
            </w:r>
            <w:r>
              <w:rPr>
                <w:noProof/>
                <w:webHidden/>
              </w:rPr>
              <w:fldChar w:fldCharType="begin"/>
            </w:r>
            <w:r>
              <w:rPr>
                <w:noProof/>
                <w:webHidden/>
              </w:rPr>
              <w:instrText xml:space="preserve"> PAGEREF _Toc204967850 \h </w:instrText>
            </w:r>
            <w:r>
              <w:rPr>
                <w:noProof/>
                <w:webHidden/>
              </w:rPr>
            </w:r>
            <w:r>
              <w:rPr>
                <w:noProof/>
                <w:webHidden/>
              </w:rPr>
              <w:fldChar w:fldCharType="separate"/>
            </w:r>
            <w:r>
              <w:rPr>
                <w:noProof/>
                <w:webHidden/>
              </w:rPr>
              <w:t>38</w:t>
            </w:r>
            <w:r>
              <w:rPr>
                <w:noProof/>
                <w:webHidden/>
              </w:rPr>
              <w:fldChar w:fldCharType="end"/>
            </w:r>
          </w:hyperlink>
        </w:p>
        <w:p w14:paraId="6BDE346D" w14:textId="3CBD405B"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51" w:history="1">
            <w:r w:rsidRPr="00132766">
              <w:rPr>
                <w:rStyle w:val="Hyperlink"/>
                <w:noProof/>
              </w:rPr>
              <w:t>4.4</w:t>
            </w:r>
            <w:r>
              <w:rPr>
                <w:rFonts w:asciiTheme="minorHAnsi" w:eastAsiaTheme="minorEastAsia" w:hAnsiTheme="minorHAnsi"/>
                <w:noProof/>
                <w:kern w:val="2"/>
                <w:sz w:val="24"/>
                <w:szCs w:val="24"/>
                <w:lang w:eastAsia="en-GB"/>
                <w14:ligatures w14:val="standardContextual"/>
              </w:rPr>
              <w:tab/>
            </w:r>
            <w:r w:rsidRPr="00132766">
              <w:rPr>
                <w:rStyle w:val="Hyperlink"/>
                <w:noProof/>
              </w:rPr>
              <w:t>What did Independent Diplomat do?</w:t>
            </w:r>
            <w:r>
              <w:rPr>
                <w:noProof/>
                <w:webHidden/>
              </w:rPr>
              <w:tab/>
            </w:r>
            <w:r>
              <w:rPr>
                <w:noProof/>
                <w:webHidden/>
              </w:rPr>
              <w:fldChar w:fldCharType="begin"/>
            </w:r>
            <w:r>
              <w:rPr>
                <w:noProof/>
                <w:webHidden/>
              </w:rPr>
              <w:instrText xml:space="preserve"> PAGEREF _Toc204967851 \h </w:instrText>
            </w:r>
            <w:r>
              <w:rPr>
                <w:noProof/>
                <w:webHidden/>
              </w:rPr>
            </w:r>
            <w:r>
              <w:rPr>
                <w:noProof/>
                <w:webHidden/>
              </w:rPr>
              <w:fldChar w:fldCharType="separate"/>
            </w:r>
            <w:r>
              <w:rPr>
                <w:noProof/>
                <w:webHidden/>
              </w:rPr>
              <w:t>40</w:t>
            </w:r>
            <w:r>
              <w:rPr>
                <w:noProof/>
                <w:webHidden/>
              </w:rPr>
              <w:fldChar w:fldCharType="end"/>
            </w:r>
          </w:hyperlink>
        </w:p>
        <w:p w14:paraId="468E1C94" w14:textId="08C8EF5B"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52" w:history="1">
            <w:r w:rsidRPr="00132766">
              <w:rPr>
                <w:rStyle w:val="Hyperlink"/>
                <w:noProof/>
              </w:rPr>
              <w:t>4.5</w:t>
            </w:r>
            <w:r>
              <w:rPr>
                <w:rFonts w:asciiTheme="minorHAnsi" w:eastAsiaTheme="minorEastAsia" w:hAnsiTheme="minorHAnsi"/>
                <w:noProof/>
                <w:kern w:val="2"/>
                <w:sz w:val="24"/>
                <w:szCs w:val="24"/>
                <w:lang w:eastAsia="en-GB"/>
                <w14:ligatures w14:val="standardContextual"/>
              </w:rPr>
              <w:tab/>
            </w:r>
            <w:r w:rsidRPr="00132766">
              <w:rPr>
                <w:rStyle w:val="Hyperlink"/>
                <w:noProof/>
              </w:rPr>
              <w:t xml:space="preserve">Intermediate </w:t>
            </w:r>
            <w:r w:rsidRPr="00132766">
              <w:rPr>
                <w:rStyle w:val="Hyperlink"/>
                <w:bCs/>
                <w:noProof/>
              </w:rPr>
              <w:t>outcomes – What changed?</w:t>
            </w:r>
            <w:r>
              <w:rPr>
                <w:noProof/>
                <w:webHidden/>
              </w:rPr>
              <w:tab/>
            </w:r>
            <w:r>
              <w:rPr>
                <w:noProof/>
                <w:webHidden/>
              </w:rPr>
              <w:fldChar w:fldCharType="begin"/>
            </w:r>
            <w:r>
              <w:rPr>
                <w:noProof/>
                <w:webHidden/>
              </w:rPr>
              <w:instrText xml:space="preserve"> PAGEREF _Toc204967852 \h </w:instrText>
            </w:r>
            <w:r>
              <w:rPr>
                <w:noProof/>
                <w:webHidden/>
              </w:rPr>
            </w:r>
            <w:r>
              <w:rPr>
                <w:noProof/>
                <w:webHidden/>
              </w:rPr>
              <w:fldChar w:fldCharType="separate"/>
            </w:r>
            <w:r>
              <w:rPr>
                <w:noProof/>
                <w:webHidden/>
              </w:rPr>
              <w:t>41</w:t>
            </w:r>
            <w:r>
              <w:rPr>
                <w:noProof/>
                <w:webHidden/>
              </w:rPr>
              <w:fldChar w:fldCharType="end"/>
            </w:r>
          </w:hyperlink>
        </w:p>
        <w:p w14:paraId="54EB31A8" w14:textId="69E15322"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53" w:history="1">
            <w:r w:rsidRPr="00132766">
              <w:rPr>
                <w:rStyle w:val="Hyperlink"/>
                <w:noProof/>
              </w:rPr>
              <w:t>4.6</w:t>
            </w:r>
            <w:r>
              <w:rPr>
                <w:rFonts w:asciiTheme="minorHAnsi" w:eastAsiaTheme="minorEastAsia" w:hAnsiTheme="minorHAnsi"/>
                <w:noProof/>
                <w:kern w:val="2"/>
                <w:sz w:val="24"/>
                <w:szCs w:val="24"/>
                <w:lang w:eastAsia="en-GB"/>
                <w14:ligatures w14:val="standardContextual"/>
              </w:rPr>
              <w:tab/>
            </w:r>
            <w:r w:rsidRPr="00132766">
              <w:rPr>
                <w:rStyle w:val="Hyperlink"/>
                <w:noProof/>
              </w:rPr>
              <w:t>How effective were the TPs during the period?</w:t>
            </w:r>
            <w:r>
              <w:rPr>
                <w:noProof/>
                <w:webHidden/>
              </w:rPr>
              <w:tab/>
            </w:r>
            <w:r>
              <w:rPr>
                <w:noProof/>
                <w:webHidden/>
              </w:rPr>
              <w:fldChar w:fldCharType="begin"/>
            </w:r>
            <w:r>
              <w:rPr>
                <w:noProof/>
                <w:webHidden/>
              </w:rPr>
              <w:instrText xml:space="preserve"> PAGEREF _Toc204967853 \h </w:instrText>
            </w:r>
            <w:r>
              <w:rPr>
                <w:noProof/>
                <w:webHidden/>
              </w:rPr>
            </w:r>
            <w:r>
              <w:rPr>
                <w:noProof/>
                <w:webHidden/>
              </w:rPr>
              <w:fldChar w:fldCharType="separate"/>
            </w:r>
            <w:r>
              <w:rPr>
                <w:noProof/>
                <w:webHidden/>
              </w:rPr>
              <w:t>42</w:t>
            </w:r>
            <w:r>
              <w:rPr>
                <w:noProof/>
                <w:webHidden/>
              </w:rPr>
              <w:fldChar w:fldCharType="end"/>
            </w:r>
          </w:hyperlink>
        </w:p>
        <w:p w14:paraId="5DDCD657" w14:textId="04B8F2D6"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54" w:history="1">
            <w:r w:rsidRPr="00132766">
              <w:rPr>
                <w:rStyle w:val="Hyperlink"/>
                <w:noProof/>
              </w:rPr>
              <w:t>4.7</w:t>
            </w:r>
            <w:r>
              <w:rPr>
                <w:rFonts w:asciiTheme="minorHAnsi" w:eastAsiaTheme="minorEastAsia" w:hAnsiTheme="minorHAnsi"/>
                <w:noProof/>
                <w:kern w:val="2"/>
                <w:sz w:val="24"/>
                <w:szCs w:val="24"/>
                <w:lang w:eastAsia="en-GB"/>
                <w14:ligatures w14:val="standardContextual"/>
              </w:rPr>
              <w:tab/>
            </w:r>
            <w:r w:rsidRPr="00132766">
              <w:rPr>
                <w:rStyle w:val="Hyperlink"/>
                <w:noProof/>
              </w:rPr>
              <w:t>What were other advocates/actors doing during the same period?</w:t>
            </w:r>
            <w:r>
              <w:rPr>
                <w:noProof/>
                <w:webHidden/>
              </w:rPr>
              <w:tab/>
            </w:r>
            <w:r>
              <w:rPr>
                <w:noProof/>
                <w:webHidden/>
              </w:rPr>
              <w:fldChar w:fldCharType="begin"/>
            </w:r>
            <w:r>
              <w:rPr>
                <w:noProof/>
                <w:webHidden/>
              </w:rPr>
              <w:instrText xml:space="preserve"> PAGEREF _Toc204967854 \h </w:instrText>
            </w:r>
            <w:r>
              <w:rPr>
                <w:noProof/>
                <w:webHidden/>
              </w:rPr>
            </w:r>
            <w:r>
              <w:rPr>
                <w:noProof/>
                <w:webHidden/>
              </w:rPr>
              <w:fldChar w:fldCharType="separate"/>
            </w:r>
            <w:r>
              <w:rPr>
                <w:noProof/>
                <w:webHidden/>
              </w:rPr>
              <w:t>42</w:t>
            </w:r>
            <w:r>
              <w:rPr>
                <w:noProof/>
                <w:webHidden/>
              </w:rPr>
              <w:fldChar w:fldCharType="end"/>
            </w:r>
          </w:hyperlink>
        </w:p>
        <w:p w14:paraId="7C17BF6A" w14:textId="6F4E33CE"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55" w:history="1">
            <w:r w:rsidRPr="00132766">
              <w:rPr>
                <w:rStyle w:val="Hyperlink"/>
                <w:noProof/>
              </w:rPr>
              <w:t>4.8</w:t>
            </w:r>
            <w:r>
              <w:rPr>
                <w:rFonts w:asciiTheme="minorHAnsi" w:eastAsiaTheme="minorEastAsia" w:hAnsiTheme="minorHAnsi"/>
                <w:noProof/>
                <w:kern w:val="2"/>
                <w:sz w:val="24"/>
                <w:szCs w:val="24"/>
                <w:lang w:eastAsia="en-GB"/>
                <w14:ligatures w14:val="standardContextual"/>
              </w:rPr>
              <w:tab/>
            </w:r>
            <w:r w:rsidRPr="00132766">
              <w:rPr>
                <w:rStyle w:val="Hyperlink"/>
                <w:noProof/>
              </w:rPr>
              <w:t>What were the key factors in determining the outcome?</w:t>
            </w:r>
            <w:r>
              <w:rPr>
                <w:noProof/>
                <w:webHidden/>
              </w:rPr>
              <w:tab/>
            </w:r>
            <w:r>
              <w:rPr>
                <w:noProof/>
                <w:webHidden/>
              </w:rPr>
              <w:fldChar w:fldCharType="begin"/>
            </w:r>
            <w:r>
              <w:rPr>
                <w:noProof/>
                <w:webHidden/>
              </w:rPr>
              <w:instrText xml:space="preserve"> PAGEREF _Toc204967855 \h </w:instrText>
            </w:r>
            <w:r>
              <w:rPr>
                <w:noProof/>
                <w:webHidden/>
              </w:rPr>
            </w:r>
            <w:r>
              <w:rPr>
                <w:noProof/>
                <w:webHidden/>
              </w:rPr>
              <w:fldChar w:fldCharType="separate"/>
            </w:r>
            <w:r>
              <w:rPr>
                <w:noProof/>
                <w:webHidden/>
              </w:rPr>
              <w:t>43</w:t>
            </w:r>
            <w:r>
              <w:rPr>
                <w:noProof/>
                <w:webHidden/>
              </w:rPr>
              <w:fldChar w:fldCharType="end"/>
            </w:r>
          </w:hyperlink>
        </w:p>
        <w:p w14:paraId="3617305B" w14:textId="2687C906" w:rsidR="00776E8D" w:rsidRDefault="00776E8D">
          <w:pPr>
            <w:pStyle w:val="TOC1"/>
            <w:rPr>
              <w:rFonts w:asciiTheme="minorHAnsi" w:eastAsiaTheme="minorEastAsia" w:hAnsiTheme="minorHAnsi"/>
              <w:b w:val="0"/>
              <w:noProof/>
              <w:kern w:val="2"/>
              <w:sz w:val="24"/>
              <w:szCs w:val="24"/>
              <w:lang w:eastAsia="en-GB"/>
              <w14:ligatures w14:val="standardContextual"/>
            </w:rPr>
          </w:pPr>
          <w:hyperlink w:anchor="_Toc204967856" w:history="1">
            <w:r w:rsidRPr="00132766">
              <w:rPr>
                <w:rStyle w:val="Hyperlink"/>
                <w:noProof/>
              </w:rPr>
              <w:t>5.</w:t>
            </w:r>
            <w:r>
              <w:rPr>
                <w:rFonts w:asciiTheme="minorHAnsi" w:eastAsiaTheme="minorEastAsia" w:hAnsiTheme="minorHAnsi"/>
                <w:b w:val="0"/>
                <w:noProof/>
                <w:kern w:val="2"/>
                <w:sz w:val="24"/>
                <w:szCs w:val="24"/>
                <w:lang w:eastAsia="en-GB"/>
                <w14:ligatures w14:val="standardContextual"/>
              </w:rPr>
              <w:tab/>
            </w:r>
            <w:r w:rsidRPr="00132766">
              <w:rPr>
                <w:rStyle w:val="Hyperlink"/>
                <w:noProof/>
              </w:rPr>
              <w:t>Case study 5: Independent Alliance of Latin America and the Caribbean</w:t>
            </w:r>
            <w:r>
              <w:rPr>
                <w:noProof/>
                <w:webHidden/>
              </w:rPr>
              <w:tab/>
            </w:r>
            <w:r>
              <w:rPr>
                <w:noProof/>
                <w:webHidden/>
              </w:rPr>
              <w:fldChar w:fldCharType="begin"/>
            </w:r>
            <w:r>
              <w:rPr>
                <w:noProof/>
                <w:webHidden/>
              </w:rPr>
              <w:instrText xml:space="preserve"> PAGEREF _Toc204967856 \h </w:instrText>
            </w:r>
            <w:r>
              <w:rPr>
                <w:noProof/>
                <w:webHidden/>
              </w:rPr>
            </w:r>
            <w:r>
              <w:rPr>
                <w:noProof/>
                <w:webHidden/>
              </w:rPr>
              <w:fldChar w:fldCharType="separate"/>
            </w:r>
            <w:r>
              <w:rPr>
                <w:noProof/>
                <w:webHidden/>
              </w:rPr>
              <w:t>46</w:t>
            </w:r>
            <w:r>
              <w:rPr>
                <w:noProof/>
                <w:webHidden/>
              </w:rPr>
              <w:fldChar w:fldCharType="end"/>
            </w:r>
          </w:hyperlink>
        </w:p>
        <w:p w14:paraId="32A6EDCC" w14:textId="6F2C9265"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57" w:history="1">
            <w:r w:rsidRPr="00132766">
              <w:rPr>
                <w:rStyle w:val="Hyperlink"/>
                <w:noProof/>
              </w:rPr>
              <w:t>5.1</w:t>
            </w:r>
            <w:r>
              <w:rPr>
                <w:rFonts w:asciiTheme="minorHAnsi" w:eastAsiaTheme="minorEastAsia" w:hAnsiTheme="minorHAnsi"/>
                <w:noProof/>
                <w:kern w:val="2"/>
                <w:sz w:val="24"/>
                <w:szCs w:val="24"/>
                <w:lang w:eastAsia="en-GB"/>
                <w14:ligatures w14:val="standardContextual"/>
              </w:rPr>
              <w:tab/>
            </w:r>
            <w:r w:rsidRPr="00132766">
              <w:rPr>
                <w:rStyle w:val="Hyperlink"/>
                <w:noProof/>
              </w:rPr>
              <w:t>Summary of CASA II contribution</w:t>
            </w:r>
            <w:r>
              <w:rPr>
                <w:noProof/>
                <w:webHidden/>
              </w:rPr>
              <w:tab/>
            </w:r>
            <w:r>
              <w:rPr>
                <w:noProof/>
                <w:webHidden/>
              </w:rPr>
              <w:fldChar w:fldCharType="begin"/>
            </w:r>
            <w:r>
              <w:rPr>
                <w:noProof/>
                <w:webHidden/>
              </w:rPr>
              <w:instrText xml:space="preserve"> PAGEREF _Toc204967857 \h </w:instrText>
            </w:r>
            <w:r>
              <w:rPr>
                <w:noProof/>
                <w:webHidden/>
              </w:rPr>
            </w:r>
            <w:r>
              <w:rPr>
                <w:noProof/>
                <w:webHidden/>
              </w:rPr>
              <w:fldChar w:fldCharType="separate"/>
            </w:r>
            <w:r>
              <w:rPr>
                <w:noProof/>
                <w:webHidden/>
              </w:rPr>
              <w:t>46</w:t>
            </w:r>
            <w:r>
              <w:rPr>
                <w:noProof/>
                <w:webHidden/>
              </w:rPr>
              <w:fldChar w:fldCharType="end"/>
            </w:r>
          </w:hyperlink>
        </w:p>
        <w:p w14:paraId="48FD83AD" w14:textId="3CA473E8"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58" w:history="1">
            <w:r w:rsidRPr="00132766">
              <w:rPr>
                <w:rStyle w:val="Hyperlink"/>
                <w:noProof/>
              </w:rPr>
              <w:t>5.2</w:t>
            </w:r>
            <w:r>
              <w:rPr>
                <w:rFonts w:asciiTheme="minorHAnsi" w:eastAsiaTheme="minorEastAsia" w:hAnsiTheme="minorHAnsi"/>
                <w:noProof/>
                <w:kern w:val="2"/>
                <w:sz w:val="24"/>
                <w:szCs w:val="24"/>
                <w:lang w:eastAsia="en-GB"/>
                <w14:ligatures w14:val="standardContextual"/>
              </w:rPr>
              <w:tab/>
            </w:r>
            <w:r w:rsidRPr="00132766">
              <w:rPr>
                <w:rStyle w:val="Hyperlink"/>
                <w:noProof/>
              </w:rPr>
              <w:t>Summary of the contribution of other actors and factors</w:t>
            </w:r>
            <w:r>
              <w:rPr>
                <w:noProof/>
                <w:webHidden/>
              </w:rPr>
              <w:tab/>
            </w:r>
            <w:r>
              <w:rPr>
                <w:noProof/>
                <w:webHidden/>
              </w:rPr>
              <w:fldChar w:fldCharType="begin"/>
            </w:r>
            <w:r>
              <w:rPr>
                <w:noProof/>
                <w:webHidden/>
              </w:rPr>
              <w:instrText xml:space="preserve"> PAGEREF _Toc204967858 \h </w:instrText>
            </w:r>
            <w:r>
              <w:rPr>
                <w:noProof/>
                <w:webHidden/>
              </w:rPr>
            </w:r>
            <w:r>
              <w:rPr>
                <w:noProof/>
                <w:webHidden/>
              </w:rPr>
              <w:fldChar w:fldCharType="separate"/>
            </w:r>
            <w:r>
              <w:rPr>
                <w:noProof/>
                <w:webHidden/>
              </w:rPr>
              <w:t>46</w:t>
            </w:r>
            <w:r>
              <w:rPr>
                <w:noProof/>
                <w:webHidden/>
              </w:rPr>
              <w:fldChar w:fldCharType="end"/>
            </w:r>
          </w:hyperlink>
        </w:p>
        <w:p w14:paraId="40B15226" w14:textId="617DB4EC"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59" w:history="1">
            <w:r w:rsidRPr="00132766">
              <w:rPr>
                <w:rStyle w:val="Hyperlink"/>
                <w:noProof/>
              </w:rPr>
              <w:t>5.3</w:t>
            </w:r>
            <w:r>
              <w:rPr>
                <w:rFonts w:asciiTheme="minorHAnsi" w:eastAsiaTheme="minorEastAsia" w:hAnsiTheme="minorHAnsi"/>
                <w:noProof/>
                <w:kern w:val="2"/>
                <w:sz w:val="24"/>
                <w:szCs w:val="24"/>
                <w:lang w:eastAsia="en-GB"/>
                <w14:ligatures w14:val="standardContextual"/>
              </w:rPr>
              <w:tab/>
            </w:r>
            <w:r w:rsidRPr="00132766">
              <w:rPr>
                <w:rStyle w:val="Hyperlink"/>
                <w:noProof/>
              </w:rPr>
              <w:t>Geographic and temporal context</w:t>
            </w:r>
            <w:r>
              <w:rPr>
                <w:noProof/>
                <w:webHidden/>
              </w:rPr>
              <w:tab/>
            </w:r>
            <w:r>
              <w:rPr>
                <w:noProof/>
                <w:webHidden/>
              </w:rPr>
              <w:fldChar w:fldCharType="begin"/>
            </w:r>
            <w:r>
              <w:rPr>
                <w:noProof/>
                <w:webHidden/>
              </w:rPr>
              <w:instrText xml:space="preserve"> PAGEREF _Toc204967859 \h </w:instrText>
            </w:r>
            <w:r>
              <w:rPr>
                <w:noProof/>
                <w:webHidden/>
              </w:rPr>
            </w:r>
            <w:r>
              <w:rPr>
                <w:noProof/>
                <w:webHidden/>
              </w:rPr>
              <w:fldChar w:fldCharType="separate"/>
            </w:r>
            <w:r>
              <w:rPr>
                <w:noProof/>
                <w:webHidden/>
              </w:rPr>
              <w:t>46</w:t>
            </w:r>
            <w:r>
              <w:rPr>
                <w:noProof/>
                <w:webHidden/>
              </w:rPr>
              <w:fldChar w:fldCharType="end"/>
            </w:r>
          </w:hyperlink>
        </w:p>
        <w:p w14:paraId="6DA94E86" w14:textId="4A897B03"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60" w:history="1">
            <w:r w:rsidRPr="00132766">
              <w:rPr>
                <w:rStyle w:val="Hyperlink"/>
                <w:noProof/>
              </w:rPr>
              <w:t>5.4</w:t>
            </w:r>
            <w:r>
              <w:rPr>
                <w:rFonts w:asciiTheme="minorHAnsi" w:eastAsiaTheme="minorEastAsia" w:hAnsiTheme="minorHAnsi"/>
                <w:noProof/>
                <w:kern w:val="2"/>
                <w:sz w:val="24"/>
                <w:szCs w:val="24"/>
                <w:lang w:eastAsia="en-GB"/>
                <w14:ligatures w14:val="standardContextual"/>
              </w:rPr>
              <w:tab/>
            </w:r>
            <w:r w:rsidRPr="00132766">
              <w:rPr>
                <w:rStyle w:val="Hyperlink"/>
                <w:noProof/>
              </w:rPr>
              <w:t>What did the TP do?</w:t>
            </w:r>
            <w:r>
              <w:rPr>
                <w:noProof/>
                <w:webHidden/>
              </w:rPr>
              <w:tab/>
            </w:r>
            <w:r>
              <w:rPr>
                <w:noProof/>
                <w:webHidden/>
              </w:rPr>
              <w:fldChar w:fldCharType="begin"/>
            </w:r>
            <w:r>
              <w:rPr>
                <w:noProof/>
                <w:webHidden/>
              </w:rPr>
              <w:instrText xml:space="preserve"> PAGEREF _Toc204967860 \h </w:instrText>
            </w:r>
            <w:r>
              <w:rPr>
                <w:noProof/>
                <w:webHidden/>
              </w:rPr>
            </w:r>
            <w:r>
              <w:rPr>
                <w:noProof/>
                <w:webHidden/>
              </w:rPr>
              <w:fldChar w:fldCharType="separate"/>
            </w:r>
            <w:r>
              <w:rPr>
                <w:noProof/>
                <w:webHidden/>
              </w:rPr>
              <w:t>47</w:t>
            </w:r>
            <w:r>
              <w:rPr>
                <w:noProof/>
                <w:webHidden/>
              </w:rPr>
              <w:fldChar w:fldCharType="end"/>
            </w:r>
          </w:hyperlink>
        </w:p>
        <w:p w14:paraId="133658E7" w14:textId="33D9C1F4"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61" w:history="1">
            <w:r w:rsidRPr="00132766">
              <w:rPr>
                <w:rStyle w:val="Hyperlink"/>
                <w:noProof/>
              </w:rPr>
              <w:t>5.5</w:t>
            </w:r>
            <w:r>
              <w:rPr>
                <w:rFonts w:asciiTheme="minorHAnsi" w:eastAsiaTheme="minorEastAsia" w:hAnsiTheme="minorHAnsi"/>
                <w:noProof/>
                <w:kern w:val="2"/>
                <w:sz w:val="24"/>
                <w:szCs w:val="24"/>
                <w:lang w:eastAsia="en-GB"/>
                <w14:ligatures w14:val="standardContextual"/>
              </w:rPr>
              <w:tab/>
            </w:r>
            <w:r w:rsidRPr="00132766">
              <w:rPr>
                <w:rStyle w:val="Hyperlink"/>
                <w:noProof/>
              </w:rPr>
              <w:t>Intermediate outcomes – What changed?</w:t>
            </w:r>
            <w:r>
              <w:rPr>
                <w:noProof/>
                <w:webHidden/>
              </w:rPr>
              <w:tab/>
            </w:r>
            <w:r>
              <w:rPr>
                <w:noProof/>
                <w:webHidden/>
              </w:rPr>
              <w:fldChar w:fldCharType="begin"/>
            </w:r>
            <w:r>
              <w:rPr>
                <w:noProof/>
                <w:webHidden/>
              </w:rPr>
              <w:instrText xml:space="preserve"> PAGEREF _Toc204967861 \h </w:instrText>
            </w:r>
            <w:r>
              <w:rPr>
                <w:noProof/>
                <w:webHidden/>
              </w:rPr>
            </w:r>
            <w:r>
              <w:rPr>
                <w:noProof/>
                <w:webHidden/>
              </w:rPr>
              <w:fldChar w:fldCharType="separate"/>
            </w:r>
            <w:r>
              <w:rPr>
                <w:noProof/>
                <w:webHidden/>
              </w:rPr>
              <w:t>48</w:t>
            </w:r>
            <w:r>
              <w:rPr>
                <w:noProof/>
                <w:webHidden/>
              </w:rPr>
              <w:fldChar w:fldCharType="end"/>
            </w:r>
          </w:hyperlink>
        </w:p>
        <w:p w14:paraId="26FD50E3" w14:textId="469855A5"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62" w:history="1">
            <w:r w:rsidRPr="00132766">
              <w:rPr>
                <w:rStyle w:val="Hyperlink"/>
                <w:noProof/>
              </w:rPr>
              <w:t>5.6</w:t>
            </w:r>
            <w:r>
              <w:rPr>
                <w:rFonts w:asciiTheme="minorHAnsi" w:eastAsiaTheme="minorEastAsia" w:hAnsiTheme="minorHAnsi"/>
                <w:noProof/>
                <w:kern w:val="2"/>
                <w:sz w:val="24"/>
                <w:szCs w:val="24"/>
                <w:lang w:eastAsia="en-GB"/>
                <w14:ligatures w14:val="standardContextual"/>
              </w:rPr>
              <w:tab/>
            </w:r>
            <w:r w:rsidRPr="00132766">
              <w:rPr>
                <w:rStyle w:val="Hyperlink"/>
                <w:noProof/>
              </w:rPr>
              <w:t>How effective were the TPs during the period?</w:t>
            </w:r>
            <w:r>
              <w:rPr>
                <w:noProof/>
                <w:webHidden/>
              </w:rPr>
              <w:tab/>
            </w:r>
            <w:r>
              <w:rPr>
                <w:noProof/>
                <w:webHidden/>
              </w:rPr>
              <w:fldChar w:fldCharType="begin"/>
            </w:r>
            <w:r>
              <w:rPr>
                <w:noProof/>
                <w:webHidden/>
              </w:rPr>
              <w:instrText xml:space="preserve"> PAGEREF _Toc204967862 \h </w:instrText>
            </w:r>
            <w:r>
              <w:rPr>
                <w:noProof/>
                <w:webHidden/>
              </w:rPr>
            </w:r>
            <w:r>
              <w:rPr>
                <w:noProof/>
                <w:webHidden/>
              </w:rPr>
              <w:fldChar w:fldCharType="separate"/>
            </w:r>
            <w:r>
              <w:rPr>
                <w:noProof/>
                <w:webHidden/>
              </w:rPr>
              <w:t>49</w:t>
            </w:r>
            <w:r>
              <w:rPr>
                <w:noProof/>
                <w:webHidden/>
              </w:rPr>
              <w:fldChar w:fldCharType="end"/>
            </w:r>
          </w:hyperlink>
        </w:p>
        <w:p w14:paraId="5F14EC6E" w14:textId="5BA886B2"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63" w:history="1">
            <w:r w:rsidRPr="00132766">
              <w:rPr>
                <w:rStyle w:val="Hyperlink"/>
                <w:noProof/>
              </w:rPr>
              <w:t>5.7</w:t>
            </w:r>
            <w:r>
              <w:rPr>
                <w:rFonts w:asciiTheme="minorHAnsi" w:eastAsiaTheme="minorEastAsia" w:hAnsiTheme="minorHAnsi"/>
                <w:noProof/>
                <w:kern w:val="2"/>
                <w:sz w:val="24"/>
                <w:szCs w:val="24"/>
                <w:lang w:eastAsia="en-GB"/>
                <w14:ligatures w14:val="standardContextual"/>
              </w:rPr>
              <w:tab/>
            </w:r>
            <w:r w:rsidRPr="00132766">
              <w:rPr>
                <w:rStyle w:val="Hyperlink"/>
                <w:noProof/>
              </w:rPr>
              <w:t>What were other advocates/actors doing during the same period?</w:t>
            </w:r>
            <w:r>
              <w:rPr>
                <w:noProof/>
                <w:webHidden/>
              </w:rPr>
              <w:tab/>
            </w:r>
            <w:r>
              <w:rPr>
                <w:noProof/>
                <w:webHidden/>
              </w:rPr>
              <w:fldChar w:fldCharType="begin"/>
            </w:r>
            <w:r>
              <w:rPr>
                <w:noProof/>
                <w:webHidden/>
              </w:rPr>
              <w:instrText xml:space="preserve"> PAGEREF _Toc204967863 \h </w:instrText>
            </w:r>
            <w:r>
              <w:rPr>
                <w:noProof/>
                <w:webHidden/>
              </w:rPr>
            </w:r>
            <w:r>
              <w:rPr>
                <w:noProof/>
                <w:webHidden/>
              </w:rPr>
              <w:fldChar w:fldCharType="separate"/>
            </w:r>
            <w:r>
              <w:rPr>
                <w:noProof/>
                <w:webHidden/>
              </w:rPr>
              <w:t>49</w:t>
            </w:r>
            <w:r>
              <w:rPr>
                <w:noProof/>
                <w:webHidden/>
              </w:rPr>
              <w:fldChar w:fldCharType="end"/>
            </w:r>
          </w:hyperlink>
        </w:p>
        <w:p w14:paraId="40BF1B3E" w14:textId="365C3F78"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64" w:history="1">
            <w:r w:rsidRPr="00132766">
              <w:rPr>
                <w:rStyle w:val="Hyperlink"/>
                <w:noProof/>
              </w:rPr>
              <w:t>5.8</w:t>
            </w:r>
            <w:r>
              <w:rPr>
                <w:rFonts w:asciiTheme="minorHAnsi" w:eastAsiaTheme="minorEastAsia" w:hAnsiTheme="minorHAnsi"/>
                <w:noProof/>
                <w:kern w:val="2"/>
                <w:sz w:val="24"/>
                <w:szCs w:val="24"/>
                <w:lang w:eastAsia="en-GB"/>
                <w14:ligatures w14:val="standardContextual"/>
              </w:rPr>
              <w:tab/>
            </w:r>
            <w:r w:rsidRPr="00132766">
              <w:rPr>
                <w:rStyle w:val="Hyperlink"/>
                <w:noProof/>
              </w:rPr>
              <w:t>What were the key factors in determining the outcome?</w:t>
            </w:r>
            <w:r>
              <w:rPr>
                <w:noProof/>
                <w:webHidden/>
              </w:rPr>
              <w:tab/>
            </w:r>
            <w:r>
              <w:rPr>
                <w:noProof/>
                <w:webHidden/>
              </w:rPr>
              <w:fldChar w:fldCharType="begin"/>
            </w:r>
            <w:r>
              <w:rPr>
                <w:noProof/>
                <w:webHidden/>
              </w:rPr>
              <w:instrText xml:space="preserve"> PAGEREF _Toc204967864 \h </w:instrText>
            </w:r>
            <w:r>
              <w:rPr>
                <w:noProof/>
                <w:webHidden/>
              </w:rPr>
            </w:r>
            <w:r>
              <w:rPr>
                <w:noProof/>
                <w:webHidden/>
              </w:rPr>
              <w:fldChar w:fldCharType="separate"/>
            </w:r>
            <w:r>
              <w:rPr>
                <w:noProof/>
                <w:webHidden/>
              </w:rPr>
              <w:t>49</w:t>
            </w:r>
            <w:r>
              <w:rPr>
                <w:noProof/>
                <w:webHidden/>
              </w:rPr>
              <w:fldChar w:fldCharType="end"/>
            </w:r>
          </w:hyperlink>
        </w:p>
        <w:p w14:paraId="7E84E6D9" w14:textId="54213D83" w:rsidR="00776E8D" w:rsidRDefault="00776E8D">
          <w:pPr>
            <w:pStyle w:val="TOC1"/>
            <w:rPr>
              <w:rFonts w:asciiTheme="minorHAnsi" w:eastAsiaTheme="minorEastAsia" w:hAnsiTheme="minorHAnsi"/>
              <w:b w:val="0"/>
              <w:noProof/>
              <w:kern w:val="2"/>
              <w:sz w:val="24"/>
              <w:szCs w:val="24"/>
              <w:lang w:eastAsia="en-GB"/>
              <w14:ligatures w14:val="standardContextual"/>
            </w:rPr>
          </w:pPr>
          <w:hyperlink w:anchor="_Toc204967865" w:history="1">
            <w:r w:rsidRPr="00132766">
              <w:rPr>
                <w:rStyle w:val="Hyperlink"/>
                <w:noProof/>
              </w:rPr>
              <w:t>6.</w:t>
            </w:r>
            <w:r>
              <w:rPr>
                <w:rFonts w:asciiTheme="minorHAnsi" w:eastAsiaTheme="minorEastAsia" w:hAnsiTheme="minorHAnsi"/>
                <w:b w:val="0"/>
                <w:noProof/>
                <w:kern w:val="2"/>
                <w:sz w:val="24"/>
                <w:szCs w:val="24"/>
                <w:lang w:eastAsia="en-GB"/>
                <w14:ligatures w14:val="standardContextual"/>
              </w:rPr>
              <w:tab/>
            </w:r>
            <w:r w:rsidRPr="00132766">
              <w:rPr>
                <w:rStyle w:val="Hyperlink"/>
                <w:noProof/>
              </w:rPr>
              <w:t>Case study 6: Mountainous Ranges and Nepal</w:t>
            </w:r>
            <w:r>
              <w:rPr>
                <w:noProof/>
                <w:webHidden/>
              </w:rPr>
              <w:tab/>
            </w:r>
            <w:r>
              <w:rPr>
                <w:noProof/>
                <w:webHidden/>
              </w:rPr>
              <w:fldChar w:fldCharType="begin"/>
            </w:r>
            <w:r>
              <w:rPr>
                <w:noProof/>
                <w:webHidden/>
              </w:rPr>
              <w:instrText xml:space="preserve"> PAGEREF _Toc204967865 \h </w:instrText>
            </w:r>
            <w:r>
              <w:rPr>
                <w:noProof/>
                <w:webHidden/>
              </w:rPr>
            </w:r>
            <w:r>
              <w:rPr>
                <w:noProof/>
                <w:webHidden/>
              </w:rPr>
              <w:fldChar w:fldCharType="separate"/>
            </w:r>
            <w:r>
              <w:rPr>
                <w:noProof/>
                <w:webHidden/>
              </w:rPr>
              <w:t>51</w:t>
            </w:r>
            <w:r>
              <w:rPr>
                <w:noProof/>
                <w:webHidden/>
              </w:rPr>
              <w:fldChar w:fldCharType="end"/>
            </w:r>
          </w:hyperlink>
        </w:p>
        <w:p w14:paraId="4B98FE0E" w14:textId="630EA47A"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66" w:history="1">
            <w:r w:rsidRPr="00132766">
              <w:rPr>
                <w:rStyle w:val="Hyperlink"/>
                <w:noProof/>
              </w:rPr>
              <w:t>6.1</w:t>
            </w:r>
            <w:r>
              <w:rPr>
                <w:rFonts w:asciiTheme="minorHAnsi" w:eastAsiaTheme="minorEastAsia" w:hAnsiTheme="minorHAnsi"/>
                <w:noProof/>
                <w:kern w:val="2"/>
                <w:sz w:val="24"/>
                <w:szCs w:val="24"/>
                <w:lang w:eastAsia="en-GB"/>
                <w14:ligatures w14:val="standardContextual"/>
              </w:rPr>
              <w:tab/>
            </w:r>
            <w:r w:rsidRPr="00132766">
              <w:rPr>
                <w:rStyle w:val="Hyperlink"/>
                <w:noProof/>
              </w:rPr>
              <w:t>Summary of CASA II contribution</w:t>
            </w:r>
            <w:r>
              <w:rPr>
                <w:noProof/>
                <w:webHidden/>
              </w:rPr>
              <w:tab/>
            </w:r>
            <w:r>
              <w:rPr>
                <w:noProof/>
                <w:webHidden/>
              </w:rPr>
              <w:fldChar w:fldCharType="begin"/>
            </w:r>
            <w:r>
              <w:rPr>
                <w:noProof/>
                <w:webHidden/>
              </w:rPr>
              <w:instrText xml:space="preserve"> PAGEREF _Toc204967866 \h </w:instrText>
            </w:r>
            <w:r>
              <w:rPr>
                <w:noProof/>
                <w:webHidden/>
              </w:rPr>
            </w:r>
            <w:r>
              <w:rPr>
                <w:noProof/>
                <w:webHidden/>
              </w:rPr>
              <w:fldChar w:fldCharType="separate"/>
            </w:r>
            <w:r>
              <w:rPr>
                <w:noProof/>
                <w:webHidden/>
              </w:rPr>
              <w:t>51</w:t>
            </w:r>
            <w:r>
              <w:rPr>
                <w:noProof/>
                <w:webHidden/>
              </w:rPr>
              <w:fldChar w:fldCharType="end"/>
            </w:r>
          </w:hyperlink>
        </w:p>
        <w:p w14:paraId="4757363A" w14:textId="08067D4B"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67" w:history="1">
            <w:r w:rsidRPr="00132766">
              <w:rPr>
                <w:rStyle w:val="Hyperlink"/>
                <w:noProof/>
              </w:rPr>
              <w:t>6.2</w:t>
            </w:r>
            <w:r>
              <w:rPr>
                <w:rFonts w:asciiTheme="minorHAnsi" w:eastAsiaTheme="minorEastAsia" w:hAnsiTheme="minorHAnsi"/>
                <w:noProof/>
                <w:kern w:val="2"/>
                <w:sz w:val="24"/>
                <w:szCs w:val="24"/>
                <w:lang w:eastAsia="en-GB"/>
                <w14:ligatures w14:val="standardContextual"/>
              </w:rPr>
              <w:tab/>
            </w:r>
            <w:r w:rsidRPr="00132766">
              <w:rPr>
                <w:rStyle w:val="Hyperlink"/>
                <w:noProof/>
              </w:rPr>
              <w:t>Summary of the contribution of other actors and factors</w:t>
            </w:r>
            <w:r>
              <w:rPr>
                <w:noProof/>
                <w:webHidden/>
              </w:rPr>
              <w:tab/>
            </w:r>
            <w:r>
              <w:rPr>
                <w:noProof/>
                <w:webHidden/>
              </w:rPr>
              <w:fldChar w:fldCharType="begin"/>
            </w:r>
            <w:r>
              <w:rPr>
                <w:noProof/>
                <w:webHidden/>
              </w:rPr>
              <w:instrText xml:space="preserve"> PAGEREF _Toc204967867 \h </w:instrText>
            </w:r>
            <w:r>
              <w:rPr>
                <w:noProof/>
                <w:webHidden/>
              </w:rPr>
            </w:r>
            <w:r>
              <w:rPr>
                <w:noProof/>
                <w:webHidden/>
              </w:rPr>
              <w:fldChar w:fldCharType="separate"/>
            </w:r>
            <w:r>
              <w:rPr>
                <w:noProof/>
                <w:webHidden/>
              </w:rPr>
              <w:t>51</w:t>
            </w:r>
            <w:r>
              <w:rPr>
                <w:noProof/>
                <w:webHidden/>
              </w:rPr>
              <w:fldChar w:fldCharType="end"/>
            </w:r>
          </w:hyperlink>
        </w:p>
        <w:p w14:paraId="77C8326C" w14:textId="58DC36E6"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68" w:history="1">
            <w:r w:rsidRPr="00132766">
              <w:rPr>
                <w:rStyle w:val="Hyperlink"/>
                <w:noProof/>
              </w:rPr>
              <w:t>6.3</w:t>
            </w:r>
            <w:r>
              <w:rPr>
                <w:rFonts w:asciiTheme="minorHAnsi" w:eastAsiaTheme="minorEastAsia" w:hAnsiTheme="minorHAnsi"/>
                <w:noProof/>
                <w:kern w:val="2"/>
                <w:sz w:val="24"/>
                <w:szCs w:val="24"/>
                <w:lang w:eastAsia="en-GB"/>
                <w14:ligatures w14:val="standardContextual"/>
              </w:rPr>
              <w:tab/>
            </w:r>
            <w:r w:rsidRPr="00132766">
              <w:rPr>
                <w:rStyle w:val="Hyperlink"/>
                <w:noProof/>
              </w:rPr>
              <w:t>Geographic and temporal context</w:t>
            </w:r>
            <w:r>
              <w:rPr>
                <w:noProof/>
                <w:webHidden/>
              </w:rPr>
              <w:tab/>
            </w:r>
            <w:r>
              <w:rPr>
                <w:noProof/>
                <w:webHidden/>
              </w:rPr>
              <w:fldChar w:fldCharType="begin"/>
            </w:r>
            <w:r>
              <w:rPr>
                <w:noProof/>
                <w:webHidden/>
              </w:rPr>
              <w:instrText xml:space="preserve"> PAGEREF _Toc204967868 \h </w:instrText>
            </w:r>
            <w:r>
              <w:rPr>
                <w:noProof/>
                <w:webHidden/>
              </w:rPr>
            </w:r>
            <w:r>
              <w:rPr>
                <w:noProof/>
                <w:webHidden/>
              </w:rPr>
              <w:fldChar w:fldCharType="separate"/>
            </w:r>
            <w:r>
              <w:rPr>
                <w:noProof/>
                <w:webHidden/>
              </w:rPr>
              <w:t>51</w:t>
            </w:r>
            <w:r>
              <w:rPr>
                <w:noProof/>
                <w:webHidden/>
              </w:rPr>
              <w:fldChar w:fldCharType="end"/>
            </w:r>
          </w:hyperlink>
        </w:p>
        <w:p w14:paraId="564353E4" w14:textId="24B7C01F"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69" w:history="1">
            <w:r w:rsidRPr="00132766">
              <w:rPr>
                <w:rStyle w:val="Hyperlink"/>
                <w:noProof/>
              </w:rPr>
              <w:t>6.4</w:t>
            </w:r>
            <w:r>
              <w:rPr>
                <w:rFonts w:asciiTheme="minorHAnsi" w:eastAsiaTheme="minorEastAsia" w:hAnsiTheme="minorHAnsi"/>
                <w:noProof/>
                <w:kern w:val="2"/>
                <w:sz w:val="24"/>
                <w:szCs w:val="24"/>
                <w:lang w:eastAsia="en-GB"/>
                <w14:ligatures w14:val="standardContextual"/>
              </w:rPr>
              <w:tab/>
            </w:r>
            <w:r w:rsidRPr="00132766">
              <w:rPr>
                <w:rStyle w:val="Hyperlink"/>
                <w:noProof/>
              </w:rPr>
              <w:t>What did the OF grantees do?</w:t>
            </w:r>
            <w:r>
              <w:rPr>
                <w:noProof/>
                <w:webHidden/>
              </w:rPr>
              <w:tab/>
            </w:r>
            <w:r>
              <w:rPr>
                <w:noProof/>
                <w:webHidden/>
              </w:rPr>
              <w:fldChar w:fldCharType="begin"/>
            </w:r>
            <w:r>
              <w:rPr>
                <w:noProof/>
                <w:webHidden/>
              </w:rPr>
              <w:instrText xml:space="preserve"> PAGEREF _Toc204967869 \h </w:instrText>
            </w:r>
            <w:r>
              <w:rPr>
                <w:noProof/>
                <w:webHidden/>
              </w:rPr>
            </w:r>
            <w:r>
              <w:rPr>
                <w:noProof/>
                <w:webHidden/>
              </w:rPr>
              <w:fldChar w:fldCharType="separate"/>
            </w:r>
            <w:r>
              <w:rPr>
                <w:noProof/>
                <w:webHidden/>
              </w:rPr>
              <w:t>52</w:t>
            </w:r>
            <w:r>
              <w:rPr>
                <w:noProof/>
                <w:webHidden/>
              </w:rPr>
              <w:fldChar w:fldCharType="end"/>
            </w:r>
          </w:hyperlink>
        </w:p>
        <w:p w14:paraId="6FF63900" w14:textId="46235BED"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70" w:history="1">
            <w:r w:rsidRPr="00132766">
              <w:rPr>
                <w:rStyle w:val="Hyperlink"/>
                <w:noProof/>
              </w:rPr>
              <w:t>6.5</w:t>
            </w:r>
            <w:r>
              <w:rPr>
                <w:rFonts w:asciiTheme="minorHAnsi" w:eastAsiaTheme="minorEastAsia" w:hAnsiTheme="minorHAnsi"/>
                <w:noProof/>
                <w:kern w:val="2"/>
                <w:sz w:val="24"/>
                <w:szCs w:val="24"/>
                <w:lang w:eastAsia="en-GB"/>
                <w14:ligatures w14:val="standardContextual"/>
              </w:rPr>
              <w:tab/>
            </w:r>
            <w:r w:rsidRPr="00132766">
              <w:rPr>
                <w:rStyle w:val="Hyperlink"/>
                <w:noProof/>
              </w:rPr>
              <w:t>Intermediate outcomes – What changed?</w:t>
            </w:r>
            <w:r>
              <w:rPr>
                <w:noProof/>
                <w:webHidden/>
              </w:rPr>
              <w:tab/>
            </w:r>
            <w:r>
              <w:rPr>
                <w:noProof/>
                <w:webHidden/>
              </w:rPr>
              <w:fldChar w:fldCharType="begin"/>
            </w:r>
            <w:r>
              <w:rPr>
                <w:noProof/>
                <w:webHidden/>
              </w:rPr>
              <w:instrText xml:space="preserve"> PAGEREF _Toc204967870 \h </w:instrText>
            </w:r>
            <w:r>
              <w:rPr>
                <w:noProof/>
                <w:webHidden/>
              </w:rPr>
            </w:r>
            <w:r>
              <w:rPr>
                <w:noProof/>
                <w:webHidden/>
              </w:rPr>
              <w:fldChar w:fldCharType="separate"/>
            </w:r>
            <w:r>
              <w:rPr>
                <w:noProof/>
                <w:webHidden/>
              </w:rPr>
              <w:t>54</w:t>
            </w:r>
            <w:r>
              <w:rPr>
                <w:noProof/>
                <w:webHidden/>
              </w:rPr>
              <w:fldChar w:fldCharType="end"/>
            </w:r>
          </w:hyperlink>
        </w:p>
        <w:p w14:paraId="53F5B9C6" w14:textId="3D566445"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71" w:history="1">
            <w:r w:rsidRPr="00132766">
              <w:rPr>
                <w:rStyle w:val="Hyperlink"/>
                <w:noProof/>
              </w:rPr>
              <w:t>6.6</w:t>
            </w:r>
            <w:r>
              <w:rPr>
                <w:rFonts w:asciiTheme="minorHAnsi" w:eastAsiaTheme="minorEastAsia" w:hAnsiTheme="minorHAnsi"/>
                <w:noProof/>
                <w:kern w:val="2"/>
                <w:sz w:val="24"/>
                <w:szCs w:val="24"/>
                <w:lang w:eastAsia="en-GB"/>
                <w14:ligatures w14:val="standardContextual"/>
              </w:rPr>
              <w:tab/>
            </w:r>
            <w:r w:rsidRPr="00132766">
              <w:rPr>
                <w:rStyle w:val="Hyperlink"/>
                <w:noProof/>
              </w:rPr>
              <w:t>How effective were the TPs during the period?</w:t>
            </w:r>
            <w:r>
              <w:rPr>
                <w:noProof/>
                <w:webHidden/>
              </w:rPr>
              <w:tab/>
            </w:r>
            <w:r>
              <w:rPr>
                <w:noProof/>
                <w:webHidden/>
              </w:rPr>
              <w:fldChar w:fldCharType="begin"/>
            </w:r>
            <w:r>
              <w:rPr>
                <w:noProof/>
                <w:webHidden/>
              </w:rPr>
              <w:instrText xml:space="preserve"> PAGEREF _Toc204967871 \h </w:instrText>
            </w:r>
            <w:r>
              <w:rPr>
                <w:noProof/>
                <w:webHidden/>
              </w:rPr>
            </w:r>
            <w:r>
              <w:rPr>
                <w:noProof/>
                <w:webHidden/>
              </w:rPr>
              <w:fldChar w:fldCharType="separate"/>
            </w:r>
            <w:r>
              <w:rPr>
                <w:noProof/>
                <w:webHidden/>
              </w:rPr>
              <w:t>55</w:t>
            </w:r>
            <w:r>
              <w:rPr>
                <w:noProof/>
                <w:webHidden/>
              </w:rPr>
              <w:fldChar w:fldCharType="end"/>
            </w:r>
          </w:hyperlink>
        </w:p>
        <w:p w14:paraId="14E4B5AD" w14:textId="6FEBCF62"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72" w:history="1">
            <w:r w:rsidRPr="00132766">
              <w:rPr>
                <w:rStyle w:val="Hyperlink"/>
                <w:noProof/>
              </w:rPr>
              <w:t>6.7</w:t>
            </w:r>
            <w:r>
              <w:rPr>
                <w:rFonts w:asciiTheme="minorHAnsi" w:eastAsiaTheme="minorEastAsia" w:hAnsiTheme="minorHAnsi"/>
                <w:noProof/>
                <w:kern w:val="2"/>
                <w:sz w:val="24"/>
                <w:szCs w:val="24"/>
                <w:lang w:eastAsia="en-GB"/>
                <w14:ligatures w14:val="standardContextual"/>
              </w:rPr>
              <w:tab/>
            </w:r>
            <w:r w:rsidRPr="00132766">
              <w:rPr>
                <w:rStyle w:val="Hyperlink"/>
                <w:noProof/>
              </w:rPr>
              <w:t>What were other advocates/actors doing during the same period?</w:t>
            </w:r>
            <w:r>
              <w:rPr>
                <w:noProof/>
                <w:webHidden/>
              </w:rPr>
              <w:tab/>
            </w:r>
            <w:r>
              <w:rPr>
                <w:noProof/>
                <w:webHidden/>
              </w:rPr>
              <w:fldChar w:fldCharType="begin"/>
            </w:r>
            <w:r>
              <w:rPr>
                <w:noProof/>
                <w:webHidden/>
              </w:rPr>
              <w:instrText xml:space="preserve"> PAGEREF _Toc204967872 \h </w:instrText>
            </w:r>
            <w:r>
              <w:rPr>
                <w:noProof/>
                <w:webHidden/>
              </w:rPr>
            </w:r>
            <w:r>
              <w:rPr>
                <w:noProof/>
                <w:webHidden/>
              </w:rPr>
              <w:fldChar w:fldCharType="separate"/>
            </w:r>
            <w:r>
              <w:rPr>
                <w:noProof/>
                <w:webHidden/>
              </w:rPr>
              <w:t>56</w:t>
            </w:r>
            <w:r>
              <w:rPr>
                <w:noProof/>
                <w:webHidden/>
              </w:rPr>
              <w:fldChar w:fldCharType="end"/>
            </w:r>
          </w:hyperlink>
        </w:p>
        <w:p w14:paraId="251A7209" w14:textId="764CEBB0" w:rsidR="00776E8D" w:rsidRDefault="00776E8D">
          <w:pPr>
            <w:pStyle w:val="TOC2"/>
            <w:rPr>
              <w:rFonts w:asciiTheme="minorHAnsi" w:eastAsiaTheme="minorEastAsia" w:hAnsiTheme="minorHAnsi"/>
              <w:noProof/>
              <w:kern w:val="2"/>
              <w:sz w:val="24"/>
              <w:szCs w:val="24"/>
              <w:lang w:eastAsia="en-GB"/>
              <w14:ligatures w14:val="standardContextual"/>
            </w:rPr>
          </w:pPr>
          <w:hyperlink w:anchor="_Toc204967873" w:history="1">
            <w:r w:rsidRPr="00132766">
              <w:rPr>
                <w:rStyle w:val="Hyperlink"/>
                <w:noProof/>
              </w:rPr>
              <w:t>6.8</w:t>
            </w:r>
            <w:r>
              <w:rPr>
                <w:rFonts w:asciiTheme="minorHAnsi" w:eastAsiaTheme="minorEastAsia" w:hAnsiTheme="minorHAnsi"/>
                <w:noProof/>
                <w:kern w:val="2"/>
                <w:sz w:val="24"/>
                <w:szCs w:val="24"/>
                <w:lang w:eastAsia="en-GB"/>
                <w14:ligatures w14:val="standardContextual"/>
              </w:rPr>
              <w:tab/>
            </w:r>
            <w:r w:rsidRPr="00132766">
              <w:rPr>
                <w:rStyle w:val="Hyperlink"/>
                <w:noProof/>
              </w:rPr>
              <w:t>What were the key factors in determining the outcome?</w:t>
            </w:r>
            <w:r>
              <w:rPr>
                <w:noProof/>
                <w:webHidden/>
              </w:rPr>
              <w:tab/>
            </w:r>
            <w:r>
              <w:rPr>
                <w:noProof/>
                <w:webHidden/>
              </w:rPr>
              <w:fldChar w:fldCharType="begin"/>
            </w:r>
            <w:r>
              <w:rPr>
                <w:noProof/>
                <w:webHidden/>
              </w:rPr>
              <w:instrText xml:space="preserve"> PAGEREF _Toc204967873 \h </w:instrText>
            </w:r>
            <w:r>
              <w:rPr>
                <w:noProof/>
                <w:webHidden/>
              </w:rPr>
            </w:r>
            <w:r>
              <w:rPr>
                <w:noProof/>
                <w:webHidden/>
              </w:rPr>
              <w:fldChar w:fldCharType="separate"/>
            </w:r>
            <w:r>
              <w:rPr>
                <w:noProof/>
                <w:webHidden/>
              </w:rPr>
              <w:t>57</w:t>
            </w:r>
            <w:r>
              <w:rPr>
                <w:noProof/>
                <w:webHidden/>
              </w:rPr>
              <w:fldChar w:fldCharType="end"/>
            </w:r>
          </w:hyperlink>
        </w:p>
        <w:p w14:paraId="4CA82466" w14:textId="029581FD" w:rsidR="008A4D4C" w:rsidRPr="00554B41" w:rsidRDefault="008A4D4C" w:rsidP="007032D3">
          <w:r w:rsidRPr="00554B41">
            <w:rPr>
              <w:b/>
              <w:bCs/>
            </w:rPr>
            <w:fldChar w:fldCharType="end"/>
          </w:r>
        </w:p>
      </w:sdtContent>
    </w:sdt>
    <w:bookmarkEnd w:id="1"/>
    <w:p w14:paraId="394F96D6" w14:textId="3FEDFF94" w:rsidR="00814939" w:rsidRDefault="00814939" w:rsidP="00D5020F">
      <w:pPr>
        <w:pStyle w:val="Heading2"/>
        <w:numPr>
          <w:ilvl w:val="0"/>
          <w:numId w:val="0"/>
        </w:numPr>
        <w:spacing w:line="360" w:lineRule="auto"/>
      </w:pPr>
    </w:p>
    <w:p w14:paraId="4E46E52F" w14:textId="0621056D" w:rsidR="00F56396" w:rsidRDefault="00F56396" w:rsidP="00F56396">
      <w:pPr>
        <w:rPr>
          <w:rFonts w:eastAsiaTheme="majorEastAsia" w:cs="Arial"/>
          <w:b/>
          <w:szCs w:val="26"/>
        </w:rPr>
      </w:pPr>
    </w:p>
    <w:p w14:paraId="3BD9D0EF" w14:textId="77777777" w:rsidR="00F56396" w:rsidRDefault="00F56396">
      <w:pPr>
        <w:spacing w:after="0"/>
        <w:jc w:val="left"/>
        <w:rPr>
          <w:rFonts w:eastAsiaTheme="majorEastAsia" w:cs="Arial"/>
          <w:b/>
          <w:szCs w:val="26"/>
        </w:rPr>
      </w:pPr>
      <w:r>
        <w:rPr>
          <w:rFonts w:eastAsiaTheme="majorEastAsia" w:cs="Arial"/>
          <w:b/>
          <w:szCs w:val="26"/>
        </w:rPr>
        <w:br w:type="page"/>
      </w:r>
    </w:p>
    <w:p w14:paraId="17ED219F" w14:textId="412E68B6" w:rsidR="00DF7F9B" w:rsidRPr="00DF7F9B" w:rsidRDefault="00DF7F9B">
      <w:pPr>
        <w:rPr>
          <w:rFonts w:asciiTheme="majorHAnsi" w:hAnsiTheme="majorHAnsi" w:cstheme="majorHAnsi"/>
          <w:sz w:val="80"/>
          <w:szCs w:val="80"/>
        </w:rPr>
      </w:pPr>
      <w:r w:rsidRPr="00DF7F9B">
        <w:rPr>
          <w:rFonts w:asciiTheme="majorHAnsi" w:hAnsiTheme="majorHAnsi" w:cstheme="majorHAnsi"/>
          <w:sz w:val="80"/>
          <w:szCs w:val="80"/>
        </w:rPr>
        <w:t>Acronyms</w:t>
      </w:r>
    </w:p>
    <w:tbl>
      <w:tblPr>
        <w:tblStyle w:val="GridTable4-Accent1"/>
        <w:tblW w:w="0" w:type="auto"/>
        <w:tblLook w:val="04A0" w:firstRow="1" w:lastRow="0" w:firstColumn="1" w:lastColumn="0" w:noHBand="0" w:noVBand="1"/>
      </w:tblPr>
      <w:tblGrid>
        <w:gridCol w:w="1413"/>
        <w:gridCol w:w="7603"/>
      </w:tblGrid>
      <w:tr w:rsidR="00F56396" w:rsidRPr="00D75194" w14:paraId="43181D3C" w14:textId="77777777" w:rsidTr="00173E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36706B" w:themeFill="accent4"/>
          </w:tcPr>
          <w:p w14:paraId="2E312C5A" w14:textId="77777777" w:rsidR="00F56396" w:rsidRPr="00D75194" w:rsidRDefault="00F56396" w:rsidP="00F36BE2">
            <w:pPr>
              <w:spacing w:before="60" w:after="60"/>
              <w:rPr>
                <w:b w:val="0"/>
                <w:bCs w:val="0"/>
              </w:rPr>
            </w:pPr>
            <w:r w:rsidRPr="00D75194">
              <w:t>Acronym</w:t>
            </w:r>
          </w:p>
        </w:tc>
        <w:tc>
          <w:tcPr>
            <w:tcW w:w="7603" w:type="dxa"/>
            <w:shd w:val="clear" w:color="auto" w:fill="36706B" w:themeFill="accent4"/>
          </w:tcPr>
          <w:p w14:paraId="2F7F5622" w14:textId="77777777" w:rsidR="00F56396" w:rsidRPr="00D75194" w:rsidRDefault="00F56396" w:rsidP="00F36BE2">
            <w:pPr>
              <w:spacing w:before="60" w:after="60"/>
              <w:cnfStyle w:val="100000000000" w:firstRow="1" w:lastRow="0" w:firstColumn="0" w:lastColumn="0" w:oddVBand="0" w:evenVBand="0" w:oddHBand="0" w:evenHBand="0" w:firstRowFirstColumn="0" w:firstRowLastColumn="0" w:lastRowFirstColumn="0" w:lastRowLastColumn="0"/>
              <w:rPr>
                <w:b w:val="0"/>
                <w:bCs w:val="0"/>
              </w:rPr>
            </w:pPr>
            <w:r w:rsidRPr="00D75194">
              <w:t>Definition</w:t>
            </w:r>
          </w:p>
        </w:tc>
      </w:tr>
      <w:tr w:rsidR="0037652E" w:rsidRPr="00D75194" w14:paraId="4D443142" w14:textId="77777777" w:rsidTr="00173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F265A32" w14:textId="2056251D" w:rsidR="0037652E" w:rsidRPr="00D75194" w:rsidRDefault="0037652E" w:rsidP="0037652E">
            <w:pPr>
              <w:spacing w:before="60" w:after="60"/>
            </w:pPr>
            <w:r w:rsidRPr="00BE5871">
              <w:rPr>
                <w:rFonts w:cs="Segoe UI"/>
                <w:color w:val="424242"/>
              </w:rPr>
              <w:t xml:space="preserve">AOSIS </w:t>
            </w:r>
          </w:p>
        </w:tc>
        <w:tc>
          <w:tcPr>
            <w:tcW w:w="7603" w:type="dxa"/>
          </w:tcPr>
          <w:p w14:paraId="4D5EEA02" w14:textId="2D80E93D" w:rsidR="0037652E" w:rsidRPr="00D75194" w:rsidRDefault="0037652E" w:rsidP="0037652E">
            <w:pPr>
              <w:spacing w:before="60" w:after="60"/>
              <w:cnfStyle w:val="000000100000" w:firstRow="0" w:lastRow="0" w:firstColumn="0" w:lastColumn="0" w:oddVBand="0" w:evenVBand="0" w:oddHBand="1" w:evenHBand="0" w:firstRowFirstColumn="0" w:firstRowLastColumn="0" w:lastRowFirstColumn="0" w:lastRowLastColumn="0"/>
            </w:pPr>
            <w:r w:rsidRPr="00BE5871">
              <w:rPr>
                <w:rFonts w:cs="Segoe UI"/>
                <w:color w:val="424242"/>
              </w:rPr>
              <w:t>Alliance of Small Island States</w:t>
            </w:r>
          </w:p>
        </w:tc>
      </w:tr>
      <w:tr w:rsidR="0037652E" w:rsidRPr="00D75194" w14:paraId="524AA5F4" w14:textId="77777777" w:rsidTr="00173EC3">
        <w:tc>
          <w:tcPr>
            <w:cnfStyle w:val="001000000000" w:firstRow="0" w:lastRow="0" w:firstColumn="1" w:lastColumn="0" w:oddVBand="0" w:evenVBand="0" w:oddHBand="0" w:evenHBand="0" w:firstRowFirstColumn="0" w:firstRowLastColumn="0" w:lastRowFirstColumn="0" w:lastRowLastColumn="0"/>
            <w:tcW w:w="1413" w:type="dxa"/>
          </w:tcPr>
          <w:p w14:paraId="4C228558" w14:textId="23DA815C" w:rsidR="0037652E" w:rsidRPr="00D75194" w:rsidRDefault="0037652E" w:rsidP="0037652E">
            <w:pPr>
              <w:spacing w:before="60" w:after="60"/>
            </w:pPr>
            <w:r w:rsidRPr="00BE5871">
              <w:rPr>
                <w:rFonts w:cs="Segoe UI"/>
                <w:color w:val="424242"/>
              </w:rPr>
              <w:t xml:space="preserve">AILAC </w:t>
            </w:r>
          </w:p>
        </w:tc>
        <w:tc>
          <w:tcPr>
            <w:tcW w:w="7603" w:type="dxa"/>
          </w:tcPr>
          <w:p w14:paraId="63626F09" w14:textId="45809609" w:rsidR="0037652E" w:rsidRPr="00D75194" w:rsidRDefault="0037652E" w:rsidP="0037652E">
            <w:pPr>
              <w:spacing w:before="60" w:after="60"/>
              <w:cnfStyle w:val="000000000000" w:firstRow="0" w:lastRow="0" w:firstColumn="0" w:lastColumn="0" w:oddVBand="0" w:evenVBand="0" w:oddHBand="0" w:evenHBand="0" w:firstRowFirstColumn="0" w:firstRowLastColumn="0" w:lastRowFirstColumn="0" w:lastRowLastColumn="0"/>
            </w:pPr>
            <w:r w:rsidRPr="00BE5871">
              <w:rPr>
                <w:rFonts w:cs="Segoe UI"/>
                <w:color w:val="424242"/>
              </w:rPr>
              <w:t>Independent Association of Latin America and the Caribbean</w:t>
            </w:r>
          </w:p>
        </w:tc>
      </w:tr>
      <w:tr w:rsidR="0037652E" w:rsidRPr="00D75194" w14:paraId="7D2CE052" w14:textId="77777777" w:rsidTr="00173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4CD5AE2" w14:textId="10A16644" w:rsidR="0037652E" w:rsidRPr="00D75194" w:rsidRDefault="0037652E" w:rsidP="0037652E">
            <w:pPr>
              <w:spacing w:before="60" w:after="60"/>
            </w:pPr>
            <w:r w:rsidRPr="00BE5871">
              <w:rPr>
                <w:rFonts w:cs="Segoe UI"/>
                <w:color w:val="424242"/>
              </w:rPr>
              <w:t xml:space="preserve">CaBIN </w:t>
            </w:r>
          </w:p>
        </w:tc>
        <w:tc>
          <w:tcPr>
            <w:tcW w:w="7603" w:type="dxa"/>
          </w:tcPr>
          <w:p w14:paraId="25245064" w14:textId="7108BF0B" w:rsidR="0037652E" w:rsidRPr="00D75194" w:rsidRDefault="0037652E" w:rsidP="0037652E">
            <w:pPr>
              <w:spacing w:before="60" w:after="60"/>
              <w:cnfStyle w:val="000000100000" w:firstRow="0" w:lastRow="0" w:firstColumn="0" w:lastColumn="0" w:oddVBand="0" w:evenVBand="0" w:oddHBand="1" w:evenHBand="0" w:firstRowFirstColumn="0" w:firstRowLastColumn="0" w:lastRowFirstColumn="0" w:lastRowLastColumn="0"/>
            </w:pPr>
            <w:r w:rsidRPr="00BE5871">
              <w:rPr>
                <w:rFonts w:cs="Segoe UI"/>
                <w:color w:val="424242"/>
              </w:rPr>
              <w:t>Capacity Building for International Negotiations</w:t>
            </w:r>
          </w:p>
        </w:tc>
      </w:tr>
      <w:tr w:rsidR="0037652E" w:rsidRPr="0037652E" w14:paraId="140FE2A1" w14:textId="77777777" w:rsidTr="00173EC3">
        <w:tc>
          <w:tcPr>
            <w:cnfStyle w:val="001000000000" w:firstRow="0" w:lastRow="0" w:firstColumn="1" w:lastColumn="0" w:oddVBand="0" w:evenVBand="0" w:oddHBand="0" w:evenHBand="0" w:firstRowFirstColumn="0" w:firstRowLastColumn="0" w:lastRowFirstColumn="0" w:lastRowLastColumn="0"/>
            <w:tcW w:w="1413" w:type="dxa"/>
          </w:tcPr>
          <w:p w14:paraId="3DA69B61" w14:textId="1ADCE8E4" w:rsidR="0037652E" w:rsidRPr="0037652E" w:rsidRDefault="0037652E" w:rsidP="0037652E">
            <w:pPr>
              <w:spacing w:before="60" w:after="60"/>
              <w:rPr>
                <w:lang w:val="fr-FR"/>
              </w:rPr>
            </w:pPr>
            <w:r w:rsidRPr="0037652E">
              <w:rPr>
                <w:rFonts w:cs="Segoe UI"/>
                <w:color w:val="424242"/>
                <w:lang w:val="fr-FR"/>
              </w:rPr>
              <w:t xml:space="preserve">CASA </w:t>
            </w:r>
          </w:p>
        </w:tc>
        <w:tc>
          <w:tcPr>
            <w:tcW w:w="7603" w:type="dxa"/>
          </w:tcPr>
          <w:p w14:paraId="3BA3C02A" w14:textId="7795F8C9" w:rsidR="0037652E" w:rsidRPr="0037652E" w:rsidRDefault="0037652E" w:rsidP="0037652E">
            <w:pPr>
              <w:spacing w:before="60" w:after="60"/>
              <w:cnfStyle w:val="000000000000" w:firstRow="0" w:lastRow="0" w:firstColumn="0" w:lastColumn="0" w:oddVBand="0" w:evenVBand="0" w:oddHBand="0" w:evenHBand="0" w:firstRowFirstColumn="0" w:firstRowLastColumn="0" w:lastRowFirstColumn="0" w:lastRowLastColumn="0"/>
              <w:rPr>
                <w:lang w:val="fr-FR"/>
              </w:rPr>
            </w:pPr>
            <w:r w:rsidRPr="0037652E">
              <w:rPr>
                <w:rFonts w:cs="Segoe UI"/>
                <w:color w:val="424242"/>
                <w:lang w:val="fr-FR"/>
              </w:rPr>
              <w:t>Climate Ambition Support Alliance</w:t>
            </w:r>
          </w:p>
        </w:tc>
      </w:tr>
      <w:tr w:rsidR="0037652E" w:rsidRPr="00D75194" w14:paraId="383CE666" w14:textId="77777777" w:rsidTr="00173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075E606" w14:textId="27DF306C" w:rsidR="0037652E" w:rsidRPr="00D75194" w:rsidRDefault="0037652E" w:rsidP="0037652E">
            <w:pPr>
              <w:spacing w:before="60" w:after="60"/>
            </w:pPr>
            <w:r w:rsidRPr="00BE5871">
              <w:rPr>
                <w:rFonts w:cs="Segoe UI"/>
                <w:color w:val="424242"/>
              </w:rPr>
              <w:t xml:space="preserve">CASA II </w:t>
            </w:r>
          </w:p>
        </w:tc>
        <w:tc>
          <w:tcPr>
            <w:tcW w:w="7603" w:type="dxa"/>
          </w:tcPr>
          <w:p w14:paraId="06063C1D" w14:textId="4F763785" w:rsidR="0037652E" w:rsidRPr="00D75194" w:rsidRDefault="0037652E" w:rsidP="0037652E">
            <w:pPr>
              <w:spacing w:before="60" w:after="60"/>
              <w:cnfStyle w:val="000000100000" w:firstRow="0" w:lastRow="0" w:firstColumn="0" w:lastColumn="0" w:oddVBand="0" w:evenVBand="0" w:oddHBand="1" w:evenHBand="0" w:firstRowFirstColumn="0" w:firstRowLastColumn="0" w:lastRowFirstColumn="0" w:lastRowLastColumn="0"/>
            </w:pPr>
            <w:r w:rsidRPr="00BE5871">
              <w:rPr>
                <w:rFonts w:cs="Segoe UI"/>
                <w:color w:val="424242"/>
              </w:rPr>
              <w:t>Climate Ambition Support Alliance Phase II</w:t>
            </w:r>
          </w:p>
        </w:tc>
      </w:tr>
      <w:tr w:rsidR="0037652E" w:rsidRPr="00D75194" w14:paraId="1FD4F298" w14:textId="77777777" w:rsidTr="00173EC3">
        <w:tc>
          <w:tcPr>
            <w:cnfStyle w:val="001000000000" w:firstRow="0" w:lastRow="0" w:firstColumn="1" w:lastColumn="0" w:oddVBand="0" w:evenVBand="0" w:oddHBand="0" w:evenHBand="0" w:firstRowFirstColumn="0" w:firstRowLastColumn="0" w:lastRowFirstColumn="0" w:lastRowLastColumn="0"/>
            <w:tcW w:w="1413" w:type="dxa"/>
          </w:tcPr>
          <w:p w14:paraId="135FA3EF" w14:textId="38515E8D" w:rsidR="0037652E" w:rsidRPr="00D75194" w:rsidRDefault="0037652E" w:rsidP="0037652E">
            <w:pPr>
              <w:spacing w:before="60" w:after="60"/>
            </w:pPr>
            <w:r w:rsidRPr="00BE5871">
              <w:rPr>
                <w:rFonts w:cs="Segoe UI"/>
                <w:color w:val="424242"/>
              </w:rPr>
              <w:t xml:space="preserve">CDKN </w:t>
            </w:r>
          </w:p>
        </w:tc>
        <w:tc>
          <w:tcPr>
            <w:tcW w:w="7603" w:type="dxa"/>
          </w:tcPr>
          <w:p w14:paraId="5720C93C" w14:textId="563A3A74" w:rsidR="0037652E" w:rsidRPr="00D75194" w:rsidRDefault="0037652E" w:rsidP="0037652E">
            <w:pPr>
              <w:spacing w:before="60" w:after="60"/>
              <w:cnfStyle w:val="000000000000" w:firstRow="0" w:lastRow="0" w:firstColumn="0" w:lastColumn="0" w:oddVBand="0" w:evenVBand="0" w:oddHBand="0" w:evenHBand="0" w:firstRowFirstColumn="0" w:firstRowLastColumn="0" w:lastRowFirstColumn="0" w:lastRowLastColumn="0"/>
            </w:pPr>
            <w:r w:rsidRPr="00BE5871">
              <w:rPr>
                <w:rFonts w:cs="Segoe UI"/>
                <w:color w:val="424242"/>
              </w:rPr>
              <w:t>Climate Development Knowledge Network</w:t>
            </w:r>
          </w:p>
        </w:tc>
      </w:tr>
      <w:tr w:rsidR="0037652E" w:rsidRPr="00D75194" w14:paraId="0665AE33" w14:textId="77777777" w:rsidTr="00173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76B64FE" w14:textId="24A50D5C" w:rsidR="0037652E" w:rsidRPr="00D75194" w:rsidRDefault="0037652E" w:rsidP="0037652E">
            <w:pPr>
              <w:spacing w:before="60" w:after="60"/>
            </w:pPr>
            <w:r w:rsidRPr="00BE5871">
              <w:rPr>
                <w:rFonts w:cs="Segoe UI"/>
                <w:color w:val="424242"/>
              </w:rPr>
              <w:t xml:space="preserve">CIES </w:t>
            </w:r>
          </w:p>
        </w:tc>
        <w:tc>
          <w:tcPr>
            <w:tcW w:w="7603" w:type="dxa"/>
          </w:tcPr>
          <w:p w14:paraId="7E0E51D1" w14:textId="12E16835" w:rsidR="0037652E" w:rsidRPr="00D75194" w:rsidRDefault="0037652E" w:rsidP="0037652E">
            <w:pPr>
              <w:spacing w:before="60" w:after="60"/>
              <w:cnfStyle w:val="000000100000" w:firstRow="0" w:lastRow="0" w:firstColumn="0" w:lastColumn="0" w:oddVBand="0" w:evenVBand="0" w:oddHBand="1" w:evenHBand="0" w:firstRowFirstColumn="0" w:firstRowLastColumn="0" w:lastRowFirstColumn="0" w:lastRowLastColumn="0"/>
            </w:pPr>
            <w:r w:rsidRPr="00BE5871">
              <w:rPr>
                <w:rFonts w:cs="Segoe UI"/>
                <w:color w:val="424242"/>
              </w:rPr>
              <w:t>Consorcio de Investigación Económica y Social (Economic and Social Research Consortium)</w:t>
            </w:r>
          </w:p>
        </w:tc>
      </w:tr>
      <w:tr w:rsidR="0037652E" w:rsidRPr="00D75194" w14:paraId="0C965B50" w14:textId="77777777" w:rsidTr="00173EC3">
        <w:tc>
          <w:tcPr>
            <w:cnfStyle w:val="001000000000" w:firstRow="0" w:lastRow="0" w:firstColumn="1" w:lastColumn="0" w:oddVBand="0" w:evenVBand="0" w:oddHBand="0" w:evenHBand="0" w:firstRowFirstColumn="0" w:firstRowLastColumn="0" w:lastRowFirstColumn="0" w:lastRowLastColumn="0"/>
            <w:tcW w:w="1413" w:type="dxa"/>
          </w:tcPr>
          <w:p w14:paraId="05D883F7" w14:textId="6AFE367F" w:rsidR="0037652E" w:rsidRPr="00D75194" w:rsidRDefault="0037652E" w:rsidP="0037652E">
            <w:pPr>
              <w:spacing w:before="60" w:after="60"/>
            </w:pPr>
            <w:r w:rsidRPr="00BE5871">
              <w:rPr>
                <w:rFonts w:cs="Segoe UI"/>
                <w:color w:val="424242"/>
              </w:rPr>
              <w:t xml:space="preserve">CLI </w:t>
            </w:r>
          </w:p>
        </w:tc>
        <w:tc>
          <w:tcPr>
            <w:tcW w:w="7603" w:type="dxa"/>
          </w:tcPr>
          <w:p w14:paraId="5E4B5F5D" w14:textId="0A0E8511" w:rsidR="0037652E" w:rsidRPr="00D75194" w:rsidRDefault="0037652E" w:rsidP="0037652E">
            <w:pPr>
              <w:spacing w:before="60" w:after="60"/>
              <w:cnfStyle w:val="000000000000" w:firstRow="0" w:lastRow="0" w:firstColumn="0" w:lastColumn="0" w:oddVBand="0" w:evenVBand="0" w:oddHBand="0" w:evenHBand="0" w:firstRowFirstColumn="0" w:firstRowLastColumn="0" w:lastRowFirstColumn="0" w:lastRowLastColumn="0"/>
            </w:pPr>
            <w:r w:rsidRPr="00BE5871">
              <w:rPr>
                <w:rFonts w:cs="Segoe UI"/>
                <w:color w:val="424242"/>
              </w:rPr>
              <w:t>Climate Leadership Initiative</w:t>
            </w:r>
          </w:p>
        </w:tc>
      </w:tr>
      <w:tr w:rsidR="0037652E" w:rsidRPr="00D75194" w14:paraId="2F47228B" w14:textId="77777777" w:rsidTr="00173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F39CE72" w14:textId="357D8931" w:rsidR="0037652E" w:rsidRPr="00D75194" w:rsidRDefault="0037652E" w:rsidP="0037652E">
            <w:pPr>
              <w:spacing w:before="60" w:after="60"/>
            </w:pPr>
            <w:r w:rsidRPr="00BE5871">
              <w:rPr>
                <w:rFonts w:cs="Segoe UI"/>
                <w:color w:val="424242"/>
              </w:rPr>
              <w:t xml:space="preserve">COP </w:t>
            </w:r>
          </w:p>
        </w:tc>
        <w:tc>
          <w:tcPr>
            <w:tcW w:w="7603" w:type="dxa"/>
          </w:tcPr>
          <w:p w14:paraId="67B1E911" w14:textId="6A13826A" w:rsidR="0037652E" w:rsidRPr="00D75194" w:rsidRDefault="0037652E" w:rsidP="0037652E">
            <w:pPr>
              <w:spacing w:before="60" w:after="60"/>
              <w:cnfStyle w:val="000000100000" w:firstRow="0" w:lastRow="0" w:firstColumn="0" w:lastColumn="0" w:oddVBand="0" w:evenVBand="0" w:oddHBand="1" w:evenHBand="0" w:firstRowFirstColumn="0" w:firstRowLastColumn="0" w:lastRowFirstColumn="0" w:lastRowLastColumn="0"/>
            </w:pPr>
            <w:r w:rsidRPr="00BE5871">
              <w:rPr>
                <w:rFonts w:cs="Segoe UI"/>
                <w:color w:val="424242"/>
              </w:rPr>
              <w:t>Conference of the Parties</w:t>
            </w:r>
          </w:p>
        </w:tc>
      </w:tr>
      <w:tr w:rsidR="0037652E" w:rsidRPr="00D75194" w14:paraId="1311F25A" w14:textId="77777777" w:rsidTr="00173EC3">
        <w:tc>
          <w:tcPr>
            <w:cnfStyle w:val="001000000000" w:firstRow="0" w:lastRow="0" w:firstColumn="1" w:lastColumn="0" w:oddVBand="0" w:evenVBand="0" w:oddHBand="0" w:evenHBand="0" w:firstRowFirstColumn="0" w:firstRowLastColumn="0" w:lastRowFirstColumn="0" w:lastRowLastColumn="0"/>
            <w:tcW w:w="1413" w:type="dxa"/>
          </w:tcPr>
          <w:p w14:paraId="57050184" w14:textId="2C04FBBD" w:rsidR="0037652E" w:rsidRPr="00D75194" w:rsidRDefault="0037652E" w:rsidP="0037652E">
            <w:pPr>
              <w:spacing w:before="60" w:after="60"/>
            </w:pPr>
            <w:r w:rsidRPr="00BE5871">
              <w:rPr>
                <w:rFonts w:cs="Segoe UI"/>
                <w:color w:val="424242"/>
              </w:rPr>
              <w:t xml:space="preserve">CYNP </w:t>
            </w:r>
          </w:p>
        </w:tc>
        <w:tc>
          <w:tcPr>
            <w:tcW w:w="7603" w:type="dxa"/>
          </w:tcPr>
          <w:p w14:paraId="761808AE" w14:textId="097F00EA" w:rsidR="0037652E" w:rsidRPr="006B6454" w:rsidRDefault="0037652E" w:rsidP="0037652E">
            <w:pPr>
              <w:spacing w:before="60" w:after="60"/>
              <w:cnfStyle w:val="000000000000" w:firstRow="0" w:lastRow="0" w:firstColumn="0" w:lastColumn="0" w:oddVBand="0" w:evenVBand="0" w:oddHBand="0" w:evenHBand="0" w:firstRowFirstColumn="0" w:firstRowLastColumn="0" w:lastRowFirstColumn="0" w:lastRowLastColumn="0"/>
            </w:pPr>
            <w:r w:rsidRPr="00BE5871">
              <w:rPr>
                <w:rFonts w:cs="Segoe UI"/>
                <w:color w:val="424242"/>
              </w:rPr>
              <w:t>Climate Youth Negotiator Programme</w:t>
            </w:r>
          </w:p>
        </w:tc>
      </w:tr>
      <w:tr w:rsidR="0037652E" w:rsidRPr="00D75194" w14:paraId="3FCADFEB" w14:textId="77777777" w:rsidTr="00173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28B12FB" w14:textId="6C677A97" w:rsidR="0037652E" w:rsidRPr="00D75194" w:rsidRDefault="0037652E" w:rsidP="0037652E">
            <w:pPr>
              <w:spacing w:before="60" w:after="60"/>
            </w:pPr>
            <w:r w:rsidRPr="00BE5871">
              <w:rPr>
                <w:rFonts w:cs="Segoe UI"/>
                <w:color w:val="424242"/>
              </w:rPr>
              <w:t xml:space="preserve">DAC </w:t>
            </w:r>
          </w:p>
        </w:tc>
        <w:tc>
          <w:tcPr>
            <w:tcW w:w="7603" w:type="dxa"/>
          </w:tcPr>
          <w:p w14:paraId="1C63E813" w14:textId="4C930056" w:rsidR="0037652E" w:rsidRPr="00D75194" w:rsidRDefault="0037652E" w:rsidP="0037652E">
            <w:pPr>
              <w:spacing w:before="60" w:after="60"/>
              <w:cnfStyle w:val="000000100000" w:firstRow="0" w:lastRow="0" w:firstColumn="0" w:lastColumn="0" w:oddVBand="0" w:evenVBand="0" w:oddHBand="1" w:evenHBand="0" w:firstRowFirstColumn="0" w:firstRowLastColumn="0" w:lastRowFirstColumn="0" w:lastRowLastColumn="0"/>
            </w:pPr>
            <w:r w:rsidRPr="00BE5871">
              <w:rPr>
                <w:rFonts w:cs="Segoe UI"/>
                <w:color w:val="424242"/>
              </w:rPr>
              <w:t>Development Assistance Committee</w:t>
            </w:r>
          </w:p>
        </w:tc>
      </w:tr>
      <w:tr w:rsidR="0037652E" w:rsidRPr="00D75194" w14:paraId="1EEA68B9" w14:textId="77777777" w:rsidTr="00173EC3">
        <w:tc>
          <w:tcPr>
            <w:cnfStyle w:val="001000000000" w:firstRow="0" w:lastRow="0" w:firstColumn="1" w:lastColumn="0" w:oddVBand="0" w:evenVBand="0" w:oddHBand="0" w:evenHBand="0" w:firstRowFirstColumn="0" w:firstRowLastColumn="0" w:lastRowFirstColumn="0" w:lastRowLastColumn="0"/>
            <w:tcW w:w="1413" w:type="dxa"/>
          </w:tcPr>
          <w:p w14:paraId="64FD0AFE" w14:textId="740C3CCA" w:rsidR="0037652E" w:rsidRPr="00D75194" w:rsidRDefault="0037652E" w:rsidP="0037652E">
            <w:pPr>
              <w:spacing w:before="60" w:after="60"/>
            </w:pPr>
            <w:r w:rsidRPr="00BE5871">
              <w:rPr>
                <w:rFonts w:cs="Segoe UI"/>
                <w:color w:val="424242"/>
              </w:rPr>
              <w:t xml:space="preserve">DESNZ </w:t>
            </w:r>
          </w:p>
        </w:tc>
        <w:tc>
          <w:tcPr>
            <w:tcW w:w="7603" w:type="dxa"/>
          </w:tcPr>
          <w:p w14:paraId="5A9B9D32" w14:textId="3E80BFEE" w:rsidR="0037652E" w:rsidRPr="00D75194" w:rsidRDefault="0037652E" w:rsidP="0037652E">
            <w:pPr>
              <w:spacing w:before="60" w:after="60"/>
              <w:cnfStyle w:val="000000000000" w:firstRow="0" w:lastRow="0" w:firstColumn="0" w:lastColumn="0" w:oddVBand="0" w:evenVBand="0" w:oddHBand="0" w:evenHBand="0" w:firstRowFirstColumn="0" w:firstRowLastColumn="0" w:lastRowFirstColumn="0" w:lastRowLastColumn="0"/>
            </w:pPr>
            <w:r w:rsidRPr="00BE5871">
              <w:rPr>
                <w:rFonts w:cs="Segoe UI"/>
                <w:color w:val="424242"/>
              </w:rPr>
              <w:t>Department for Energy Security and Net Zero</w:t>
            </w:r>
          </w:p>
        </w:tc>
      </w:tr>
      <w:tr w:rsidR="0037652E" w:rsidRPr="00D75194" w14:paraId="60112D81" w14:textId="77777777" w:rsidTr="00173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1C047B7" w14:textId="4EA03B35" w:rsidR="0037652E" w:rsidRPr="00D75194" w:rsidRDefault="0037652E" w:rsidP="0037652E">
            <w:pPr>
              <w:spacing w:before="60" w:after="60"/>
            </w:pPr>
            <w:r w:rsidRPr="00BE5871">
              <w:rPr>
                <w:rFonts w:cs="Segoe UI"/>
                <w:color w:val="424242"/>
              </w:rPr>
              <w:t xml:space="preserve">EQ </w:t>
            </w:r>
          </w:p>
        </w:tc>
        <w:tc>
          <w:tcPr>
            <w:tcW w:w="7603" w:type="dxa"/>
          </w:tcPr>
          <w:p w14:paraId="688C0E65" w14:textId="6C4FDB62" w:rsidR="0037652E" w:rsidRPr="00D75194" w:rsidRDefault="0037652E" w:rsidP="0037652E">
            <w:pPr>
              <w:spacing w:before="60" w:after="60"/>
              <w:cnfStyle w:val="000000100000" w:firstRow="0" w:lastRow="0" w:firstColumn="0" w:lastColumn="0" w:oddVBand="0" w:evenVBand="0" w:oddHBand="1" w:evenHBand="0" w:firstRowFirstColumn="0" w:firstRowLastColumn="0" w:lastRowFirstColumn="0" w:lastRowLastColumn="0"/>
            </w:pPr>
            <w:r w:rsidRPr="00BE5871">
              <w:rPr>
                <w:rFonts w:cs="Segoe UI"/>
                <w:color w:val="424242"/>
              </w:rPr>
              <w:t>Evaluation Question</w:t>
            </w:r>
          </w:p>
        </w:tc>
      </w:tr>
      <w:tr w:rsidR="0037652E" w:rsidRPr="00D75194" w14:paraId="5665A140" w14:textId="77777777" w:rsidTr="00173EC3">
        <w:tc>
          <w:tcPr>
            <w:cnfStyle w:val="001000000000" w:firstRow="0" w:lastRow="0" w:firstColumn="1" w:lastColumn="0" w:oddVBand="0" w:evenVBand="0" w:oddHBand="0" w:evenHBand="0" w:firstRowFirstColumn="0" w:firstRowLastColumn="0" w:lastRowFirstColumn="0" w:lastRowLastColumn="0"/>
            <w:tcW w:w="1413" w:type="dxa"/>
          </w:tcPr>
          <w:p w14:paraId="0E0B8E86" w14:textId="1484F7BD" w:rsidR="0037652E" w:rsidRPr="00D75194" w:rsidRDefault="0037652E" w:rsidP="0037652E">
            <w:pPr>
              <w:spacing w:before="60" w:after="60"/>
            </w:pPr>
            <w:r w:rsidRPr="00BE5871">
              <w:rPr>
                <w:rFonts w:cs="Segoe UI"/>
                <w:color w:val="424242"/>
              </w:rPr>
              <w:t xml:space="preserve">FCDO </w:t>
            </w:r>
          </w:p>
        </w:tc>
        <w:tc>
          <w:tcPr>
            <w:tcW w:w="7603" w:type="dxa"/>
          </w:tcPr>
          <w:p w14:paraId="6C676A4B" w14:textId="58D6DBAE" w:rsidR="0037652E" w:rsidRPr="00D75194" w:rsidRDefault="0037652E" w:rsidP="0037652E">
            <w:pPr>
              <w:spacing w:before="60" w:after="60"/>
              <w:cnfStyle w:val="000000000000" w:firstRow="0" w:lastRow="0" w:firstColumn="0" w:lastColumn="0" w:oddVBand="0" w:evenVBand="0" w:oddHBand="0" w:evenHBand="0" w:firstRowFirstColumn="0" w:firstRowLastColumn="0" w:lastRowFirstColumn="0" w:lastRowLastColumn="0"/>
            </w:pPr>
            <w:r w:rsidRPr="00BE5871">
              <w:rPr>
                <w:rFonts w:cs="Segoe UI"/>
                <w:color w:val="424242"/>
              </w:rPr>
              <w:t>UK Foreign, Commonwealth and Development Office</w:t>
            </w:r>
          </w:p>
        </w:tc>
      </w:tr>
      <w:tr w:rsidR="0037652E" w14:paraId="02628F23" w14:textId="77777777" w:rsidTr="00173E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3" w:type="dxa"/>
          </w:tcPr>
          <w:p w14:paraId="13E80492" w14:textId="4C20C5EE" w:rsidR="0037652E" w:rsidRDefault="0037652E" w:rsidP="0037652E">
            <w:r w:rsidRPr="00BE5871">
              <w:rPr>
                <w:rFonts w:cs="Segoe UI"/>
                <w:color w:val="424242"/>
              </w:rPr>
              <w:t>GEF</w:t>
            </w:r>
          </w:p>
        </w:tc>
        <w:tc>
          <w:tcPr>
            <w:tcW w:w="7603" w:type="dxa"/>
          </w:tcPr>
          <w:p w14:paraId="4704133B" w14:textId="45B6808C" w:rsidR="0037652E" w:rsidRDefault="0037652E" w:rsidP="0037652E">
            <w:pPr>
              <w:cnfStyle w:val="000000100000" w:firstRow="0" w:lastRow="0" w:firstColumn="0" w:lastColumn="0" w:oddVBand="0" w:evenVBand="0" w:oddHBand="1" w:evenHBand="0" w:firstRowFirstColumn="0" w:firstRowLastColumn="0" w:lastRowFirstColumn="0" w:lastRowLastColumn="0"/>
            </w:pPr>
            <w:r w:rsidRPr="00BE5871">
              <w:rPr>
                <w:rFonts w:cs="Segoe UI"/>
                <w:color w:val="424242"/>
              </w:rPr>
              <w:t>Global Environment Facility</w:t>
            </w:r>
          </w:p>
        </w:tc>
      </w:tr>
      <w:tr w:rsidR="0037652E" w:rsidRPr="00D75194" w14:paraId="2064C33C" w14:textId="77777777" w:rsidTr="00173EC3">
        <w:tc>
          <w:tcPr>
            <w:cnfStyle w:val="001000000000" w:firstRow="0" w:lastRow="0" w:firstColumn="1" w:lastColumn="0" w:oddVBand="0" w:evenVBand="0" w:oddHBand="0" w:evenHBand="0" w:firstRowFirstColumn="0" w:firstRowLastColumn="0" w:lastRowFirstColumn="0" w:lastRowLastColumn="0"/>
            <w:tcW w:w="1413" w:type="dxa"/>
          </w:tcPr>
          <w:p w14:paraId="1A19D6E2" w14:textId="72E55D85" w:rsidR="0037652E" w:rsidRPr="00D75194" w:rsidRDefault="0037652E" w:rsidP="0037652E">
            <w:pPr>
              <w:spacing w:before="60" w:after="60"/>
            </w:pPr>
            <w:r w:rsidRPr="00BE5871">
              <w:rPr>
                <w:rFonts w:cs="Segoe UI"/>
                <w:color w:val="424242"/>
              </w:rPr>
              <w:t xml:space="preserve">GESI </w:t>
            </w:r>
          </w:p>
        </w:tc>
        <w:tc>
          <w:tcPr>
            <w:tcW w:w="7603" w:type="dxa"/>
          </w:tcPr>
          <w:p w14:paraId="6C55532C" w14:textId="056E48A4" w:rsidR="0037652E" w:rsidRPr="00D75194" w:rsidRDefault="0037652E" w:rsidP="0037652E">
            <w:pPr>
              <w:spacing w:before="60" w:after="60"/>
              <w:cnfStyle w:val="000000000000" w:firstRow="0" w:lastRow="0" w:firstColumn="0" w:lastColumn="0" w:oddVBand="0" w:evenVBand="0" w:oddHBand="0" w:evenHBand="0" w:firstRowFirstColumn="0" w:firstRowLastColumn="0" w:lastRowFirstColumn="0" w:lastRowLastColumn="0"/>
            </w:pPr>
            <w:r w:rsidRPr="00BE5871">
              <w:rPr>
                <w:rFonts w:cs="Segoe UI"/>
                <w:color w:val="424242"/>
              </w:rPr>
              <w:t>Gender Equality and Social Inclusion</w:t>
            </w:r>
          </w:p>
        </w:tc>
      </w:tr>
      <w:tr w:rsidR="0037652E" w:rsidRPr="00D75194" w14:paraId="2271CC61" w14:textId="77777777" w:rsidTr="00173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4A29F33" w14:textId="64419C05" w:rsidR="0037652E" w:rsidRPr="00D75194" w:rsidRDefault="0037652E" w:rsidP="0037652E">
            <w:pPr>
              <w:spacing w:before="60" w:after="60"/>
            </w:pPr>
            <w:r w:rsidRPr="00BE5871">
              <w:rPr>
                <w:rFonts w:cs="Segoe UI"/>
                <w:color w:val="424242"/>
              </w:rPr>
              <w:t xml:space="preserve">HAC </w:t>
            </w:r>
          </w:p>
        </w:tc>
        <w:tc>
          <w:tcPr>
            <w:tcW w:w="7603" w:type="dxa"/>
          </w:tcPr>
          <w:p w14:paraId="7DC24F86" w14:textId="440B4A73" w:rsidR="0037652E" w:rsidRPr="00D75194" w:rsidRDefault="0037652E" w:rsidP="0037652E">
            <w:pPr>
              <w:spacing w:before="60" w:after="60"/>
              <w:cnfStyle w:val="000000100000" w:firstRow="0" w:lastRow="0" w:firstColumn="0" w:lastColumn="0" w:oddVBand="0" w:evenVBand="0" w:oddHBand="1" w:evenHBand="0" w:firstRowFirstColumn="0" w:firstRowLastColumn="0" w:lastRowFirstColumn="0" w:lastRowLastColumn="0"/>
            </w:pPr>
            <w:r w:rsidRPr="00BE5871">
              <w:rPr>
                <w:rFonts w:cs="Segoe UI"/>
                <w:color w:val="424242"/>
              </w:rPr>
              <w:t>High Ambition Coalition</w:t>
            </w:r>
          </w:p>
        </w:tc>
      </w:tr>
      <w:tr w:rsidR="0037652E" w:rsidRPr="00D75194" w14:paraId="71FDE912" w14:textId="77777777" w:rsidTr="00173EC3">
        <w:tc>
          <w:tcPr>
            <w:cnfStyle w:val="001000000000" w:firstRow="0" w:lastRow="0" w:firstColumn="1" w:lastColumn="0" w:oddVBand="0" w:evenVBand="0" w:oddHBand="0" w:evenHBand="0" w:firstRowFirstColumn="0" w:firstRowLastColumn="0" w:lastRowFirstColumn="0" w:lastRowLastColumn="0"/>
            <w:tcW w:w="1413" w:type="dxa"/>
          </w:tcPr>
          <w:p w14:paraId="02BA7318" w14:textId="670DBEC8" w:rsidR="0037652E" w:rsidRPr="00D75194" w:rsidRDefault="0037652E" w:rsidP="0037652E">
            <w:pPr>
              <w:spacing w:before="60" w:after="60"/>
            </w:pPr>
            <w:r w:rsidRPr="00BE5871">
              <w:rPr>
                <w:rFonts w:cs="Segoe UI"/>
                <w:color w:val="424242"/>
              </w:rPr>
              <w:t xml:space="preserve">ICCCAD </w:t>
            </w:r>
          </w:p>
        </w:tc>
        <w:tc>
          <w:tcPr>
            <w:tcW w:w="7603" w:type="dxa"/>
          </w:tcPr>
          <w:p w14:paraId="45DE08A1" w14:textId="0034076E" w:rsidR="0037652E" w:rsidRPr="00D75194" w:rsidRDefault="0037652E" w:rsidP="0037652E">
            <w:pPr>
              <w:spacing w:before="60" w:after="60"/>
              <w:cnfStyle w:val="000000000000" w:firstRow="0" w:lastRow="0" w:firstColumn="0" w:lastColumn="0" w:oddVBand="0" w:evenVBand="0" w:oddHBand="0" w:evenHBand="0" w:firstRowFirstColumn="0" w:firstRowLastColumn="0" w:lastRowFirstColumn="0" w:lastRowLastColumn="0"/>
            </w:pPr>
            <w:r w:rsidRPr="00BE5871">
              <w:rPr>
                <w:rFonts w:cs="Segoe UI"/>
                <w:color w:val="424242"/>
              </w:rPr>
              <w:t>International Centre for Climate Change and Development</w:t>
            </w:r>
          </w:p>
        </w:tc>
      </w:tr>
      <w:tr w:rsidR="0037652E" w:rsidRPr="00D75194" w14:paraId="4B7855CB" w14:textId="77777777" w:rsidTr="00173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4E34D8D" w14:textId="155CE4DD" w:rsidR="0037652E" w:rsidRPr="00D75194" w:rsidRDefault="0037652E" w:rsidP="0037652E">
            <w:pPr>
              <w:spacing w:before="60" w:after="60"/>
            </w:pPr>
            <w:r w:rsidRPr="00BE5871">
              <w:rPr>
                <w:rFonts w:cs="Segoe UI"/>
                <w:color w:val="424242"/>
              </w:rPr>
              <w:t xml:space="preserve">ICF </w:t>
            </w:r>
          </w:p>
        </w:tc>
        <w:tc>
          <w:tcPr>
            <w:tcW w:w="7603" w:type="dxa"/>
          </w:tcPr>
          <w:p w14:paraId="0F22F75D" w14:textId="3EDB72B8" w:rsidR="0037652E" w:rsidRPr="00D75194" w:rsidRDefault="0037652E" w:rsidP="0037652E">
            <w:pPr>
              <w:spacing w:before="60" w:after="60"/>
              <w:cnfStyle w:val="000000100000" w:firstRow="0" w:lastRow="0" w:firstColumn="0" w:lastColumn="0" w:oddVBand="0" w:evenVBand="0" w:oddHBand="1" w:evenHBand="0" w:firstRowFirstColumn="0" w:firstRowLastColumn="0" w:lastRowFirstColumn="0" w:lastRowLastColumn="0"/>
            </w:pPr>
            <w:r w:rsidRPr="00BE5871">
              <w:rPr>
                <w:rFonts w:cs="Segoe UI"/>
                <w:color w:val="424242"/>
              </w:rPr>
              <w:t>International Climate Finance</w:t>
            </w:r>
          </w:p>
        </w:tc>
      </w:tr>
      <w:tr w:rsidR="0037652E" w:rsidRPr="00D75194" w14:paraId="39B503FF" w14:textId="77777777" w:rsidTr="00173EC3">
        <w:tc>
          <w:tcPr>
            <w:cnfStyle w:val="001000000000" w:firstRow="0" w:lastRow="0" w:firstColumn="1" w:lastColumn="0" w:oddVBand="0" w:evenVBand="0" w:oddHBand="0" w:evenHBand="0" w:firstRowFirstColumn="0" w:firstRowLastColumn="0" w:lastRowFirstColumn="0" w:lastRowLastColumn="0"/>
            <w:tcW w:w="1413" w:type="dxa"/>
          </w:tcPr>
          <w:p w14:paraId="628030A0" w14:textId="62831E32" w:rsidR="0037652E" w:rsidRPr="00D75194" w:rsidRDefault="0037652E" w:rsidP="0037652E">
            <w:pPr>
              <w:spacing w:before="60" w:after="60"/>
            </w:pPr>
            <w:r w:rsidRPr="00BE5871">
              <w:rPr>
                <w:rFonts w:cs="Segoe UI"/>
                <w:color w:val="424242"/>
              </w:rPr>
              <w:t xml:space="preserve">IIED </w:t>
            </w:r>
          </w:p>
        </w:tc>
        <w:tc>
          <w:tcPr>
            <w:tcW w:w="7603" w:type="dxa"/>
          </w:tcPr>
          <w:p w14:paraId="6AD648D5" w14:textId="03CCCA8C" w:rsidR="0037652E" w:rsidRPr="00D75194" w:rsidRDefault="0037652E" w:rsidP="0037652E">
            <w:pPr>
              <w:spacing w:before="60" w:after="60"/>
              <w:cnfStyle w:val="000000000000" w:firstRow="0" w:lastRow="0" w:firstColumn="0" w:lastColumn="0" w:oddVBand="0" w:evenVBand="0" w:oddHBand="0" w:evenHBand="0" w:firstRowFirstColumn="0" w:firstRowLastColumn="0" w:lastRowFirstColumn="0" w:lastRowLastColumn="0"/>
            </w:pPr>
            <w:r w:rsidRPr="00BE5871">
              <w:rPr>
                <w:rFonts w:cs="Segoe UI"/>
                <w:color w:val="424242"/>
              </w:rPr>
              <w:t>International Institute for Environment and Development</w:t>
            </w:r>
          </w:p>
        </w:tc>
      </w:tr>
      <w:tr w:rsidR="0037652E" w:rsidRPr="00D75194" w14:paraId="4E174560" w14:textId="77777777" w:rsidTr="00173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06727C6" w14:textId="5B2A4CFD" w:rsidR="0037652E" w:rsidRPr="00D75194" w:rsidRDefault="0037652E" w:rsidP="0037652E">
            <w:pPr>
              <w:spacing w:before="60" w:after="60"/>
            </w:pPr>
            <w:r w:rsidRPr="00BE5871">
              <w:rPr>
                <w:rFonts w:cs="Segoe UI"/>
                <w:color w:val="424242"/>
              </w:rPr>
              <w:t xml:space="preserve">IPCC </w:t>
            </w:r>
          </w:p>
        </w:tc>
        <w:tc>
          <w:tcPr>
            <w:tcW w:w="7603" w:type="dxa"/>
          </w:tcPr>
          <w:p w14:paraId="406DC47A" w14:textId="00D8642D" w:rsidR="0037652E" w:rsidRPr="00D75194" w:rsidRDefault="0037652E" w:rsidP="0037652E">
            <w:pPr>
              <w:spacing w:before="60" w:after="60"/>
              <w:cnfStyle w:val="000000100000" w:firstRow="0" w:lastRow="0" w:firstColumn="0" w:lastColumn="0" w:oddVBand="0" w:evenVBand="0" w:oddHBand="1" w:evenHBand="0" w:firstRowFirstColumn="0" w:firstRowLastColumn="0" w:lastRowFirstColumn="0" w:lastRowLastColumn="0"/>
            </w:pPr>
            <w:r w:rsidRPr="00BE5871">
              <w:rPr>
                <w:rFonts w:cs="Segoe UI"/>
                <w:color w:val="424242"/>
              </w:rPr>
              <w:t>Intergovernmental Panel on Climate Change</w:t>
            </w:r>
          </w:p>
        </w:tc>
      </w:tr>
      <w:tr w:rsidR="0037652E" w:rsidRPr="00D75194" w14:paraId="24F6C50F" w14:textId="77777777" w:rsidTr="00173EC3">
        <w:tc>
          <w:tcPr>
            <w:cnfStyle w:val="001000000000" w:firstRow="0" w:lastRow="0" w:firstColumn="1" w:lastColumn="0" w:oddVBand="0" w:evenVBand="0" w:oddHBand="0" w:evenHBand="0" w:firstRowFirstColumn="0" w:firstRowLastColumn="0" w:lastRowFirstColumn="0" w:lastRowLastColumn="0"/>
            <w:tcW w:w="1413" w:type="dxa"/>
          </w:tcPr>
          <w:p w14:paraId="6DCD5188" w14:textId="58E2E22C" w:rsidR="0037652E" w:rsidRPr="00D75194" w:rsidRDefault="0037652E" w:rsidP="0037652E">
            <w:pPr>
              <w:spacing w:before="60" w:after="60"/>
            </w:pPr>
            <w:r w:rsidRPr="00BE5871">
              <w:rPr>
                <w:rFonts w:cs="Segoe UI"/>
                <w:color w:val="424242"/>
              </w:rPr>
              <w:t xml:space="preserve">KII </w:t>
            </w:r>
          </w:p>
        </w:tc>
        <w:tc>
          <w:tcPr>
            <w:tcW w:w="7603" w:type="dxa"/>
          </w:tcPr>
          <w:p w14:paraId="78BDD08E" w14:textId="0887B2CC" w:rsidR="0037652E" w:rsidRPr="00D75194" w:rsidRDefault="0037652E" w:rsidP="0037652E">
            <w:pPr>
              <w:spacing w:before="60" w:after="60"/>
              <w:cnfStyle w:val="000000000000" w:firstRow="0" w:lastRow="0" w:firstColumn="0" w:lastColumn="0" w:oddVBand="0" w:evenVBand="0" w:oddHBand="0" w:evenHBand="0" w:firstRowFirstColumn="0" w:firstRowLastColumn="0" w:lastRowFirstColumn="0" w:lastRowLastColumn="0"/>
            </w:pPr>
            <w:r w:rsidRPr="00BE5871">
              <w:rPr>
                <w:rFonts w:cs="Segoe UI"/>
                <w:color w:val="424242"/>
              </w:rPr>
              <w:t>Key Informant Interview</w:t>
            </w:r>
          </w:p>
        </w:tc>
      </w:tr>
      <w:tr w:rsidR="0037652E" w:rsidRPr="00D75194" w14:paraId="70D359BE" w14:textId="77777777" w:rsidTr="00173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9F29276" w14:textId="130BA1D1" w:rsidR="0037652E" w:rsidRPr="00D75194" w:rsidRDefault="0037652E" w:rsidP="0037652E">
            <w:pPr>
              <w:spacing w:before="60" w:after="60"/>
            </w:pPr>
            <w:r w:rsidRPr="00BE5871">
              <w:rPr>
                <w:rFonts w:cs="Segoe UI"/>
                <w:color w:val="424242"/>
              </w:rPr>
              <w:t xml:space="preserve">KPI </w:t>
            </w:r>
          </w:p>
        </w:tc>
        <w:tc>
          <w:tcPr>
            <w:tcW w:w="7603" w:type="dxa"/>
          </w:tcPr>
          <w:p w14:paraId="59E993AE" w14:textId="404B9968" w:rsidR="0037652E" w:rsidRPr="00D75194" w:rsidRDefault="0037652E" w:rsidP="0037652E">
            <w:pPr>
              <w:spacing w:before="60" w:after="60"/>
              <w:cnfStyle w:val="000000100000" w:firstRow="0" w:lastRow="0" w:firstColumn="0" w:lastColumn="0" w:oddVBand="0" w:evenVBand="0" w:oddHBand="1" w:evenHBand="0" w:firstRowFirstColumn="0" w:firstRowLastColumn="0" w:lastRowFirstColumn="0" w:lastRowLastColumn="0"/>
            </w:pPr>
            <w:r w:rsidRPr="00BE5871">
              <w:rPr>
                <w:rFonts w:cs="Segoe UI"/>
                <w:color w:val="424242"/>
              </w:rPr>
              <w:t>Key Performance Indicator</w:t>
            </w:r>
          </w:p>
        </w:tc>
      </w:tr>
      <w:tr w:rsidR="0037652E" w:rsidRPr="00D75194" w14:paraId="015C9716" w14:textId="77777777" w:rsidTr="00173EC3">
        <w:tc>
          <w:tcPr>
            <w:cnfStyle w:val="001000000000" w:firstRow="0" w:lastRow="0" w:firstColumn="1" w:lastColumn="0" w:oddVBand="0" w:evenVBand="0" w:oddHBand="0" w:evenHBand="0" w:firstRowFirstColumn="0" w:firstRowLastColumn="0" w:lastRowFirstColumn="0" w:lastRowLastColumn="0"/>
            <w:tcW w:w="1413" w:type="dxa"/>
          </w:tcPr>
          <w:p w14:paraId="7726BE90" w14:textId="2F48F363" w:rsidR="0037652E" w:rsidRPr="00D75194" w:rsidRDefault="0037652E" w:rsidP="0037652E">
            <w:pPr>
              <w:spacing w:before="60" w:after="60"/>
            </w:pPr>
            <w:r w:rsidRPr="00BE5871">
              <w:rPr>
                <w:rFonts w:cs="Segoe UI"/>
                <w:color w:val="424242"/>
              </w:rPr>
              <w:t xml:space="preserve">LAPA </w:t>
            </w:r>
          </w:p>
        </w:tc>
        <w:tc>
          <w:tcPr>
            <w:tcW w:w="7603" w:type="dxa"/>
          </w:tcPr>
          <w:p w14:paraId="246993EC" w14:textId="1CADF72E" w:rsidR="0037652E" w:rsidRPr="00D75194" w:rsidRDefault="0037652E" w:rsidP="0037652E">
            <w:pPr>
              <w:spacing w:before="60" w:after="60"/>
              <w:cnfStyle w:val="000000000000" w:firstRow="0" w:lastRow="0" w:firstColumn="0" w:lastColumn="0" w:oddVBand="0" w:evenVBand="0" w:oddHBand="0" w:evenHBand="0" w:firstRowFirstColumn="0" w:firstRowLastColumn="0" w:lastRowFirstColumn="0" w:lastRowLastColumn="0"/>
            </w:pPr>
            <w:r w:rsidRPr="00BE5871">
              <w:rPr>
                <w:rFonts w:cs="Segoe UI"/>
                <w:color w:val="424242"/>
              </w:rPr>
              <w:t>Local Adaptation Plan of Action</w:t>
            </w:r>
          </w:p>
        </w:tc>
      </w:tr>
      <w:tr w:rsidR="0037652E" w:rsidRPr="00D75194" w14:paraId="0638E3AA" w14:textId="77777777" w:rsidTr="00173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81CCC01" w14:textId="1AB37C12" w:rsidR="0037652E" w:rsidRPr="00D75194" w:rsidRDefault="0037652E" w:rsidP="0037652E">
            <w:pPr>
              <w:spacing w:before="60" w:after="60"/>
            </w:pPr>
            <w:r w:rsidRPr="00BE5871">
              <w:rPr>
                <w:rFonts w:cs="Segoe UI"/>
                <w:color w:val="424242"/>
              </w:rPr>
              <w:t xml:space="preserve">LDC </w:t>
            </w:r>
          </w:p>
        </w:tc>
        <w:tc>
          <w:tcPr>
            <w:tcW w:w="7603" w:type="dxa"/>
          </w:tcPr>
          <w:p w14:paraId="63CB383A" w14:textId="58F06DDC" w:rsidR="0037652E" w:rsidRPr="00D75194" w:rsidRDefault="0037652E" w:rsidP="0037652E">
            <w:pPr>
              <w:spacing w:before="60" w:after="60"/>
              <w:cnfStyle w:val="000000100000" w:firstRow="0" w:lastRow="0" w:firstColumn="0" w:lastColumn="0" w:oddVBand="0" w:evenVBand="0" w:oddHBand="1" w:evenHBand="0" w:firstRowFirstColumn="0" w:firstRowLastColumn="0" w:lastRowFirstColumn="0" w:lastRowLastColumn="0"/>
            </w:pPr>
            <w:r w:rsidRPr="00BE5871">
              <w:rPr>
                <w:rFonts w:cs="Segoe UI"/>
                <w:color w:val="424242"/>
              </w:rPr>
              <w:t>Least Developed Country</w:t>
            </w:r>
          </w:p>
        </w:tc>
      </w:tr>
      <w:tr w:rsidR="0037652E" w:rsidRPr="00D75194" w14:paraId="7995D42D" w14:textId="77777777" w:rsidTr="00173EC3">
        <w:tc>
          <w:tcPr>
            <w:cnfStyle w:val="001000000000" w:firstRow="0" w:lastRow="0" w:firstColumn="1" w:lastColumn="0" w:oddVBand="0" w:evenVBand="0" w:oddHBand="0" w:evenHBand="0" w:firstRowFirstColumn="0" w:firstRowLastColumn="0" w:lastRowFirstColumn="0" w:lastRowLastColumn="0"/>
            <w:tcW w:w="1413" w:type="dxa"/>
          </w:tcPr>
          <w:p w14:paraId="4F829506" w14:textId="72AB8EA2" w:rsidR="0037652E" w:rsidRPr="00D75194" w:rsidRDefault="0037652E" w:rsidP="0037652E">
            <w:pPr>
              <w:spacing w:before="60" w:after="60"/>
            </w:pPr>
            <w:r w:rsidRPr="00BE5871">
              <w:rPr>
                <w:rFonts w:cs="Segoe UI"/>
                <w:color w:val="424242"/>
              </w:rPr>
              <w:t xml:space="preserve">LEP </w:t>
            </w:r>
          </w:p>
        </w:tc>
        <w:tc>
          <w:tcPr>
            <w:tcW w:w="7603" w:type="dxa"/>
          </w:tcPr>
          <w:p w14:paraId="5F9BDDB8" w14:textId="3A8BE3B9" w:rsidR="0037652E" w:rsidRPr="00D75194" w:rsidRDefault="0037652E" w:rsidP="0037652E">
            <w:pPr>
              <w:spacing w:before="60" w:after="60"/>
              <w:cnfStyle w:val="000000000000" w:firstRow="0" w:lastRow="0" w:firstColumn="0" w:lastColumn="0" w:oddVBand="0" w:evenVBand="0" w:oddHBand="0" w:evenHBand="0" w:firstRowFirstColumn="0" w:firstRowLastColumn="0" w:lastRowFirstColumn="0" w:lastRowLastColumn="0"/>
            </w:pPr>
            <w:r w:rsidRPr="00BE5871">
              <w:rPr>
                <w:rFonts w:cs="Segoe UI"/>
                <w:color w:val="424242"/>
              </w:rPr>
              <w:t>Learning and Evaluation Partner</w:t>
            </w:r>
          </w:p>
        </w:tc>
      </w:tr>
      <w:tr w:rsidR="0037652E" w:rsidRPr="00D75194" w14:paraId="5D9DE26A" w14:textId="77777777" w:rsidTr="00173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3F9B79D" w14:textId="23AC0840" w:rsidR="0037652E" w:rsidRPr="00D75194" w:rsidRDefault="0037652E" w:rsidP="0037652E">
            <w:pPr>
              <w:spacing w:before="60" w:after="60"/>
            </w:pPr>
            <w:r w:rsidRPr="00BE5871">
              <w:rPr>
                <w:rFonts w:cs="Segoe UI"/>
                <w:color w:val="424242"/>
              </w:rPr>
              <w:t xml:space="preserve">LRI </w:t>
            </w:r>
          </w:p>
        </w:tc>
        <w:tc>
          <w:tcPr>
            <w:tcW w:w="7603" w:type="dxa"/>
          </w:tcPr>
          <w:p w14:paraId="1E05BFDA" w14:textId="19C54323" w:rsidR="0037652E" w:rsidRPr="00D75194" w:rsidRDefault="0037652E" w:rsidP="0037652E">
            <w:pPr>
              <w:spacing w:before="60" w:after="60"/>
              <w:cnfStyle w:val="000000100000" w:firstRow="0" w:lastRow="0" w:firstColumn="0" w:lastColumn="0" w:oddVBand="0" w:evenVBand="0" w:oddHBand="1" w:evenHBand="0" w:firstRowFirstColumn="0" w:firstRowLastColumn="0" w:lastRowFirstColumn="0" w:lastRowLastColumn="0"/>
            </w:pPr>
            <w:r w:rsidRPr="00BE5871">
              <w:rPr>
                <w:rFonts w:cs="Segoe UI"/>
                <w:color w:val="424242"/>
              </w:rPr>
              <w:t>Legal Response International</w:t>
            </w:r>
          </w:p>
        </w:tc>
      </w:tr>
      <w:tr w:rsidR="0037652E" w:rsidRPr="00D75194" w14:paraId="3B994C92" w14:textId="77777777" w:rsidTr="00173EC3">
        <w:tc>
          <w:tcPr>
            <w:cnfStyle w:val="001000000000" w:firstRow="0" w:lastRow="0" w:firstColumn="1" w:lastColumn="0" w:oddVBand="0" w:evenVBand="0" w:oddHBand="0" w:evenHBand="0" w:firstRowFirstColumn="0" w:firstRowLastColumn="0" w:lastRowFirstColumn="0" w:lastRowLastColumn="0"/>
            <w:tcW w:w="1413" w:type="dxa"/>
          </w:tcPr>
          <w:p w14:paraId="0D03DCA5" w14:textId="791F48F7" w:rsidR="0037652E" w:rsidRPr="00D75194" w:rsidRDefault="0037652E" w:rsidP="0037652E">
            <w:pPr>
              <w:spacing w:before="60" w:after="60"/>
            </w:pPr>
            <w:r w:rsidRPr="00BE5871">
              <w:rPr>
                <w:rFonts w:cs="Segoe UI"/>
                <w:color w:val="424242"/>
              </w:rPr>
              <w:t xml:space="preserve">M&amp;E </w:t>
            </w:r>
          </w:p>
        </w:tc>
        <w:tc>
          <w:tcPr>
            <w:tcW w:w="7603" w:type="dxa"/>
          </w:tcPr>
          <w:p w14:paraId="68345B23" w14:textId="3279FB07" w:rsidR="0037652E" w:rsidRPr="00D75194" w:rsidRDefault="0037652E" w:rsidP="0037652E">
            <w:pPr>
              <w:spacing w:before="60" w:after="60"/>
              <w:cnfStyle w:val="000000000000" w:firstRow="0" w:lastRow="0" w:firstColumn="0" w:lastColumn="0" w:oddVBand="0" w:evenVBand="0" w:oddHBand="0" w:evenHBand="0" w:firstRowFirstColumn="0" w:firstRowLastColumn="0" w:lastRowFirstColumn="0" w:lastRowLastColumn="0"/>
            </w:pPr>
            <w:r w:rsidRPr="00BE5871">
              <w:rPr>
                <w:rFonts w:cs="Segoe UI"/>
                <w:color w:val="424242"/>
              </w:rPr>
              <w:t>Monitoring and Evaluation</w:t>
            </w:r>
          </w:p>
        </w:tc>
      </w:tr>
      <w:tr w:rsidR="0037652E" w:rsidRPr="00D75194" w14:paraId="465EB58B" w14:textId="77777777" w:rsidTr="00173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31B4460" w14:textId="5193CC6F" w:rsidR="0037652E" w:rsidRPr="00D75194" w:rsidRDefault="0037652E" w:rsidP="0037652E">
            <w:pPr>
              <w:spacing w:before="60" w:after="60"/>
            </w:pPr>
            <w:r w:rsidRPr="00BE5871">
              <w:rPr>
                <w:rFonts w:cs="Segoe UI"/>
                <w:color w:val="424242"/>
              </w:rPr>
              <w:t xml:space="preserve">MEL </w:t>
            </w:r>
          </w:p>
        </w:tc>
        <w:tc>
          <w:tcPr>
            <w:tcW w:w="7603" w:type="dxa"/>
          </w:tcPr>
          <w:p w14:paraId="481AC75A" w14:textId="403F25A4" w:rsidR="0037652E" w:rsidRPr="00D75194" w:rsidRDefault="0037652E" w:rsidP="0037652E">
            <w:pPr>
              <w:spacing w:before="60" w:after="60"/>
              <w:cnfStyle w:val="000000100000" w:firstRow="0" w:lastRow="0" w:firstColumn="0" w:lastColumn="0" w:oddVBand="0" w:evenVBand="0" w:oddHBand="1" w:evenHBand="0" w:firstRowFirstColumn="0" w:firstRowLastColumn="0" w:lastRowFirstColumn="0" w:lastRowLastColumn="0"/>
            </w:pPr>
            <w:r w:rsidRPr="00BE5871">
              <w:rPr>
                <w:rFonts w:cs="Segoe UI"/>
                <w:color w:val="424242"/>
              </w:rPr>
              <w:t>Monitoring, Evaluation and Learning</w:t>
            </w:r>
          </w:p>
        </w:tc>
      </w:tr>
      <w:tr w:rsidR="0037652E" w:rsidRPr="00D75194" w14:paraId="632D0DD9" w14:textId="77777777" w:rsidTr="00173EC3">
        <w:tc>
          <w:tcPr>
            <w:cnfStyle w:val="001000000000" w:firstRow="0" w:lastRow="0" w:firstColumn="1" w:lastColumn="0" w:oddVBand="0" w:evenVBand="0" w:oddHBand="0" w:evenHBand="0" w:firstRowFirstColumn="0" w:firstRowLastColumn="0" w:lastRowFirstColumn="0" w:lastRowLastColumn="0"/>
            <w:tcW w:w="1413" w:type="dxa"/>
          </w:tcPr>
          <w:p w14:paraId="3A676AEA" w14:textId="2E169F95" w:rsidR="0037652E" w:rsidRPr="00D75194" w:rsidRDefault="0037652E" w:rsidP="0037652E">
            <w:pPr>
              <w:spacing w:before="60" w:after="60"/>
            </w:pPr>
            <w:r w:rsidRPr="00BE5871">
              <w:rPr>
                <w:rFonts w:cs="Segoe UI"/>
                <w:color w:val="424242"/>
              </w:rPr>
              <w:t xml:space="preserve">NCQG </w:t>
            </w:r>
          </w:p>
        </w:tc>
        <w:tc>
          <w:tcPr>
            <w:tcW w:w="7603" w:type="dxa"/>
          </w:tcPr>
          <w:p w14:paraId="2C7D6F8C" w14:textId="34F4E821" w:rsidR="0037652E" w:rsidRPr="00D75194" w:rsidRDefault="0037652E" w:rsidP="0037652E">
            <w:pPr>
              <w:spacing w:before="60" w:after="60"/>
              <w:cnfStyle w:val="000000000000" w:firstRow="0" w:lastRow="0" w:firstColumn="0" w:lastColumn="0" w:oddVBand="0" w:evenVBand="0" w:oddHBand="0" w:evenHBand="0" w:firstRowFirstColumn="0" w:firstRowLastColumn="0" w:lastRowFirstColumn="0" w:lastRowLastColumn="0"/>
            </w:pPr>
            <w:r w:rsidRPr="00BE5871">
              <w:rPr>
                <w:rFonts w:cs="Segoe UI"/>
                <w:color w:val="424242"/>
              </w:rPr>
              <w:t>New Collective Quantified Goal</w:t>
            </w:r>
          </w:p>
        </w:tc>
      </w:tr>
      <w:tr w:rsidR="0037652E" w:rsidRPr="00D75194" w14:paraId="37C3C425" w14:textId="77777777" w:rsidTr="00173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2791C51" w14:textId="0CA0087F" w:rsidR="0037652E" w:rsidRPr="00D75194" w:rsidRDefault="0037652E" w:rsidP="0037652E">
            <w:pPr>
              <w:spacing w:before="60" w:after="60"/>
            </w:pPr>
            <w:r w:rsidRPr="00BE5871">
              <w:rPr>
                <w:rFonts w:cs="Segoe UI"/>
                <w:color w:val="424242"/>
              </w:rPr>
              <w:t xml:space="preserve">NDCs </w:t>
            </w:r>
          </w:p>
        </w:tc>
        <w:tc>
          <w:tcPr>
            <w:tcW w:w="7603" w:type="dxa"/>
          </w:tcPr>
          <w:p w14:paraId="0B402B24" w14:textId="7272B884" w:rsidR="0037652E" w:rsidRPr="00D75194" w:rsidRDefault="0037652E" w:rsidP="0037652E">
            <w:pPr>
              <w:spacing w:before="60" w:after="60"/>
              <w:cnfStyle w:val="000000100000" w:firstRow="0" w:lastRow="0" w:firstColumn="0" w:lastColumn="0" w:oddVBand="0" w:evenVBand="0" w:oddHBand="1" w:evenHBand="0" w:firstRowFirstColumn="0" w:firstRowLastColumn="0" w:lastRowFirstColumn="0" w:lastRowLastColumn="0"/>
            </w:pPr>
            <w:r w:rsidRPr="00BE5871">
              <w:rPr>
                <w:rFonts w:cs="Segoe UI"/>
                <w:color w:val="424242"/>
              </w:rPr>
              <w:t>Nationally Determined Contributions</w:t>
            </w:r>
          </w:p>
        </w:tc>
      </w:tr>
      <w:tr w:rsidR="0037652E" w:rsidRPr="00D75194" w14:paraId="70856383" w14:textId="77777777" w:rsidTr="00173EC3">
        <w:tc>
          <w:tcPr>
            <w:cnfStyle w:val="001000000000" w:firstRow="0" w:lastRow="0" w:firstColumn="1" w:lastColumn="0" w:oddVBand="0" w:evenVBand="0" w:oddHBand="0" w:evenHBand="0" w:firstRowFirstColumn="0" w:firstRowLastColumn="0" w:lastRowFirstColumn="0" w:lastRowLastColumn="0"/>
            <w:tcW w:w="1413" w:type="dxa"/>
          </w:tcPr>
          <w:p w14:paraId="6C487E87" w14:textId="361D8BA0" w:rsidR="0037652E" w:rsidRPr="00D75194" w:rsidRDefault="0037652E" w:rsidP="0037652E">
            <w:pPr>
              <w:spacing w:before="60" w:after="60"/>
            </w:pPr>
            <w:r w:rsidRPr="00BE5871">
              <w:rPr>
                <w:rFonts w:cs="Segoe UI"/>
                <w:color w:val="424242"/>
              </w:rPr>
              <w:t xml:space="preserve">NGP </w:t>
            </w:r>
          </w:p>
        </w:tc>
        <w:tc>
          <w:tcPr>
            <w:tcW w:w="7603" w:type="dxa"/>
          </w:tcPr>
          <w:p w14:paraId="342AFF00" w14:textId="70D25E1B" w:rsidR="0037652E" w:rsidRPr="00D75194" w:rsidRDefault="0037652E" w:rsidP="0037652E">
            <w:pPr>
              <w:spacing w:before="60" w:after="60"/>
              <w:cnfStyle w:val="000000000000" w:firstRow="0" w:lastRow="0" w:firstColumn="0" w:lastColumn="0" w:oddVBand="0" w:evenVBand="0" w:oddHBand="0" w:evenHBand="0" w:firstRowFirstColumn="0" w:firstRowLastColumn="0" w:lastRowFirstColumn="0" w:lastRowLastColumn="0"/>
            </w:pPr>
            <w:r w:rsidRPr="00BE5871">
              <w:rPr>
                <w:rFonts w:cs="Segoe UI"/>
                <w:color w:val="424242"/>
              </w:rPr>
              <w:t>New Generation Programme</w:t>
            </w:r>
          </w:p>
        </w:tc>
      </w:tr>
      <w:tr w:rsidR="0037652E" w:rsidRPr="00D75194" w14:paraId="70C3BF43" w14:textId="77777777" w:rsidTr="00173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847817D" w14:textId="51712EB7" w:rsidR="0037652E" w:rsidRPr="00D75194" w:rsidRDefault="0037652E" w:rsidP="0037652E">
            <w:pPr>
              <w:spacing w:before="60" w:after="60"/>
            </w:pPr>
            <w:r w:rsidRPr="00BE5871">
              <w:rPr>
                <w:rFonts w:cs="Segoe UI"/>
                <w:color w:val="424242"/>
              </w:rPr>
              <w:t xml:space="preserve">ODI </w:t>
            </w:r>
          </w:p>
        </w:tc>
        <w:tc>
          <w:tcPr>
            <w:tcW w:w="7603" w:type="dxa"/>
          </w:tcPr>
          <w:p w14:paraId="7A3F7DA3" w14:textId="44C6B4E9" w:rsidR="0037652E" w:rsidRPr="00D75194" w:rsidRDefault="0037652E" w:rsidP="0037652E">
            <w:pPr>
              <w:spacing w:before="60" w:after="60"/>
              <w:cnfStyle w:val="000000100000" w:firstRow="0" w:lastRow="0" w:firstColumn="0" w:lastColumn="0" w:oddVBand="0" w:evenVBand="0" w:oddHBand="1" w:evenHBand="0" w:firstRowFirstColumn="0" w:firstRowLastColumn="0" w:lastRowFirstColumn="0" w:lastRowLastColumn="0"/>
            </w:pPr>
            <w:r w:rsidRPr="00BE5871">
              <w:rPr>
                <w:rFonts w:cs="Segoe UI"/>
                <w:color w:val="424242"/>
              </w:rPr>
              <w:t>Overseas Development Institute</w:t>
            </w:r>
          </w:p>
        </w:tc>
      </w:tr>
      <w:tr w:rsidR="0037652E" w:rsidRPr="00D75194" w14:paraId="2927E8B0" w14:textId="77777777" w:rsidTr="00173EC3">
        <w:tc>
          <w:tcPr>
            <w:cnfStyle w:val="001000000000" w:firstRow="0" w:lastRow="0" w:firstColumn="1" w:lastColumn="0" w:oddVBand="0" w:evenVBand="0" w:oddHBand="0" w:evenHBand="0" w:firstRowFirstColumn="0" w:firstRowLastColumn="0" w:lastRowFirstColumn="0" w:lastRowLastColumn="0"/>
            <w:tcW w:w="1413" w:type="dxa"/>
          </w:tcPr>
          <w:p w14:paraId="208D60A8" w14:textId="16172EC8" w:rsidR="0037652E" w:rsidRPr="00D75194" w:rsidRDefault="0037652E" w:rsidP="0037652E">
            <w:pPr>
              <w:spacing w:before="60" w:after="60"/>
            </w:pPr>
            <w:r w:rsidRPr="00BE5871">
              <w:rPr>
                <w:rFonts w:cs="Segoe UI"/>
                <w:color w:val="424242"/>
              </w:rPr>
              <w:t xml:space="preserve">OECD </w:t>
            </w:r>
          </w:p>
        </w:tc>
        <w:tc>
          <w:tcPr>
            <w:tcW w:w="7603" w:type="dxa"/>
          </w:tcPr>
          <w:p w14:paraId="6AC1D57C" w14:textId="126A63DC" w:rsidR="0037652E" w:rsidRPr="00D75194" w:rsidRDefault="0037652E" w:rsidP="0037652E">
            <w:pPr>
              <w:spacing w:before="60" w:after="60"/>
              <w:cnfStyle w:val="000000000000" w:firstRow="0" w:lastRow="0" w:firstColumn="0" w:lastColumn="0" w:oddVBand="0" w:evenVBand="0" w:oddHBand="0" w:evenHBand="0" w:firstRowFirstColumn="0" w:firstRowLastColumn="0" w:lastRowFirstColumn="0" w:lastRowLastColumn="0"/>
            </w:pPr>
            <w:r w:rsidRPr="00BE5871">
              <w:rPr>
                <w:rFonts w:cs="Segoe UI"/>
                <w:color w:val="424242"/>
              </w:rPr>
              <w:t>Organisation for Economic Co-operation and Development</w:t>
            </w:r>
          </w:p>
        </w:tc>
      </w:tr>
      <w:tr w:rsidR="0037652E" w:rsidRPr="00D75194" w14:paraId="7E225625" w14:textId="77777777" w:rsidTr="00173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B167E54" w14:textId="1685A10D" w:rsidR="0037652E" w:rsidRPr="00D75194" w:rsidRDefault="0037652E" w:rsidP="0037652E">
            <w:pPr>
              <w:spacing w:before="60" w:after="60"/>
            </w:pPr>
            <w:r w:rsidRPr="00BE5871">
              <w:rPr>
                <w:rFonts w:cs="Segoe UI"/>
                <w:color w:val="424242"/>
              </w:rPr>
              <w:t xml:space="preserve">OF </w:t>
            </w:r>
          </w:p>
        </w:tc>
        <w:tc>
          <w:tcPr>
            <w:tcW w:w="7603" w:type="dxa"/>
          </w:tcPr>
          <w:p w14:paraId="28F946EA" w14:textId="2A878EE0" w:rsidR="0037652E" w:rsidRPr="00D75194" w:rsidRDefault="0037652E" w:rsidP="0037652E">
            <w:pPr>
              <w:spacing w:before="60" w:after="60"/>
              <w:cnfStyle w:val="000000100000" w:firstRow="0" w:lastRow="0" w:firstColumn="0" w:lastColumn="0" w:oddVBand="0" w:evenVBand="0" w:oddHBand="1" w:evenHBand="0" w:firstRowFirstColumn="0" w:firstRowLastColumn="0" w:lastRowFirstColumn="0" w:lastRowLastColumn="0"/>
            </w:pPr>
            <w:r w:rsidRPr="00BE5871">
              <w:rPr>
                <w:rFonts w:cs="Segoe UI"/>
                <w:color w:val="424242"/>
              </w:rPr>
              <w:t>Opportunity Fund</w:t>
            </w:r>
          </w:p>
        </w:tc>
      </w:tr>
      <w:tr w:rsidR="0037652E" w:rsidRPr="00D75194" w14:paraId="1267F849" w14:textId="77777777" w:rsidTr="00173EC3">
        <w:tc>
          <w:tcPr>
            <w:cnfStyle w:val="001000000000" w:firstRow="0" w:lastRow="0" w:firstColumn="1" w:lastColumn="0" w:oddVBand="0" w:evenVBand="0" w:oddHBand="0" w:evenHBand="0" w:firstRowFirstColumn="0" w:firstRowLastColumn="0" w:lastRowFirstColumn="0" w:lastRowLastColumn="0"/>
            <w:tcW w:w="1413" w:type="dxa"/>
          </w:tcPr>
          <w:p w14:paraId="064FD32A" w14:textId="145D73F2" w:rsidR="0037652E" w:rsidRPr="00D75194" w:rsidRDefault="0037652E" w:rsidP="0037652E">
            <w:pPr>
              <w:spacing w:before="60" w:after="60"/>
            </w:pPr>
            <w:r w:rsidRPr="00BE5871">
              <w:rPr>
                <w:rFonts w:cs="Segoe UI"/>
                <w:color w:val="424242"/>
              </w:rPr>
              <w:t>OPM</w:t>
            </w:r>
          </w:p>
        </w:tc>
        <w:tc>
          <w:tcPr>
            <w:tcW w:w="7603" w:type="dxa"/>
          </w:tcPr>
          <w:p w14:paraId="3F64A057" w14:textId="4B0F71A4" w:rsidR="0037652E" w:rsidRPr="00D75194" w:rsidRDefault="0037652E" w:rsidP="0037652E">
            <w:pPr>
              <w:spacing w:before="60" w:after="60"/>
              <w:cnfStyle w:val="000000000000" w:firstRow="0" w:lastRow="0" w:firstColumn="0" w:lastColumn="0" w:oddVBand="0" w:evenVBand="0" w:oddHBand="0" w:evenHBand="0" w:firstRowFirstColumn="0" w:firstRowLastColumn="0" w:lastRowFirstColumn="0" w:lastRowLastColumn="0"/>
            </w:pPr>
            <w:r w:rsidRPr="00BE5871">
              <w:rPr>
                <w:rFonts w:cs="Segoe UI"/>
                <w:color w:val="424242"/>
              </w:rPr>
              <w:t>Oxford Policy Management</w:t>
            </w:r>
          </w:p>
        </w:tc>
      </w:tr>
      <w:tr w:rsidR="0037652E" w:rsidRPr="00D75194" w14:paraId="3871AE9E" w14:textId="77777777" w:rsidTr="00173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9ACB15B" w14:textId="6035C954" w:rsidR="0037652E" w:rsidRPr="00D75194" w:rsidRDefault="0037652E" w:rsidP="0037652E">
            <w:pPr>
              <w:spacing w:before="60" w:after="60"/>
            </w:pPr>
            <w:r w:rsidRPr="00BE5871">
              <w:rPr>
                <w:rFonts w:cs="Segoe UI"/>
                <w:color w:val="424242"/>
              </w:rPr>
              <w:t xml:space="preserve">RMI </w:t>
            </w:r>
          </w:p>
        </w:tc>
        <w:tc>
          <w:tcPr>
            <w:tcW w:w="7603" w:type="dxa"/>
          </w:tcPr>
          <w:p w14:paraId="311CC9AD" w14:textId="0A49C4CC" w:rsidR="0037652E" w:rsidRPr="00D75194" w:rsidRDefault="0037652E" w:rsidP="0037652E">
            <w:pPr>
              <w:spacing w:before="60" w:after="60"/>
              <w:cnfStyle w:val="000000100000" w:firstRow="0" w:lastRow="0" w:firstColumn="0" w:lastColumn="0" w:oddVBand="0" w:evenVBand="0" w:oddHBand="1" w:evenHBand="0" w:firstRowFirstColumn="0" w:firstRowLastColumn="0" w:lastRowFirstColumn="0" w:lastRowLastColumn="0"/>
            </w:pPr>
            <w:r w:rsidRPr="00BE5871">
              <w:rPr>
                <w:rFonts w:cs="Segoe UI"/>
                <w:color w:val="424242"/>
              </w:rPr>
              <w:t>Republic of the Marshall Islands</w:t>
            </w:r>
          </w:p>
        </w:tc>
      </w:tr>
      <w:tr w:rsidR="0037652E" w:rsidRPr="00D75194" w14:paraId="79EE2770" w14:textId="77777777" w:rsidTr="00173EC3">
        <w:tc>
          <w:tcPr>
            <w:cnfStyle w:val="001000000000" w:firstRow="0" w:lastRow="0" w:firstColumn="1" w:lastColumn="0" w:oddVBand="0" w:evenVBand="0" w:oddHBand="0" w:evenHBand="0" w:firstRowFirstColumn="0" w:firstRowLastColumn="0" w:lastRowFirstColumn="0" w:lastRowLastColumn="0"/>
            <w:tcW w:w="1413" w:type="dxa"/>
          </w:tcPr>
          <w:p w14:paraId="7C44A2C9" w14:textId="4F6A2B49" w:rsidR="0037652E" w:rsidRPr="00D75194" w:rsidRDefault="0037652E" w:rsidP="0037652E">
            <w:pPr>
              <w:spacing w:before="60" w:after="60"/>
            </w:pPr>
            <w:r w:rsidRPr="00BE5871">
              <w:rPr>
                <w:rFonts w:cs="Segoe UI"/>
                <w:color w:val="424242"/>
              </w:rPr>
              <w:t xml:space="preserve">SB </w:t>
            </w:r>
          </w:p>
        </w:tc>
        <w:tc>
          <w:tcPr>
            <w:tcW w:w="7603" w:type="dxa"/>
          </w:tcPr>
          <w:p w14:paraId="7025EC7B" w14:textId="12135252" w:rsidR="0037652E" w:rsidRPr="00D75194" w:rsidRDefault="0037652E" w:rsidP="0037652E">
            <w:pPr>
              <w:spacing w:before="60" w:after="60"/>
              <w:cnfStyle w:val="000000000000" w:firstRow="0" w:lastRow="0" w:firstColumn="0" w:lastColumn="0" w:oddVBand="0" w:evenVBand="0" w:oddHBand="0" w:evenHBand="0" w:firstRowFirstColumn="0" w:firstRowLastColumn="0" w:lastRowFirstColumn="0" w:lastRowLastColumn="0"/>
            </w:pPr>
            <w:r w:rsidRPr="00BE5871">
              <w:rPr>
                <w:rFonts w:cs="Segoe UI"/>
                <w:color w:val="424242"/>
              </w:rPr>
              <w:t>Subsidiary Body</w:t>
            </w:r>
          </w:p>
        </w:tc>
      </w:tr>
      <w:tr w:rsidR="0037652E" w:rsidRPr="00D75194" w14:paraId="1D014A78" w14:textId="77777777" w:rsidTr="00173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06BDE29" w14:textId="75D9F760" w:rsidR="0037652E" w:rsidRPr="00D75194" w:rsidRDefault="0037652E" w:rsidP="0037652E">
            <w:pPr>
              <w:spacing w:before="60" w:after="60"/>
            </w:pPr>
            <w:r w:rsidRPr="00BE5871">
              <w:rPr>
                <w:rFonts w:cs="Segoe UI"/>
                <w:color w:val="424242"/>
              </w:rPr>
              <w:t xml:space="preserve">SIDS </w:t>
            </w:r>
          </w:p>
        </w:tc>
        <w:tc>
          <w:tcPr>
            <w:tcW w:w="7603" w:type="dxa"/>
          </w:tcPr>
          <w:p w14:paraId="0536A915" w14:textId="72B24E19" w:rsidR="0037652E" w:rsidRPr="00D75194" w:rsidRDefault="0037652E" w:rsidP="0037652E">
            <w:pPr>
              <w:spacing w:before="60" w:after="60"/>
              <w:cnfStyle w:val="000000100000" w:firstRow="0" w:lastRow="0" w:firstColumn="0" w:lastColumn="0" w:oddVBand="0" w:evenVBand="0" w:oddHBand="1" w:evenHBand="0" w:firstRowFirstColumn="0" w:firstRowLastColumn="0" w:lastRowFirstColumn="0" w:lastRowLastColumn="0"/>
            </w:pPr>
            <w:r w:rsidRPr="00BE5871">
              <w:rPr>
                <w:rFonts w:cs="Segoe UI"/>
                <w:color w:val="424242"/>
              </w:rPr>
              <w:t>SIDS</w:t>
            </w:r>
          </w:p>
        </w:tc>
      </w:tr>
      <w:tr w:rsidR="0037652E" w:rsidRPr="00D75194" w14:paraId="74293B95" w14:textId="77777777" w:rsidTr="00173EC3">
        <w:tc>
          <w:tcPr>
            <w:cnfStyle w:val="001000000000" w:firstRow="0" w:lastRow="0" w:firstColumn="1" w:lastColumn="0" w:oddVBand="0" w:evenVBand="0" w:oddHBand="0" w:evenHBand="0" w:firstRowFirstColumn="0" w:firstRowLastColumn="0" w:lastRowFirstColumn="0" w:lastRowLastColumn="0"/>
            <w:tcW w:w="1413" w:type="dxa"/>
          </w:tcPr>
          <w:p w14:paraId="5592AE24" w14:textId="55D254A8" w:rsidR="0037652E" w:rsidRPr="00D75194" w:rsidRDefault="0037652E" w:rsidP="0037652E">
            <w:pPr>
              <w:spacing w:before="60" w:after="60"/>
            </w:pPr>
            <w:r w:rsidRPr="00BE5871">
              <w:rPr>
                <w:rFonts w:cs="Segoe UI"/>
                <w:color w:val="424242"/>
              </w:rPr>
              <w:t>TP</w:t>
            </w:r>
          </w:p>
        </w:tc>
        <w:tc>
          <w:tcPr>
            <w:tcW w:w="7603" w:type="dxa"/>
          </w:tcPr>
          <w:p w14:paraId="772F7F08" w14:textId="010688C7" w:rsidR="0037652E" w:rsidRPr="00D75194" w:rsidRDefault="0037652E" w:rsidP="0037652E">
            <w:pPr>
              <w:spacing w:before="60" w:after="60"/>
              <w:cnfStyle w:val="000000000000" w:firstRow="0" w:lastRow="0" w:firstColumn="0" w:lastColumn="0" w:oddVBand="0" w:evenVBand="0" w:oddHBand="0" w:evenHBand="0" w:firstRowFirstColumn="0" w:firstRowLastColumn="0" w:lastRowFirstColumn="0" w:lastRowLastColumn="0"/>
            </w:pPr>
            <w:r w:rsidRPr="00BE5871">
              <w:rPr>
                <w:rFonts w:cs="Segoe UI"/>
                <w:color w:val="424242"/>
              </w:rPr>
              <w:t>Technical Partner</w:t>
            </w:r>
          </w:p>
        </w:tc>
      </w:tr>
      <w:tr w:rsidR="0037652E" w:rsidRPr="00D75194" w14:paraId="0E182C35" w14:textId="77777777" w:rsidTr="00173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CDFAFB3" w14:textId="59924622" w:rsidR="0037652E" w:rsidRPr="00D75194" w:rsidRDefault="0037652E" w:rsidP="0037652E">
            <w:pPr>
              <w:spacing w:before="60" w:after="60"/>
            </w:pPr>
            <w:r w:rsidRPr="00BE5871">
              <w:rPr>
                <w:rFonts w:cs="Segoe UI"/>
                <w:color w:val="424242"/>
              </w:rPr>
              <w:t xml:space="preserve">UK </w:t>
            </w:r>
          </w:p>
        </w:tc>
        <w:tc>
          <w:tcPr>
            <w:tcW w:w="7603" w:type="dxa"/>
          </w:tcPr>
          <w:p w14:paraId="5C644782" w14:textId="1A802FF5" w:rsidR="0037652E" w:rsidRPr="00D75194" w:rsidRDefault="0037652E" w:rsidP="0037652E">
            <w:pPr>
              <w:spacing w:before="60" w:after="60"/>
              <w:cnfStyle w:val="000000100000" w:firstRow="0" w:lastRow="0" w:firstColumn="0" w:lastColumn="0" w:oddVBand="0" w:evenVBand="0" w:oddHBand="1" w:evenHBand="0" w:firstRowFirstColumn="0" w:firstRowLastColumn="0" w:lastRowFirstColumn="0" w:lastRowLastColumn="0"/>
            </w:pPr>
            <w:r w:rsidRPr="00BE5871">
              <w:rPr>
                <w:rFonts w:cs="Segoe UI"/>
                <w:color w:val="424242"/>
              </w:rPr>
              <w:t>United Kingdom</w:t>
            </w:r>
          </w:p>
        </w:tc>
      </w:tr>
      <w:tr w:rsidR="0037652E" w:rsidRPr="00D75194" w14:paraId="4600E4C8" w14:textId="77777777" w:rsidTr="00173EC3">
        <w:tc>
          <w:tcPr>
            <w:cnfStyle w:val="001000000000" w:firstRow="0" w:lastRow="0" w:firstColumn="1" w:lastColumn="0" w:oddVBand="0" w:evenVBand="0" w:oddHBand="0" w:evenHBand="0" w:firstRowFirstColumn="0" w:firstRowLastColumn="0" w:lastRowFirstColumn="0" w:lastRowLastColumn="0"/>
            <w:tcW w:w="1413" w:type="dxa"/>
          </w:tcPr>
          <w:p w14:paraId="5064A8E5" w14:textId="3C52684D" w:rsidR="0037652E" w:rsidRPr="00D75194" w:rsidRDefault="0037652E" w:rsidP="0037652E">
            <w:pPr>
              <w:spacing w:before="60" w:after="60"/>
            </w:pPr>
            <w:r w:rsidRPr="00BE5871">
              <w:rPr>
                <w:rFonts w:cs="Segoe UI"/>
                <w:color w:val="424242"/>
              </w:rPr>
              <w:t>UNFCCC</w:t>
            </w:r>
          </w:p>
        </w:tc>
        <w:tc>
          <w:tcPr>
            <w:tcW w:w="7603" w:type="dxa"/>
          </w:tcPr>
          <w:p w14:paraId="40B04982" w14:textId="40781389" w:rsidR="0037652E" w:rsidRPr="00D75194" w:rsidRDefault="0037652E" w:rsidP="0037652E">
            <w:pPr>
              <w:spacing w:before="60" w:after="60"/>
              <w:cnfStyle w:val="000000000000" w:firstRow="0" w:lastRow="0" w:firstColumn="0" w:lastColumn="0" w:oddVBand="0" w:evenVBand="0" w:oddHBand="0" w:evenHBand="0" w:firstRowFirstColumn="0" w:firstRowLastColumn="0" w:lastRowFirstColumn="0" w:lastRowLastColumn="0"/>
            </w:pPr>
            <w:r w:rsidRPr="00BE5871">
              <w:rPr>
                <w:rFonts w:cs="Segoe UI"/>
                <w:color w:val="424242"/>
              </w:rPr>
              <w:t>United Nations Framework Convention on Climate Change</w:t>
            </w:r>
          </w:p>
        </w:tc>
      </w:tr>
      <w:tr w:rsidR="0037652E" w:rsidRPr="00D75194" w14:paraId="3E3292EE" w14:textId="77777777" w:rsidTr="00173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B559D5B" w14:textId="08EF5F11" w:rsidR="0037652E" w:rsidRPr="00D75194" w:rsidRDefault="0037652E" w:rsidP="0037652E">
            <w:pPr>
              <w:spacing w:before="60" w:after="60"/>
            </w:pPr>
            <w:r w:rsidRPr="00BE5871">
              <w:rPr>
                <w:rFonts w:cs="Segoe UI"/>
                <w:color w:val="424242"/>
              </w:rPr>
              <w:t xml:space="preserve">UNIDO </w:t>
            </w:r>
          </w:p>
        </w:tc>
        <w:tc>
          <w:tcPr>
            <w:tcW w:w="7603" w:type="dxa"/>
          </w:tcPr>
          <w:p w14:paraId="0E827797" w14:textId="621ECF76" w:rsidR="0037652E" w:rsidRPr="00D75194" w:rsidRDefault="0037652E" w:rsidP="0037652E">
            <w:pPr>
              <w:spacing w:before="60" w:after="60"/>
              <w:cnfStyle w:val="000000100000" w:firstRow="0" w:lastRow="0" w:firstColumn="0" w:lastColumn="0" w:oddVBand="0" w:evenVBand="0" w:oddHBand="1" w:evenHBand="0" w:firstRowFirstColumn="0" w:firstRowLastColumn="0" w:lastRowFirstColumn="0" w:lastRowLastColumn="0"/>
            </w:pPr>
            <w:r w:rsidRPr="00BE5871">
              <w:rPr>
                <w:rFonts w:cs="Segoe UI"/>
                <w:color w:val="424242"/>
              </w:rPr>
              <w:t>United Nations Industrial Development Organization</w:t>
            </w:r>
          </w:p>
        </w:tc>
      </w:tr>
      <w:tr w:rsidR="0037652E" w:rsidRPr="00D75194" w14:paraId="4A8279FE" w14:textId="77777777" w:rsidTr="00173EC3">
        <w:tc>
          <w:tcPr>
            <w:cnfStyle w:val="001000000000" w:firstRow="0" w:lastRow="0" w:firstColumn="1" w:lastColumn="0" w:oddVBand="0" w:evenVBand="0" w:oddHBand="0" w:evenHBand="0" w:firstRowFirstColumn="0" w:firstRowLastColumn="0" w:lastRowFirstColumn="0" w:lastRowLastColumn="0"/>
            <w:tcW w:w="1413" w:type="dxa"/>
          </w:tcPr>
          <w:p w14:paraId="353B7B58" w14:textId="36E986CA" w:rsidR="0037652E" w:rsidRPr="00D75194" w:rsidRDefault="0037652E" w:rsidP="0037652E">
            <w:pPr>
              <w:spacing w:before="60" w:after="60"/>
            </w:pPr>
            <w:r w:rsidRPr="00BE5871">
              <w:rPr>
                <w:rFonts w:cs="Segoe UI"/>
                <w:color w:val="424242"/>
              </w:rPr>
              <w:t xml:space="preserve">VFM </w:t>
            </w:r>
          </w:p>
        </w:tc>
        <w:tc>
          <w:tcPr>
            <w:tcW w:w="7603" w:type="dxa"/>
          </w:tcPr>
          <w:p w14:paraId="45F7B25D" w14:textId="35798F2B" w:rsidR="0037652E" w:rsidRPr="00D75194" w:rsidRDefault="0037652E" w:rsidP="0037652E">
            <w:pPr>
              <w:spacing w:before="60" w:after="60"/>
              <w:cnfStyle w:val="000000000000" w:firstRow="0" w:lastRow="0" w:firstColumn="0" w:lastColumn="0" w:oddVBand="0" w:evenVBand="0" w:oddHBand="0" w:evenHBand="0" w:firstRowFirstColumn="0" w:firstRowLastColumn="0" w:lastRowFirstColumn="0" w:lastRowLastColumn="0"/>
            </w:pPr>
            <w:r w:rsidRPr="00BE5871">
              <w:rPr>
                <w:rFonts w:cs="Segoe UI"/>
                <w:color w:val="424242"/>
              </w:rPr>
              <w:t>VFM – Value for Money</w:t>
            </w:r>
          </w:p>
        </w:tc>
      </w:tr>
      <w:tr w:rsidR="0037652E" w:rsidRPr="00D75194" w14:paraId="1A451EF7" w14:textId="77777777" w:rsidTr="00173E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A8EE7CF" w14:textId="3C9DB99E" w:rsidR="0037652E" w:rsidRPr="00D75194" w:rsidDel="0084670E" w:rsidRDefault="0037652E" w:rsidP="0037652E">
            <w:pPr>
              <w:spacing w:before="60" w:after="60"/>
            </w:pPr>
            <w:r w:rsidRPr="00BE5871">
              <w:rPr>
                <w:rFonts w:cs="Segoe UI"/>
                <w:color w:val="424242"/>
              </w:rPr>
              <w:t xml:space="preserve">YNA </w:t>
            </w:r>
          </w:p>
        </w:tc>
        <w:tc>
          <w:tcPr>
            <w:tcW w:w="7603" w:type="dxa"/>
          </w:tcPr>
          <w:p w14:paraId="275F9E35" w14:textId="38267880" w:rsidR="0037652E" w:rsidRPr="00D75194" w:rsidRDefault="0037652E" w:rsidP="0037652E">
            <w:pPr>
              <w:spacing w:before="60" w:after="60"/>
              <w:cnfStyle w:val="000000100000" w:firstRow="0" w:lastRow="0" w:firstColumn="0" w:lastColumn="0" w:oddVBand="0" w:evenVBand="0" w:oddHBand="1" w:evenHBand="0" w:firstRowFirstColumn="0" w:firstRowLastColumn="0" w:lastRowFirstColumn="0" w:lastRowLastColumn="0"/>
            </w:pPr>
            <w:r w:rsidRPr="00BE5871">
              <w:rPr>
                <w:rFonts w:cs="Segoe UI"/>
                <w:color w:val="424242"/>
              </w:rPr>
              <w:t>Youth Negotiators Academy</w:t>
            </w:r>
          </w:p>
        </w:tc>
      </w:tr>
    </w:tbl>
    <w:p w14:paraId="37C11A76" w14:textId="77777777" w:rsidR="00F56396" w:rsidRDefault="00F56396" w:rsidP="00F56396">
      <w:pPr>
        <w:rPr>
          <w:rFonts w:eastAsiaTheme="majorEastAsia" w:cs="Arial"/>
          <w:b/>
          <w:szCs w:val="26"/>
        </w:rPr>
      </w:pPr>
    </w:p>
    <w:p w14:paraId="1FF20565" w14:textId="77777777" w:rsidR="00F56396" w:rsidRDefault="00F56396" w:rsidP="00F56396">
      <w:pPr>
        <w:rPr>
          <w:rFonts w:eastAsiaTheme="majorEastAsia" w:cs="Arial"/>
          <w:b/>
          <w:szCs w:val="26"/>
        </w:rPr>
      </w:pPr>
    </w:p>
    <w:p w14:paraId="645F988D" w14:textId="46C04A86" w:rsidR="00F56396" w:rsidRPr="00F56396" w:rsidRDefault="00F56396" w:rsidP="00F56396">
      <w:pPr>
        <w:sectPr w:rsidR="00F56396" w:rsidRPr="00F56396" w:rsidSect="00814939">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9" w:footer="709" w:gutter="0"/>
          <w:cols w:space="708"/>
          <w:docGrid w:linePitch="360"/>
        </w:sectPr>
      </w:pPr>
    </w:p>
    <w:p w14:paraId="25D31CD1" w14:textId="144057E8" w:rsidR="00FA73FA" w:rsidRDefault="00A0418F" w:rsidP="007032D3">
      <w:r>
        <w:rPr>
          <w:noProof/>
        </w:rPr>
        <mc:AlternateContent>
          <mc:Choice Requires="wps">
            <w:drawing>
              <wp:anchor distT="0" distB="0" distL="114300" distR="114300" simplePos="0" relativeHeight="251658247" behindDoc="0" locked="0" layoutInCell="1" allowOverlap="1" wp14:anchorId="0379154F" wp14:editId="775547A0">
                <wp:simplePos x="0" y="0"/>
                <wp:positionH relativeFrom="column">
                  <wp:posOffset>31115</wp:posOffset>
                </wp:positionH>
                <wp:positionV relativeFrom="paragraph">
                  <wp:posOffset>5993130</wp:posOffset>
                </wp:positionV>
                <wp:extent cx="8888730" cy="635"/>
                <wp:effectExtent l="0" t="0" r="0" b="0"/>
                <wp:wrapNone/>
                <wp:docPr id="1703157440" name="Text Box 1"/>
                <wp:cNvGraphicFramePr/>
                <a:graphic xmlns:a="http://schemas.openxmlformats.org/drawingml/2006/main">
                  <a:graphicData uri="http://schemas.microsoft.com/office/word/2010/wordprocessingShape">
                    <wps:wsp>
                      <wps:cNvSpPr txBox="1"/>
                      <wps:spPr>
                        <a:xfrm>
                          <a:off x="0" y="0"/>
                          <a:ext cx="8888730" cy="635"/>
                        </a:xfrm>
                        <a:prstGeom prst="rect">
                          <a:avLst/>
                        </a:prstGeom>
                        <a:solidFill>
                          <a:prstClr val="white"/>
                        </a:solidFill>
                        <a:ln>
                          <a:noFill/>
                        </a:ln>
                      </wps:spPr>
                      <wps:txbx>
                        <w:txbxContent>
                          <w:p w14:paraId="07A96B65" w14:textId="3644D4C9" w:rsidR="00A0418F" w:rsidRPr="00554B41" w:rsidRDefault="00A0418F" w:rsidP="00A0418F">
                            <w:pPr>
                              <w:pStyle w:val="Caption"/>
                              <w:rPr>
                                <w:rFonts w:cs="Arial"/>
                                <w:b/>
                                <w:sz w:val="20"/>
                                <w:szCs w:val="24"/>
                              </w:rPr>
                            </w:pPr>
                            <w:r>
                              <w:t xml:space="preserve">Figure </w:t>
                            </w:r>
                            <w:r>
                              <w:fldChar w:fldCharType="begin"/>
                            </w:r>
                            <w:r>
                              <w:instrText xml:space="preserve"> SEQ Figure \* ARABIC </w:instrText>
                            </w:r>
                            <w:r>
                              <w:fldChar w:fldCharType="separate"/>
                            </w:r>
                            <w:r w:rsidR="00F42BFD">
                              <w:rPr>
                                <w:noProof/>
                              </w:rPr>
                              <w:t>1</w:t>
                            </w:r>
                            <w:r>
                              <w:fldChar w:fldCharType="end"/>
                            </w:r>
                            <w:r>
                              <w:t>.</w:t>
                            </w:r>
                            <w:r w:rsidRPr="00554B41">
                              <w:t xml:space="preserve"> Timeline for the LDC Group case study</w:t>
                            </w:r>
                          </w:p>
                          <w:p w14:paraId="6F6F19DE" w14:textId="0989A9EE" w:rsidR="00A0418F" w:rsidRPr="0090712E" w:rsidRDefault="00A0418F" w:rsidP="00A0418F">
                            <w:pPr>
                              <w:pStyle w:val="Caption"/>
                              <w:rPr>
                                <w:noProof/>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379154F" id="_x0000_t202" coordsize="21600,21600" o:spt="202" path="m,l,21600r21600,l21600,xe">
                <v:stroke joinstyle="miter"/>
                <v:path gradientshapeok="t" o:connecttype="rect"/>
              </v:shapetype>
              <v:shape id="Text Box 1" o:spid="_x0000_s1026" type="#_x0000_t202" style="position:absolute;left:0;text-align:left;margin-left:2.45pt;margin-top:471.9pt;width:699.9pt;height:.0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" stroked="f">
                <v:textbox style="mso-fit-shape-to-text:t" inset="0,0,0,0">
                  <w:txbxContent>
                    <w:p w14:paraId="07A96B65" w14:textId="3644D4C9" w:rsidR="00A0418F" w:rsidRPr="00554B41" w:rsidRDefault="00A0418F" w:rsidP="00A0418F">
                      <w:pPr>
                        <w:pStyle w:val="Caption"/>
                        <w:rPr>
                          <w:rFonts w:cs="Arial"/>
                          <w:b/>
                          <w:sz w:val="20"/>
                          <w:szCs w:val="24"/>
                        </w:rPr>
                      </w:pPr>
                      <w:r>
                        <w:t xml:space="preserve">Figure </w:t>
                      </w:r>
                      <w:r>
                        <w:fldChar w:fldCharType="begin"/>
                      </w:r>
                      <w:r>
                        <w:instrText xml:space="preserve"> SEQ Figure \* ARABIC </w:instrText>
                      </w:r>
                      <w:r>
                        <w:fldChar w:fldCharType="separate"/>
                      </w:r>
                      <w:r w:rsidR="00F42BFD">
                        <w:rPr>
                          <w:noProof/>
                        </w:rPr>
                        <w:t>1</w:t>
                      </w:r>
                      <w:r>
                        <w:fldChar w:fldCharType="end"/>
                      </w:r>
                      <w:r>
                        <w:t>.</w:t>
                      </w:r>
                      <w:r w:rsidRPr="00554B41">
                        <w:t xml:space="preserve"> Timeline for the LDC Group case study</w:t>
                      </w:r>
                    </w:p>
                    <w:p w14:paraId="6F6F19DE" w14:textId="0989A9EE" w:rsidR="00A0418F" w:rsidRPr="0090712E" w:rsidRDefault="00A0418F" w:rsidP="00A0418F">
                      <w:pPr>
                        <w:pStyle w:val="Caption"/>
                        <w:rPr>
                          <w:noProof/>
                          <w:sz w:val="20"/>
                        </w:rPr>
                      </w:pPr>
                    </w:p>
                  </w:txbxContent>
                </v:textbox>
              </v:shape>
            </w:pict>
          </mc:Fallback>
        </mc:AlternateContent>
      </w:r>
      <w:r w:rsidR="00BD332B" w:rsidRPr="00554B41">
        <w:rPr>
          <w:noProof/>
        </w:rPr>
        <w:drawing>
          <wp:anchor distT="0" distB="0" distL="114300" distR="114300" simplePos="0" relativeHeight="251658240" behindDoc="0" locked="0" layoutInCell="1" allowOverlap="1" wp14:anchorId="508130D2" wp14:editId="75266D5F">
            <wp:simplePos x="0" y="0"/>
            <wp:positionH relativeFrom="column">
              <wp:posOffset>31450</wp:posOffset>
            </wp:positionH>
            <wp:positionV relativeFrom="paragraph">
              <wp:posOffset>-368300</wp:posOffset>
            </wp:positionV>
            <wp:extent cx="8888818" cy="6304580"/>
            <wp:effectExtent l="0" t="0" r="7620" b="1270"/>
            <wp:wrapNone/>
            <wp:docPr id="998446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46306" name="Picture 1"/>
                    <pic:cNvPicPr/>
                  </pic:nvPicPr>
                  <pic:blipFill>
                    <a:blip r:embed="rId28"/>
                    <a:stretch>
                      <a:fillRect/>
                    </a:stretch>
                  </pic:blipFill>
                  <pic:spPr bwMode="auto">
                    <a:xfrm>
                      <a:off x="0" y="0"/>
                      <a:ext cx="8888818" cy="6304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CE6520" w14:textId="33D45B71" w:rsidR="000940E0" w:rsidRPr="00554B41" w:rsidRDefault="000940E0" w:rsidP="007032D3">
      <w:pPr>
        <w:sectPr w:rsidR="000940E0" w:rsidRPr="00554B41" w:rsidSect="000940E0">
          <w:pgSz w:w="16838" w:h="11906" w:orient="landscape"/>
          <w:pgMar w:top="1440" w:right="1440" w:bottom="1440" w:left="1440" w:header="709" w:footer="709" w:gutter="0"/>
          <w:cols w:space="708"/>
          <w:docGrid w:linePitch="360"/>
        </w:sectPr>
      </w:pPr>
    </w:p>
    <w:p w14:paraId="2A2D7129" w14:textId="7C90DADB" w:rsidR="00DF6A46" w:rsidRDefault="00402540" w:rsidP="00F31DA9">
      <w:pPr>
        <w:pStyle w:val="Heading1"/>
        <w:numPr>
          <w:ilvl w:val="0"/>
          <w:numId w:val="40"/>
        </w:numPr>
      </w:pPr>
      <w:bookmarkStart w:id="2" w:name="_Toc204967820"/>
      <w:r w:rsidRPr="00EC0F36">
        <w:t>Case</w:t>
      </w:r>
      <w:r w:rsidRPr="00554B41">
        <w:t xml:space="preserve"> study 1: Least Developed Countries (LDC) Group</w:t>
      </w:r>
      <w:bookmarkEnd w:id="2"/>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39"/>
        <w:gridCol w:w="2871"/>
      </w:tblGrid>
      <w:tr w:rsidR="00771999" w:rsidRPr="00554B41" w14:paraId="78F3E635" w14:textId="77777777" w:rsidTr="004E5FAF">
        <w:trPr>
          <w:trHeight w:val="300"/>
        </w:trPr>
        <w:tc>
          <w:tcPr>
            <w:tcW w:w="3407" w:type="pct"/>
            <w:tcBorders>
              <w:top w:val="single" w:sz="6" w:space="0" w:color="303030" w:themeColor="text1"/>
              <w:left w:val="single" w:sz="6" w:space="0" w:color="303030" w:themeColor="text1"/>
              <w:bottom w:val="single" w:sz="6" w:space="0" w:color="303030" w:themeColor="text1"/>
              <w:right w:val="single" w:sz="6" w:space="0" w:color="303030" w:themeColor="text1"/>
            </w:tcBorders>
            <w:shd w:val="clear" w:color="auto" w:fill="CEDCDB" w:themeFill="accent2" w:themeFillTint="66"/>
          </w:tcPr>
          <w:p w14:paraId="72BAAB50" w14:textId="77777777" w:rsidR="00771999" w:rsidRPr="00554B41" w:rsidRDefault="00771999" w:rsidP="00771999">
            <w:pPr>
              <w:jc w:val="left"/>
              <w:rPr>
                <w:b/>
                <w:bCs/>
              </w:rPr>
            </w:pPr>
            <w:r w:rsidRPr="00554B41">
              <w:rPr>
                <w:b/>
                <w:bCs/>
              </w:rPr>
              <w:t xml:space="preserve">Outcome title: </w:t>
            </w:r>
          </w:p>
          <w:p w14:paraId="359359F0" w14:textId="3A33151F" w:rsidR="00771999" w:rsidRPr="00554B41" w:rsidRDefault="00771999" w:rsidP="00771999">
            <w:pPr>
              <w:jc w:val="left"/>
            </w:pPr>
            <w:r w:rsidRPr="00554B41">
              <w:t>Institutionalisation of the LDC Group’s internal functions and external engagement</w:t>
            </w:r>
          </w:p>
        </w:tc>
        <w:tc>
          <w:tcPr>
            <w:tcW w:w="1593" w:type="pct"/>
            <w:tcBorders>
              <w:top w:val="single" w:sz="6" w:space="0" w:color="303030" w:themeColor="text1"/>
              <w:left w:val="single" w:sz="6" w:space="0" w:color="303030" w:themeColor="text1"/>
              <w:bottom w:val="single" w:sz="6" w:space="0" w:color="303030" w:themeColor="text1"/>
              <w:right w:val="single" w:sz="6" w:space="0" w:color="303030" w:themeColor="text1"/>
            </w:tcBorders>
            <w:shd w:val="clear" w:color="auto" w:fill="CEDCDB" w:themeFill="accent2" w:themeFillTint="66"/>
          </w:tcPr>
          <w:p w14:paraId="1FC50E44" w14:textId="77777777" w:rsidR="00771999" w:rsidRPr="00554B41" w:rsidRDefault="00771999" w:rsidP="00771999">
            <w:pPr>
              <w:jc w:val="left"/>
              <w:rPr>
                <w:b/>
                <w:bCs/>
              </w:rPr>
            </w:pPr>
            <w:r w:rsidRPr="00554B41">
              <w:rPr>
                <w:b/>
                <w:bCs/>
              </w:rPr>
              <w:t>Strength of evidence</w:t>
            </w:r>
          </w:p>
          <w:p w14:paraId="70EE16F7" w14:textId="34984BC8" w:rsidR="00771999" w:rsidRPr="00554B41" w:rsidRDefault="00771999" w:rsidP="00771999">
            <w:pPr>
              <w:jc w:val="left"/>
              <w:rPr>
                <w:b/>
                <w:bCs/>
              </w:rPr>
            </w:pPr>
            <w:r w:rsidRPr="00554B41">
              <w:rPr>
                <w:b/>
                <w:bCs/>
              </w:rPr>
              <w:t>Strong</w:t>
            </w:r>
          </w:p>
        </w:tc>
      </w:tr>
    </w:tbl>
    <w:p w14:paraId="05E380AD" w14:textId="6E7C58CC" w:rsidR="00A57C56" w:rsidRDefault="00F31DA9" w:rsidP="00C03669">
      <w:pPr>
        <w:pStyle w:val="Heading2"/>
      </w:pPr>
      <w:bookmarkStart w:id="3" w:name="_Toc204967821"/>
      <w:r w:rsidRPr="00554B41">
        <w:t xml:space="preserve">Summary of CASA </w:t>
      </w:r>
      <w:r w:rsidRPr="00F31DA9">
        <w:t>II</w:t>
      </w:r>
      <w:r w:rsidRPr="00554B41">
        <w:t xml:space="preserve"> contribution</w:t>
      </w:r>
      <w:bookmarkEnd w:id="3"/>
      <w:r w:rsidRPr="00554B41">
        <w:t xml:space="preserve">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771999" w:rsidRPr="00554B41" w14:paraId="22F27D03" w14:textId="77777777" w:rsidTr="004E5FAF">
        <w:trPr>
          <w:trHeight w:val="300"/>
        </w:trPr>
        <w:tc>
          <w:tcPr>
            <w:tcW w:w="5000" w:type="pct"/>
            <w:tcBorders>
              <w:top w:val="single" w:sz="6" w:space="0" w:color="303030" w:themeColor="text1"/>
              <w:left w:val="single" w:sz="6" w:space="0" w:color="303030" w:themeColor="text1"/>
              <w:bottom w:val="single" w:sz="6" w:space="0" w:color="303030" w:themeColor="text1"/>
              <w:right w:val="single" w:sz="6" w:space="0" w:color="303030" w:themeColor="text1"/>
            </w:tcBorders>
            <w:shd w:val="clear" w:color="auto" w:fill="F2F2F2" w:themeFill="background1" w:themeFillShade="F2"/>
            <w:hideMark/>
          </w:tcPr>
          <w:p w14:paraId="76729786" w14:textId="6BE61323" w:rsidR="006172AE" w:rsidRPr="00554B41" w:rsidRDefault="00771999" w:rsidP="006172AE">
            <w:pPr>
              <w:rPr>
                <w:b/>
                <w:bCs/>
              </w:rPr>
            </w:pPr>
            <w:r w:rsidRPr="00554B41">
              <w:rPr>
                <w:b/>
                <w:bCs/>
              </w:rPr>
              <w:t xml:space="preserve">Very confident that CASA II made a critical </w:t>
            </w:r>
            <w:r w:rsidR="00AE5739" w:rsidRPr="00554B41">
              <w:rPr>
                <w:b/>
                <w:bCs/>
              </w:rPr>
              <w:t>contribution.</w:t>
            </w:r>
            <w:r w:rsidRPr="00554B41">
              <w:rPr>
                <w:b/>
                <w:bCs/>
              </w:rPr>
              <w:t xml:space="preserve"> </w:t>
            </w:r>
          </w:p>
          <w:p w14:paraId="68069589" w14:textId="23748748" w:rsidR="00771999" w:rsidRPr="00554B41" w:rsidRDefault="00771999" w:rsidP="00771999">
            <w:pPr>
              <w:rPr>
                <w:b/>
              </w:rPr>
            </w:pPr>
            <w:r w:rsidRPr="00554B41">
              <w:t xml:space="preserve">Over the last decade, the LDC Group has developed into a more formalised, permanent institution that attracts and nurtures climate leaders from the </w:t>
            </w:r>
            <w:r w:rsidR="00CA371C" w:rsidRPr="00554B41">
              <w:t>Global South</w:t>
            </w:r>
            <w:r w:rsidRPr="00554B41">
              <w:t xml:space="preserve"> and has been able to solidify its position within the negotiation space. It would be inconceivable that the LDC Group were not participating in global negotiations across all thematic areas</w:t>
            </w:r>
            <w:r w:rsidR="00CE5680" w:rsidRPr="00554B41">
              <w:t xml:space="preserve">, </w:t>
            </w:r>
            <w:r w:rsidRPr="00554B41">
              <w:t>and a precedent for</w:t>
            </w:r>
            <w:r w:rsidR="0090689F" w:rsidRPr="00554B41">
              <w:t xml:space="preserve"> Intergovernmental Panel on Climate Change (</w:t>
            </w:r>
            <w:r w:rsidRPr="00554B41">
              <w:t>IPCC</w:t>
            </w:r>
            <w:r w:rsidR="0090689F" w:rsidRPr="00554B41">
              <w:t>)</w:t>
            </w:r>
            <w:r w:rsidRPr="00554B41">
              <w:t xml:space="preserve"> submissions by the group has now been set. The group has formalised the infrastructure to take its work into the next decade, with a degree of institutional memory ensuring the group’s established processes remain.</w:t>
            </w:r>
            <w:r w:rsidR="00FE5F6E" w:rsidRPr="00554B41">
              <w:t xml:space="preserve"> The International Institute for Environment and Development (</w:t>
            </w:r>
            <w:r w:rsidRPr="00554B41">
              <w:t>IIED</w:t>
            </w:r>
            <w:r w:rsidR="00FE5F6E" w:rsidRPr="00554B41">
              <w:t>)</w:t>
            </w:r>
            <w:r w:rsidRPr="00554B41">
              <w:t>, Climate Analytics and Germanwatch were instrumental in their support to the LDC Group to sustain visibility, coherence, and influence across this period. Without CASA’s sustained, flexible support, many of the internal systems and negotiation-ready processes would not have matured.</w:t>
            </w:r>
          </w:p>
          <w:p w14:paraId="5FA39E08" w14:textId="4DAB36BE" w:rsidR="00771999" w:rsidRPr="00554B41" w:rsidRDefault="00771999" w:rsidP="00771999">
            <w:r w:rsidRPr="00554B41">
              <w:t>The CASA II programme and its predecessors have been a critical enabler of institutional strengthening within the LDC Group. Through its funding, technical partners</w:t>
            </w:r>
            <w:r w:rsidR="00BA6521" w:rsidRPr="00554B41">
              <w:t xml:space="preserve"> (TPs)</w:t>
            </w:r>
            <w:r w:rsidRPr="00554B41">
              <w:t xml:space="preserve">—primarily Climate Analytics and IIED—have formed the operational backbone of the LDC Group’s negotiation architecture. CASA supported the Group’s ability to coordinate, prepare, and engage consistently throughout the </w:t>
            </w:r>
            <w:r w:rsidR="00B13EC7" w:rsidRPr="00554B41">
              <w:t>United Nations Framework Convention on Climate Change (</w:t>
            </w:r>
            <w:r w:rsidRPr="00554B41">
              <w:t>UNFCCC</w:t>
            </w:r>
            <w:r w:rsidR="00B13EC7" w:rsidRPr="00554B41">
              <w:t>)</w:t>
            </w:r>
            <w:r w:rsidRPr="00554B41">
              <w:t xml:space="preserve"> calendar. Importantly, CASA’s model allowed funding to flow directly to implementation of workplans co-created with the </w:t>
            </w:r>
            <w:r w:rsidR="00DB4A3F">
              <w:t>c</w:t>
            </w:r>
            <w:r w:rsidRPr="00554B41">
              <w:t xml:space="preserve">hair’s team. It enabled the Group to function year-round </w:t>
            </w:r>
            <w:r w:rsidR="00CE5680" w:rsidRPr="00554B41">
              <w:t xml:space="preserve">(i.e. </w:t>
            </w:r>
            <w:r w:rsidRPr="00554B41">
              <w:t xml:space="preserve">not only during </w:t>
            </w:r>
            <w:r w:rsidR="00FE5F6E" w:rsidRPr="00554B41">
              <w:t>Conferences of the Parties (</w:t>
            </w:r>
            <w:r w:rsidRPr="00554B41">
              <w:t>COPs</w:t>
            </w:r>
            <w:r w:rsidR="00FE5F6E" w:rsidRPr="00554B41">
              <w:t>)</w:t>
            </w:r>
            <w:r w:rsidR="00CE5680" w:rsidRPr="00554B41">
              <w:t>)</w:t>
            </w:r>
            <w:r w:rsidRPr="00554B41">
              <w:t xml:space="preserve"> and supported the emergence of institutional practices such as weekly strategy calls, internal submission reviews, and multilingual WhatsApp coordination groups. Furthermore, Climate Analytics provided in-country support to chairs and led regular technical coordination calls, briefing sessions, and draft text preparation. IIED played a complementary role supporting the development of a coherent external engagement strategy, negotiation coaching, and providing expert input into themes including Loss and Damage and adaptation. Further, </w:t>
            </w:r>
            <w:r w:rsidR="00BA6521" w:rsidRPr="00554B41">
              <w:t>TP</w:t>
            </w:r>
            <w:r w:rsidRPr="00554B41">
              <w:t xml:space="preserve">s contributed to the development and adoption of the LDC Charter, enabling transparent chair selection and internal governance. </w:t>
            </w:r>
          </w:p>
        </w:tc>
      </w:tr>
    </w:tbl>
    <w:p w14:paraId="1E8F6F5D" w14:textId="0FA25CC9" w:rsidR="00715C5D" w:rsidRDefault="00715C5D" w:rsidP="00715C5D">
      <w:pPr>
        <w:pStyle w:val="Heading2"/>
      </w:pPr>
      <w:bookmarkStart w:id="4" w:name="_Toc204967822"/>
      <w:r w:rsidRPr="00554B41">
        <w:t>Summary of the contribution of other actors and factors</w:t>
      </w:r>
      <w:bookmarkEnd w:id="4"/>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39"/>
        <w:gridCol w:w="2871"/>
      </w:tblGrid>
      <w:tr w:rsidR="00771999" w:rsidRPr="00554B41" w14:paraId="7FA04202" w14:textId="77777777" w:rsidTr="004E5FAF">
        <w:trPr>
          <w:trHeight w:val="300"/>
        </w:trPr>
        <w:tc>
          <w:tcPr>
            <w:tcW w:w="3407" w:type="pct"/>
            <w:tcBorders>
              <w:top w:val="single" w:sz="6" w:space="0" w:color="303030" w:themeColor="text1"/>
              <w:left w:val="single" w:sz="6" w:space="0" w:color="303030" w:themeColor="text1"/>
              <w:right w:val="single" w:sz="6" w:space="0" w:color="303030" w:themeColor="text1"/>
            </w:tcBorders>
          </w:tcPr>
          <w:p w14:paraId="39D29D1C" w14:textId="64FB3C8F" w:rsidR="00771999" w:rsidRPr="00554B41" w:rsidRDefault="00771999" w:rsidP="00771999">
            <w:pPr>
              <w:numPr>
                <w:ilvl w:val="0"/>
                <w:numId w:val="15"/>
              </w:numPr>
              <w:spacing w:after="160" w:line="259" w:lineRule="auto"/>
              <w:ind w:left="357" w:hanging="357"/>
              <w:jc w:val="left"/>
            </w:pPr>
            <w:r w:rsidRPr="00554B41">
              <w:t xml:space="preserve">Leadership by </w:t>
            </w:r>
            <w:r w:rsidR="00DB4A3F">
              <w:t>c</w:t>
            </w:r>
            <w:r w:rsidRPr="00554B41">
              <w:t xml:space="preserve">hairs and in-country support teams </w:t>
            </w:r>
          </w:p>
        </w:tc>
        <w:tc>
          <w:tcPr>
            <w:tcW w:w="1593" w:type="pct"/>
            <w:tcBorders>
              <w:top w:val="single" w:sz="6" w:space="0" w:color="303030" w:themeColor="text1"/>
              <w:left w:val="single" w:sz="6" w:space="0" w:color="303030" w:themeColor="text1"/>
              <w:bottom w:val="single" w:sz="6" w:space="0" w:color="303030" w:themeColor="text1"/>
              <w:right w:val="single" w:sz="6" w:space="0" w:color="303030" w:themeColor="text1"/>
            </w:tcBorders>
          </w:tcPr>
          <w:p w14:paraId="5FE2172F" w14:textId="77777777" w:rsidR="00771999" w:rsidRPr="00554B41" w:rsidRDefault="00771999" w:rsidP="00771999">
            <w:r w:rsidRPr="00554B41">
              <w:t>Critical contribution</w:t>
            </w:r>
          </w:p>
        </w:tc>
      </w:tr>
      <w:tr w:rsidR="00771999" w:rsidRPr="00554B41" w14:paraId="0879D098" w14:textId="77777777" w:rsidTr="004E5FAF">
        <w:trPr>
          <w:trHeight w:val="300"/>
        </w:trPr>
        <w:tc>
          <w:tcPr>
            <w:tcW w:w="3407" w:type="pct"/>
            <w:tcBorders>
              <w:top w:val="single" w:sz="6" w:space="0" w:color="303030" w:themeColor="text1"/>
              <w:left w:val="single" w:sz="6" w:space="0" w:color="303030" w:themeColor="text1"/>
              <w:right w:val="single" w:sz="6" w:space="0" w:color="303030" w:themeColor="text1"/>
            </w:tcBorders>
          </w:tcPr>
          <w:p w14:paraId="4211420F" w14:textId="62B9F686" w:rsidR="00771999" w:rsidRPr="00554B41" w:rsidRDefault="00771999" w:rsidP="00771999">
            <w:pPr>
              <w:numPr>
                <w:ilvl w:val="0"/>
                <w:numId w:val="16"/>
              </w:numPr>
              <w:spacing w:after="160" w:line="259" w:lineRule="auto"/>
              <w:ind w:left="357" w:hanging="357"/>
              <w:jc w:val="left"/>
            </w:pPr>
            <w:r w:rsidRPr="00554B41">
              <w:t>National incentives and rising value of the chairship</w:t>
            </w:r>
          </w:p>
        </w:tc>
        <w:tc>
          <w:tcPr>
            <w:tcW w:w="1593" w:type="pct"/>
            <w:tcBorders>
              <w:top w:val="single" w:sz="6" w:space="0" w:color="303030" w:themeColor="text1"/>
              <w:left w:val="single" w:sz="6" w:space="0" w:color="303030" w:themeColor="text1"/>
              <w:bottom w:val="single" w:sz="6" w:space="0" w:color="303030" w:themeColor="text1"/>
              <w:right w:val="single" w:sz="6" w:space="0" w:color="303030" w:themeColor="text1"/>
            </w:tcBorders>
          </w:tcPr>
          <w:p w14:paraId="2B2012B1" w14:textId="77777777" w:rsidR="00771999" w:rsidRPr="00554B41" w:rsidRDefault="00771999" w:rsidP="00771999">
            <w:r w:rsidRPr="00554B41">
              <w:t>Critical contribution</w:t>
            </w:r>
          </w:p>
        </w:tc>
      </w:tr>
      <w:tr w:rsidR="00771999" w:rsidRPr="00554B41" w14:paraId="0680192A" w14:textId="77777777" w:rsidTr="004E5FAF">
        <w:trPr>
          <w:trHeight w:val="300"/>
        </w:trPr>
        <w:tc>
          <w:tcPr>
            <w:tcW w:w="3407" w:type="pct"/>
            <w:tcBorders>
              <w:top w:val="single" w:sz="6" w:space="0" w:color="303030" w:themeColor="text1"/>
              <w:left w:val="single" w:sz="6" w:space="0" w:color="303030" w:themeColor="text1"/>
              <w:right w:val="single" w:sz="6" w:space="0" w:color="303030" w:themeColor="text1"/>
            </w:tcBorders>
          </w:tcPr>
          <w:p w14:paraId="444404DA" w14:textId="77777777" w:rsidR="00771999" w:rsidRPr="00554B41" w:rsidRDefault="00771999" w:rsidP="00771999">
            <w:pPr>
              <w:numPr>
                <w:ilvl w:val="0"/>
                <w:numId w:val="16"/>
              </w:numPr>
              <w:spacing w:after="160" w:line="259" w:lineRule="auto"/>
              <w:ind w:left="357" w:hanging="357"/>
              <w:jc w:val="left"/>
            </w:pPr>
            <w:r w:rsidRPr="00554B41">
              <w:t xml:space="preserve">Alumni continuity and internal expertise </w:t>
            </w:r>
          </w:p>
        </w:tc>
        <w:tc>
          <w:tcPr>
            <w:tcW w:w="1593" w:type="pct"/>
            <w:tcBorders>
              <w:top w:val="single" w:sz="6" w:space="0" w:color="303030" w:themeColor="text1"/>
              <w:left w:val="single" w:sz="6" w:space="0" w:color="303030" w:themeColor="text1"/>
              <w:bottom w:val="single" w:sz="6" w:space="0" w:color="303030" w:themeColor="text1"/>
              <w:right w:val="single" w:sz="6" w:space="0" w:color="303030" w:themeColor="text1"/>
            </w:tcBorders>
          </w:tcPr>
          <w:p w14:paraId="007AEA6D" w14:textId="77777777" w:rsidR="00771999" w:rsidRPr="00554B41" w:rsidRDefault="00771999" w:rsidP="00771999">
            <w:r w:rsidRPr="00554B41">
              <w:t>Critical contribution</w:t>
            </w:r>
          </w:p>
        </w:tc>
      </w:tr>
      <w:tr w:rsidR="00771999" w:rsidRPr="00554B41" w14:paraId="71C13F58" w14:textId="77777777" w:rsidTr="004E5FAF">
        <w:trPr>
          <w:trHeight w:val="300"/>
        </w:trPr>
        <w:tc>
          <w:tcPr>
            <w:tcW w:w="3407" w:type="pct"/>
            <w:tcBorders>
              <w:top w:val="single" w:sz="6" w:space="0" w:color="303030" w:themeColor="text1"/>
              <w:left w:val="single" w:sz="6" w:space="0" w:color="303030" w:themeColor="text1"/>
              <w:right w:val="single" w:sz="6" w:space="0" w:color="303030" w:themeColor="text1"/>
            </w:tcBorders>
          </w:tcPr>
          <w:p w14:paraId="7B521142" w14:textId="77777777" w:rsidR="00771999" w:rsidRPr="00554B41" w:rsidRDefault="00771999" w:rsidP="00771999">
            <w:pPr>
              <w:numPr>
                <w:ilvl w:val="0"/>
                <w:numId w:val="16"/>
              </w:numPr>
              <w:spacing w:after="160" w:line="259" w:lineRule="auto"/>
              <w:ind w:left="357" w:hanging="357"/>
              <w:jc w:val="left"/>
            </w:pPr>
            <w:r w:rsidRPr="00554B41">
              <w:t xml:space="preserve">Expanding youth pipeline and fellowships </w:t>
            </w:r>
          </w:p>
        </w:tc>
        <w:tc>
          <w:tcPr>
            <w:tcW w:w="1593" w:type="pct"/>
            <w:tcBorders>
              <w:top w:val="single" w:sz="6" w:space="0" w:color="303030" w:themeColor="text1"/>
              <w:left w:val="single" w:sz="6" w:space="0" w:color="303030" w:themeColor="text1"/>
              <w:bottom w:val="single" w:sz="6" w:space="0" w:color="303030" w:themeColor="text1"/>
              <w:right w:val="single" w:sz="6" w:space="0" w:color="303030" w:themeColor="text1"/>
            </w:tcBorders>
          </w:tcPr>
          <w:p w14:paraId="166D14BC" w14:textId="77777777" w:rsidR="00771999" w:rsidRPr="00554B41" w:rsidRDefault="00771999" w:rsidP="00771999">
            <w:r w:rsidRPr="00554B41">
              <w:t>Important contribution</w:t>
            </w:r>
          </w:p>
        </w:tc>
      </w:tr>
      <w:tr w:rsidR="00771999" w:rsidRPr="00554B41" w14:paraId="74D0A8D3" w14:textId="77777777" w:rsidTr="004E5FAF">
        <w:trPr>
          <w:trHeight w:val="300"/>
        </w:trPr>
        <w:tc>
          <w:tcPr>
            <w:tcW w:w="3407" w:type="pct"/>
            <w:tcBorders>
              <w:top w:val="single" w:sz="6" w:space="0" w:color="303030" w:themeColor="text1"/>
              <w:left w:val="single" w:sz="6" w:space="0" w:color="303030" w:themeColor="text1"/>
              <w:right w:val="single" w:sz="6" w:space="0" w:color="303030" w:themeColor="text1"/>
            </w:tcBorders>
          </w:tcPr>
          <w:p w14:paraId="1DA80503" w14:textId="77777777" w:rsidR="00771999" w:rsidRPr="00554B41" w:rsidRDefault="00771999" w:rsidP="00771999">
            <w:pPr>
              <w:numPr>
                <w:ilvl w:val="0"/>
                <w:numId w:val="16"/>
              </w:numPr>
              <w:spacing w:after="160" w:line="259" w:lineRule="auto"/>
              <w:ind w:left="357" w:hanging="357"/>
              <w:jc w:val="left"/>
            </w:pPr>
            <w:r w:rsidRPr="00554B41">
              <w:t>Structural participation barriers</w:t>
            </w:r>
          </w:p>
        </w:tc>
        <w:tc>
          <w:tcPr>
            <w:tcW w:w="1593" w:type="pct"/>
            <w:tcBorders>
              <w:top w:val="single" w:sz="6" w:space="0" w:color="303030" w:themeColor="text1"/>
              <w:left w:val="single" w:sz="6" w:space="0" w:color="303030" w:themeColor="text1"/>
              <w:bottom w:val="single" w:sz="6" w:space="0" w:color="303030" w:themeColor="text1"/>
              <w:right w:val="single" w:sz="6" w:space="0" w:color="303030" w:themeColor="text1"/>
            </w:tcBorders>
          </w:tcPr>
          <w:p w14:paraId="51D5093F" w14:textId="77777777" w:rsidR="00771999" w:rsidRPr="00554B41" w:rsidRDefault="00771999" w:rsidP="00771999">
            <w:r w:rsidRPr="00554B41">
              <w:t>Important contribution</w:t>
            </w:r>
          </w:p>
        </w:tc>
      </w:tr>
      <w:tr w:rsidR="00771999" w:rsidRPr="00554B41" w14:paraId="0DB72E09" w14:textId="77777777" w:rsidTr="004E5FAF">
        <w:trPr>
          <w:trHeight w:val="300"/>
        </w:trPr>
        <w:tc>
          <w:tcPr>
            <w:tcW w:w="3407" w:type="pct"/>
            <w:tcBorders>
              <w:top w:val="single" w:sz="6" w:space="0" w:color="303030" w:themeColor="text1"/>
              <w:left w:val="single" w:sz="6" w:space="0" w:color="303030" w:themeColor="text1"/>
              <w:right w:val="single" w:sz="6" w:space="0" w:color="303030" w:themeColor="text1"/>
            </w:tcBorders>
          </w:tcPr>
          <w:p w14:paraId="03E998EC" w14:textId="3DCD8C52" w:rsidR="00771999" w:rsidRPr="00554B41" w:rsidRDefault="00771999" w:rsidP="00771999">
            <w:pPr>
              <w:numPr>
                <w:ilvl w:val="0"/>
                <w:numId w:val="16"/>
              </w:numPr>
              <w:spacing w:after="160" w:line="259" w:lineRule="auto"/>
              <w:ind w:left="357" w:hanging="357"/>
              <w:jc w:val="left"/>
            </w:pPr>
            <w:r w:rsidRPr="00554B41">
              <w:t>Resourcing barriers act</w:t>
            </w:r>
            <w:r w:rsidR="00CE5680" w:rsidRPr="00554B41">
              <w:t>ing</w:t>
            </w:r>
            <w:r w:rsidRPr="00554B41">
              <w:t xml:space="preserve"> as a constraint to LDC negotiators</w:t>
            </w:r>
          </w:p>
        </w:tc>
        <w:tc>
          <w:tcPr>
            <w:tcW w:w="1593" w:type="pct"/>
            <w:tcBorders>
              <w:top w:val="single" w:sz="6" w:space="0" w:color="303030" w:themeColor="text1"/>
              <w:left w:val="single" w:sz="6" w:space="0" w:color="303030" w:themeColor="text1"/>
              <w:bottom w:val="single" w:sz="6" w:space="0" w:color="303030" w:themeColor="text1"/>
              <w:right w:val="single" w:sz="6" w:space="0" w:color="303030" w:themeColor="text1"/>
            </w:tcBorders>
          </w:tcPr>
          <w:p w14:paraId="339C495C" w14:textId="77777777" w:rsidR="00771999" w:rsidRPr="00554B41" w:rsidRDefault="00771999" w:rsidP="00771999">
            <w:r w:rsidRPr="00554B41">
              <w:t>Important contribution</w:t>
            </w:r>
          </w:p>
        </w:tc>
      </w:tr>
      <w:tr w:rsidR="00771999" w:rsidRPr="00554B41" w14:paraId="03627C87" w14:textId="77777777" w:rsidTr="004E5FAF">
        <w:trPr>
          <w:trHeight w:val="300"/>
        </w:trPr>
        <w:tc>
          <w:tcPr>
            <w:tcW w:w="3407" w:type="pct"/>
            <w:tcBorders>
              <w:top w:val="single" w:sz="6" w:space="0" w:color="303030" w:themeColor="text1"/>
              <w:left w:val="single" w:sz="6" w:space="0" w:color="303030" w:themeColor="text1"/>
              <w:right w:val="single" w:sz="6" w:space="0" w:color="303030" w:themeColor="text1"/>
            </w:tcBorders>
          </w:tcPr>
          <w:p w14:paraId="476DBA0E" w14:textId="07AA3C05" w:rsidR="00771999" w:rsidRPr="00554B41" w:rsidRDefault="00B13EC7" w:rsidP="00771999">
            <w:pPr>
              <w:numPr>
                <w:ilvl w:val="0"/>
                <w:numId w:val="16"/>
              </w:numPr>
              <w:spacing w:after="160" w:line="259" w:lineRule="auto"/>
              <w:ind w:left="357" w:hanging="357"/>
              <w:jc w:val="left"/>
            </w:pPr>
            <w:r w:rsidRPr="00554B41">
              <w:t>United Nations Industrial Development Organization (</w:t>
            </w:r>
            <w:r w:rsidR="00771999" w:rsidRPr="00554B41">
              <w:t>UNIDO</w:t>
            </w:r>
            <w:r w:rsidRPr="00554B41">
              <w:t>)</w:t>
            </w:r>
            <w:r w:rsidR="00771999" w:rsidRPr="00554B41">
              <w:t>-led Secretariat formation</w:t>
            </w:r>
          </w:p>
        </w:tc>
        <w:tc>
          <w:tcPr>
            <w:tcW w:w="1593" w:type="pct"/>
            <w:tcBorders>
              <w:top w:val="single" w:sz="6" w:space="0" w:color="303030" w:themeColor="text1"/>
              <w:left w:val="single" w:sz="6" w:space="0" w:color="303030" w:themeColor="text1"/>
              <w:bottom w:val="single" w:sz="6" w:space="0" w:color="303030" w:themeColor="text1"/>
              <w:right w:val="single" w:sz="6" w:space="0" w:color="303030" w:themeColor="text1"/>
            </w:tcBorders>
          </w:tcPr>
          <w:p w14:paraId="57877A0F" w14:textId="77777777" w:rsidR="00771999" w:rsidRPr="00554B41" w:rsidRDefault="00771999" w:rsidP="00771999">
            <w:r w:rsidRPr="00554B41">
              <w:t>Some contribution</w:t>
            </w:r>
          </w:p>
        </w:tc>
      </w:tr>
      <w:tr w:rsidR="00771999" w:rsidRPr="00554B41" w14:paraId="277932C2" w14:textId="77777777" w:rsidTr="004E5FAF">
        <w:trPr>
          <w:trHeight w:val="300"/>
        </w:trPr>
        <w:tc>
          <w:tcPr>
            <w:tcW w:w="3407" w:type="pct"/>
            <w:tcBorders>
              <w:top w:val="single" w:sz="6" w:space="0" w:color="303030" w:themeColor="text1"/>
              <w:left w:val="single" w:sz="6" w:space="0" w:color="303030" w:themeColor="text1"/>
              <w:right w:val="single" w:sz="6" w:space="0" w:color="303030" w:themeColor="text1"/>
            </w:tcBorders>
          </w:tcPr>
          <w:p w14:paraId="744FE9CF" w14:textId="77777777" w:rsidR="00771999" w:rsidRPr="00554B41" w:rsidRDefault="00771999" w:rsidP="00771999">
            <w:pPr>
              <w:numPr>
                <w:ilvl w:val="0"/>
                <w:numId w:val="16"/>
              </w:numPr>
              <w:spacing w:after="160" w:line="259" w:lineRule="auto"/>
              <w:ind w:left="357" w:hanging="357"/>
              <w:jc w:val="left"/>
            </w:pPr>
            <w:r w:rsidRPr="00554B41">
              <w:t>Evolving relationships with other negotiating blocs</w:t>
            </w:r>
          </w:p>
        </w:tc>
        <w:tc>
          <w:tcPr>
            <w:tcW w:w="1593" w:type="pct"/>
            <w:tcBorders>
              <w:top w:val="single" w:sz="6" w:space="0" w:color="303030" w:themeColor="text1"/>
              <w:left w:val="single" w:sz="6" w:space="0" w:color="303030" w:themeColor="text1"/>
              <w:bottom w:val="single" w:sz="6" w:space="0" w:color="303030" w:themeColor="text1"/>
              <w:right w:val="single" w:sz="6" w:space="0" w:color="303030" w:themeColor="text1"/>
            </w:tcBorders>
          </w:tcPr>
          <w:p w14:paraId="38C98ED4" w14:textId="77777777" w:rsidR="00771999" w:rsidRPr="00554B41" w:rsidRDefault="00771999" w:rsidP="00771999">
            <w:r w:rsidRPr="00554B41">
              <w:t>Some contribution</w:t>
            </w:r>
          </w:p>
        </w:tc>
      </w:tr>
      <w:tr w:rsidR="00771999" w:rsidRPr="00554B41" w14:paraId="44FE9646" w14:textId="77777777" w:rsidTr="004E5FAF">
        <w:trPr>
          <w:trHeight w:val="300"/>
        </w:trPr>
        <w:tc>
          <w:tcPr>
            <w:tcW w:w="3407" w:type="pct"/>
            <w:tcBorders>
              <w:top w:val="single" w:sz="6" w:space="0" w:color="303030" w:themeColor="text1"/>
              <w:left w:val="single" w:sz="6" w:space="0" w:color="303030" w:themeColor="text1"/>
              <w:right w:val="single" w:sz="6" w:space="0" w:color="303030" w:themeColor="text1"/>
            </w:tcBorders>
          </w:tcPr>
          <w:p w14:paraId="6F9D0AD9" w14:textId="190B363A" w:rsidR="00771999" w:rsidRPr="00554B41" w:rsidRDefault="00BA6521" w:rsidP="00771999">
            <w:pPr>
              <w:numPr>
                <w:ilvl w:val="0"/>
                <w:numId w:val="16"/>
              </w:numPr>
              <w:spacing w:after="160" w:line="259" w:lineRule="auto"/>
              <w:ind w:left="357" w:hanging="357"/>
              <w:jc w:val="left"/>
            </w:pPr>
            <w:r w:rsidRPr="00554B41">
              <w:t>TP</w:t>
            </w:r>
            <w:r w:rsidR="00771999" w:rsidRPr="00554B41">
              <w:t xml:space="preserve"> capacity supported by other funders</w:t>
            </w:r>
          </w:p>
        </w:tc>
        <w:tc>
          <w:tcPr>
            <w:tcW w:w="1593" w:type="pct"/>
            <w:tcBorders>
              <w:top w:val="single" w:sz="6" w:space="0" w:color="303030" w:themeColor="text1"/>
              <w:left w:val="single" w:sz="6" w:space="0" w:color="303030" w:themeColor="text1"/>
              <w:bottom w:val="single" w:sz="6" w:space="0" w:color="303030" w:themeColor="text1"/>
              <w:right w:val="single" w:sz="6" w:space="0" w:color="303030" w:themeColor="text1"/>
            </w:tcBorders>
          </w:tcPr>
          <w:p w14:paraId="76B626E2" w14:textId="77777777" w:rsidR="00771999" w:rsidRPr="00554B41" w:rsidRDefault="00771999" w:rsidP="00771999">
            <w:r w:rsidRPr="00554B41">
              <w:t>Insufficient evidence</w:t>
            </w:r>
          </w:p>
        </w:tc>
      </w:tr>
    </w:tbl>
    <w:p w14:paraId="5574C3CC" w14:textId="057C4F74" w:rsidR="00715C5D" w:rsidRDefault="00715C5D" w:rsidP="00715C5D">
      <w:pPr>
        <w:pStyle w:val="Heading2"/>
      </w:pPr>
      <w:bookmarkStart w:id="5" w:name="_Toc204967823"/>
      <w:r w:rsidRPr="00554B41">
        <w:t>Geographic and temporal context</w:t>
      </w:r>
      <w:bookmarkEnd w:id="5"/>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771999" w:rsidRPr="00554B41" w14:paraId="6AFEB96B" w14:textId="77777777" w:rsidTr="64F4A590">
        <w:trPr>
          <w:trHeight w:val="300"/>
        </w:trPr>
        <w:tc>
          <w:tcPr>
            <w:tcW w:w="5000" w:type="pct"/>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76AFD766" w14:textId="77777777" w:rsidR="00771999" w:rsidRPr="00554B41" w:rsidRDefault="00771999" w:rsidP="00771999">
            <w:r w:rsidRPr="00554B41">
              <w:t xml:space="preserve">The decade following the adoption of the Paris Agreement in 2015 has seen a dynamic reshaping of the global climate negotiations landscape. The field has evolved from securing international consensus on goals to grappling with the political, financial, and technical realities of implementation. This period has tested the durability of the multilateral system and has demanded increasing sophistication and agility from negotiating blocs like the LDC Group. </w:t>
            </w:r>
          </w:p>
          <w:p w14:paraId="52E7562B" w14:textId="0A39B8B1" w:rsidR="00771999" w:rsidRPr="00554B41" w:rsidRDefault="00771999" w:rsidP="00771999">
            <w:r w:rsidRPr="00554B41">
              <w:t>The period from 2023 to 2025 was marked by intense and overlapping negotiation cycles</w:t>
            </w:r>
            <w:r w:rsidR="002410A3" w:rsidRPr="00554B41">
              <w:t>,</w:t>
            </w:r>
            <w:r w:rsidRPr="00554B41">
              <w:t xml:space="preserve"> including COP28, COP29, the Global Stocktake conclusion, and operationalisation of the Loss and Damage Fund. IIED, Climate Analytics</w:t>
            </w:r>
            <w:r w:rsidR="002410A3" w:rsidRPr="00554B41">
              <w:t>,</w:t>
            </w:r>
            <w:r w:rsidRPr="00554B41">
              <w:t xml:space="preserve"> and Germanwatch were instrumental in helping the LDC Group sustain visibility, coherence, and influence across this period.</w:t>
            </w:r>
          </w:p>
          <w:p w14:paraId="58D98B1E" w14:textId="17D68EF1" w:rsidR="00771999" w:rsidRPr="00554B41" w:rsidRDefault="00771999" w:rsidP="00771999">
            <w:r w:rsidRPr="00554B41">
              <w:t xml:space="preserve">The LDC </w:t>
            </w:r>
            <w:r w:rsidR="002410A3" w:rsidRPr="00554B41">
              <w:t xml:space="preserve">Group </w:t>
            </w:r>
            <w:r w:rsidRPr="00554B41">
              <w:t xml:space="preserve">currently has 44 members. The list of members and other information on the negotiating group can be found </w:t>
            </w:r>
            <w:r w:rsidR="00793B9B" w:rsidRPr="00554B41">
              <w:t xml:space="preserve">on the </w:t>
            </w:r>
            <w:hyperlink r:id="rId29">
              <w:r w:rsidR="4187B485" w:rsidRPr="00554B41">
                <w:rPr>
                  <w:rStyle w:val="Hyperlink"/>
                </w:rPr>
                <w:t xml:space="preserve">LDC </w:t>
              </w:r>
              <w:r w:rsidR="7AE1161A" w:rsidRPr="00554B41">
                <w:rPr>
                  <w:rStyle w:val="Hyperlink"/>
                </w:rPr>
                <w:t xml:space="preserve">Group </w:t>
              </w:r>
              <w:r w:rsidR="4187B485" w:rsidRPr="00554B41">
                <w:rPr>
                  <w:rStyle w:val="Hyperlink"/>
                </w:rPr>
                <w:t>website</w:t>
              </w:r>
            </w:hyperlink>
            <w:r w:rsidR="1AF99925" w:rsidRPr="00554B41">
              <w:t>.</w:t>
            </w:r>
            <w:r w:rsidRPr="00554B41">
              <w:t xml:space="preserve"> Membership of the group is defined </w:t>
            </w:r>
            <w:hyperlink r:id="rId30">
              <w:r w:rsidR="002410A3" w:rsidRPr="00554B41">
                <w:rPr>
                  <w:rStyle w:val="Hyperlink"/>
                </w:rPr>
                <w:t>based on standards agreed by the UN Economic and Social</w:t>
              </w:r>
              <w:r w:rsidR="002410A3" w:rsidRPr="00554B41">
                <w:rPr>
                  <w:rStyle w:val="Hyperlink"/>
                  <w:b/>
                  <w:bCs/>
                </w:rPr>
                <w:t xml:space="preserve"> </w:t>
              </w:r>
              <w:r w:rsidR="002410A3" w:rsidRPr="00554B41">
                <w:rPr>
                  <w:rStyle w:val="Hyperlink"/>
                </w:rPr>
                <w:t>Council</w:t>
              </w:r>
            </w:hyperlink>
            <w:r w:rsidR="1AF99925" w:rsidRPr="00554B41">
              <w:t xml:space="preserve">. </w:t>
            </w:r>
            <w:r w:rsidR="36FB2CCD" w:rsidRPr="00554B41">
              <w:t xml:space="preserve">Every three years, the list of countries </w:t>
            </w:r>
            <w:r w:rsidR="475CEEC8" w:rsidRPr="00554B41">
              <w:t xml:space="preserve">included in the list is revised, based on the threshold criteria, </w:t>
            </w:r>
            <w:r w:rsidR="71D9CA2D" w:rsidRPr="00554B41">
              <w:t>country-specific information compiled by the UN, and the views of the government</w:t>
            </w:r>
            <w:r w:rsidR="1AF99925" w:rsidRPr="00554B41">
              <w:t>.</w:t>
            </w:r>
            <w:r w:rsidR="452B1DB1" w:rsidRPr="00554B41">
              <w:t xml:space="preserve"> Once it has been established that a country no longer fulfi</w:t>
            </w:r>
            <w:r w:rsidR="188F872F" w:rsidRPr="00554B41">
              <w:t>l</w:t>
            </w:r>
            <w:r w:rsidR="452B1DB1" w:rsidRPr="00554B41">
              <w:t xml:space="preserve">s the criteria for an LDC country, it </w:t>
            </w:r>
            <w:r w:rsidR="001358C8" w:rsidRPr="00554B41">
              <w:t>‘</w:t>
            </w:r>
            <w:r w:rsidR="452B1DB1" w:rsidRPr="00554B41">
              <w:t>graduates</w:t>
            </w:r>
            <w:r w:rsidR="001358C8" w:rsidRPr="00554B41">
              <w:t>’.</w:t>
            </w:r>
          </w:p>
          <w:p w14:paraId="0FE1A20A" w14:textId="00CBAA07" w:rsidR="00771999" w:rsidRPr="00554B41" w:rsidRDefault="00771999" w:rsidP="00771999">
            <w:r w:rsidRPr="00554B41">
              <w:t>Many decisions in the UNFCC</w:t>
            </w:r>
            <w:r w:rsidR="00862674" w:rsidRPr="00554B41">
              <w:t>C</w:t>
            </w:r>
            <w:r w:rsidRPr="00554B41">
              <w:t xml:space="preserve"> state that LDCs and </w:t>
            </w:r>
            <w:r w:rsidR="00B13EC7" w:rsidRPr="00554B41">
              <w:t>Small Island Developing States (</w:t>
            </w:r>
            <w:r w:rsidRPr="00554B41">
              <w:t>SIDS</w:t>
            </w:r>
            <w:r w:rsidR="00B13EC7" w:rsidRPr="00554B41">
              <w:t>)</w:t>
            </w:r>
            <w:r w:rsidRPr="00554B41">
              <w:t xml:space="preserve"> are not obliged to do certain </w:t>
            </w:r>
            <w:r w:rsidR="001C0F89" w:rsidRPr="00554B41">
              <w:t>things but</w:t>
            </w:r>
            <w:r w:rsidR="002410A3" w:rsidRPr="00554B41">
              <w:t xml:space="preserve"> rather </w:t>
            </w:r>
            <w:r w:rsidRPr="00554B41">
              <w:t xml:space="preserve">are merely encouraged to. </w:t>
            </w:r>
            <w:r w:rsidR="79E55443" w:rsidRPr="00554B41">
              <w:t xml:space="preserve">According to </w:t>
            </w:r>
            <w:hyperlink r:id="rId31">
              <w:r w:rsidR="79E55443" w:rsidRPr="00554B41">
                <w:rPr>
                  <w:rStyle w:val="Hyperlink"/>
                </w:rPr>
                <w:t>UNCTAD</w:t>
              </w:r>
            </w:hyperlink>
            <w:r w:rsidR="79E55443" w:rsidRPr="00554B41">
              <w:t xml:space="preserve">, </w:t>
            </w:r>
            <w:r w:rsidRPr="00554B41">
              <w:t>Bangladesh, Lao PDR</w:t>
            </w:r>
            <w:r w:rsidR="002410A3" w:rsidRPr="00554B41">
              <w:t>,</w:t>
            </w:r>
            <w:r w:rsidRPr="00554B41">
              <w:t xml:space="preserve"> and Nepal are scheduled to graduate from the group in 2026. Solomon Islands is scheduled to graduate in </w:t>
            </w:r>
            <w:r w:rsidR="001C0F89" w:rsidRPr="00554B41">
              <w:t>2027,</w:t>
            </w:r>
            <w:r w:rsidR="002410A3" w:rsidRPr="00554B41">
              <w:t xml:space="preserve"> and </w:t>
            </w:r>
            <w:r w:rsidRPr="00554B41">
              <w:t xml:space="preserve">Cambodia and Senegal are scheduled to graduate in 2029. By 2030, the LDC Group will have </w:t>
            </w:r>
            <w:r w:rsidR="005622E7" w:rsidRPr="00554B41">
              <w:t xml:space="preserve">only </w:t>
            </w:r>
            <w:r w:rsidRPr="00554B41">
              <w:t xml:space="preserve">38 members. </w:t>
            </w:r>
          </w:p>
          <w:p w14:paraId="5E121B1E" w14:textId="199D78CF" w:rsidR="00771999" w:rsidRPr="00554B41" w:rsidRDefault="00771999" w:rsidP="00771999">
            <w:r w:rsidRPr="00554B41">
              <w:t xml:space="preserve">The Charter which governs the group was formalised under the Bhutan chair and </w:t>
            </w:r>
            <w:r w:rsidR="0009500B" w:rsidRPr="00554B41">
              <w:t xml:space="preserve">is available on the </w:t>
            </w:r>
            <w:hyperlink r:id="rId32" w:history="1">
              <w:r w:rsidR="0009500B" w:rsidRPr="00554B41">
                <w:rPr>
                  <w:rStyle w:val="Hyperlink"/>
                </w:rPr>
                <w:t>LDC Group website</w:t>
              </w:r>
            </w:hyperlink>
            <w:r w:rsidRPr="00554B41">
              <w:t xml:space="preserve">. </w:t>
            </w:r>
          </w:p>
          <w:p w14:paraId="77A744A8" w14:textId="77777777" w:rsidR="00771999" w:rsidRPr="00554B41" w:rsidRDefault="00771999" w:rsidP="00771999">
            <w:pPr>
              <w:rPr>
                <w:b/>
                <w:bCs/>
              </w:rPr>
            </w:pPr>
            <w:r w:rsidRPr="64F4A590">
              <w:rPr>
                <w:b/>
                <w:bCs/>
              </w:rPr>
              <w:t xml:space="preserve">Shifting power dynamics </w:t>
            </w:r>
          </w:p>
          <w:p w14:paraId="6701DD69" w14:textId="3164A759" w:rsidR="00771999" w:rsidRPr="00554B41" w:rsidRDefault="00771999" w:rsidP="00771999">
            <w:r w:rsidRPr="00554B41">
              <w:t xml:space="preserve">One of the most significant developments has been the reassertion of major emerging economies and fossil fuel producers in slowing or softening ambition. Saudi Arabia has played a consistent role in limiting progress on topics such as a fossil fuel phase-out and </w:t>
            </w:r>
            <w:r w:rsidR="006E743E" w:rsidRPr="00554B41">
              <w:t xml:space="preserve">the </w:t>
            </w:r>
            <w:r w:rsidRPr="00554B41">
              <w:t xml:space="preserve">transparency framework, often acting in coordination with other oil-producing nations. Meanwhile, BRICS countries </w:t>
            </w:r>
            <w:r w:rsidR="006E743E" w:rsidRPr="00554B41">
              <w:t>(</w:t>
            </w:r>
            <w:r w:rsidRPr="00554B41">
              <w:t>particularly China, Saudia Arabia</w:t>
            </w:r>
            <w:r w:rsidR="006E743E" w:rsidRPr="00554B41">
              <w:t>,</w:t>
            </w:r>
            <w:r w:rsidRPr="00554B41">
              <w:t xml:space="preserve"> and India</w:t>
            </w:r>
            <w:r w:rsidR="006E743E" w:rsidRPr="00554B41">
              <w:t>)</w:t>
            </w:r>
            <w:r w:rsidRPr="00554B41">
              <w:t xml:space="preserve"> have adopted a dual posture: defending equity principles and historical responsibility, while resisting prescriptive obligations on mitigation</w:t>
            </w:r>
            <w:r w:rsidRPr="00554B41" w:rsidDel="0072262A">
              <w:t xml:space="preserve"> </w:t>
            </w:r>
            <w:r w:rsidRPr="00554B41">
              <w:t xml:space="preserve">and finance transparency. </w:t>
            </w:r>
          </w:p>
          <w:p w14:paraId="4D97F310" w14:textId="25221419" w:rsidR="00771999" w:rsidRPr="00554B41" w:rsidRDefault="00771999" w:rsidP="00771999">
            <w:r w:rsidRPr="00554B41">
              <w:t xml:space="preserve">The </w:t>
            </w:r>
            <w:r w:rsidR="006E743E" w:rsidRPr="00554B41">
              <w:t>US</w:t>
            </w:r>
            <w:r w:rsidRPr="00554B41">
              <w:t xml:space="preserve"> rejoined the Paris Agreement under the Biden administration in 2021, after a period of withdrawal during the first term of President Trump. While the return of the US to the negotiating table was welcomed, its negotiation strategy remained cautious</w:t>
            </w:r>
            <w:r w:rsidR="006E743E" w:rsidRPr="00554B41">
              <w:t>,</w:t>
            </w:r>
            <w:r w:rsidRPr="00554B41">
              <w:t xml:space="preserve"> especially on </w:t>
            </w:r>
            <w:r w:rsidR="006E743E" w:rsidRPr="00554B41">
              <w:t xml:space="preserve">Loss </w:t>
            </w:r>
            <w:r w:rsidRPr="00554B41">
              <w:t xml:space="preserve">and </w:t>
            </w:r>
            <w:r w:rsidR="006E743E" w:rsidRPr="00554B41">
              <w:t>Damage</w:t>
            </w:r>
            <w:r w:rsidRPr="00554B41">
              <w:t>, out of concern over potential liability. The US</w:t>
            </w:r>
            <w:r w:rsidRPr="00554B41" w:rsidDel="330E274D">
              <w:t xml:space="preserve"> </w:t>
            </w:r>
            <w:r w:rsidRPr="00554B41">
              <w:t xml:space="preserve">supported climate finance mobilisation but prioritised voluntary pledges and market mechanisms over </w:t>
            </w:r>
            <w:r w:rsidR="006E743E" w:rsidRPr="00554B41">
              <w:t xml:space="preserve">the </w:t>
            </w:r>
            <w:r w:rsidRPr="00554B41">
              <w:t>grant-based approaches preferred by LDCs. In 2025, the US again</w:t>
            </w:r>
            <w:r w:rsidRPr="00554B41" w:rsidDel="330E274D">
              <w:t xml:space="preserve"> </w:t>
            </w:r>
            <w:r w:rsidRPr="00554B41">
              <w:t xml:space="preserve">stepped back from the global climate policy stage, indicating that it does not back a movement towards net zero. </w:t>
            </w:r>
          </w:p>
          <w:p w14:paraId="5954988F" w14:textId="3E44E72C" w:rsidR="00771999" w:rsidRPr="00554B41" w:rsidRDefault="00771999" w:rsidP="00771999">
            <w:r w:rsidRPr="00554B41">
              <w:t xml:space="preserve">In this context, the </w:t>
            </w:r>
            <w:r w:rsidR="000558BF">
              <w:t>European Union (</w:t>
            </w:r>
            <w:r w:rsidR="006E743E" w:rsidRPr="00554B41">
              <w:t>EU</w:t>
            </w:r>
            <w:r w:rsidR="000558BF">
              <w:t>)</w:t>
            </w:r>
            <w:r w:rsidRPr="00554B41">
              <w:t xml:space="preserve"> has emerged as a consistent ally to the LDCs on adaptation and finance, </w:t>
            </w:r>
            <w:r w:rsidR="006E743E" w:rsidRPr="00554B41">
              <w:t>al</w:t>
            </w:r>
            <w:r w:rsidRPr="00554B41">
              <w:t>though internal fragmentation—particularly between progressive and conservative member states—has limited the EU’s ability to lead on transformative reforms.</w:t>
            </w:r>
          </w:p>
          <w:p w14:paraId="1D6D876F" w14:textId="0CD713BC" w:rsidR="00771999" w:rsidRPr="00554B41" w:rsidRDefault="00771999" w:rsidP="00771999">
            <w:pPr>
              <w:rPr>
                <w:b/>
                <w:bCs/>
              </w:rPr>
            </w:pPr>
            <w:r w:rsidRPr="00554B41" w:rsidDel="00CA371C">
              <w:rPr>
                <w:b/>
                <w:bCs/>
              </w:rPr>
              <w:t xml:space="preserve">Global </w:t>
            </w:r>
            <w:r w:rsidR="00CA371C" w:rsidRPr="00554B41">
              <w:rPr>
                <w:b/>
                <w:bCs/>
              </w:rPr>
              <w:t>South</w:t>
            </w:r>
            <w:r w:rsidRPr="00554B41">
              <w:rPr>
                <w:b/>
                <w:bCs/>
              </w:rPr>
              <w:t xml:space="preserve"> visibility</w:t>
            </w:r>
          </w:p>
          <w:p w14:paraId="0DF16CDE" w14:textId="3EC629FF" w:rsidR="00771999" w:rsidRPr="00554B41" w:rsidRDefault="00771999" w:rsidP="00771999">
            <w:r w:rsidRPr="00554B41">
              <w:t xml:space="preserve">Over the past decade, </w:t>
            </w:r>
            <w:r w:rsidRPr="00554B41" w:rsidDel="00CA371C">
              <w:rPr>
                <w:b/>
                <w:bCs/>
              </w:rPr>
              <w:t>Global South</w:t>
            </w:r>
            <w:r w:rsidRPr="00554B41">
              <w:rPr>
                <w:b/>
                <w:bCs/>
              </w:rPr>
              <w:t xml:space="preserve"> negotiation blocs under the G77</w:t>
            </w:r>
            <w:r w:rsidR="004F1AD0" w:rsidRPr="00554B41">
              <w:rPr>
                <w:b/>
                <w:bCs/>
              </w:rPr>
              <w:t>+</w:t>
            </w:r>
            <w:r w:rsidRPr="00554B41">
              <w:rPr>
                <w:b/>
                <w:bCs/>
              </w:rPr>
              <w:t>China umbrella</w:t>
            </w:r>
            <w:r w:rsidRPr="00554B41">
              <w:t xml:space="preserve">—including the </w:t>
            </w:r>
            <w:r w:rsidRPr="00554B41">
              <w:rPr>
                <w:b/>
                <w:bCs/>
              </w:rPr>
              <w:t>LDC Group</w:t>
            </w:r>
            <w:r w:rsidRPr="00554B41">
              <w:t xml:space="preserve">, </w:t>
            </w:r>
            <w:r w:rsidRPr="00554B41">
              <w:rPr>
                <w:b/>
                <w:bCs/>
              </w:rPr>
              <w:t>African Group of Negotiators (AGN)</w:t>
            </w:r>
            <w:r w:rsidRPr="00554B41">
              <w:t xml:space="preserve">, </w:t>
            </w:r>
            <w:r w:rsidR="00B55941" w:rsidRPr="001F7BD4">
              <w:rPr>
                <w:b/>
                <w:bCs/>
              </w:rPr>
              <w:t>the Alliance of Small Island States (</w:t>
            </w:r>
            <w:r w:rsidRPr="00554B41">
              <w:rPr>
                <w:b/>
                <w:bCs/>
              </w:rPr>
              <w:t>AOSIS</w:t>
            </w:r>
            <w:r w:rsidR="00B55941" w:rsidRPr="00554B41">
              <w:rPr>
                <w:b/>
                <w:bCs/>
              </w:rPr>
              <w:t>)</w:t>
            </w:r>
            <w:r w:rsidRPr="00554B41">
              <w:t xml:space="preserve">, and the </w:t>
            </w:r>
            <w:r w:rsidRPr="00554B41">
              <w:rPr>
                <w:b/>
                <w:bCs/>
              </w:rPr>
              <w:t>Like-Minded Developing Countries</w:t>
            </w:r>
            <w:r w:rsidRPr="00554B41">
              <w:t>—have deepened their coordination and improved policy coherence. The LDC Group has increasingly aligned with AGN and AOSIS on key agenda items such as the Global Goal on Adaptation</w:t>
            </w:r>
            <w:r w:rsidR="00CF4862" w:rsidRPr="00554B41">
              <w:t xml:space="preserve"> (GGA)</w:t>
            </w:r>
            <w:r w:rsidRPr="00554B41">
              <w:t xml:space="preserve">, </w:t>
            </w:r>
            <w:r w:rsidR="006E743E" w:rsidRPr="00554B41">
              <w:t xml:space="preserve">Loss </w:t>
            </w:r>
            <w:r w:rsidRPr="00554B41">
              <w:t xml:space="preserve">and </w:t>
            </w:r>
            <w:r w:rsidR="006E743E" w:rsidRPr="00554B41">
              <w:t>Damage</w:t>
            </w:r>
            <w:r w:rsidRPr="00554B41">
              <w:t>, and grant-based finance.</w:t>
            </w:r>
          </w:p>
          <w:p w14:paraId="01EA3554" w14:textId="77777777" w:rsidR="00771999" w:rsidRPr="00554B41" w:rsidRDefault="00771999" w:rsidP="00771999">
            <w:r w:rsidRPr="00554B41">
              <w:t>Bloc collaboration was particularly visible during:</w:t>
            </w:r>
          </w:p>
          <w:p w14:paraId="110C7F3B" w14:textId="77777777" w:rsidR="00771999" w:rsidRPr="00554B41" w:rsidRDefault="00771999" w:rsidP="00771999">
            <w:pPr>
              <w:numPr>
                <w:ilvl w:val="0"/>
                <w:numId w:val="18"/>
              </w:numPr>
              <w:spacing w:after="0" w:line="259" w:lineRule="auto"/>
              <w:jc w:val="left"/>
            </w:pPr>
            <w:r w:rsidRPr="00554B41">
              <w:t xml:space="preserve">COP27 (2022), when joint pressure led to the agreement on the </w:t>
            </w:r>
            <w:r w:rsidRPr="00554B41">
              <w:rPr>
                <w:b/>
                <w:bCs/>
              </w:rPr>
              <w:t>Loss and Damage Fund</w:t>
            </w:r>
            <w:r w:rsidRPr="00554B41">
              <w:t>;</w:t>
            </w:r>
          </w:p>
          <w:p w14:paraId="2779B841" w14:textId="5345E404" w:rsidR="00771999" w:rsidRPr="00554B41" w:rsidRDefault="00771999" w:rsidP="00771999">
            <w:pPr>
              <w:numPr>
                <w:ilvl w:val="0"/>
                <w:numId w:val="18"/>
              </w:numPr>
              <w:spacing w:after="0" w:line="259" w:lineRule="auto"/>
              <w:jc w:val="left"/>
            </w:pPr>
            <w:r w:rsidRPr="00554B41">
              <w:t xml:space="preserve">The </w:t>
            </w:r>
            <w:r w:rsidRPr="00554B41">
              <w:rPr>
                <w:b/>
                <w:bCs/>
              </w:rPr>
              <w:t>Global Stocktake</w:t>
            </w:r>
            <w:r w:rsidRPr="00554B41">
              <w:t xml:space="preserve"> (2023–24), where developing countries demanded stronger references to common but differentiated responsibilities; and,</w:t>
            </w:r>
          </w:p>
          <w:p w14:paraId="039E5A7A" w14:textId="77777777" w:rsidR="00771999" w:rsidRPr="00554B41" w:rsidRDefault="00771999" w:rsidP="00771999">
            <w:pPr>
              <w:numPr>
                <w:ilvl w:val="0"/>
                <w:numId w:val="18"/>
              </w:numPr>
              <w:spacing w:after="0" w:line="259" w:lineRule="auto"/>
              <w:jc w:val="left"/>
            </w:pPr>
            <w:r w:rsidRPr="00554B41">
              <w:t xml:space="preserve">The </w:t>
            </w:r>
            <w:r w:rsidRPr="00554B41">
              <w:rPr>
                <w:b/>
                <w:bCs/>
              </w:rPr>
              <w:t>UAE Framework for Global Climate Resilience</w:t>
            </w:r>
            <w:r w:rsidRPr="00554B41">
              <w:t>, where LDCs successfully secured equity-based adaptation indicators.</w:t>
            </w:r>
          </w:p>
          <w:p w14:paraId="6D01AB05" w14:textId="77777777" w:rsidR="00771999" w:rsidRPr="00554B41" w:rsidRDefault="00771999" w:rsidP="00771999">
            <w:pPr>
              <w:spacing w:after="0"/>
              <w:ind w:left="720"/>
            </w:pPr>
          </w:p>
          <w:p w14:paraId="740AE190" w14:textId="296B57BD" w:rsidR="00771999" w:rsidRPr="00554B41" w:rsidRDefault="00771999" w:rsidP="00771999">
            <w:pPr>
              <w:rPr>
                <w:b/>
                <w:bCs/>
              </w:rPr>
            </w:pPr>
            <w:r w:rsidRPr="00554B41">
              <w:rPr>
                <w:b/>
                <w:bCs/>
              </w:rPr>
              <w:t xml:space="preserve">Youth and </w:t>
            </w:r>
            <w:r w:rsidR="006E743E" w:rsidRPr="00554B41">
              <w:rPr>
                <w:b/>
                <w:bCs/>
              </w:rPr>
              <w:t>non</w:t>
            </w:r>
            <w:r w:rsidRPr="00554B41">
              <w:rPr>
                <w:b/>
                <w:bCs/>
              </w:rPr>
              <w:t>-</w:t>
            </w:r>
            <w:r w:rsidR="006E743E" w:rsidRPr="00554B41">
              <w:rPr>
                <w:b/>
                <w:bCs/>
              </w:rPr>
              <w:t>state actors</w:t>
            </w:r>
          </w:p>
          <w:p w14:paraId="607C502A" w14:textId="4505EF42" w:rsidR="00771999" w:rsidRPr="00554B41" w:rsidRDefault="00771999" w:rsidP="00771999">
            <w:r w:rsidRPr="00554B41">
              <w:t xml:space="preserve">A key shift in the climate space this last decade </w:t>
            </w:r>
            <w:r w:rsidR="00A1785B" w:rsidRPr="00554B41">
              <w:t>(</w:t>
            </w:r>
            <w:r w:rsidRPr="00554B41">
              <w:t>mostly since 2019</w:t>
            </w:r>
            <w:r w:rsidR="00A1785B" w:rsidRPr="00554B41">
              <w:t>)</w:t>
            </w:r>
            <w:r w:rsidRPr="00554B41">
              <w:t xml:space="preserve"> has been the rise of </w:t>
            </w:r>
            <w:r w:rsidRPr="00554B41">
              <w:rPr>
                <w:b/>
                <w:bCs/>
              </w:rPr>
              <w:t>youth and civil society mobilisation</w:t>
            </w:r>
            <w:r w:rsidRPr="00554B41">
              <w:t xml:space="preserve">, particularly from the </w:t>
            </w:r>
            <w:r w:rsidRPr="00554B41" w:rsidDel="00CA371C">
              <w:t>Global South</w:t>
            </w:r>
            <w:r w:rsidRPr="00554B41">
              <w:t>. Youth activists have increased their presence both inside negotiating halls and through parallel forums. These groups have applied pressure for bolder action on inter-generational equity, climate finance, and inclusivity—issues the LDC Group has increasingly sought to integrate into its own messaging.</w:t>
            </w:r>
          </w:p>
          <w:p w14:paraId="1C1C4908" w14:textId="0FB8867B" w:rsidR="00771999" w:rsidRPr="00554B41" w:rsidRDefault="00771999" w:rsidP="00771999">
            <w:r w:rsidRPr="00554B41">
              <w:t xml:space="preserve">Initiatives such as the </w:t>
            </w:r>
            <w:r w:rsidRPr="00554B41">
              <w:rPr>
                <w:b/>
                <w:bCs/>
              </w:rPr>
              <w:t>Youth Negotiators Academy</w:t>
            </w:r>
            <w:r w:rsidRPr="00554B41">
              <w:t xml:space="preserve">, </w:t>
            </w:r>
            <w:r w:rsidRPr="00554B41">
              <w:rPr>
                <w:b/>
                <w:bCs/>
              </w:rPr>
              <w:t>IIED Fellowship Programme</w:t>
            </w:r>
            <w:r w:rsidRPr="00554B41">
              <w:t xml:space="preserve">, </w:t>
            </w:r>
            <w:r w:rsidRPr="00554B41">
              <w:rPr>
                <w:b/>
                <w:bCs/>
              </w:rPr>
              <w:t>AGNES negotiator training</w:t>
            </w:r>
            <w:r w:rsidRPr="00554B41">
              <w:t xml:space="preserve">, and youth engagement via the </w:t>
            </w:r>
            <w:r w:rsidRPr="00554B41">
              <w:rPr>
                <w:b/>
                <w:bCs/>
              </w:rPr>
              <w:t>Climate Leadership Initiative’s</w:t>
            </w:r>
            <w:r w:rsidR="00180367" w:rsidRPr="00554B41">
              <w:rPr>
                <w:b/>
                <w:bCs/>
              </w:rPr>
              <w:t xml:space="preserve"> (CLI)</w:t>
            </w:r>
            <w:r w:rsidRPr="00554B41">
              <w:rPr>
                <w:b/>
                <w:bCs/>
              </w:rPr>
              <w:t xml:space="preserve"> New Generation Program</w:t>
            </w:r>
            <w:r w:rsidR="00A1785B" w:rsidRPr="00554B41">
              <w:rPr>
                <w:b/>
                <w:bCs/>
              </w:rPr>
              <w:t>me</w:t>
            </w:r>
            <w:r w:rsidR="001358C8" w:rsidRPr="00554B41">
              <w:rPr>
                <w:b/>
                <w:bCs/>
              </w:rPr>
              <w:t xml:space="preserve"> (NGP)</w:t>
            </w:r>
            <w:r w:rsidRPr="00554B41">
              <w:rPr>
                <w:b/>
                <w:bCs/>
              </w:rPr>
              <w:t xml:space="preserve"> </w:t>
            </w:r>
            <w:r w:rsidRPr="00554B41">
              <w:t xml:space="preserve">(importantly, all of which have been supported by CASA) have helped increase the pipeline of capable negotiators from LDC countries. These developments have also improved the Group’s internal diversity, including stronger participation from women and </w:t>
            </w:r>
            <w:r w:rsidR="00DB4A3F">
              <w:t>F</w:t>
            </w:r>
            <w:r w:rsidRPr="00554B41">
              <w:t>rancophone delegates.</w:t>
            </w:r>
          </w:p>
          <w:p w14:paraId="042A6F5B" w14:textId="77777777" w:rsidR="00771999" w:rsidRPr="00554B41" w:rsidRDefault="00771999" w:rsidP="00771999"/>
        </w:tc>
      </w:tr>
    </w:tbl>
    <w:p w14:paraId="6223072A" w14:textId="03D1563E" w:rsidR="00715C5D" w:rsidRDefault="00715C5D" w:rsidP="00715C5D">
      <w:pPr>
        <w:pStyle w:val="Heading2"/>
      </w:pPr>
      <w:bookmarkStart w:id="6" w:name="_Toc204967824"/>
      <w:r w:rsidRPr="00554B41">
        <w:t>What did the LDC Group do?</w:t>
      </w:r>
      <w:bookmarkEnd w:id="6"/>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771999" w:rsidRPr="00554B41" w14:paraId="33DCBBCD" w14:textId="77777777" w:rsidTr="004E5FAF">
        <w:trPr>
          <w:trHeight w:val="300"/>
        </w:trPr>
        <w:tc>
          <w:tcPr>
            <w:tcW w:w="5000" w:type="pct"/>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44BCBE01" w14:textId="5A5CAA42" w:rsidR="00771999" w:rsidRPr="00554B41" w:rsidRDefault="00771999" w:rsidP="00771999">
            <w:r w:rsidRPr="00554B41">
              <w:t xml:space="preserve">Over the last decade—and particularly under the CASA programme—IIED, Climate Analytics, and Germanwatch have provided complementary and evolving support to the LDC Group across negotiation strategy, policy development, coordination mechanisms, and institutional strengthening. Their roles are shaped by a </w:t>
            </w:r>
            <w:r w:rsidR="00632AE8" w:rsidRPr="00554B41">
              <w:t>Memorandum of Understanding (</w:t>
            </w:r>
            <w:r w:rsidRPr="00554B41">
              <w:t>MoU</w:t>
            </w:r>
            <w:r w:rsidR="00632AE8" w:rsidRPr="00554B41">
              <w:t>)</w:t>
            </w:r>
            <w:r w:rsidRPr="00554B41">
              <w:t xml:space="preserve"> </w:t>
            </w:r>
            <w:r w:rsidR="00D11AF2" w:rsidRPr="00554B41">
              <w:t xml:space="preserve">between the </w:t>
            </w:r>
            <w:r w:rsidR="00CB2256" w:rsidRPr="00554B41">
              <w:t xml:space="preserve">three TPs and </w:t>
            </w:r>
            <w:r w:rsidRPr="00554B41">
              <w:t xml:space="preserve">the LDC Chair and support has been demand-led, with TPs responding directly to requests from the </w:t>
            </w:r>
            <w:r w:rsidR="00DB4A3F">
              <w:t>c</w:t>
            </w:r>
            <w:r w:rsidRPr="00554B41">
              <w:t xml:space="preserve">hair and group coordinators. </w:t>
            </w:r>
          </w:p>
          <w:p w14:paraId="17D2048F" w14:textId="77777777" w:rsidR="00771999" w:rsidRPr="00554B41" w:rsidRDefault="00771999" w:rsidP="00771999">
            <w:r w:rsidRPr="00554B41">
              <w:t xml:space="preserve">IIED has operated as the main </w:t>
            </w:r>
            <w:r w:rsidRPr="00554B41">
              <w:rPr>
                <w:b/>
                <w:bCs/>
              </w:rPr>
              <w:t>policy and strategy advisor</w:t>
            </w:r>
            <w:r w:rsidRPr="00554B41">
              <w:t xml:space="preserve"> to the LDC Chair. Its work spans:</w:t>
            </w:r>
          </w:p>
          <w:p w14:paraId="6F058D68" w14:textId="0888FB05" w:rsidR="00771999" w:rsidRPr="00554B41" w:rsidRDefault="00771999" w:rsidP="00771999">
            <w:pPr>
              <w:numPr>
                <w:ilvl w:val="0"/>
                <w:numId w:val="20"/>
              </w:numPr>
              <w:spacing w:after="0" w:line="259" w:lineRule="auto"/>
              <w:jc w:val="left"/>
            </w:pPr>
            <w:r w:rsidRPr="00554B41">
              <w:rPr>
                <w:b/>
                <w:bCs/>
              </w:rPr>
              <w:t>Negotiation support</w:t>
            </w:r>
            <w:r w:rsidRPr="00554B41">
              <w:t xml:space="preserve">: real-time legal, technical, and strategic advice across agenda items (e.g. </w:t>
            </w:r>
            <w:r w:rsidR="00A1785B" w:rsidRPr="00554B41">
              <w:t xml:space="preserve">Loss </w:t>
            </w:r>
            <w:r w:rsidRPr="00554B41">
              <w:t xml:space="preserve">and </w:t>
            </w:r>
            <w:r w:rsidR="00A1785B" w:rsidRPr="00554B41">
              <w:t>Damage</w:t>
            </w:r>
            <w:r w:rsidRPr="00554B41">
              <w:t xml:space="preserve">, transparency, just transition, </w:t>
            </w:r>
            <w:r w:rsidR="00A1785B" w:rsidRPr="00554B41">
              <w:t xml:space="preserve">and </w:t>
            </w:r>
            <w:r w:rsidRPr="00554B41">
              <w:t>adaptation).</w:t>
            </w:r>
          </w:p>
          <w:p w14:paraId="430EB61C" w14:textId="0A129A21" w:rsidR="00771999" w:rsidRPr="00554B41" w:rsidRDefault="00771999" w:rsidP="00771999">
            <w:pPr>
              <w:numPr>
                <w:ilvl w:val="0"/>
                <w:numId w:val="20"/>
              </w:numPr>
              <w:spacing w:after="0" w:line="259" w:lineRule="auto"/>
              <w:jc w:val="left"/>
            </w:pPr>
            <w:r w:rsidRPr="00554B41">
              <w:rPr>
                <w:b/>
                <w:bCs/>
              </w:rPr>
              <w:t>Chair’s office support</w:t>
            </w:r>
            <w:r w:rsidRPr="00554B41">
              <w:t xml:space="preserve">: embedding two full-time consultants in Malawi—an Executive Officer and a Media &amp; Diplomacy Coordinator—to directly manage the </w:t>
            </w:r>
            <w:r w:rsidR="00DB4A3F">
              <w:t>c</w:t>
            </w:r>
            <w:r w:rsidRPr="00554B41">
              <w:t>hair’s calendar, media strategy, and logistical coordination.</w:t>
            </w:r>
          </w:p>
          <w:p w14:paraId="266D163B" w14:textId="194142AE" w:rsidR="00771999" w:rsidRPr="00554B41" w:rsidRDefault="00771999" w:rsidP="00771999">
            <w:pPr>
              <w:numPr>
                <w:ilvl w:val="0"/>
                <w:numId w:val="20"/>
              </w:numPr>
              <w:spacing w:after="0" w:line="259" w:lineRule="auto"/>
              <w:jc w:val="left"/>
            </w:pPr>
            <w:r w:rsidRPr="00554B41">
              <w:rPr>
                <w:b/>
                <w:bCs/>
              </w:rPr>
              <w:t>Media and advocacy</w:t>
            </w:r>
            <w:r w:rsidRPr="00554B41">
              <w:t xml:space="preserve">: managing </w:t>
            </w:r>
            <w:r w:rsidR="00A1785B" w:rsidRPr="00554B41">
              <w:t xml:space="preserve">the </w:t>
            </w:r>
            <w:r w:rsidR="00DB4A3F">
              <w:t>c</w:t>
            </w:r>
            <w:r w:rsidRPr="00554B41">
              <w:t>hair’s social media, preparing talking points, supporting press events, and promoting LDC visibility (e.g. during COP29</w:t>
            </w:r>
            <w:r w:rsidR="00A1785B" w:rsidRPr="00554B41">
              <w:t xml:space="preserve"> and the </w:t>
            </w:r>
            <w:r w:rsidR="00AB6C10" w:rsidRPr="00554B41">
              <w:t>United Nations General Assembly (</w:t>
            </w:r>
            <w:r w:rsidRPr="00554B41">
              <w:t>UNGA</w:t>
            </w:r>
            <w:r w:rsidR="00AB6C10" w:rsidRPr="00554B41">
              <w:t>)</w:t>
            </w:r>
            <w:r w:rsidRPr="00554B41">
              <w:t>).</w:t>
            </w:r>
          </w:p>
          <w:p w14:paraId="41FAA8E7" w14:textId="77777777" w:rsidR="00771999" w:rsidRPr="00554B41" w:rsidRDefault="00771999" w:rsidP="00771999">
            <w:pPr>
              <w:numPr>
                <w:ilvl w:val="0"/>
                <w:numId w:val="20"/>
              </w:numPr>
              <w:spacing w:after="0" w:line="259" w:lineRule="auto"/>
              <w:jc w:val="left"/>
            </w:pPr>
            <w:r w:rsidRPr="00554B41">
              <w:rPr>
                <w:b/>
                <w:bCs/>
              </w:rPr>
              <w:t>Organisational support</w:t>
            </w:r>
            <w:r w:rsidRPr="00554B41">
              <w:t>: leading the development of the LDC knowledge platform and uploading foundational documents to preserve institutional memory, in preparation for the Secretariat transition.</w:t>
            </w:r>
          </w:p>
          <w:p w14:paraId="482E8D18" w14:textId="77A7D8F6" w:rsidR="00771999" w:rsidRPr="00554B41" w:rsidRDefault="00771999" w:rsidP="00771999">
            <w:pPr>
              <w:numPr>
                <w:ilvl w:val="0"/>
                <w:numId w:val="20"/>
              </w:numPr>
              <w:spacing w:after="0" w:line="259" w:lineRule="auto"/>
              <w:jc w:val="left"/>
            </w:pPr>
            <w:r w:rsidRPr="00554B41">
              <w:rPr>
                <w:b/>
                <w:bCs/>
              </w:rPr>
              <w:t>Submissions drafting</w:t>
            </w:r>
            <w:r w:rsidRPr="00554B41">
              <w:t xml:space="preserve">: advising on and drafting formal submissions on issues such as the </w:t>
            </w:r>
            <w:r w:rsidR="00CF4862" w:rsidRPr="00554B41">
              <w:t>GGA</w:t>
            </w:r>
            <w:r w:rsidRPr="00554B41">
              <w:t xml:space="preserve"> and transparency indicators.</w:t>
            </w:r>
          </w:p>
          <w:p w14:paraId="3CE7B021" w14:textId="658E2741" w:rsidR="00771999" w:rsidRPr="00554B41" w:rsidRDefault="00771999" w:rsidP="00771999">
            <w:pPr>
              <w:numPr>
                <w:ilvl w:val="0"/>
                <w:numId w:val="20"/>
              </w:numPr>
              <w:spacing w:after="0" w:line="259" w:lineRule="auto"/>
              <w:jc w:val="left"/>
            </w:pPr>
            <w:r w:rsidRPr="00554B41">
              <w:rPr>
                <w:b/>
                <w:bCs/>
              </w:rPr>
              <w:t>Capacity building</w:t>
            </w:r>
            <w:r w:rsidRPr="00554B41">
              <w:t xml:space="preserve">: implementing the IIED Fellowship and mentoring programme for junior, women, and </w:t>
            </w:r>
            <w:r w:rsidR="00DB4A3F">
              <w:t>F</w:t>
            </w:r>
            <w:r w:rsidRPr="00554B41">
              <w:t>rancophone negotiators. Between 2023</w:t>
            </w:r>
            <w:r w:rsidR="00A1785B" w:rsidRPr="00554B41">
              <w:t xml:space="preserve"> and </w:t>
            </w:r>
            <w:r w:rsidRPr="00554B41">
              <w:t xml:space="preserve">2025, CASA funding enabled </w:t>
            </w:r>
            <w:r w:rsidR="00A1785B" w:rsidRPr="00554B41">
              <w:t xml:space="preserve">eight </w:t>
            </w:r>
            <w:r w:rsidRPr="00554B41">
              <w:t xml:space="preserve">junior negotiators to attend </w:t>
            </w:r>
            <w:r w:rsidR="00AE5739" w:rsidRPr="00554B41">
              <w:t>Bonn and</w:t>
            </w:r>
            <w:r w:rsidRPr="00554B41">
              <w:t xml:space="preserve"> included mentoring. </w:t>
            </w:r>
          </w:p>
          <w:p w14:paraId="1F5CB6BC" w14:textId="77777777" w:rsidR="00771999" w:rsidRPr="00554B41" w:rsidRDefault="00771999" w:rsidP="00771999">
            <w:pPr>
              <w:spacing w:after="0"/>
            </w:pPr>
          </w:p>
          <w:p w14:paraId="42DB0E7B" w14:textId="7CEFB597" w:rsidR="00771999" w:rsidRPr="00554B41" w:rsidRDefault="00771999" w:rsidP="00771999">
            <w:pPr>
              <w:spacing w:after="0"/>
            </w:pPr>
            <w:r w:rsidRPr="00554B41">
              <w:t>C</w:t>
            </w:r>
            <w:r w:rsidR="00A1785B" w:rsidRPr="00554B41">
              <w:t xml:space="preserve">limate </w:t>
            </w:r>
            <w:r w:rsidRPr="00554B41">
              <w:t>A</w:t>
            </w:r>
            <w:r w:rsidR="00A1785B" w:rsidRPr="00554B41">
              <w:t>nalytics</w:t>
            </w:r>
            <w:r w:rsidRPr="00554B41">
              <w:t xml:space="preserve"> has been the primary </w:t>
            </w:r>
            <w:r w:rsidRPr="00554B41">
              <w:rPr>
                <w:b/>
                <w:bCs/>
              </w:rPr>
              <w:t>technical and scientific adviser</w:t>
            </w:r>
            <w:r w:rsidRPr="00554B41">
              <w:t xml:space="preserve">, offering strategic and real-time support on both thematic and procedural issues. </w:t>
            </w:r>
            <w:r w:rsidR="00A1785B" w:rsidRPr="00554B41">
              <w:t xml:space="preserve">Its </w:t>
            </w:r>
            <w:r w:rsidRPr="00554B41">
              <w:t>contributions include:</w:t>
            </w:r>
          </w:p>
          <w:p w14:paraId="68C769C2" w14:textId="13165014" w:rsidR="00771999" w:rsidRPr="00554B41" w:rsidRDefault="00771999" w:rsidP="00771999">
            <w:pPr>
              <w:numPr>
                <w:ilvl w:val="0"/>
                <w:numId w:val="21"/>
              </w:numPr>
              <w:spacing w:after="0" w:line="259" w:lineRule="auto"/>
              <w:jc w:val="left"/>
            </w:pPr>
            <w:r w:rsidRPr="00554B41">
              <w:rPr>
                <w:b/>
                <w:bCs/>
              </w:rPr>
              <w:t>Scientific analysis</w:t>
            </w:r>
            <w:r w:rsidRPr="00554B41">
              <w:t xml:space="preserve">: </w:t>
            </w:r>
            <w:r w:rsidR="00095FD0" w:rsidRPr="00554B41">
              <w:t xml:space="preserve">Providing </w:t>
            </w:r>
            <w:r w:rsidRPr="00554B41">
              <w:t>evidence to underpin LDC positions in negotiations, particularly on mitigation (Global Stocktake), just transition, and adaptation.</w:t>
            </w:r>
          </w:p>
          <w:p w14:paraId="453138F4" w14:textId="6AFD37C3" w:rsidR="00771999" w:rsidRPr="00554B41" w:rsidRDefault="00771999" w:rsidP="00771999">
            <w:pPr>
              <w:numPr>
                <w:ilvl w:val="0"/>
                <w:numId w:val="21"/>
              </w:numPr>
              <w:spacing w:after="0" w:line="259" w:lineRule="auto"/>
              <w:jc w:val="left"/>
            </w:pPr>
            <w:r w:rsidRPr="00554B41">
              <w:rPr>
                <w:b/>
                <w:bCs/>
              </w:rPr>
              <w:t xml:space="preserve">Loss and </w:t>
            </w:r>
            <w:r w:rsidR="00A1785B" w:rsidRPr="00554B41">
              <w:rPr>
                <w:b/>
                <w:bCs/>
              </w:rPr>
              <w:t>Damage</w:t>
            </w:r>
            <w:r w:rsidRPr="00554B41">
              <w:t xml:space="preserve">: </w:t>
            </w:r>
            <w:r w:rsidR="00095FD0" w:rsidRPr="00554B41">
              <w:t xml:space="preserve">Supporting </w:t>
            </w:r>
            <w:r w:rsidRPr="00554B41">
              <w:t>LDC efforts in the design of the Loss and Damage Fund and coordinating inputs for Board members and thematic coordinators.</w:t>
            </w:r>
          </w:p>
          <w:p w14:paraId="0C62BDB0" w14:textId="34F0CDAA" w:rsidR="00771999" w:rsidRPr="00554B41" w:rsidRDefault="00771999" w:rsidP="00771999">
            <w:pPr>
              <w:numPr>
                <w:ilvl w:val="0"/>
                <w:numId w:val="21"/>
              </w:numPr>
              <w:spacing w:after="0" w:line="259" w:lineRule="auto"/>
              <w:jc w:val="left"/>
            </w:pPr>
            <w:r w:rsidRPr="00554B41">
              <w:rPr>
                <w:b/>
                <w:bCs/>
              </w:rPr>
              <w:t>Chair coordination</w:t>
            </w:r>
            <w:r w:rsidRPr="00554B41">
              <w:t xml:space="preserve">: </w:t>
            </w:r>
            <w:r w:rsidR="00095FD0" w:rsidRPr="00554B41">
              <w:t xml:space="preserve">Collaborating </w:t>
            </w:r>
            <w:r w:rsidRPr="00554B41">
              <w:t xml:space="preserve">with both </w:t>
            </w:r>
            <w:r w:rsidR="00A1785B" w:rsidRPr="00554B41">
              <w:t xml:space="preserve">the </w:t>
            </w:r>
            <w:r w:rsidRPr="00554B41">
              <w:t>LDC and AOSIS Chairs, crafting strategy documents</w:t>
            </w:r>
            <w:r w:rsidR="00095FD0" w:rsidRPr="00554B41">
              <w:t>.</w:t>
            </w:r>
          </w:p>
          <w:p w14:paraId="4313C2A2" w14:textId="77777777" w:rsidR="00771999" w:rsidRPr="00554B41" w:rsidRDefault="00771999" w:rsidP="00771999">
            <w:pPr>
              <w:numPr>
                <w:ilvl w:val="0"/>
                <w:numId w:val="21"/>
              </w:numPr>
              <w:spacing w:after="0" w:line="259" w:lineRule="auto"/>
              <w:jc w:val="left"/>
            </w:pPr>
            <w:r w:rsidRPr="00554B41">
              <w:rPr>
                <w:b/>
                <w:bCs/>
              </w:rPr>
              <w:t>Offering political and thematic coaching</w:t>
            </w:r>
            <w:r w:rsidRPr="00554B41">
              <w:t xml:space="preserve"> to coordinators and youth fellows.</w:t>
            </w:r>
          </w:p>
          <w:p w14:paraId="681E9572" w14:textId="41BBEE1F" w:rsidR="00771999" w:rsidRPr="00554B41" w:rsidRDefault="00771999" w:rsidP="00771999">
            <w:pPr>
              <w:numPr>
                <w:ilvl w:val="0"/>
                <w:numId w:val="21"/>
              </w:numPr>
              <w:spacing w:after="0" w:line="259" w:lineRule="auto"/>
              <w:jc w:val="left"/>
            </w:pPr>
            <w:r w:rsidRPr="00554B41">
              <w:rPr>
                <w:b/>
                <w:bCs/>
              </w:rPr>
              <w:t xml:space="preserve">Support to </w:t>
            </w:r>
            <w:r w:rsidR="00095FD0" w:rsidRPr="00554B41">
              <w:rPr>
                <w:b/>
                <w:bCs/>
              </w:rPr>
              <w:t xml:space="preserve">the </w:t>
            </w:r>
            <w:r w:rsidRPr="00554B41">
              <w:rPr>
                <w:b/>
                <w:bCs/>
              </w:rPr>
              <w:t>adaptation track</w:t>
            </w:r>
            <w:r w:rsidRPr="00554B41">
              <w:t>: A member of C</w:t>
            </w:r>
            <w:r w:rsidR="00095FD0" w:rsidRPr="00554B41">
              <w:t xml:space="preserve">limate </w:t>
            </w:r>
            <w:r w:rsidRPr="00554B41">
              <w:t>A</w:t>
            </w:r>
            <w:r w:rsidR="00095FD0" w:rsidRPr="00554B41">
              <w:t>nalytics</w:t>
            </w:r>
            <w:r w:rsidRPr="00554B41">
              <w:t xml:space="preserve"> worked as a counterpart to LDC adaptation leads, providing daily inputs during negotiations.</w:t>
            </w:r>
          </w:p>
          <w:p w14:paraId="78581306" w14:textId="70592348" w:rsidR="00771999" w:rsidRPr="00554B41" w:rsidRDefault="00771999" w:rsidP="00771999">
            <w:pPr>
              <w:numPr>
                <w:ilvl w:val="0"/>
                <w:numId w:val="21"/>
              </w:numPr>
              <w:spacing w:after="0" w:line="259" w:lineRule="auto"/>
              <w:jc w:val="left"/>
            </w:pPr>
            <w:r w:rsidRPr="00554B41">
              <w:rPr>
                <w:b/>
                <w:bCs/>
              </w:rPr>
              <w:t>Media and visibility</w:t>
            </w:r>
            <w:r w:rsidRPr="00554B41">
              <w:t>: C</w:t>
            </w:r>
            <w:r w:rsidR="00095FD0" w:rsidRPr="00554B41">
              <w:t xml:space="preserve">limate </w:t>
            </w:r>
            <w:r w:rsidRPr="00554B41">
              <w:t>A</w:t>
            </w:r>
            <w:r w:rsidR="00095FD0" w:rsidRPr="00554B41">
              <w:t>nalytics</w:t>
            </w:r>
            <w:r w:rsidRPr="00554B41">
              <w:t xml:space="preserve"> supported strategic media moments, including the joint LDC/AOSIS press conference at UNGA and N</w:t>
            </w:r>
            <w:r w:rsidR="00095FD0" w:rsidRPr="00554B41">
              <w:t xml:space="preserve">ew </w:t>
            </w:r>
            <w:r w:rsidRPr="00554B41">
              <w:t>Y</w:t>
            </w:r>
            <w:r w:rsidR="00095FD0" w:rsidRPr="00554B41">
              <w:t>ork</w:t>
            </w:r>
            <w:r w:rsidRPr="00554B41">
              <w:t xml:space="preserve"> Climate Week in the latter part of 2024.</w:t>
            </w:r>
          </w:p>
          <w:p w14:paraId="65DEBA80" w14:textId="6137CC72" w:rsidR="00771999" w:rsidRDefault="00771999" w:rsidP="00771999">
            <w:pPr>
              <w:numPr>
                <w:ilvl w:val="0"/>
                <w:numId w:val="21"/>
              </w:numPr>
              <w:spacing w:after="0" w:line="259" w:lineRule="auto"/>
              <w:jc w:val="left"/>
            </w:pPr>
            <w:r w:rsidRPr="00554B41">
              <w:rPr>
                <w:b/>
                <w:bCs/>
              </w:rPr>
              <w:t>IPCC engagement</w:t>
            </w:r>
            <w:r w:rsidRPr="00554B41">
              <w:t xml:space="preserve">: </w:t>
            </w:r>
            <w:r w:rsidR="00095FD0" w:rsidRPr="00554B41">
              <w:t xml:space="preserve">Supported </w:t>
            </w:r>
            <w:r w:rsidRPr="00554B41">
              <w:t>LDC contributions to the IPCC processes and (negotiation of) the Summary for Policy Makers of the Sixth Assessment Report.</w:t>
            </w:r>
          </w:p>
          <w:p w14:paraId="160D9F23" w14:textId="77777777" w:rsidR="008E4900" w:rsidRPr="00554B41" w:rsidRDefault="008E4900" w:rsidP="008E4900">
            <w:pPr>
              <w:spacing w:after="0" w:line="259" w:lineRule="auto"/>
              <w:ind w:left="720"/>
              <w:jc w:val="left"/>
            </w:pPr>
          </w:p>
          <w:p w14:paraId="72E9454E" w14:textId="21DD4EF9" w:rsidR="00771999" w:rsidRPr="00554B41" w:rsidRDefault="00771999" w:rsidP="00771999">
            <w:r w:rsidRPr="00554B41">
              <w:t xml:space="preserve">Germanwatch’s work has primarily focused on </w:t>
            </w:r>
            <w:r w:rsidRPr="00554B41">
              <w:rPr>
                <w:b/>
                <w:bCs/>
              </w:rPr>
              <w:t>climate finance</w:t>
            </w:r>
            <w:r w:rsidRPr="00554B41">
              <w:t>, notably in relation to the Green Climate Fund (GCF) and the New Collective Quantified Goal (NCQG). Their contributions include:</w:t>
            </w:r>
          </w:p>
          <w:p w14:paraId="7A14B8EB" w14:textId="39DD92CD" w:rsidR="00771999" w:rsidRPr="00554B41" w:rsidRDefault="00771999" w:rsidP="00771999">
            <w:pPr>
              <w:numPr>
                <w:ilvl w:val="0"/>
                <w:numId w:val="22"/>
              </w:numPr>
              <w:spacing w:after="0" w:line="259" w:lineRule="auto"/>
              <w:jc w:val="left"/>
            </w:pPr>
            <w:r w:rsidRPr="00554B41">
              <w:rPr>
                <w:b/>
                <w:bCs/>
              </w:rPr>
              <w:t>Board-level support</w:t>
            </w:r>
            <w:r w:rsidRPr="00554B41">
              <w:t xml:space="preserve">: </w:t>
            </w:r>
            <w:r w:rsidR="00856BF9" w:rsidRPr="00554B41">
              <w:t xml:space="preserve">Advised </w:t>
            </w:r>
            <w:r w:rsidRPr="00554B41">
              <w:t xml:space="preserve">LDC representatives on GCF Board proceedings, including guidance to Bhutan and Liberia’s representatives, followed by The Gambia. </w:t>
            </w:r>
            <w:r w:rsidR="00095FD0" w:rsidRPr="00554B41">
              <w:t xml:space="preserve">This </w:t>
            </w:r>
            <w:r w:rsidRPr="00554B41">
              <w:t>helped smooth the transition from yearly to three-year terms to ensure institutional continuity.</w:t>
            </w:r>
          </w:p>
          <w:p w14:paraId="08070BAE" w14:textId="77777777" w:rsidR="00771999" w:rsidRPr="00554B41" w:rsidRDefault="00771999" w:rsidP="00771999">
            <w:pPr>
              <w:numPr>
                <w:ilvl w:val="0"/>
                <w:numId w:val="23"/>
              </w:numPr>
              <w:spacing w:after="0" w:line="259" w:lineRule="auto"/>
              <w:jc w:val="left"/>
            </w:pPr>
            <w:r w:rsidRPr="00554B41">
              <w:rPr>
                <w:b/>
                <w:bCs/>
              </w:rPr>
              <w:t>Policy engagement</w:t>
            </w:r>
            <w:r w:rsidRPr="00554B41">
              <w:t>: Supported the development of NCQG negotiating positions, long-term finance dialogues, and GCF guidance submissions.</w:t>
            </w:r>
          </w:p>
          <w:p w14:paraId="1157D2E1" w14:textId="4DD4D7C6" w:rsidR="00771999" w:rsidRPr="00554B41" w:rsidRDefault="00771999" w:rsidP="00771999">
            <w:pPr>
              <w:numPr>
                <w:ilvl w:val="0"/>
                <w:numId w:val="22"/>
              </w:numPr>
              <w:spacing w:after="0" w:line="259" w:lineRule="auto"/>
              <w:jc w:val="left"/>
            </w:pPr>
            <w:r w:rsidRPr="00554B41">
              <w:rPr>
                <w:b/>
                <w:bCs/>
              </w:rPr>
              <w:t>Indirect coordination</w:t>
            </w:r>
            <w:r w:rsidRPr="00554B41">
              <w:t xml:space="preserve">: Interaction with the LDC Group often occurred through Board members rather than through the Chair, which allowed for specialised policy engagement. This, however, limited </w:t>
            </w:r>
            <w:r w:rsidR="00856BF9" w:rsidRPr="00554B41">
              <w:t xml:space="preserve">the </w:t>
            </w:r>
            <w:r w:rsidRPr="00554B41">
              <w:t xml:space="preserve">wider institutional influence of the support. </w:t>
            </w:r>
          </w:p>
          <w:p w14:paraId="50193030" w14:textId="606E88AB" w:rsidR="00771999" w:rsidRPr="00554B41" w:rsidRDefault="00771999" w:rsidP="00771999">
            <w:pPr>
              <w:spacing w:after="0"/>
            </w:pPr>
          </w:p>
          <w:p w14:paraId="7F6A80D1" w14:textId="7B609500" w:rsidR="00771999" w:rsidRPr="00554B41" w:rsidRDefault="3FE9E7B7" w:rsidP="00771999">
            <w:r w:rsidRPr="00554B41">
              <w:t>Importantly, not all of C</w:t>
            </w:r>
            <w:r w:rsidR="00856BF9" w:rsidRPr="00554B41">
              <w:t xml:space="preserve">limate </w:t>
            </w:r>
            <w:r w:rsidRPr="00554B41">
              <w:t>A</w:t>
            </w:r>
            <w:r w:rsidR="00856BF9" w:rsidRPr="00554B41">
              <w:t>nalytics</w:t>
            </w:r>
            <w:r w:rsidRPr="00554B41">
              <w:t xml:space="preserve">’ work with the LDC Group is </w:t>
            </w:r>
            <w:r w:rsidR="00856BF9" w:rsidRPr="00554B41">
              <w:t xml:space="preserve">funded by </w:t>
            </w:r>
            <w:r w:rsidRPr="00554B41">
              <w:t>CASA</w:t>
            </w:r>
            <w:r w:rsidR="00856BF9" w:rsidRPr="00554B41">
              <w:t xml:space="preserve"> and the</w:t>
            </w:r>
            <w:r w:rsidRPr="00554B41">
              <w:t xml:space="preserve"> organisation has reportedly been able to leverage its considerable experience and reach from other projects.</w:t>
            </w:r>
            <w:r w:rsidR="00771999" w:rsidRPr="00554B41">
              <w:rPr>
                <w:vertAlign w:val="superscript"/>
              </w:rPr>
              <w:footnoteReference w:id="2"/>
            </w:r>
            <w:r w:rsidRPr="00554B41">
              <w:t xml:space="preserve"> While this offers a level of value for money, and reflects CASA’s strategic investment in a TP’s stock of assets, this presents challenges in attributing C</w:t>
            </w:r>
            <w:r w:rsidR="00B3183F" w:rsidRPr="00554B41">
              <w:t xml:space="preserve">limate </w:t>
            </w:r>
            <w:r w:rsidRPr="00554B41">
              <w:t>A</w:t>
            </w:r>
            <w:r w:rsidR="00B3183F" w:rsidRPr="00554B41">
              <w:t>nalytics</w:t>
            </w:r>
            <w:r w:rsidRPr="00554B41">
              <w:t>-supported LDC Group outcomes to CASA.</w:t>
            </w:r>
          </w:p>
        </w:tc>
      </w:tr>
    </w:tbl>
    <w:p w14:paraId="0F12C8CE" w14:textId="17E9EFEA" w:rsidR="00715C5D" w:rsidRDefault="00715C5D" w:rsidP="00715C5D">
      <w:pPr>
        <w:pStyle w:val="Heading2"/>
      </w:pPr>
      <w:bookmarkStart w:id="7" w:name="_Toc204967825"/>
      <w:r w:rsidRPr="00554B41">
        <w:t>Intermediate outcomes – What changed?</w:t>
      </w:r>
      <w:bookmarkEnd w:id="7"/>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771999" w:rsidRPr="00554B41" w14:paraId="2FF9EE1B" w14:textId="77777777" w:rsidTr="03E1D026">
        <w:trPr>
          <w:trHeight w:val="300"/>
        </w:trPr>
        <w:tc>
          <w:tcPr>
            <w:tcW w:w="5000" w:type="pct"/>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324B2BB6" w14:textId="63E956CE" w:rsidR="00771999" w:rsidRPr="00554B41" w:rsidRDefault="00771999" w:rsidP="00771999">
            <w:pPr>
              <w:rPr>
                <w:b/>
                <w:bCs/>
              </w:rPr>
            </w:pPr>
            <w:r w:rsidRPr="00554B41">
              <w:rPr>
                <w:b/>
                <w:bCs/>
              </w:rPr>
              <w:t xml:space="preserve">1. Capacity and </w:t>
            </w:r>
            <w:r w:rsidR="00B3183F" w:rsidRPr="00554B41">
              <w:rPr>
                <w:b/>
                <w:bCs/>
              </w:rPr>
              <w:t>organisational strengthening</w:t>
            </w:r>
          </w:p>
          <w:p w14:paraId="08D8BEE3" w14:textId="6FDDED1A" w:rsidR="00771999" w:rsidRPr="00554B41" w:rsidRDefault="00771999" w:rsidP="00771999">
            <w:r w:rsidRPr="00554B41">
              <w:t xml:space="preserve">The LDC Group’s negotiating capacity has significantly evolved during the CASA II period, with notable progress in both individual skills and institutional systems. These gains have been driven by targeted investments in mentoring, gender and youth inclusion, governance structures, and strategic communications—all supported consistently by CASA-funded </w:t>
            </w:r>
            <w:r w:rsidR="00BA6521" w:rsidRPr="00554B41">
              <w:t>TP</w:t>
            </w:r>
            <w:r w:rsidRPr="00554B41">
              <w:t>s, notably IIED and Climate Analytics.</w:t>
            </w:r>
          </w:p>
          <w:p w14:paraId="7E1FAECD" w14:textId="0978F2E4" w:rsidR="00771999" w:rsidRPr="00554B41" w:rsidRDefault="00771999" w:rsidP="00771999">
            <w:pPr>
              <w:rPr>
                <w:b/>
                <w:bCs/>
              </w:rPr>
            </w:pPr>
            <w:r w:rsidRPr="00554B41">
              <w:rPr>
                <w:b/>
                <w:bCs/>
              </w:rPr>
              <w:t xml:space="preserve">Individual capacity: </w:t>
            </w:r>
            <w:r w:rsidR="001358C8" w:rsidRPr="00554B41">
              <w:rPr>
                <w:b/>
                <w:bCs/>
              </w:rPr>
              <w:t>Mentoring</w:t>
            </w:r>
            <w:r w:rsidRPr="00554B41">
              <w:rPr>
                <w:b/>
                <w:bCs/>
              </w:rPr>
              <w:t>, thematic depth, and leadership transitions</w:t>
            </w:r>
          </w:p>
          <w:p w14:paraId="2081F259" w14:textId="017C5CB0" w:rsidR="00771999" w:rsidRPr="00554B41" w:rsidRDefault="00771999" w:rsidP="00771999">
            <w:r w:rsidRPr="00554B41">
              <w:t>One of the clearest areas of progress has been in cultivating a technically confident, more diverse cohort of LDC negotiators. The IIED Fellowship Programme played a foundational role in this shift. Between 2022 and 2024, it supported over a dozen junior negotiators across key agenda tracks such as transparency, Article 6, finance, and just transition.</w:t>
            </w:r>
          </w:p>
          <w:p w14:paraId="042287A5" w14:textId="77777777" w:rsidR="00E60919" w:rsidRPr="00E60919" w:rsidRDefault="00E60919" w:rsidP="00E60919">
            <w:r w:rsidRPr="00E60919">
              <w:t>Several fellows now occupy central roles within the LDC Group and national delegations:</w:t>
            </w:r>
          </w:p>
          <w:p w14:paraId="3BBA72B9" w14:textId="77777777" w:rsidR="00E60919" w:rsidRPr="00E60919" w:rsidRDefault="00E60919" w:rsidP="00E60919">
            <w:pPr>
              <w:numPr>
                <w:ilvl w:val="0"/>
                <w:numId w:val="41"/>
              </w:numPr>
            </w:pPr>
            <w:r w:rsidRPr="00E60919">
              <w:t xml:space="preserve">Brenda Mwale (Malawi) now supports the LDC chair in her capacity as Climate Diplomacy Advisor for Climate Analytics. Another alumna of the first cohort; </w:t>
            </w:r>
          </w:p>
          <w:p w14:paraId="7ACFFC5E" w14:textId="164FA05E" w:rsidR="00E60919" w:rsidRPr="00E60919" w:rsidRDefault="00AE5739" w:rsidP="00E60919">
            <w:pPr>
              <w:numPr>
                <w:ilvl w:val="0"/>
                <w:numId w:val="41"/>
              </w:numPr>
            </w:pPr>
            <w:r w:rsidRPr="00E60919">
              <w:t>Olivier Ishimwe (Rwanda)</w:t>
            </w:r>
            <w:r w:rsidR="00E60919" w:rsidRPr="00E60919">
              <w:t xml:space="preserve"> is co-coordinating Article 6 for the LDC Group and was recently selected to be LDC alternate member to the Article 6.4 Mechanism Supervisory Body.</w:t>
            </w:r>
          </w:p>
          <w:p w14:paraId="1811A833" w14:textId="79CB39C6" w:rsidR="00E60919" w:rsidRPr="00E60919" w:rsidRDefault="00E60919" w:rsidP="00E60919">
            <w:pPr>
              <w:numPr>
                <w:ilvl w:val="0"/>
                <w:numId w:val="41"/>
              </w:numPr>
            </w:pPr>
            <w:r w:rsidRPr="00E60919">
              <w:t xml:space="preserve">Prakriti Koirala (Nepal) works together with the Government of Nepal in building national position papers for COPs and is also involved in drafting key national documents like NDC </w:t>
            </w:r>
            <w:r w:rsidR="00AE5739" w:rsidRPr="00E60919">
              <w:t>3. 0..</w:t>
            </w:r>
            <w:r w:rsidRPr="00E60919">
              <w:t xml:space="preserve"> She is also a core team member of New Generation Program, a youth negotiator support programme also now supported by CASA.</w:t>
            </w:r>
          </w:p>
          <w:p w14:paraId="786E5E5A" w14:textId="77777777" w:rsidR="00E60919" w:rsidRPr="00E60919" w:rsidRDefault="00E60919" w:rsidP="00E60919">
            <w:r w:rsidRPr="00E60919">
              <w:t>Among other fellows, there is strong evidence that the Fellowship played a critical role in enhancing their understanding of the UNFCCC process.</w:t>
            </w:r>
          </w:p>
          <w:p w14:paraId="6A9DF1AD" w14:textId="0632862D" w:rsidR="00771999" w:rsidRPr="00554B41" w:rsidRDefault="00771999" w:rsidP="00771999">
            <w:pPr>
              <w:rPr>
                <w:b/>
                <w:bCs/>
              </w:rPr>
            </w:pPr>
            <w:r w:rsidRPr="00554B41">
              <w:rPr>
                <w:b/>
                <w:bCs/>
              </w:rPr>
              <w:t>Institutional systems: Charter, Elders, and knowledge practices</w:t>
            </w:r>
          </w:p>
          <w:p w14:paraId="1810D352" w14:textId="7439C79B" w:rsidR="00771999" w:rsidRPr="00554B41" w:rsidRDefault="00771999" w:rsidP="00771999">
            <w:r w:rsidRPr="00554B41">
              <w:t xml:space="preserve">CASA II also enabled critical advances in institutional governance. The LDC Charter, drafted in 2018, formalised internal rules on </w:t>
            </w:r>
            <w:r w:rsidR="00DB4A3F">
              <w:t>c</w:t>
            </w:r>
            <w:r w:rsidRPr="00554B41">
              <w:t>hair selection, mandate transition, and decision</w:t>
            </w:r>
            <w:r w:rsidR="001358C8" w:rsidRPr="00554B41">
              <w:t xml:space="preserve"> </w:t>
            </w:r>
            <w:r w:rsidRPr="00554B41">
              <w:t xml:space="preserve">making. This depersonalised leadership transitions and introduced greater predictability into Group operations. The Charter also established </w:t>
            </w:r>
            <w:r w:rsidR="00DB4A3F">
              <w:t>“t</w:t>
            </w:r>
            <w:r w:rsidR="00DB4A3F" w:rsidRPr="00554B41">
              <w:t xml:space="preserve">he </w:t>
            </w:r>
            <w:r w:rsidR="00DB4A3F">
              <w:t>e</w:t>
            </w:r>
            <w:r w:rsidR="00DB4A3F" w:rsidRPr="00554B41">
              <w:t>lders</w:t>
            </w:r>
            <w:r w:rsidR="00DB4A3F">
              <w:t>”</w:t>
            </w:r>
            <w:r w:rsidR="001358C8" w:rsidRPr="00554B41">
              <w:t>, which is</w:t>
            </w:r>
            <w:r w:rsidRPr="00554B41">
              <w:t xml:space="preserve"> a group of former </w:t>
            </w:r>
            <w:r w:rsidR="00DB4A3F">
              <w:t>c</w:t>
            </w:r>
            <w:r w:rsidRPr="00554B41">
              <w:t>hairs and senior negotiators who now provide mentorship, continuity, and institutional memory across cycles.</w:t>
            </w:r>
            <w:r w:rsidRPr="00554B41">
              <w:rPr>
                <w:vertAlign w:val="superscript"/>
              </w:rPr>
              <w:footnoteReference w:id="3"/>
            </w:r>
          </w:p>
          <w:p w14:paraId="5887BA71" w14:textId="70A250EB" w:rsidR="00771999" w:rsidRPr="00554B41" w:rsidRDefault="00771999" w:rsidP="00771999">
            <w:r w:rsidRPr="00554B41">
              <w:t xml:space="preserve">These formal mechanisms are reinforced by a range of informal but functional coordination practices, such as multilingual WhatsApp groups, shared drives for drafting and briefings, and real-time translation during meetings. Interviewees consistently credited these systems with making the Group more resilient to turnover and more inclusive across regions and languages. They have enabled new negotiators to </w:t>
            </w:r>
            <w:r w:rsidR="001358C8" w:rsidRPr="00554B41">
              <w:t>‘</w:t>
            </w:r>
            <w:r w:rsidRPr="00554B41">
              <w:t>plug in</w:t>
            </w:r>
            <w:r w:rsidR="001358C8" w:rsidRPr="00554B41">
              <w:t xml:space="preserve">’ </w:t>
            </w:r>
            <w:r w:rsidRPr="00554B41">
              <w:t xml:space="preserve">with minimal onboarding time and strengthened coordination between outgoing and incoming </w:t>
            </w:r>
            <w:r w:rsidR="00DB4A3F">
              <w:t>chairs</w:t>
            </w:r>
            <w:r w:rsidR="00E951A3" w:rsidRPr="00554B41">
              <w:t xml:space="preserve"> </w:t>
            </w:r>
            <w:r w:rsidRPr="00554B41">
              <w:t xml:space="preserve">during the cyclical leadership transitions. Having the TPs acting as </w:t>
            </w:r>
            <w:r w:rsidR="001358C8" w:rsidRPr="00554B41">
              <w:t>‘</w:t>
            </w:r>
            <w:r w:rsidRPr="00554B41">
              <w:t>backstops</w:t>
            </w:r>
            <w:r w:rsidR="001358C8" w:rsidRPr="00554B41">
              <w:t xml:space="preserve">’ </w:t>
            </w:r>
            <w:r w:rsidRPr="00554B41">
              <w:t xml:space="preserve">can help smooth leadership transitions and prevent tensions between LDC Group members during this time, according to one interviewee. </w:t>
            </w:r>
          </w:p>
          <w:p w14:paraId="6A087018" w14:textId="157D44BE" w:rsidR="00771999" w:rsidRPr="00554B41" w:rsidRDefault="00771999" w:rsidP="00771999">
            <w:r w:rsidRPr="00554B41">
              <w:t>T</w:t>
            </w:r>
            <w:r w:rsidR="00BA6521" w:rsidRPr="00554B41">
              <w:t>P</w:t>
            </w:r>
            <w:r w:rsidRPr="00554B41">
              <w:t xml:space="preserve">s played an active role in operationalising these systems. CASA funding enabled weekly technical coordination calls, COP and </w:t>
            </w:r>
            <w:r w:rsidR="3C092441" w:rsidRPr="00554B41">
              <w:t>UNFCCC Subsidiary Body</w:t>
            </w:r>
            <w:r w:rsidR="003A1DB9" w:rsidRPr="00554B41">
              <w:t xml:space="preserve"> (SB)</w:t>
            </w:r>
            <w:r w:rsidRPr="00554B41">
              <w:t xml:space="preserve"> strategy sessions (e.g. in Lilongwe and Kigali), and agenda-track-specific briefing notes</w:t>
            </w:r>
            <w:r w:rsidR="00E951A3" w:rsidRPr="00554B41">
              <w:t>, which were</w:t>
            </w:r>
            <w:r w:rsidRPr="00554B41">
              <w:t xml:space="preserve"> often co-drafted with fellows or national leads.</w:t>
            </w:r>
          </w:p>
          <w:p w14:paraId="7CB36830" w14:textId="01C2E9B8" w:rsidR="00771999" w:rsidRPr="00554B41" w:rsidRDefault="00771999" w:rsidP="00771999">
            <w:pPr>
              <w:rPr>
                <w:b/>
                <w:bCs/>
              </w:rPr>
            </w:pPr>
            <w:r w:rsidRPr="00554B41">
              <w:rPr>
                <w:b/>
                <w:bCs/>
              </w:rPr>
              <w:t xml:space="preserve">Gender and youth inclusion: </w:t>
            </w:r>
            <w:r w:rsidR="00E951A3" w:rsidRPr="00554B41">
              <w:rPr>
                <w:b/>
                <w:bCs/>
              </w:rPr>
              <w:t xml:space="preserve">From </w:t>
            </w:r>
            <w:r w:rsidRPr="00554B41">
              <w:rPr>
                <w:b/>
                <w:bCs/>
              </w:rPr>
              <w:t>participation to influence</w:t>
            </w:r>
          </w:p>
          <w:p w14:paraId="6D714CF2" w14:textId="198FA113" w:rsidR="00771999" w:rsidRPr="00554B41" w:rsidRDefault="00771999" w:rsidP="00771999">
            <w:r w:rsidRPr="00554B41">
              <w:t xml:space="preserve">The Malawi and Senegal </w:t>
            </w:r>
            <w:r w:rsidR="00CB624D" w:rsidRPr="00554B41">
              <w:t xml:space="preserve">chairships </w:t>
            </w:r>
            <w:r w:rsidRPr="00554B41">
              <w:t xml:space="preserve">marked a turning point in representational inclusion. Under Malawi, a quota system ensured that women were present in SB and COP strategy meetings. Youth delegates were also supported, including a young negotiator from Malawi who contributed to the country’s National Youth Gender &amp; Development Paper—70% of which was later taken up in official national policy, according to one interviewee. </w:t>
            </w:r>
          </w:p>
          <w:p w14:paraId="2EA1CB70" w14:textId="5BB65FEA" w:rsidR="00771999" w:rsidRPr="00554B41" w:rsidRDefault="00771999" w:rsidP="00771999">
            <w:r>
              <w:t xml:space="preserve">Under Madeleine Diouf Sarr </w:t>
            </w:r>
            <w:r w:rsidR="0001509A">
              <w:t>(</w:t>
            </w:r>
            <w:r>
              <w:t>the first female Chair of the LDC Group</w:t>
            </w:r>
            <w:r w:rsidR="0001509A">
              <w:t>),</w:t>
            </w:r>
            <w:r>
              <w:t xml:space="preserve"> media visibility and leadership inclusion both expanded. Her tenure was associated with higher-profile interventions, especially around Loss and Damage finance, and greater involvement of youth and women as spokespeople. By COP29, young technical negotiators were frequently asked to speak in press briefings or deliver official statements—a reflection of growing external credibility as well as group self-confidence.</w:t>
            </w:r>
          </w:p>
          <w:p w14:paraId="10065458" w14:textId="4E606E9A" w:rsidR="00771999" w:rsidRPr="00554B41" w:rsidRDefault="00771999" w:rsidP="00771999">
            <w:r w:rsidRPr="00554B41">
              <w:t>The LDC Chair Group is currently collaborating with UNIDO and Climate Analytics, with support from the LDC Group’s Global Youth Coordinator Prakriti Koirala, to develop the Group’s first formal youth and gender strategy. While CASA is not the sole contributor to this effort, it has played a significant enabling role—notably through its support to the IIED Fellowship Programme, of which Koirala is an alumna. The strategy was reportedly presented at the LDC Group’s strategy meeting in April 2025 and represents a key step toward institutionalising youth and gender inclusion within the Group’s work.</w:t>
            </w:r>
          </w:p>
          <w:p w14:paraId="5DDE607A" w14:textId="647FE402" w:rsidR="00771999" w:rsidRPr="00554B41" w:rsidRDefault="00771999" w:rsidP="00771999">
            <w:pPr>
              <w:rPr>
                <w:b/>
                <w:bCs/>
              </w:rPr>
            </w:pPr>
            <w:r w:rsidRPr="00554B41">
              <w:rPr>
                <w:b/>
                <w:bCs/>
              </w:rPr>
              <w:t xml:space="preserve">Media engagement: </w:t>
            </w:r>
            <w:r w:rsidR="0061687D" w:rsidRPr="00554B41">
              <w:rPr>
                <w:b/>
                <w:bCs/>
              </w:rPr>
              <w:t xml:space="preserve">Projecting </w:t>
            </w:r>
            <w:r w:rsidRPr="00554B41">
              <w:rPr>
                <w:b/>
                <w:bCs/>
              </w:rPr>
              <w:t>voice with strategic alignment</w:t>
            </w:r>
          </w:p>
          <w:p w14:paraId="3727FE1D" w14:textId="6AE5AAE6" w:rsidR="00771999" w:rsidRPr="00554B41" w:rsidRDefault="00771999" w:rsidP="00771999">
            <w:r w:rsidRPr="00554B41">
              <w:t xml:space="preserve">One of the clearest indicators of the Group’s institutional maturity has been its more deliberate and strategic media engagement. CASA-supported </w:t>
            </w:r>
            <w:r w:rsidR="00BA6521" w:rsidRPr="00554B41">
              <w:t>TP</w:t>
            </w:r>
            <w:r w:rsidRPr="00554B41">
              <w:t xml:space="preserve">s </w:t>
            </w:r>
            <w:r w:rsidR="0061687D" w:rsidRPr="00554B41">
              <w:t>(</w:t>
            </w:r>
            <w:r w:rsidRPr="00554B41">
              <w:t>particularly IIED</w:t>
            </w:r>
            <w:r w:rsidR="0061687D" w:rsidRPr="00554B41">
              <w:t>)</w:t>
            </w:r>
            <w:r w:rsidRPr="00554B41">
              <w:t xml:space="preserve"> embedded media and diplomacy support roles within the </w:t>
            </w:r>
            <w:r w:rsidR="00DB4A3F">
              <w:t>c</w:t>
            </w:r>
            <w:r w:rsidRPr="00554B41">
              <w:t>hair’s team, helping to shape and amplify key messages.</w:t>
            </w:r>
          </w:p>
          <w:p w14:paraId="144C778E" w14:textId="3558200A" w:rsidR="00771999" w:rsidRPr="00554B41" w:rsidRDefault="00771999" w:rsidP="00771999">
            <w:r w:rsidRPr="00554B41">
              <w:t xml:space="preserve">For example, IIED supported the development of talking points, coordinated press events, and managed the </w:t>
            </w:r>
            <w:r w:rsidR="00DB4A3F">
              <w:t>c</w:t>
            </w:r>
            <w:r w:rsidRPr="00554B41">
              <w:t xml:space="preserve">hair’s social media accounts. The result has been a more coherent and consistent media voice. During COP27 and COP29, LDC spokespeople—including fellows and thematic leads—featured in regional and international outlets on issues such as the Loss and Damage Fund, the </w:t>
            </w:r>
            <w:r w:rsidR="00CF4862" w:rsidRPr="00554B41">
              <w:t>GGA</w:t>
            </w:r>
            <w:r w:rsidRPr="00554B41">
              <w:t>, and the need for grant-based finance.</w:t>
            </w:r>
          </w:p>
          <w:p w14:paraId="54932DF8" w14:textId="49C2DF0A" w:rsidR="00771999" w:rsidRPr="00554B41" w:rsidRDefault="00771999" w:rsidP="00771999">
            <w:r w:rsidRPr="00554B41">
              <w:t>This improved capacity is now evident in both form and content. LDC submissions, such as the 2023 position on gender-responsive climate action and the 2024 Lilongwe Declaration, show a move toward technically grounded, equity-based messaging. Similarly, the COP29 Opening Statement reflected coordination across finance, implementation, and justice themes—a signal of how far the Group’s institutional capacity has come.</w:t>
            </w:r>
          </w:p>
          <w:p w14:paraId="2D576374" w14:textId="77777777" w:rsidR="00771999" w:rsidRPr="00554B41" w:rsidRDefault="00771999" w:rsidP="00771999">
            <w:pPr>
              <w:rPr>
                <w:b/>
                <w:bCs/>
              </w:rPr>
            </w:pPr>
            <w:r w:rsidRPr="00554B41">
              <w:rPr>
                <w:b/>
                <w:bCs/>
              </w:rPr>
              <w:t>2. Access to and engagement in negotiations</w:t>
            </w:r>
          </w:p>
          <w:p w14:paraId="0C8F2340" w14:textId="6F3BED37" w:rsidR="00771999" w:rsidRPr="00554B41" w:rsidRDefault="00771999" w:rsidP="00771999">
            <w:r w:rsidRPr="00554B41">
              <w:t>The LDC Group’s access to</w:t>
            </w:r>
            <w:r w:rsidR="0061687D" w:rsidRPr="00554B41">
              <w:t>,</w:t>
            </w:r>
            <w:r w:rsidRPr="00554B41">
              <w:t xml:space="preserve"> and effective engagement in</w:t>
            </w:r>
            <w:r w:rsidR="0061687D" w:rsidRPr="00554B41">
              <w:t>,</w:t>
            </w:r>
            <w:r w:rsidRPr="00554B41">
              <w:t xml:space="preserve"> international climate negotiations has become more consistent, strategic, and visible over the CASA II period. Technical and logistical support from CASA-funded partners, especially IIED and Climate Analytics, enabled negotiators not only to attend COPs and intersessionals but</w:t>
            </w:r>
            <w:r w:rsidR="00AA69FC" w:rsidRPr="00554B41">
              <w:t xml:space="preserve"> also</w:t>
            </w:r>
            <w:r w:rsidRPr="00554B41">
              <w:t xml:space="preserve"> to engage substantively across all major negotiation tracks—a step</w:t>
            </w:r>
            <w:r w:rsidR="000558BF">
              <w:t xml:space="preserve"> </w:t>
            </w:r>
            <w:r w:rsidRPr="00554B41">
              <w:t>change from earlier years.</w:t>
            </w:r>
          </w:p>
          <w:p w14:paraId="6A47F403" w14:textId="77777777" w:rsidR="00771999" w:rsidRPr="00E57326" w:rsidRDefault="00771999" w:rsidP="00771999">
            <w:pPr>
              <w:rPr>
                <w:b/>
                <w:bCs/>
              </w:rPr>
            </w:pPr>
            <w:r w:rsidRPr="00E57326">
              <w:rPr>
                <w:b/>
                <w:bCs/>
              </w:rPr>
              <w:t>From selective to full thematic coverage</w:t>
            </w:r>
          </w:p>
          <w:p w14:paraId="656905E8" w14:textId="7B84CBC1" w:rsidR="00771999" w:rsidRPr="00554B41" w:rsidRDefault="00771999" w:rsidP="00771999">
            <w:r w:rsidRPr="00554B41">
              <w:t xml:space="preserve">A clear sign of progress has been the LDC Group’s ability to field thematic coordinators across all major UNFCCC agenda items. Previously, the Group maintained </w:t>
            </w:r>
            <w:r w:rsidR="003213AC" w:rsidRPr="00554B41">
              <w:t xml:space="preserve">an </w:t>
            </w:r>
            <w:r w:rsidRPr="00554B41">
              <w:t>active presence in only a limited number of areas</w:t>
            </w:r>
            <w:r w:rsidR="00AA69FC" w:rsidRPr="00554B41">
              <w:t>,</w:t>
            </w:r>
            <w:r w:rsidRPr="00554B41">
              <w:t xml:space="preserve"> often prioritising adaptation or finance. Now, thanks to improved planning, mentoring, and year-round support, the Group routinely fields named thematic leads for each track, including mitigation, Article 6, transparency, just transition, Loss and Damage, and the </w:t>
            </w:r>
            <w:r w:rsidR="00CF4862" w:rsidRPr="00554B41">
              <w:t>GGA</w:t>
            </w:r>
            <w:r w:rsidRPr="00554B41">
              <w:t>.</w:t>
            </w:r>
          </w:p>
          <w:p w14:paraId="091487ED" w14:textId="2933DA24" w:rsidR="00771999" w:rsidRPr="00554B41" w:rsidRDefault="00771999" w:rsidP="00771999">
            <w:r w:rsidRPr="00554B41">
              <w:t>This comprehensive coverage has enhanced the Group’s capacity to influence cross-cutting negotiations and track linkages between agenda items. It has also allowed for more timely and technically coherent submissions, stronger participation in informal consultations, and fuller alignment with allies such as AOSIS and the AGN.</w:t>
            </w:r>
          </w:p>
          <w:p w14:paraId="73AF3F20" w14:textId="77777777" w:rsidR="00771999" w:rsidRPr="00E57326" w:rsidRDefault="00771999" w:rsidP="00771999">
            <w:pPr>
              <w:rPr>
                <w:b/>
                <w:bCs/>
              </w:rPr>
            </w:pPr>
            <w:r w:rsidRPr="00E57326">
              <w:rPr>
                <w:b/>
                <w:bCs/>
              </w:rPr>
              <w:t>From attendance to strategic presence – throughout the year</w:t>
            </w:r>
          </w:p>
          <w:p w14:paraId="25159906" w14:textId="3FC8E41E" w:rsidR="00771999" w:rsidRPr="00554B41" w:rsidRDefault="00771999" w:rsidP="00771999">
            <w:r w:rsidRPr="00554B41">
              <w:t>Under CASA II, participation is no longer episodic or symbolic</w:t>
            </w:r>
            <w:r w:rsidR="00696563" w:rsidRPr="00554B41">
              <w:t xml:space="preserve">: </w:t>
            </w:r>
            <w:r w:rsidRPr="00554B41">
              <w:t xml:space="preserve">it is strategic and continuous. Chairs and thematic leads have been supported to participate throughout the UNFCCC calendar, with year-round engagement supported by weekly coordination calls, pre-COP strategy sessions, and agenda-track-specific briefings co-developed with </w:t>
            </w:r>
            <w:r w:rsidR="00BA6521" w:rsidRPr="00554B41">
              <w:t>TP</w:t>
            </w:r>
            <w:r w:rsidRPr="00554B41">
              <w:t>s.</w:t>
            </w:r>
          </w:p>
          <w:p w14:paraId="489C5252" w14:textId="18E42625" w:rsidR="00771999" w:rsidRPr="00554B41" w:rsidRDefault="00771999" w:rsidP="00771999">
            <w:r w:rsidRPr="00554B41">
              <w:t xml:space="preserve">This engagement model was especially visible in the Group’s contributions to the Loss and Damage Fund design and </w:t>
            </w:r>
            <w:r w:rsidR="00CF4862" w:rsidRPr="00554B41">
              <w:t>GGA</w:t>
            </w:r>
            <w:r w:rsidRPr="00554B41">
              <w:t xml:space="preserve"> processes, where LDC negotiators, supported in real time by technical advisors, delivered coordinated inputs and shaped outcomes.</w:t>
            </w:r>
          </w:p>
          <w:p w14:paraId="300EF725" w14:textId="77777777" w:rsidR="00771999" w:rsidRPr="00E57326" w:rsidRDefault="00771999" w:rsidP="00771999">
            <w:pPr>
              <w:rPr>
                <w:b/>
                <w:bCs/>
              </w:rPr>
            </w:pPr>
            <w:r w:rsidRPr="00E57326">
              <w:rPr>
                <w:b/>
                <w:bCs/>
              </w:rPr>
              <w:t>National leadership and in-country coordination</w:t>
            </w:r>
          </w:p>
          <w:p w14:paraId="492C1ABC" w14:textId="115F46C1" w:rsidR="00771999" w:rsidRPr="00554B41" w:rsidRDefault="00771999" w:rsidP="00771999">
            <w:r>
              <w:t>Chairship practices under Malawi and Senegal helped consolidate this shift. Both countries established in-country coordination teams, enabling smoother decision</w:t>
            </w:r>
            <w:r w:rsidR="003F6364">
              <w:t xml:space="preserve"> </w:t>
            </w:r>
            <w:r>
              <w:t xml:space="preserve">making and clearer links between national climate institutions and international strategy. Malawi’s Ministerial and Strategy Meeting in Lilongwe exemplified how domestic </w:t>
            </w:r>
            <w:r w:rsidRPr="0050177A">
              <w:t xml:space="preserve">leadership can drive international coherence. Senegal’s technical directorate provided targeted support to Chair </w:t>
            </w:r>
            <w:r w:rsidRPr="00676C1E">
              <w:t>Madeleine Diouf Sarr</w:t>
            </w:r>
            <w:r w:rsidRPr="0050177A">
              <w:t>, enabling</w:t>
            </w:r>
            <w:r>
              <w:t xml:space="preserve"> sustained media engagement and thematic alignment.</w:t>
            </w:r>
          </w:p>
          <w:p w14:paraId="3C0A8566" w14:textId="2F213173" w:rsidR="00771999" w:rsidRPr="00554B41" w:rsidRDefault="00771999" w:rsidP="00771999">
            <w:r w:rsidRPr="00554B41">
              <w:t>CASA partners supported these processes directly</w:t>
            </w:r>
            <w:r w:rsidR="003F6364" w:rsidRPr="00554B41">
              <w:t>,</w:t>
            </w:r>
            <w:r w:rsidRPr="00554B41">
              <w:t xml:space="preserve"> embedding roles such as Executive Officers and Media Coordinators within the </w:t>
            </w:r>
            <w:r w:rsidR="00DB4A3F">
              <w:t>c</w:t>
            </w:r>
            <w:r w:rsidRPr="00554B41">
              <w:t>hair’s team, managing logistics, and maintaining strategic timelines.</w:t>
            </w:r>
          </w:p>
          <w:p w14:paraId="7AAC717E" w14:textId="77777777" w:rsidR="00771999" w:rsidRPr="00E57326" w:rsidRDefault="00771999" w:rsidP="00771999">
            <w:pPr>
              <w:rPr>
                <w:b/>
                <w:bCs/>
              </w:rPr>
            </w:pPr>
            <w:r w:rsidRPr="00E57326">
              <w:rPr>
                <w:b/>
                <w:bCs/>
              </w:rPr>
              <w:t>Real-time coordination and multilingual infrastructure</w:t>
            </w:r>
          </w:p>
          <w:p w14:paraId="448AEE00" w14:textId="2492BAC1" w:rsidR="00771999" w:rsidRPr="00554B41" w:rsidRDefault="00771999" w:rsidP="00771999">
            <w:r w:rsidRPr="00554B41">
              <w:t>CASA-supported coordination systems—including multilingual WhatsApp groups, shared briefing folders, and real-time translation—enabled near-instant communication across regional and linguistic divides. This allowed thematic leads and national delegates to stay aligned during dynamic negotiation moments.</w:t>
            </w:r>
          </w:p>
          <w:p w14:paraId="20D96053" w14:textId="79AF8503" w:rsidR="00771999" w:rsidRPr="00554B41" w:rsidRDefault="00771999" w:rsidP="00771999">
            <w:r w:rsidRPr="00554B41">
              <w:t>Fellows and junior negotiators such as Prakriti Koirala and Sandra Isingizwe played active roles in this coordination effort, signalling the Group’s increased depth and agility.</w:t>
            </w:r>
          </w:p>
          <w:p w14:paraId="4E512053" w14:textId="77777777" w:rsidR="00771999" w:rsidRPr="00E57326" w:rsidRDefault="00771999" w:rsidP="00771999">
            <w:pPr>
              <w:rPr>
                <w:b/>
                <w:bCs/>
              </w:rPr>
            </w:pPr>
            <w:r w:rsidRPr="00E57326">
              <w:rPr>
                <w:b/>
                <w:bCs/>
              </w:rPr>
              <w:t>Persistent access constraints</w:t>
            </w:r>
          </w:p>
          <w:p w14:paraId="356DC218" w14:textId="3FA71010" w:rsidR="00771999" w:rsidRPr="00554B41" w:rsidRDefault="00771999" w:rsidP="00771999">
            <w:r w:rsidRPr="00554B41">
              <w:t xml:space="preserve">Despite these advances, access remains uneven. Francophone and women negotiators continue to face structural barriers, including limited translation, visa difficulties, and underrepresentation in high-level roles. </w:t>
            </w:r>
            <w:r w:rsidR="011E0881" w:rsidRPr="00554B41">
              <w:t xml:space="preserve">There exists a perception among negotiators and former negotiators (not only associated with the LDC Group) that </w:t>
            </w:r>
            <w:r w:rsidR="546A67D3" w:rsidRPr="00554B41">
              <w:t>n</w:t>
            </w:r>
            <w:r w:rsidRPr="00554B41">
              <w:t>ational focal points—</w:t>
            </w:r>
            <w:r w:rsidR="003C6ACC" w:rsidRPr="00554B41">
              <w:t>who are</w:t>
            </w:r>
            <w:r w:rsidRPr="00554B41">
              <w:t xml:space="preserve"> crucial for bridging global decisions and domestic policy—were often </w:t>
            </w:r>
            <w:r w:rsidR="634B7945" w:rsidRPr="00554B41">
              <w:t>not able to benefit</w:t>
            </w:r>
            <w:r w:rsidRPr="00554B41">
              <w:t xml:space="preserve"> from CASA support due to budget limitations.</w:t>
            </w:r>
            <w:r w:rsidR="4590E038" w:rsidRPr="00554B41">
              <w:t xml:space="preserve"> (It should be noted that engagement with national focal points was highlighted as a major priority for the LDC Group moving forwards.) </w:t>
            </w:r>
          </w:p>
          <w:p w14:paraId="1951F7A2" w14:textId="071FFFC5" w:rsidR="00771999" w:rsidRPr="00554B41" w:rsidRDefault="4590E038" w:rsidP="00771999">
            <w:r w:rsidRPr="00554B41">
              <w:t>In addition, a</w:t>
            </w:r>
            <w:r w:rsidR="00771999" w:rsidRPr="00554B41">
              <w:t xml:space="preserve">t COP29, several LDC delegates arrived late due to delays in securing travel funding, undermining early engagement opportunities and group coordination ordinarily taking place immediately prior to the </w:t>
            </w:r>
            <w:r w:rsidR="003C6ACC" w:rsidRPr="00554B41">
              <w:t>COP</w:t>
            </w:r>
            <w:r w:rsidR="00771999" w:rsidRPr="00554B41">
              <w:t>.</w:t>
            </w:r>
          </w:p>
          <w:p w14:paraId="7895AF68" w14:textId="057A96F4" w:rsidR="00771999" w:rsidRPr="00554B41" w:rsidRDefault="00771999" w:rsidP="00771999">
            <w:pPr>
              <w:rPr>
                <w:b/>
                <w:bCs/>
              </w:rPr>
            </w:pPr>
            <w:r w:rsidRPr="00554B41">
              <w:rPr>
                <w:b/>
                <w:bCs/>
              </w:rPr>
              <w:t xml:space="preserve">3. Support to </w:t>
            </w:r>
            <w:r w:rsidR="00635497" w:rsidRPr="00554B41">
              <w:rPr>
                <w:b/>
                <w:bCs/>
              </w:rPr>
              <w:t xml:space="preserve">implementation </w:t>
            </w:r>
            <w:r w:rsidRPr="00554B41">
              <w:rPr>
                <w:b/>
                <w:bCs/>
              </w:rPr>
              <w:t xml:space="preserve">and </w:t>
            </w:r>
            <w:r w:rsidR="00635497" w:rsidRPr="00554B41">
              <w:rPr>
                <w:b/>
                <w:bCs/>
              </w:rPr>
              <w:t>review mechanisms</w:t>
            </w:r>
          </w:p>
          <w:p w14:paraId="21771368" w14:textId="4AFDCCAE" w:rsidR="00771999" w:rsidRPr="00554B41" w:rsidRDefault="00771999" w:rsidP="00771999">
            <w:r w:rsidRPr="00554B41">
              <w:t>While this pathway remains less developed than the first two, there is emerging evidence that the LDC Group has begun to bridge international climate decisions with national policy processes</w:t>
            </w:r>
            <w:r w:rsidR="00635497" w:rsidRPr="00554B41">
              <w:t>,</w:t>
            </w:r>
            <w:r w:rsidRPr="00554B41">
              <w:t xml:space="preserve"> particularly through efforts on Nationally Determined Contributions (NDCs) and the establishment of the LDC Secretariat.</w:t>
            </w:r>
          </w:p>
          <w:p w14:paraId="70304289" w14:textId="3639ECAB" w:rsidR="00771999" w:rsidRPr="00554B41" w:rsidRDefault="00771999" w:rsidP="00771999">
            <w:r w:rsidRPr="00554B41">
              <w:t xml:space="preserve">During Bhutan’s chairship, the LDC Group took an active stance on driving NDC ambition. Bhutan hosted the Thimphu Ambition Summit, which called on countries to submit updated </w:t>
            </w:r>
            <w:r w:rsidR="00AE5739" w:rsidRPr="00554B41">
              <w:t>NDCs,</w:t>
            </w:r>
            <w:r w:rsidRPr="00554B41">
              <w:t xml:space="preserve"> and long-term strategies aligned with 1.5°C pathways. This event served both as a platform for political signalling and as a practical demonstration of how LDCs could lead by example in aligning national plans with global climate goals. Bhutan’s own NDC reaffirmed its carbon neutrality and laid out detailed sectoral strategies, offering a blueprint that other LDCs could adapt to their national contexts.</w:t>
            </w:r>
          </w:p>
          <w:p w14:paraId="06758619" w14:textId="680191F4" w:rsidR="00771999" w:rsidRPr="00554B41" w:rsidRDefault="00771999" w:rsidP="00771999">
            <w:r w:rsidRPr="00554B41">
              <w:t>The institutional infrastructure to support this kind of bridging function was further strengthened in 2025 with the formal establishment of the LDC Secretariat in Bonn. Supported through a UNIDO</w:t>
            </w:r>
            <w:r w:rsidR="005C63ED" w:rsidRPr="00554B41">
              <w:t>/</w:t>
            </w:r>
            <w:r w:rsidRPr="00554B41">
              <w:t xml:space="preserve">GEF project, and with significant support from CASA-funded TPs, the Secretariat is mandated to provide year-round coordination, manage documentation, and support continuity between </w:t>
            </w:r>
            <w:r w:rsidR="00CB624D" w:rsidRPr="00554B41">
              <w:t>chairships</w:t>
            </w:r>
            <w:r w:rsidRPr="00554B41">
              <w:t xml:space="preserve">. It is intended to help ensure that decisions made in multilateral forums </w:t>
            </w:r>
            <w:r w:rsidR="00034AD6" w:rsidRPr="00554B41">
              <w:t>(</w:t>
            </w:r>
            <w:r w:rsidRPr="00554B41">
              <w:t>such as on the Loss and Damage Fund or adaptation finance</w:t>
            </w:r>
            <w:r w:rsidR="00034AD6" w:rsidRPr="00554B41">
              <w:t>)</w:t>
            </w:r>
            <w:r w:rsidRPr="00554B41">
              <w:t xml:space="preserve"> are not only carried into LDC Group positions but are also fed back into national policymaking processes.</w:t>
            </w:r>
          </w:p>
          <w:p w14:paraId="65A6182A" w14:textId="154B98E9" w:rsidR="00771999" w:rsidRPr="00554B41" w:rsidRDefault="00771999" w:rsidP="00771999">
            <w:r w:rsidRPr="00554B41">
              <w:t xml:space="preserve">However, the Secretariat remains in an early and somewhat fragile stage. Interviewees described it as heavily reliant on </w:t>
            </w:r>
            <w:r w:rsidR="00BA6521" w:rsidRPr="00554B41">
              <w:t>TP</w:t>
            </w:r>
            <w:r w:rsidRPr="00554B41">
              <w:t xml:space="preserve">s for </w:t>
            </w:r>
            <w:r w:rsidR="00AE5739" w:rsidRPr="00554B41">
              <w:t>momentum and</w:t>
            </w:r>
            <w:r w:rsidRPr="00554B41">
              <w:t xml:space="preserve"> noted ongoing ambiguity around its role relative to in-country </w:t>
            </w:r>
            <w:r w:rsidR="00DB4A3F">
              <w:t>c</w:t>
            </w:r>
            <w:r w:rsidRPr="00554B41">
              <w:t>hair teams and national focal points. This has confused what is already</w:t>
            </w:r>
            <w:r w:rsidR="00034AD6" w:rsidRPr="00554B41">
              <w:t>,</w:t>
            </w:r>
            <w:r w:rsidRPr="00554B41">
              <w:t xml:space="preserve"> according to one interviewee</w:t>
            </w:r>
            <w:r w:rsidR="00034AD6" w:rsidRPr="00554B41">
              <w:t>,</w:t>
            </w:r>
            <w:r w:rsidRPr="00554B41">
              <w:t xml:space="preserve"> a complicated patchwork of partners. </w:t>
            </w:r>
          </w:p>
        </w:tc>
      </w:tr>
    </w:tbl>
    <w:p w14:paraId="0F44CF54" w14:textId="2104D214" w:rsidR="00E13D67" w:rsidRDefault="007C4C2C" w:rsidP="007C4C2C">
      <w:pPr>
        <w:pStyle w:val="Heading2"/>
      </w:pPr>
      <w:bookmarkStart w:id="8" w:name="_Toc204967826"/>
      <w:r w:rsidRPr="00554B41">
        <w:t>How effective were TPs in this period?</w:t>
      </w:r>
      <w:bookmarkEnd w:id="8"/>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771999" w:rsidRPr="00554B41" w14:paraId="62F8A76B" w14:textId="77777777" w:rsidTr="49E2BA4E">
        <w:trPr>
          <w:trHeight w:val="300"/>
        </w:trPr>
        <w:tc>
          <w:tcPr>
            <w:tcW w:w="5000" w:type="pct"/>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4F10331E" w14:textId="1DB58C8A" w:rsidR="00771999" w:rsidRPr="00554B41" w:rsidRDefault="00771999" w:rsidP="00771999">
            <w:r w:rsidRPr="00554B41">
              <w:t>Climate Analytics, IIED, and Germanwatch</w:t>
            </w:r>
            <w:r w:rsidR="00034AD6" w:rsidRPr="00554B41">
              <w:t xml:space="preserve"> </w:t>
            </w:r>
            <w:r w:rsidRPr="00554B41">
              <w:t xml:space="preserve">have played a central role in strengthening the LDC Group’s capacity, strategy, and institutional memory across key negotiation tracks. Each </w:t>
            </w:r>
            <w:r w:rsidR="00034AD6" w:rsidRPr="00554B41">
              <w:t xml:space="preserve">of the </w:t>
            </w:r>
            <w:r w:rsidR="00BA6521" w:rsidRPr="00554B41">
              <w:t>TP</w:t>
            </w:r>
            <w:r w:rsidR="00034AD6" w:rsidRPr="00554B41">
              <w:t>s</w:t>
            </w:r>
            <w:r w:rsidRPr="00554B41">
              <w:t xml:space="preserve"> brought distinctive technical strengths and niche contributions. Together, they enabled the LDC Group to operate with greater professionalism, influence</w:t>
            </w:r>
            <w:r w:rsidR="000102A0" w:rsidRPr="00554B41">
              <w:t>,</w:t>
            </w:r>
            <w:r w:rsidRPr="00554B41">
              <w:t xml:space="preserve"> and coordination throughout SBs, COPs, and intersessional moments. However, the effectiveness of these partners has also been shaped by funding constraints, uneven collaboration, and persistent structural barriers within the negotiation ecosystem.</w:t>
            </w:r>
          </w:p>
          <w:p w14:paraId="3B85D7DF" w14:textId="77777777" w:rsidR="00771999" w:rsidRPr="00554B41" w:rsidRDefault="00771999" w:rsidP="00771999">
            <w:r w:rsidRPr="00554B41">
              <w:rPr>
                <w:b/>
                <w:bCs/>
              </w:rPr>
              <w:t>Embedded, responsive support</w:t>
            </w:r>
          </w:p>
          <w:p w14:paraId="18B754EA" w14:textId="56240CC5" w:rsidR="00771999" w:rsidRPr="00554B41" w:rsidRDefault="00771999" w:rsidP="49E2BA4E">
            <w:pPr>
              <w:rPr>
                <w:highlight w:val="yellow"/>
              </w:rPr>
            </w:pPr>
            <w:r>
              <w:t>Among the three partners, IIED and Climate Analytics provided the most embedded support. Their advisors—such as Sneha Pandey (C</w:t>
            </w:r>
            <w:r w:rsidR="000102A0">
              <w:t xml:space="preserve">limate </w:t>
            </w:r>
            <w:r>
              <w:t>A</w:t>
            </w:r>
            <w:r w:rsidR="000102A0">
              <w:t>nalytics</w:t>
            </w:r>
            <w:r>
              <w:t>) and Camilla More (IIED)—were deeply integrated into the LDC coordination machinery, participating not only during COPs but also during key strategy meetings (such as Lilongwe and Bonn), daily planning calls, and document drafting. Their inputs were described by interviewees as responsive, strategic, and grounded in real-time negotiation needs. C</w:t>
            </w:r>
            <w:r w:rsidR="000102A0">
              <w:t xml:space="preserve">limate </w:t>
            </w:r>
            <w:r>
              <w:t>A</w:t>
            </w:r>
            <w:r w:rsidR="000102A0">
              <w:t>nalytics</w:t>
            </w:r>
            <w:r>
              <w:t xml:space="preserve">, in particular, deployed over 30 staff at COP29 (though not all covered by CASA funding) across multiple agenda tracks, contributing to interventions on carbon markets, the </w:t>
            </w:r>
            <w:r w:rsidR="00CF4862">
              <w:t>GGA</w:t>
            </w:r>
            <w:r>
              <w:t>, and the Loss and Damage Fund. IIED provided technical advice on adaptation, transparency, and gender, while also convening workshops and mentoring junior negotiators—many of whom have since assumed leadership roles</w:t>
            </w:r>
            <w:r w:rsidR="00716D05" w:rsidRPr="0050177A">
              <w:t>.</w:t>
            </w:r>
            <w:r w:rsidRPr="009A0B0F">
              <w:t>, including Brenda Mwale (Malawi), Sandra Isingizwe (Rwanda), and Yared Tewodros (Ethiopia).</w:t>
            </w:r>
          </w:p>
          <w:p w14:paraId="4C4152C0" w14:textId="0CE7B418" w:rsidR="00771999" w:rsidRPr="00554B41" w:rsidRDefault="00771999" w:rsidP="00771999">
            <w:r w:rsidRPr="00554B41">
              <w:t xml:space="preserve">IIED’s support to the LDC Chair’s office was especially effective during Malawi’s </w:t>
            </w:r>
            <w:r w:rsidR="00CB624D" w:rsidRPr="00554B41">
              <w:t>chairship</w:t>
            </w:r>
            <w:r w:rsidRPr="00554B41">
              <w:t xml:space="preserve">. Activities and technical roles were clearly delineated in advance, enabling a well-functioning system of in-country support, submission drafting, and strategic communications. As one IIED staff member put it, </w:t>
            </w:r>
            <w:r w:rsidRPr="007C4C2C">
              <w:rPr>
                <w:i/>
                <w:iCs/>
              </w:rPr>
              <w:t xml:space="preserve">“The Malawi </w:t>
            </w:r>
            <w:r w:rsidR="00DB4A3F" w:rsidRPr="007C4C2C">
              <w:rPr>
                <w:i/>
                <w:iCs/>
              </w:rPr>
              <w:t>c</w:t>
            </w:r>
            <w:r w:rsidRPr="007C4C2C">
              <w:rPr>
                <w:i/>
                <w:iCs/>
              </w:rPr>
              <w:t xml:space="preserve">hair’s team gave us clarity and a proper chain of command—we didn’t always need to go to the </w:t>
            </w:r>
            <w:r w:rsidR="00DB4A3F" w:rsidRPr="007C4C2C">
              <w:rPr>
                <w:i/>
                <w:iCs/>
              </w:rPr>
              <w:t>c</w:t>
            </w:r>
            <w:r w:rsidRPr="007C4C2C">
              <w:rPr>
                <w:i/>
                <w:iCs/>
              </w:rPr>
              <w:t>hair directly”</w:t>
            </w:r>
            <w:r w:rsidRPr="00554B41">
              <w:t>. C</w:t>
            </w:r>
            <w:r w:rsidR="000102A0" w:rsidRPr="00554B41">
              <w:t xml:space="preserve">limate </w:t>
            </w:r>
            <w:r w:rsidRPr="00554B41">
              <w:t>A</w:t>
            </w:r>
            <w:r w:rsidR="000102A0" w:rsidRPr="00554B41">
              <w:t>nalytics</w:t>
            </w:r>
            <w:r w:rsidRPr="00554B41">
              <w:t xml:space="preserve"> played a similarly hands-on role, particularly in supporting the LDC Loss and Damage Fund Board member with weekly technical inputs, drafting support, and internal policy briefings.</w:t>
            </w:r>
          </w:p>
          <w:p w14:paraId="01105D01" w14:textId="77777777" w:rsidR="00771999" w:rsidRPr="00554B41" w:rsidRDefault="00771999" w:rsidP="00771999">
            <w:r w:rsidRPr="00554B41">
              <w:rPr>
                <w:b/>
                <w:bCs/>
              </w:rPr>
              <w:t>Coordination and fragmentation</w:t>
            </w:r>
          </w:p>
          <w:p w14:paraId="6BCCAD40" w14:textId="74061AD0" w:rsidR="00771999" w:rsidRPr="00554B41" w:rsidRDefault="00771999" w:rsidP="00771999">
            <w:r w:rsidRPr="00554B41">
              <w:t xml:space="preserve">Despite these strengths, coordination between partners was often informal and </w:t>
            </w:r>
            <w:r w:rsidR="00A40981" w:rsidRPr="00554B41">
              <w:t>relationship dependent</w:t>
            </w:r>
            <w:r w:rsidRPr="00554B41">
              <w:t>. There was no shared strategic framework or joint workplan guiding CASA’s technical support to the LDC Group. Instead, collaboration intensified during peak negotiation moments but remained ad hoc in quieter periods. C</w:t>
            </w:r>
            <w:r w:rsidR="005C63ED" w:rsidRPr="00554B41">
              <w:t xml:space="preserve">limate </w:t>
            </w:r>
            <w:r w:rsidRPr="00554B41">
              <w:t>A</w:t>
            </w:r>
            <w:r w:rsidR="005C63ED" w:rsidRPr="00554B41">
              <w:t>nalytics</w:t>
            </w:r>
            <w:r w:rsidRPr="00554B41">
              <w:t xml:space="preserve"> and IIED had the most regular contact, but even this was described as based on “frequent conversations” rather than structured accountability. Some interviewees noted that C</w:t>
            </w:r>
            <w:r w:rsidR="005C63ED" w:rsidRPr="00554B41">
              <w:t xml:space="preserve">limate </w:t>
            </w:r>
            <w:r w:rsidRPr="00554B41">
              <w:t>A</w:t>
            </w:r>
            <w:r w:rsidR="005C63ED" w:rsidRPr="00554B41">
              <w:t>nalytic</w:t>
            </w:r>
            <w:r w:rsidRPr="00554B41">
              <w:t>s</w:t>
            </w:r>
            <w:r w:rsidR="005C63ED" w:rsidRPr="00554B41">
              <w:t>’</w:t>
            </w:r>
            <w:r w:rsidRPr="00554B41">
              <w:t xml:space="preserve"> growing team and expanding thematic reach had occasionally led to blurred lines of responsibility with IIED. While this did not generate conflict, it suggested the need for better-defined roles and clearer collaboration protocols to avoid inefficiencies or duplication.</w:t>
            </w:r>
          </w:p>
          <w:p w14:paraId="261F71CE" w14:textId="4695C316" w:rsidR="00771999" w:rsidRPr="00554B41" w:rsidRDefault="00771999" w:rsidP="00771999">
            <w:r w:rsidRPr="00554B41">
              <w:t xml:space="preserve">Germanwatch, meanwhile, had a more specific and peripheral role. It focused primarily on GCF-related support, particularly assisting the LDC Board Member with technical inputs on </w:t>
            </w:r>
            <w:r w:rsidR="005C63ED" w:rsidRPr="00554B41">
              <w:t>S</w:t>
            </w:r>
            <w:r w:rsidR="4B139D8F" w:rsidRPr="00554B41">
              <w:t xml:space="preserve">tanding Committee on Finance </w:t>
            </w:r>
            <w:r w:rsidRPr="00554B41">
              <w:t xml:space="preserve">and NCQG processes. Though valuable, this contribution was less embedded in LDC coordination and more transactional in nature. Some stakeholders described Germanwatch as not operating as a fully integrated </w:t>
            </w:r>
            <w:r w:rsidR="00BA6521" w:rsidRPr="00554B41">
              <w:t>TP</w:t>
            </w:r>
            <w:r w:rsidRPr="00554B41">
              <w:t>, noting its limited engagement with GCF project implementation or broader LDC strategy.</w:t>
            </w:r>
          </w:p>
          <w:p w14:paraId="1F5DAD1A" w14:textId="77777777" w:rsidR="00771999" w:rsidRPr="00554B41" w:rsidRDefault="00771999" w:rsidP="00771999">
            <w:r w:rsidRPr="00554B41">
              <w:rPr>
                <w:b/>
                <w:bCs/>
              </w:rPr>
              <w:t>Constraints on access and inclusion</w:t>
            </w:r>
          </w:p>
          <w:p w14:paraId="67C679F0" w14:textId="0AFEAEA4" w:rsidR="00771999" w:rsidRPr="00554B41" w:rsidRDefault="00771999" w:rsidP="00771999">
            <w:r w:rsidRPr="00554B41">
              <w:t>One consistent challenge was equitable access to technical support. While coordination teams and senior negotiators benefitted from tailored inputs, delegates outside the core circle—particularly French speakers and women—reported less access to materials, briefings, and translation</w:t>
            </w:r>
            <w:r w:rsidRPr="00F33C61">
              <w:rPr>
                <w:i/>
                <w:iCs/>
              </w:rPr>
              <w:t>. “Women still struggled to be appointed unless their government had a quota”</w:t>
            </w:r>
            <w:r w:rsidR="007B7C08" w:rsidRPr="00554B41">
              <w:t>,</w:t>
            </w:r>
            <w:r w:rsidRPr="00554B41">
              <w:t xml:space="preserve"> one former negotiator noted. Francophone participants similarly flagged limited French-language resources, which constrained their full engagement in thematic discussions. While this issue may have been felt disproportionately by LDC participants, it is understood that this might be a problem across the UNFCCC system as informal meetings are often not provided with the requisite translation services and English is the default language for draft documents. </w:t>
            </w:r>
          </w:p>
          <w:p w14:paraId="4440CE92" w14:textId="6D99BCFE" w:rsidR="00771999" w:rsidRPr="00554B41" w:rsidRDefault="00771999" w:rsidP="00771999">
            <w:r w:rsidRPr="00554B41">
              <w:t xml:space="preserve">IIED has taken steps to address these gaps, including targeted mentoring of young women negotiators and a research initiative on gender imbalances in the LDC Group. </w:t>
            </w:r>
            <w:r w:rsidR="005C63ED" w:rsidRPr="00554B41">
              <w:t xml:space="preserve">Nonetheless, certain </w:t>
            </w:r>
            <w:r w:rsidRPr="00554B41">
              <w:t xml:space="preserve">structural barriers largely outside CASA’s immediate control </w:t>
            </w:r>
            <w:r w:rsidR="005C63ED" w:rsidRPr="00554B41">
              <w:t xml:space="preserve">remain </w:t>
            </w:r>
            <w:r w:rsidRPr="00554B41">
              <w:t>and continue to influence the extent to which the Group’s negotiating base is inclusive and representative.</w:t>
            </w:r>
          </w:p>
          <w:p w14:paraId="05417D7A" w14:textId="77777777" w:rsidR="00771999" w:rsidRPr="00554B41" w:rsidRDefault="00771999" w:rsidP="00771999">
            <w:r w:rsidRPr="00554B41">
              <w:rPr>
                <w:b/>
                <w:bCs/>
              </w:rPr>
              <w:t>Funding limitations and trade-offs</w:t>
            </w:r>
          </w:p>
          <w:p w14:paraId="3C775AE8" w14:textId="33BDD611" w:rsidR="00771999" w:rsidRPr="00554B41" w:rsidRDefault="00771999" w:rsidP="00771999">
            <w:r w:rsidRPr="00554B41">
              <w:t>CASA’s funding model was critical to enabling ongoing technical engagement. However, several limitations hindered its full effectiveness. Travel and daily subsistence allowances for national negotiators were not routinely covered,</w:t>
            </w:r>
            <w:r w:rsidR="005C63ED" w:rsidRPr="00554B41">
              <w:t xml:space="preserve"> </w:t>
            </w:r>
            <w:r w:rsidR="5A327926" w:rsidRPr="00554B41">
              <w:t xml:space="preserve">due to </w:t>
            </w:r>
            <w:r w:rsidR="00A078E2">
              <w:t>Official Development Assistance (</w:t>
            </w:r>
            <w:r w:rsidR="5A327926" w:rsidRPr="00554B41">
              <w:t>ODA</w:t>
            </w:r>
            <w:r w:rsidR="00A078E2">
              <w:t>)</w:t>
            </w:r>
            <w:r w:rsidR="5A327926" w:rsidRPr="00554B41">
              <w:t xml:space="preserve"> financial rules not permitting per diems and a</w:t>
            </w:r>
            <w:r w:rsidRPr="00554B41">
              <w:t xml:space="preserve"> </w:t>
            </w:r>
            <w:r w:rsidR="2AECAAD5" w:rsidRPr="00554B41">
              <w:t>need to avoid CASA becoming purely a fund for logistics. Nevertheless, this means that</w:t>
            </w:r>
            <w:r w:rsidRPr="00554B41">
              <w:t xml:space="preserve"> countries </w:t>
            </w:r>
            <w:r w:rsidR="708968F0" w:rsidRPr="00554B41">
              <w:t xml:space="preserve">were forced </w:t>
            </w:r>
            <w:r w:rsidRPr="00554B41">
              <w:t xml:space="preserve">to seek ad hoc support from the GCF, national budgets, or even personal fundraising. As </w:t>
            </w:r>
            <w:r w:rsidR="005C63ED" w:rsidRPr="00554B41">
              <w:t>noted above</w:t>
            </w:r>
            <w:r w:rsidRPr="00554B41">
              <w:t>,</w:t>
            </w:r>
            <w:r w:rsidR="005C63ED" w:rsidRPr="00554B41">
              <w:t xml:space="preserve"> this resulted in</w:t>
            </w:r>
            <w:r w:rsidRPr="00554B41">
              <w:t xml:space="preserve"> some LDC delegates reportedly arrived late to COP29, undermining their ability to shape agenda items or participate in early strategy sessions.</w:t>
            </w:r>
          </w:p>
          <w:p w14:paraId="49E748DA" w14:textId="52D8F651" w:rsidR="00771999" w:rsidRPr="00554B41" w:rsidRDefault="00771999" w:rsidP="00771999">
            <w:r w:rsidRPr="00554B41">
              <w:t xml:space="preserve">Similarly, </w:t>
            </w:r>
            <w:r w:rsidR="69191C83" w:rsidRPr="00554B41">
              <w:t xml:space="preserve">it was recognised by </w:t>
            </w:r>
            <w:r w:rsidRPr="00554B41">
              <w:t>CASA</w:t>
            </w:r>
            <w:r w:rsidR="69191C83" w:rsidRPr="00554B41">
              <w:t>-supported persons that the programme</w:t>
            </w:r>
            <w:r w:rsidRPr="00554B41">
              <w:t xml:space="preserve"> could not fund </w:t>
            </w:r>
            <w:r w:rsidR="01D1E304" w:rsidRPr="00554B41">
              <w:t>all</w:t>
            </w:r>
            <w:r w:rsidRPr="00554B41">
              <w:t xml:space="preserve"> national focal point engagement, onboarding of incoming </w:t>
            </w:r>
            <w:r w:rsidR="00DB4A3F">
              <w:t>c</w:t>
            </w:r>
            <w:r w:rsidRPr="00554B41">
              <w:t xml:space="preserve">hairs, or full Secretariat staffing. </w:t>
            </w:r>
            <w:r w:rsidR="68700015" w:rsidRPr="00554B41">
              <w:t>While based on sound decision</w:t>
            </w:r>
            <w:r w:rsidR="005C63ED" w:rsidRPr="00554B41">
              <w:t xml:space="preserve"> </w:t>
            </w:r>
            <w:r w:rsidR="68700015" w:rsidRPr="00554B41">
              <w:t>making on the part of DESNZ, in practice t</w:t>
            </w:r>
            <w:r w:rsidRPr="00554B41">
              <w:t xml:space="preserve">hese omissions affected follow-up on negotiation outcomes and burdened the </w:t>
            </w:r>
            <w:r w:rsidR="00DB4A3F">
              <w:t>c</w:t>
            </w:r>
            <w:r w:rsidRPr="00554B41">
              <w:t xml:space="preserve">hair’s office with administrative tasks. </w:t>
            </w:r>
            <w:r w:rsidR="00BA6521" w:rsidRPr="00554B41">
              <w:t>TP</w:t>
            </w:r>
            <w:r w:rsidRPr="00554B41">
              <w:t>s repeatedly expressed the need to integrate national focal points more systematically in future programming, particularly for implementation and review processes post-COP.</w:t>
            </w:r>
          </w:p>
          <w:p w14:paraId="48E2B37A" w14:textId="77777777" w:rsidR="00771999" w:rsidRPr="00554B41" w:rsidRDefault="00771999" w:rsidP="00771999">
            <w:r w:rsidRPr="00554B41">
              <w:rPr>
                <w:b/>
                <w:bCs/>
              </w:rPr>
              <w:t>Governance challenges and evolving dynamics</w:t>
            </w:r>
          </w:p>
          <w:p w14:paraId="3C0C38D2" w14:textId="45A71481" w:rsidR="00771999" w:rsidRPr="00554B41" w:rsidRDefault="00771999" w:rsidP="00771999">
            <w:r w:rsidRPr="00554B41">
              <w:t>The development of the UNIDO</w:t>
            </w:r>
            <w:r w:rsidR="005C63ED" w:rsidRPr="00554B41">
              <w:t>/</w:t>
            </w:r>
            <w:r w:rsidRPr="00554B41">
              <w:t xml:space="preserve">GEF-funded LDC Secretariat in 2025 introduced new opportunities and tensions. </w:t>
            </w:r>
            <w:r w:rsidR="00BA6521" w:rsidRPr="00554B41">
              <w:t>TP</w:t>
            </w:r>
            <w:r w:rsidRPr="00554B41">
              <w:t xml:space="preserve">s welcomed the Secretariat’s potential to institutionalise document storage, scheduling, and logistical support. But its operational capacity remained limited, and CASA-funded advisors were often still responsible for maintaining momentum. </w:t>
            </w:r>
            <w:r w:rsidRPr="00BE4836">
              <w:rPr>
                <w:i/>
                <w:iCs/>
              </w:rPr>
              <w:t>“We’re handing over files, but the Secretariat still depends on us”</w:t>
            </w:r>
            <w:r w:rsidR="007B7C08" w:rsidRPr="00554B41">
              <w:t>,</w:t>
            </w:r>
            <w:r w:rsidRPr="00554B41">
              <w:t xml:space="preserve"> noted one staff member. Additionally, misalignment between the GEF project and CASA activities created governance frictions. As one partner explained, </w:t>
            </w:r>
            <w:r w:rsidRPr="00BE4836">
              <w:rPr>
                <w:i/>
                <w:iCs/>
              </w:rPr>
              <w:t>“The GEF’s framing was inflexible. We had to decide whether to fund something the GEF was already committed to”</w:t>
            </w:r>
            <w:r w:rsidRPr="00554B41">
              <w:t>.</w:t>
            </w:r>
          </w:p>
          <w:p w14:paraId="3BECA08A" w14:textId="7A4AF87E" w:rsidR="00771999" w:rsidRPr="00554B41" w:rsidRDefault="00771999" w:rsidP="00771999">
            <w:r w:rsidRPr="00554B41">
              <w:t>Future CASA support may also be affected by shifts in the external environment—including a growing regionalisation of GCF decision</w:t>
            </w:r>
            <w:r w:rsidR="000558BF">
              <w:t xml:space="preserve"> </w:t>
            </w:r>
            <w:r w:rsidRPr="00554B41">
              <w:t>making, which some fear will dilute the LDC Group’s influence, and the uncertain relationship between CASA-funded partners and the evolving Secretariat structure.</w:t>
            </w:r>
          </w:p>
          <w:p w14:paraId="7FD79636" w14:textId="77777777" w:rsidR="00771999" w:rsidRPr="00554B41" w:rsidRDefault="00771999" w:rsidP="00771999">
            <w:r w:rsidRPr="00554B41">
              <w:rPr>
                <w:b/>
                <w:bCs/>
              </w:rPr>
              <w:t>Historical tensions and power dynamics</w:t>
            </w:r>
          </w:p>
          <w:p w14:paraId="05C13C5F" w14:textId="2047BBDC" w:rsidR="00771999" w:rsidRPr="00554B41" w:rsidRDefault="00771999" w:rsidP="00771999">
            <w:r w:rsidRPr="00554B41">
              <w:t xml:space="preserve">While </w:t>
            </w:r>
            <w:r w:rsidR="00BA6521" w:rsidRPr="00554B41">
              <w:t>TP</w:t>
            </w:r>
            <w:r w:rsidRPr="00554B41">
              <w:t>s are generally valued by the LDC Group, lingering concerns around ownership and power asymmetries persist. Some interviewees criticised past tendencies by C</w:t>
            </w:r>
            <w:r w:rsidR="007B7C08" w:rsidRPr="00554B41">
              <w:t xml:space="preserve">limate </w:t>
            </w:r>
            <w:r w:rsidRPr="00554B41">
              <w:t>A</w:t>
            </w:r>
            <w:r w:rsidR="007B7C08" w:rsidRPr="00554B41">
              <w:t>nalytics</w:t>
            </w:r>
            <w:r w:rsidRPr="00554B41">
              <w:t xml:space="preserve"> or IIED to control messaging, access to information, or negotiation positions. These dynamics were framed in terms of </w:t>
            </w:r>
            <w:r w:rsidR="007B7C08" w:rsidRPr="00554B41">
              <w:t>‘</w:t>
            </w:r>
            <w:r w:rsidRPr="00554B41">
              <w:t>colonial continuity</w:t>
            </w:r>
            <w:r w:rsidR="007B7C08" w:rsidRPr="00554B41">
              <w:t>’</w:t>
            </w:r>
            <w:r w:rsidRPr="00554B41">
              <w:t xml:space="preserve">, though IIED was specifically commended for improving transparency and responsiveness in recent years. </w:t>
            </w:r>
            <w:r w:rsidR="007B7C08" w:rsidRPr="00554B41">
              <w:t xml:space="preserve">That said, an </w:t>
            </w:r>
            <w:r w:rsidRPr="00554B41">
              <w:t>underlying concern remains: external technical assistance, while essential, must be aligned with the Group’s own leadership, priorities, and voice.</w:t>
            </w:r>
          </w:p>
          <w:p w14:paraId="6135AB47" w14:textId="77777777" w:rsidR="00771999" w:rsidRPr="00554B41" w:rsidRDefault="00771999" w:rsidP="00771999">
            <w:pPr>
              <w:rPr>
                <w:u w:val="single"/>
              </w:rPr>
            </w:pPr>
          </w:p>
        </w:tc>
      </w:tr>
    </w:tbl>
    <w:p w14:paraId="50E2D7E4" w14:textId="3B95F12E" w:rsidR="00FF2348" w:rsidRDefault="00FF2348" w:rsidP="00FF2348">
      <w:pPr>
        <w:pStyle w:val="Heading2"/>
      </w:pPr>
      <w:bookmarkStart w:id="9" w:name="_Toc204967827"/>
      <w:r w:rsidRPr="00554B41">
        <w:t>What were other advocates/actors doing during the same period?</w:t>
      </w:r>
      <w:bookmarkEnd w:id="9"/>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771999" w:rsidRPr="00554B41" w14:paraId="176B0D2B" w14:textId="77777777" w:rsidTr="004E5FAF">
        <w:trPr>
          <w:trHeight w:val="300"/>
        </w:trPr>
        <w:tc>
          <w:tcPr>
            <w:tcW w:w="5000" w:type="pct"/>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0BD9F80A" w14:textId="1E8B8466" w:rsidR="00771999" w:rsidRPr="00554B41" w:rsidRDefault="00771999" w:rsidP="00771999">
            <w:pPr>
              <w:rPr>
                <w:rFonts w:cs="Arial"/>
              </w:rPr>
            </w:pPr>
            <w:r w:rsidRPr="00554B41">
              <w:rPr>
                <w:rFonts w:cs="Arial"/>
              </w:rPr>
              <w:t xml:space="preserve">The LDC Group’s institutional development and increased influence in climate negotiations between 2023 and 2025 unfolded within a wider landscape of organisations contributing to negotiation capacity, technical assistance, and political advocacy. These efforts often supported or complemented those of the LDC Group, </w:t>
            </w:r>
            <w:r w:rsidR="00CF4862" w:rsidRPr="00554B41">
              <w:rPr>
                <w:rFonts w:cs="Arial"/>
              </w:rPr>
              <w:t>al</w:t>
            </w:r>
            <w:r w:rsidRPr="00554B41">
              <w:rPr>
                <w:rFonts w:cs="Arial"/>
              </w:rPr>
              <w:t xml:space="preserve">though coordination was not always systematic. Interviewees noted instances where </w:t>
            </w:r>
            <w:r w:rsidR="00DB4A3F">
              <w:rPr>
                <w:rFonts w:cs="Arial"/>
              </w:rPr>
              <w:t>c</w:t>
            </w:r>
            <w:r w:rsidRPr="00554B41">
              <w:rPr>
                <w:rFonts w:cs="Arial"/>
              </w:rPr>
              <w:t>hairs and their teams were unaware of parallel initiatives or funding streams, highlighting a need for more strategic alignment and clearer delineation of roles.</w:t>
            </w:r>
          </w:p>
          <w:p w14:paraId="440D61F6" w14:textId="176F9804" w:rsidR="00771999" w:rsidRPr="00554B41" w:rsidRDefault="00771999" w:rsidP="00771999">
            <w:pPr>
              <w:rPr>
                <w:rFonts w:cs="Arial"/>
              </w:rPr>
            </w:pPr>
            <w:r w:rsidRPr="00554B41">
              <w:rPr>
                <w:rFonts w:cs="Arial"/>
              </w:rPr>
              <w:t xml:space="preserve">UNIDO played a lead role in establishing the LDC Secretariat through a GEF-funded project launched in 2022. This included formal registration, staffing, and the development of operational protocols. While </w:t>
            </w:r>
            <w:r w:rsidR="00BA6521" w:rsidRPr="00554B41">
              <w:rPr>
                <w:rFonts w:cs="Arial"/>
              </w:rPr>
              <w:t>TP</w:t>
            </w:r>
            <w:r w:rsidRPr="00554B41">
              <w:rPr>
                <w:rFonts w:cs="Arial"/>
              </w:rPr>
              <w:t xml:space="preserve">s such as Climate Analytics and IIED contributed content and institutional advice, the core coordination function rested with UNIDO. The Secretariat became formally operational in 2025, with responsibilities including documentation, coordination between </w:t>
            </w:r>
            <w:r w:rsidR="00CB624D" w:rsidRPr="00554B41">
              <w:rPr>
                <w:rFonts w:cs="Arial"/>
              </w:rPr>
              <w:t>chairships</w:t>
            </w:r>
            <w:r w:rsidRPr="00554B41">
              <w:rPr>
                <w:rFonts w:cs="Arial"/>
              </w:rPr>
              <w:t>, and convening technical meetings throughout the year.</w:t>
            </w:r>
          </w:p>
          <w:p w14:paraId="5073FB66" w14:textId="121D6FF3" w:rsidR="00771999" w:rsidRPr="00554B41" w:rsidRDefault="00771999" w:rsidP="00771999">
            <w:pPr>
              <w:rPr>
                <w:rFonts w:cs="Arial"/>
              </w:rPr>
            </w:pPr>
            <w:r w:rsidRPr="00554B41">
              <w:rPr>
                <w:rFonts w:cs="Arial"/>
              </w:rPr>
              <w:t xml:space="preserve">Legal Response International (LRI) delivered free legal advice to LDC negotiators on matters such as Loss and Damage, climate finance, and Article 6. They produced legal explainers, launched a Paris Agreement app, and signed cooperation agreements with delegations such as The Gambia. At COP29, they co-hosted sessions focused on accountability frameworks for the </w:t>
            </w:r>
            <w:r w:rsidR="00DB4A3F">
              <w:rPr>
                <w:rFonts w:cs="Arial"/>
              </w:rPr>
              <w:t>j</w:t>
            </w:r>
            <w:r w:rsidRPr="00554B41">
              <w:rPr>
                <w:rFonts w:cs="Arial"/>
              </w:rPr>
              <w:t xml:space="preserve">ust </w:t>
            </w:r>
            <w:r w:rsidR="00DB4A3F">
              <w:rPr>
                <w:rFonts w:cs="Arial"/>
              </w:rPr>
              <w:t>t</w:t>
            </w:r>
            <w:r w:rsidRPr="00554B41">
              <w:rPr>
                <w:rFonts w:cs="Arial"/>
              </w:rPr>
              <w:t>ransition.</w:t>
            </w:r>
          </w:p>
          <w:p w14:paraId="0C805A84" w14:textId="64256C38" w:rsidR="00771999" w:rsidRPr="00554B41" w:rsidRDefault="00771999" w:rsidP="00771999">
            <w:pPr>
              <w:rPr>
                <w:rFonts w:cs="Arial"/>
              </w:rPr>
            </w:pPr>
            <w:r w:rsidRPr="00554B41">
              <w:rPr>
                <w:rFonts w:cs="Arial"/>
              </w:rPr>
              <w:t xml:space="preserve">With CASA funding, </w:t>
            </w:r>
            <w:r w:rsidR="00CF4862" w:rsidRPr="00554B41">
              <w:rPr>
                <w:rFonts w:cs="Arial"/>
              </w:rPr>
              <w:t>the Overseas Development Institute (</w:t>
            </w:r>
            <w:r w:rsidRPr="00554B41">
              <w:rPr>
                <w:rFonts w:cs="Arial"/>
              </w:rPr>
              <w:t>ODI</w:t>
            </w:r>
            <w:r w:rsidR="00CF4862" w:rsidRPr="00554B41">
              <w:rPr>
                <w:rFonts w:cs="Arial"/>
              </w:rPr>
              <w:t>)</w:t>
            </w:r>
            <w:r w:rsidRPr="00554B41">
              <w:rPr>
                <w:rFonts w:cs="Arial"/>
              </w:rPr>
              <w:t xml:space="preserve"> supported the AOSIS Chair during key moments in the GGA negotiations and helped shape joint positions with the LDC Group during SB60 and COP29. </w:t>
            </w:r>
            <w:r w:rsidR="00691C05" w:rsidRPr="00554B41">
              <w:rPr>
                <w:rFonts w:cs="Arial"/>
              </w:rPr>
              <w:t xml:space="preserve">The </w:t>
            </w:r>
            <w:r w:rsidR="00691C05" w:rsidRPr="00554B41">
              <w:t>International Centre for Climate Change &amp; Development</w:t>
            </w:r>
            <w:r w:rsidRPr="00554B41">
              <w:rPr>
                <w:rFonts w:cs="Arial"/>
              </w:rPr>
              <w:t>, meanwhile, led the SHARE Hub at COP29, convening over 30 events on topics including Loss and Damage, displacement, and national implementation challenges. Their work with Bangladesh’s delegation exemplified efforts to bridge the gap between negotiation outcomes and national-level policy processes.</w:t>
            </w:r>
          </w:p>
          <w:p w14:paraId="331D20FE" w14:textId="0AB5960F" w:rsidR="00771999" w:rsidRPr="00554B41" w:rsidRDefault="00771999" w:rsidP="00771999">
            <w:pPr>
              <w:rPr>
                <w:rFonts w:cs="Arial"/>
              </w:rPr>
            </w:pPr>
            <w:r w:rsidRPr="00554B41">
              <w:rPr>
                <w:rFonts w:cs="Arial"/>
              </w:rPr>
              <w:t>Civil society and diplomatic actors also played an important role in shaping the political context in which LDC negotiators operated. Independent Diplomat supported high-ambition countries like the Republic of the Marshall Islands with strategic advice and coalition</w:t>
            </w:r>
            <w:r w:rsidR="002F5A22" w:rsidRPr="00554B41">
              <w:rPr>
                <w:rFonts w:cs="Arial"/>
              </w:rPr>
              <w:t xml:space="preserve"> </w:t>
            </w:r>
            <w:r w:rsidRPr="00554B41">
              <w:rPr>
                <w:rFonts w:cs="Arial"/>
              </w:rPr>
              <w:t>building within the High Ambition Coalition (HAC). While not directly advising the LDC Group, their advocacy for 1.5°C alignment and Loss and Damage outcomes helped create political space for LDC priorities. LDC positions were aligned with HAC messaging at critical moments, including during COP27 and COP29.</w:t>
            </w:r>
          </w:p>
          <w:p w14:paraId="7F877C19" w14:textId="06CEE207" w:rsidR="00771999" w:rsidRPr="00554B41" w:rsidRDefault="00771999" w:rsidP="00771999">
            <w:pPr>
              <w:rPr>
                <w:rFonts w:cs="Arial"/>
              </w:rPr>
            </w:pPr>
            <w:r w:rsidRPr="00554B41">
              <w:rPr>
                <w:rFonts w:cs="Arial"/>
              </w:rPr>
              <w:t xml:space="preserve">Germanwatch contributed to debates on climate finance and helped connect LDC negotiators with African civil society organisations through initiatives such as </w:t>
            </w:r>
            <w:r w:rsidR="00345674" w:rsidRPr="00554B41">
              <w:rPr>
                <w:rFonts w:cs="Arial"/>
              </w:rPr>
              <w:t>‘</w:t>
            </w:r>
            <w:r w:rsidRPr="00554B41">
              <w:rPr>
                <w:rFonts w:cs="Arial"/>
              </w:rPr>
              <w:t>CSO Readiness for the GCF – Focus Africa</w:t>
            </w:r>
            <w:r w:rsidR="00345674" w:rsidRPr="00554B41">
              <w:rPr>
                <w:rFonts w:cs="Arial"/>
              </w:rPr>
              <w:t>’</w:t>
            </w:r>
            <w:r w:rsidRPr="00554B41">
              <w:rPr>
                <w:rFonts w:cs="Arial"/>
              </w:rPr>
              <w:t xml:space="preserve">. They facilitated engagement between PACJA, Enda Energie, and LDC representatives, particularly on topics related to grant-based finance and </w:t>
            </w:r>
            <w:r w:rsidR="0025066A" w:rsidRPr="00554B41">
              <w:rPr>
                <w:rFonts w:cs="Arial"/>
              </w:rPr>
              <w:t>GCF</w:t>
            </w:r>
            <w:r w:rsidRPr="00554B41">
              <w:rPr>
                <w:rFonts w:cs="Arial"/>
              </w:rPr>
              <w:t xml:space="preserve"> accountability. At COP29, Germanwatch also participated in public-facing sessions on multilateral climate finance reform.</w:t>
            </w:r>
          </w:p>
          <w:p w14:paraId="0BB0C465" w14:textId="1A08A695" w:rsidR="00771999" w:rsidRPr="00554B41" w:rsidRDefault="00771999" w:rsidP="00771999">
            <w:r w:rsidRPr="00554B41">
              <w:rPr>
                <w:rFonts w:cs="Arial"/>
              </w:rPr>
              <w:t xml:space="preserve">Beyond formal institutions and technical support providers, several initiatives contributed to a growing ecosystem of climate negotiation capacity, particularly among youth and early-career negotiators from the </w:t>
            </w:r>
            <w:r w:rsidRPr="00554B41" w:rsidDel="00CA371C">
              <w:rPr>
                <w:rFonts w:cs="Arial"/>
              </w:rPr>
              <w:t>Global South</w:t>
            </w:r>
            <w:r w:rsidRPr="00554B41">
              <w:rPr>
                <w:rFonts w:cs="Arial"/>
              </w:rPr>
              <w:t xml:space="preserve">. Programmes such as the Youth Negotiators Academy (run by the Future Leaders Network), </w:t>
            </w:r>
            <w:r w:rsidR="0094062D" w:rsidRPr="00554B41">
              <w:rPr>
                <w:rFonts w:cs="Arial"/>
              </w:rPr>
              <w:t>NGP</w:t>
            </w:r>
            <w:r w:rsidRPr="00554B41">
              <w:rPr>
                <w:rFonts w:cs="Arial"/>
              </w:rPr>
              <w:t>, and university-linked fellowships expanded the pool of trained negotiators through legal, policy, and technical training. Some provided direct support to attend COPs and intersessionals. Yet many of these initiatives were not operating entirely independently of the LDC Group or</w:t>
            </w:r>
            <w:r w:rsidR="000F66FF" w:rsidRPr="00554B41">
              <w:rPr>
                <w:rFonts w:cs="Arial"/>
              </w:rPr>
              <w:t>,</w:t>
            </w:r>
            <w:r w:rsidRPr="00554B41">
              <w:rPr>
                <w:rFonts w:cs="Arial"/>
              </w:rPr>
              <w:t xml:space="preserve"> indeed, of CASA. As case study </w:t>
            </w:r>
            <w:r w:rsidR="008D6DEF" w:rsidRPr="00554B41">
              <w:rPr>
                <w:rFonts w:cs="Arial"/>
              </w:rPr>
              <w:t>3</w:t>
            </w:r>
            <w:r w:rsidRPr="00554B41">
              <w:rPr>
                <w:rFonts w:cs="Arial"/>
              </w:rPr>
              <w:t xml:space="preserve"> illuminates, CASA’s support for NGP through the Opportunity Fund</w:t>
            </w:r>
            <w:r w:rsidR="00DE0025" w:rsidRPr="00554B41">
              <w:rPr>
                <w:rFonts w:cs="Arial"/>
              </w:rPr>
              <w:t xml:space="preserve"> (OF)</w:t>
            </w:r>
            <w:r w:rsidRPr="00554B41">
              <w:rPr>
                <w:rFonts w:cs="Arial"/>
              </w:rPr>
              <w:t xml:space="preserve"> enabled the </w:t>
            </w:r>
            <w:r w:rsidR="00180367" w:rsidRPr="00554B41">
              <w:rPr>
                <w:rFonts w:cs="Arial"/>
              </w:rPr>
              <w:t>CLI</w:t>
            </w:r>
            <w:r w:rsidRPr="00554B41">
              <w:rPr>
                <w:rFonts w:cs="Arial"/>
              </w:rPr>
              <w:t xml:space="preserve"> team to build in a formalised partnership with negotiating groups including the LDC Group, ensuring that participating young negotiators were nominated by these groups. </w:t>
            </w:r>
          </w:p>
        </w:tc>
      </w:tr>
    </w:tbl>
    <w:p w14:paraId="77EAF820" w14:textId="0A983FDA" w:rsidR="00607464" w:rsidRDefault="004E5FAF" w:rsidP="004E5FAF">
      <w:pPr>
        <w:pStyle w:val="Heading2"/>
      </w:pPr>
      <w:bookmarkStart w:id="10" w:name="_Toc204967828"/>
      <w:r w:rsidRPr="00554B41">
        <w:t>What were the key factors in determining the outcome?</w:t>
      </w:r>
      <w:bookmarkEnd w:id="10"/>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771999" w:rsidRPr="00554B41" w14:paraId="7BB54C7C" w14:textId="77777777" w:rsidTr="0F3CC2F6">
        <w:trPr>
          <w:trHeight w:val="694"/>
        </w:trPr>
        <w:tc>
          <w:tcPr>
            <w:tcW w:w="5000" w:type="pct"/>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544AFFB0" w14:textId="192A270C" w:rsidR="00771999" w:rsidRPr="00554B41" w:rsidRDefault="00771999" w:rsidP="00771999">
            <w:pPr>
              <w:pStyle w:val="ListParagraph"/>
              <w:numPr>
                <w:ilvl w:val="1"/>
                <w:numId w:val="20"/>
              </w:numPr>
              <w:ind w:left="357" w:hanging="357"/>
              <w:rPr>
                <w:b/>
                <w:bCs/>
              </w:rPr>
            </w:pPr>
            <w:r w:rsidRPr="00554B41">
              <w:rPr>
                <w:b/>
                <w:bCs/>
              </w:rPr>
              <w:t>Leadership by individual Chairs and in-country support teams</w:t>
            </w:r>
          </w:p>
          <w:p w14:paraId="54938E8D" w14:textId="5B2EF2EC" w:rsidR="00771999" w:rsidRPr="00554B41" w:rsidRDefault="00771999" w:rsidP="00771999">
            <w:r w:rsidRPr="00554B41">
              <w:br/>
              <w:t xml:space="preserve">Chairs from Malawi, Senegal, Ethiopia, and Bhutan have been central to strengthening the LDC Group’s strategic direction. Their leadership combined political commitment, strong organisational skills, and growing media savviness—notably visible in Bhutan’s use of public diplomacy and Malawi’s convening of a Ministerial Strategy Meeting in Lilongwe. Chairs backed by in-country support teams, particularly in Malawi and Senegal, were especially effective. These teams enhanced internal coordination, reduced reliance on the </w:t>
            </w:r>
            <w:r w:rsidR="00DB4A3F">
              <w:t>c</w:t>
            </w:r>
            <w:r w:rsidRPr="00554B41">
              <w:t xml:space="preserve">hair alone, and sustained engagement across </w:t>
            </w:r>
            <w:r w:rsidR="000F66FF" w:rsidRPr="00554B41">
              <w:t xml:space="preserve">the </w:t>
            </w:r>
            <w:r w:rsidRPr="00554B41">
              <w:t>negotiation cycle.</w:t>
            </w:r>
          </w:p>
          <w:p w14:paraId="764BB8A9" w14:textId="0D397670" w:rsidR="00771999" w:rsidRPr="00554B41" w:rsidRDefault="00771999" w:rsidP="00771999">
            <w:pPr>
              <w:pStyle w:val="ListParagraph"/>
              <w:numPr>
                <w:ilvl w:val="1"/>
                <w:numId w:val="20"/>
              </w:numPr>
              <w:ind w:left="357" w:hanging="357"/>
              <w:rPr>
                <w:b/>
                <w:bCs/>
              </w:rPr>
            </w:pPr>
            <w:r w:rsidRPr="00554B41">
              <w:rPr>
                <w:b/>
                <w:bCs/>
              </w:rPr>
              <w:t xml:space="preserve">National incentives and the rising value of </w:t>
            </w:r>
            <w:r w:rsidR="00CB624D" w:rsidRPr="00554B41">
              <w:rPr>
                <w:b/>
                <w:bCs/>
              </w:rPr>
              <w:t>chairship</w:t>
            </w:r>
          </w:p>
          <w:p w14:paraId="3BD09B07" w14:textId="6D793381" w:rsidR="00771999" w:rsidRPr="00554B41" w:rsidRDefault="00771999" w:rsidP="00771999">
            <w:r w:rsidRPr="00554B41">
              <w:br/>
              <w:t xml:space="preserve">Governments increasingly view LDC </w:t>
            </w:r>
            <w:r w:rsidR="00CB624D" w:rsidRPr="00554B41">
              <w:t xml:space="preserve">chairship </w:t>
            </w:r>
            <w:r w:rsidRPr="00554B41">
              <w:t xml:space="preserve">as a platform for visibility, credibility, and access to climate finance. This reputational return has created stronger incentives for countries to second capable staff and back </w:t>
            </w:r>
            <w:r w:rsidR="00DB4A3F">
              <w:t>c</w:t>
            </w:r>
            <w:r w:rsidRPr="00554B41">
              <w:t xml:space="preserve">hair priorities domestically. Senegal and Malawi exemplify this shift, mobilising whole-of-government support and embedding the </w:t>
            </w:r>
            <w:r w:rsidR="00CB624D" w:rsidRPr="00554B41">
              <w:t xml:space="preserve">chairship </w:t>
            </w:r>
            <w:r w:rsidRPr="00554B41">
              <w:t>into broader national climate diplomacy strategies.</w:t>
            </w:r>
          </w:p>
          <w:p w14:paraId="41F458B0" w14:textId="451ABB63" w:rsidR="00771999" w:rsidRPr="00554B41" w:rsidRDefault="00BA6521" w:rsidP="00771999">
            <w:pPr>
              <w:pStyle w:val="ListParagraph"/>
              <w:numPr>
                <w:ilvl w:val="1"/>
                <w:numId w:val="20"/>
              </w:numPr>
              <w:ind w:left="357" w:hanging="357"/>
              <w:rPr>
                <w:b/>
                <w:bCs/>
              </w:rPr>
            </w:pPr>
            <w:r w:rsidRPr="00554B41">
              <w:rPr>
                <w:b/>
                <w:bCs/>
              </w:rPr>
              <w:t>TP</w:t>
            </w:r>
            <w:r w:rsidR="00771999" w:rsidRPr="00554B41">
              <w:rPr>
                <w:b/>
                <w:bCs/>
              </w:rPr>
              <w:t xml:space="preserve"> support and capacity integration</w:t>
            </w:r>
          </w:p>
          <w:p w14:paraId="4CD83349" w14:textId="6D10723B" w:rsidR="00771999" w:rsidRPr="00554B41" w:rsidRDefault="00771999" w:rsidP="00771999">
            <w:r w:rsidRPr="00554B41">
              <w:br/>
              <w:t>Year-round technical inputs from Climate Analytics and IIED have contributed directly to negotiation outcomes. C</w:t>
            </w:r>
            <w:r w:rsidR="000F66FF" w:rsidRPr="00554B41">
              <w:t xml:space="preserve">limate </w:t>
            </w:r>
            <w:r w:rsidRPr="00554B41">
              <w:t>A</w:t>
            </w:r>
            <w:r w:rsidR="000F66FF" w:rsidRPr="00554B41">
              <w:t>nalytics</w:t>
            </w:r>
            <w:r w:rsidRPr="00554B41">
              <w:t xml:space="preserve">’ support to the LDC Loss and Damage Fund thematic coordination, </w:t>
            </w:r>
            <w:r w:rsidR="000F66FF" w:rsidRPr="00554B41">
              <w:t xml:space="preserve">as well as </w:t>
            </w:r>
            <w:r w:rsidRPr="00554B41">
              <w:t>IIED’s engagement on adaptation and the UAE Framework, enabled more substantive participation in complex technical tracks. This embedded model has helped bridge policy ambitions with real-time negotiation dynamics. It is noted that little is known about the TPs</w:t>
            </w:r>
            <w:r w:rsidR="000F66FF" w:rsidRPr="00554B41">
              <w:t xml:space="preserve">’ </w:t>
            </w:r>
            <w:r w:rsidRPr="00554B41">
              <w:t xml:space="preserve">wider funding arrangements </w:t>
            </w:r>
            <w:r w:rsidR="000F66FF" w:rsidRPr="00554B41">
              <w:t xml:space="preserve">and to what extent they allow them </w:t>
            </w:r>
            <w:r w:rsidRPr="00554B41">
              <w:t xml:space="preserve">to undertake work similar to that of CASA with the same negotiating groups. </w:t>
            </w:r>
          </w:p>
          <w:p w14:paraId="25BB5598" w14:textId="1ECF6D88" w:rsidR="00771999" w:rsidRPr="00554B41" w:rsidRDefault="00771999" w:rsidP="00771999">
            <w:pPr>
              <w:pStyle w:val="ListParagraph"/>
              <w:numPr>
                <w:ilvl w:val="1"/>
                <w:numId w:val="20"/>
              </w:numPr>
              <w:ind w:left="357" w:hanging="357"/>
              <w:rPr>
                <w:b/>
                <w:bCs/>
              </w:rPr>
            </w:pPr>
            <w:r w:rsidRPr="00554B41">
              <w:rPr>
                <w:b/>
                <w:bCs/>
              </w:rPr>
              <w:t>UNIDO-led Secretariat formation</w:t>
            </w:r>
          </w:p>
          <w:p w14:paraId="1D3445E6" w14:textId="44EF9516" w:rsidR="00771999" w:rsidRPr="00554B41" w:rsidRDefault="00771999" w:rsidP="00771999">
            <w:r w:rsidRPr="00554B41">
              <w:rPr>
                <w:b/>
                <w:bCs/>
              </w:rPr>
              <w:t xml:space="preserve"> </w:t>
            </w:r>
            <w:r w:rsidRPr="00554B41">
              <w:br/>
              <w:t>The launch of the UNIDO</w:t>
            </w:r>
            <w:r w:rsidR="005C63ED" w:rsidRPr="00554B41">
              <w:t>/</w:t>
            </w:r>
            <w:r w:rsidRPr="00554B41">
              <w:t>GEF-funded LDC Secretariat in 2025 marks a major step in institutional development. However, its operational capacity remains nascent and dependent on external support. As one advisor put it, “We’re handing over files, but the Secretariat still depends on us to maintain momentum”. Misalignment between GEF structures and CASA partner delivery has also led to governance frictions and inefficiencies.</w:t>
            </w:r>
          </w:p>
          <w:p w14:paraId="179FC33D" w14:textId="6711BD2C" w:rsidR="00771999" w:rsidRPr="00554B41" w:rsidRDefault="00771999" w:rsidP="00771999">
            <w:pPr>
              <w:pStyle w:val="ListParagraph"/>
              <w:numPr>
                <w:ilvl w:val="1"/>
                <w:numId w:val="20"/>
              </w:numPr>
              <w:ind w:left="357" w:hanging="357"/>
              <w:rPr>
                <w:b/>
                <w:bCs/>
              </w:rPr>
            </w:pPr>
            <w:r w:rsidRPr="00554B41">
              <w:rPr>
                <w:b/>
                <w:bCs/>
              </w:rPr>
              <w:t>Alumni continuity and internal expertise</w:t>
            </w:r>
          </w:p>
          <w:p w14:paraId="796A3BE1" w14:textId="2249AFCA" w:rsidR="00771999" w:rsidRPr="00554B41" w:rsidRDefault="00771999" w:rsidP="00771999">
            <w:r>
              <w:br/>
              <w:t>The LDC Group now benefits from a growing cadre of experienced negotiators</w:t>
            </w:r>
            <w:r w:rsidR="000F66FF">
              <w:t xml:space="preserve">, </w:t>
            </w:r>
            <w:r>
              <w:t>many of whom have risen through CASA-supported initiatives such as the IIED Fellowship Programme</w:t>
            </w:r>
            <w:r w:rsidRPr="0050177A">
              <w:t xml:space="preserve">. </w:t>
            </w:r>
            <w:r w:rsidRPr="009A0B0F">
              <w:t>Alumni like Brenda Mwale and Yarid Tewodros</w:t>
            </w:r>
            <w:r>
              <w:t xml:space="preserve"> now anchor coordination efforts across finance, adaptation, and Loss and Damage. This internal capacity is helping the Group manage transitions and sustain institutional memory.</w:t>
            </w:r>
          </w:p>
          <w:p w14:paraId="690D16DD" w14:textId="4A1EAB21" w:rsidR="00771999" w:rsidRPr="00554B41" w:rsidRDefault="00771999" w:rsidP="00771999">
            <w:pPr>
              <w:pStyle w:val="ListParagraph"/>
              <w:numPr>
                <w:ilvl w:val="1"/>
                <w:numId w:val="20"/>
              </w:numPr>
              <w:ind w:left="357" w:hanging="357"/>
              <w:rPr>
                <w:b/>
                <w:bCs/>
              </w:rPr>
            </w:pPr>
            <w:r w:rsidRPr="00554B41">
              <w:rPr>
                <w:b/>
                <w:bCs/>
              </w:rPr>
              <w:t>Evolving relationships with other negotiating blocs</w:t>
            </w:r>
          </w:p>
          <w:p w14:paraId="7B8810D5" w14:textId="65B151ED" w:rsidR="00771999" w:rsidRPr="00554B41" w:rsidRDefault="00771999" w:rsidP="00771999">
            <w:r w:rsidRPr="00554B41">
              <w:br/>
              <w:t xml:space="preserve">Strategic alliances with AOSIS, AGN, and the G77+China have amplified LDC priorities, particularly around Loss and Damage and finance. The joint position with AOSIS on Santiago Network governance was noted as a pivotal moment </w:t>
            </w:r>
            <w:r w:rsidR="000F66FF" w:rsidRPr="00554B41">
              <w:t>in our i</w:t>
            </w:r>
            <w:r w:rsidRPr="00554B41">
              <w:t xml:space="preserve">nterview with </w:t>
            </w:r>
            <w:r w:rsidR="000F66FF" w:rsidRPr="00554B41">
              <w:t xml:space="preserve">a </w:t>
            </w:r>
            <w:r w:rsidRPr="00554B41">
              <w:t>Climate Analytics staff member</w:t>
            </w:r>
            <w:r w:rsidR="000F66FF" w:rsidRPr="00554B41">
              <w:t xml:space="preserve"> in </w:t>
            </w:r>
            <w:r w:rsidRPr="00554B41">
              <w:t xml:space="preserve">March 2025. </w:t>
            </w:r>
            <w:r w:rsidR="00D2080D" w:rsidRPr="00554B41">
              <w:t xml:space="preserve">However, while </w:t>
            </w:r>
            <w:r w:rsidRPr="00554B41">
              <w:t>these collaborations increase influence, they also require compromise</w:t>
            </w:r>
            <w:r w:rsidR="00D2080D" w:rsidRPr="00554B41">
              <w:t>—</w:t>
            </w:r>
            <w:r w:rsidRPr="00554B41">
              <w:t>occasionally limiting the Group’s ability to assert distinct positions.</w:t>
            </w:r>
          </w:p>
          <w:p w14:paraId="409BCA0D" w14:textId="33A320A0" w:rsidR="00771999" w:rsidRPr="00554B41" w:rsidRDefault="00771999" w:rsidP="00771999">
            <w:pPr>
              <w:pStyle w:val="ListParagraph"/>
              <w:numPr>
                <w:ilvl w:val="0"/>
                <w:numId w:val="20"/>
              </w:numPr>
              <w:ind w:left="357" w:hanging="357"/>
              <w:rPr>
                <w:b/>
                <w:bCs/>
              </w:rPr>
            </w:pPr>
            <w:r w:rsidRPr="00554B41">
              <w:rPr>
                <w:b/>
                <w:bCs/>
              </w:rPr>
              <w:t>Expanding youth pipeline and fellowships</w:t>
            </w:r>
          </w:p>
          <w:p w14:paraId="2DFAC360" w14:textId="0383318C" w:rsidR="00771999" w:rsidRPr="00554B41" w:rsidRDefault="00771999" w:rsidP="00771999">
            <w:r w:rsidRPr="00554B41">
              <w:br/>
              <w:t>A growing ecosystem of youth negotiation programmes</w:t>
            </w:r>
            <w:r w:rsidR="00D2080D" w:rsidRPr="00554B41">
              <w:t>,</w:t>
            </w:r>
            <w:r w:rsidRPr="00554B41">
              <w:t xml:space="preserve"> including </w:t>
            </w:r>
            <w:r w:rsidR="0094062D" w:rsidRPr="00554B41">
              <w:t>NGP</w:t>
            </w:r>
            <w:r w:rsidRPr="00554B41">
              <w:t>, IIED Fellowship, and the Youth Negotiators Academy</w:t>
            </w:r>
            <w:r w:rsidR="00D2080D" w:rsidRPr="00554B41">
              <w:t>,</w:t>
            </w:r>
            <w:r w:rsidRPr="00554B41">
              <w:t xml:space="preserve"> has deepened the talent pool. Climate negotiations are increasingly seen as a professional pathway for young </w:t>
            </w:r>
            <w:r w:rsidRPr="00554B41" w:rsidDel="00CA371C">
              <w:t>Global South</w:t>
            </w:r>
            <w:r w:rsidRPr="00554B41">
              <w:t xml:space="preserve"> experts. This has enabled countries to field larger, more capable teams and enhanced the Group’s participation across tracks.</w:t>
            </w:r>
          </w:p>
          <w:p w14:paraId="73F9B85E" w14:textId="4E22F52B" w:rsidR="00771999" w:rsidRPr="00554B41" w:rsidRDefault="00771999" w:rsidP="00771999">
            <w:pPr>
              <w:pStyle w:val="ListParagraph"/>
              <w:numPr>
                <w:ilvl w:val="0"/>
                <w:numId w:val="20"/>
              </w:numPr>
              <w:ind w:left="357" w:hanging="357"/>
              <w:rPr>
                <w:b/>
                <w:bCs/>
              </w:rPr>
            </w:pPr>
            <w:r w:rsidRPr="00554B41">
              <w:rPr>
                <w:b/>
                <w:bCs/>
              </w:rPr>
              <w:t>Structural participation barriers</w:t>
            </w:r>
          </w:p>
          <w:p w14:paraId="0826076E" w14:textId="3C67803B" w:rsidR="00771999" w:rsidRPr="00554B41" w:rsidRDefault="00771999" w:rsidP="00771999">
            <w:r w:rsidRPr="00554B41">
              <w:br/>
              <w:t>Despite progress, women and French</w:t>
            </w:r>
            <w:r w:rsidR="00D2080D" w:rsidRPr="00554B41">
              <w:t>-</w:t>
            </w:r>
            <w:r w:rsidRPr="00554B41">
              <w:t xml:space="preserve">speaking negotiators continue to face significant access constraints, including underrepresentation in leadership roles, visa issues, and limited translation. Research led by IIED and feedback from NGP mentors confirm persistent structural inequities that limit participation, particularly for female delegates </w:t>
            </w:r>
            <w:r w:rsidR="00682705">
              <w:t>due to the lack of</w:t>
            </w:r>
            <w:r w:rsidRPr="00554B41">
              <w:t xml:space="preserve"> strong government quotas.</w:t>
            </w:r>
          </w:p>
          <w:p w14:paraId="253764AE" w14:textId="591E3104" w:rsidR="00771999" w:rsidRPr="00554B41" w:rsidRDefault="00771999" w:rsidP="00771999">
            <w:pPr>
              <w:pStyle w:val="ListParagraph"/>
              <w:numPr>
                <w:ilvl w:val="0"/>
                <w:numId w:val="20"/>
              </w:numPr>
              <w:ind w:left="357" w:hanging="357"/>
              <w:rPr>
                <w:b/>
                <w:bCs/>
              </w:rPr>
            </w:pPr>
            <w:r w:rsidRPr="00554B41">
              <w:rPr>
                <w:b/>
                <w:bCs/>
              </w:rPr>
              <w:t>Resource constraints and CASA funding gaps</w:t>
            </w:r>
          </w:p>
          <w:p w14:paraId="35F7BA5D" w14:textId="5B3A6212" w:rsidR="00771999" w:rsidRPr="00554B41" w:rsidRDefault="00771999" w:rsidP="00771999">
            <w:r w:rsidRPr="00554B41">
              <w:br/>
              <w:t xml:space="preserve">While CASA funding has been instrumental in enabling thematic and coordination support, key gaps remain. These include travel costs for focal points, onboarding for new </w:t>
            </w:r>
            <w:r w:rsidR="00DB4A3F">
              <w:t>c</w:t>
            </w:r>
            <w:r w:rsidRPr="00554B41">
              <w:t>hairs, visa processing, and Secretariat staffing—all of which constrain the LDC Group’s ability to act independently and at scale. One partner noted that negotiators “still have to beg for support” to attend high-level meetings.</w:t>
            </w:r>
          </w:p>
        </w:tc>
      </w:tr>
    </w:tbl>
    <w:p w14:paraId="754434EB" w14:textId="77777777" w:rsidR="000940E0" w:rsidRPr="00554B41" w:rsidRDefault="000940E0" w:rsidP="000940E0"/>
    <w:p w14:paraId="54AF0F95" w14:textId="77777777" w:rsidR="000940E0" w:rsidRPr="00554B41" w:rsidRDefault="000940E0" w:rsidP="000940E0"/>
    <w:p w14:paraId="205A6BA9" w14:textId="77777777" w:rsidR="000940E0" w:rsidRPr="00554B41" w:rsidRDefault="000940E0" w:rsidP="000940E0">
      <w:pPr>
        <w:sectPr w:rsidR="000940E0" w:rsidRPr="00554B41" w:rsidSect="000940E0">
          <w:pgSz w:w="11906" w:h="16838"/>
          <w:pgMar w:top="1440" w:right="1440" w:bottom="1440" w:left="1440" w:header="708" w:footer="708" w:gutter="0"/>
          <w:cols w:space="708"/>
          <w:docGrid w:linePitch="360"/>
        </w:sectPr>
      </w:pPr>
    </w:p>
    <w:p w14:paraId="4658A4A7" w14:textId="4071A308" w:rsidR="006250B2" w:rsidRDefault="00465D41" w:rsidP="006250B2">
      <w:pPr>
        <w:keepNext/>
      </w:pPr>
      <w:r>
        <w:rPr>
          <w:noProof/>
        </w:rPr>
        <w:drawing>
          <wp:inline distT="0" distB="0" distL="0" distR="0" wp14:anchorId="7C4FE7F4" wp14:editId="0DF10ED7">
            <wp:extent cx="8869680" cy="6309223"/>
            <wp:effectExtent l="0" t="0" r="7620" b="0"/>
            <wp:docPr id="77414460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44606" name="Picture 1" descr="A diagram of a graph&#10;&#10;AI-generated content may be incorrect."/>
                    <pic:cNvPicPr/>
                  </pic:nvPicPr>
                  <pic:blipFill>
                    <a:blip r:embed="rId33"/>
                    <a:stretch>
                      <a:fillRect/>
                    </a:stretch>
                  </pic:blipFill>
                  <pic:spPr>
                    <a:xfrm>
                      <a:off x="0" y="0"/>
                      <a:ext cx="8897045" cy="6328689"/>
                    </a:xfrm>
                    <a:prstGeom prst="rect">
                      <a:avLst/>
                    </a:prstGeom>
                  </pic:spPr>
                </pic:pic>
              </a:graphicData>
            </a:graphic>
          </wp:inline>
        </w:drawing>
      </w:r>
    </w:p>
    <w:p w14:paraId="6D5CF24E" w14:textId="37C7AD62" w:rsidR="00A0418F" w:rsidRDefault="00A0418F" w:rsidP="00A0418F">
      <w:pPr>
        <w:keepNext/>
      </w:pPr>
    </w:p>
    <w:p w14:paraId="47E0E6EB" w14:textId="6F6387DF" w:rsidR="000940E0" w:rsidRPr="00554B41" w:rsidRDefault="00A0418F" w:rsidP="00A0418F">
      <w:pPr>
        <w:pStyle w:val="Caption"/>
        <w:sectPr w:rsidR="000940E0" w:rsidRPr="00554B41" w:rsidSect="000940E0">
          <w:pgSz w:w="16838" w:h="11906" w:orient="landscape"/>
          <w:pgMar w:top="1440" w:right="1440" w:bottom="1440" w:left="1440" w:header="709" w:footer="709" w:gutter="0"/>
          <w:cols w:space="708"/>
          <w:docGrid w:linePitch="360"/>
        </w:sectPr>
      </w:pPr>
      <w:r>
        <w:rPr>
          <w:noProof/>
        </w:rPr>
        <mc:AlternateContent>
          <mc:Choice Requires="wps">
            <w:drawing>
              <wp:anchor distT="0" distB="0" distL="114300" distR="114300" simplePos="0" relativeHeight="251658248" behindDoc="0" locked="0" layoutInCell="1" allowOverlap="1" wp14:anchorId="39024611" wp14:editId="7CF3BC94">
                <wp:simplePos x="0" y="0"/>
                <wp:positionH relativeFrom="column">
                  <wp:posOffset>-523875</wp:posOffset>
                </wp:positionH>
                <wp:positionV relativeFrom="paragraph">
                  <wp:posOffset>5067876</wp:posOffset>
                </wp:positionV>
                <wp:extent cx="3838575" cy="635"/>
                <wp:effectExtent l="0" t="0" r="9525" b="6350"/>
                <wp:wrapNone/>
                <wp:docPr id="764338891" name="Text Box 1"/>
                <wp:cNvGraphicFramePr/>
                <a:graphic xmlns:a="http://schemas.openxmlformats.org/drawingml/2006/main">
                  <a:graphicData uri="http://schemas.microsoft.com/office/word/2010/wordprocessingShape">
                    <wps:wsp>
                      <wps:cNvSpPr txBox="1"/>
                      <wps:spPr>
                        <a:xfrm>
                          <a:off x="0" y="0"/>
                          <a:ext cx="3838575" cy="635"/>
                        </a:xfrm>
                        <a:prstGeom prst="rect">
                          <a:avLst/>
                        </a:prstGeom>
                        <a:solidFill>
                          <a:prstClr val="white"/>
                        </a:solidFill>
                        <a:ln>
                          <a:noFill/>
                        </a:ln>
                      </wps:spPr>
                      <wps:txbx>
                        <w:txbxContent>
                          <w:p w14:paraId="4A79B84E" w14:textId="5452C499" w:rsidR="00A0418F" w:rsidRPr="00906A00" w:rsidRDefault="00A0418F" w:rsidP="00A0418F">
                            <w:pPr>
                              <w:pStyle w:val="Caption"/>
                            </w:pPr>
                            <w:r>
                              <w:t xml:space="preserve">Figure </w:t>
                            </w:r>
                            <w:r>
                              <w:fldChar w:fldCharType="begin"/>
                            </w:r>
                            <w:r>
                              <w:instrText xml:space="preserve"> SEQ Figure \* ARABIC </w:instrText>
                            </w:r>
                            <w:r>
                              <w:fldChar w:fldCharType="separate"/>
                            </w:r>
                            <w:r w:rsidR="00F42BFD">
                              <w:rPr>
                                <w:noProof/>
                              </w:rPr>
                              <w:t>2</w:t>
                            </w:r>
                            <w:r>
                              <w:fldChar w:fldCharType="end"/>
                            </w:r>
                            <w:r>
                              <w:t xml:space="preserve">. </w:t>
                            </w:r>
                            <w:r w:rsidRPr="00554B41">
                              <w:t>Timeline for the LRI case study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024611" id="_x0000_s1027" type="#_x0000_t202" style="position:absolute;left:0;text-align:left;margin-left:-41.25pt;margin-top:399.05pt;width:302.25pt;height:.0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" stroked="f">
                <v:textbox style="mso-fit-shape-to-text:t" inset="0,0,0,0">
                  <w:txbxContent>
                    <w:p w14:paraId="4A79B84E" w14:textId="5452C499" w:rsidR="00A0418F" w:rsidRPr="00906A00" w:rsidRDefault="00A0418F" w:rsidP="00A0418F">
                      <w:pPr>
                        <w:pStyle w:val="Caption"/>
                      </w:pPr>
                      <w:r>
                        <w:t xml:space="preserve">Figure </w:t>
                      </w:r>
                      <w:r>
                        <w:fldChar w:fldCharType="begin"/>
                      </w:r>
                      <w:r>
                        <w:instrText xml:space="preserve"> SEQ Figure \* ARABIC </w:instrText>
                      </w:r>
                      <w:r>
                        <w:fldChar w:fldCharType="separate"/>
                      </w:r>
                      <w:r w:rsidR="00F42BFD">
                        <w:rPr>
                          <w:noProof/>
                        </w:rPr>
                        <w:t>2</w:t>
                      </w:r>
                      <w:r>
                        <w:fldChar w:fldCharType="end"/>
                      </w:r>
                      <w:r>
                        <w:t xml:space="preserve">. </w:t>
                      </w:r>
                      <w:r w:rsidRPr="00554B41">
                        <w:t>Timeline for the LRI case study</w:t>
                      </w:r>
                    </w:p>
                  </w:txbxContent>
                </v:textbox>
              </v:shape>
            </w:pict>
          </mc:Fallback>
        </mc:AlternateContent>
      </w:r>
    </w:p>
    <w:p w14:paraId="75C58C18" w14:textId="0FDF2314" w:rsidR="00961AE5" w:rsidRPr="00FF7506" w:rsidRDefault="00FF7506" w:rsidP="00FF7506">
      <w:pPr>
        <w:pStyle w:val="Heading1"/>
      </w:pPr>
      <w:bookmarkStart w:id="11" w:name="_Toc204967829"/>
      <w:r w:rsidRPr="00FF7506">
        <w:t>Case study 2: Legal Response Initiative</w:t>
      </w:r>
      <w:bookmarkEnd w:id="11"/>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2551"/>
      </w:tblGrid>
      <w:tr w:rsidR="001113DA" w:rsidRPr="00554B41" w14:paraId="2E8D92DF" w14:textId="77777777" w:rsidTr="005809C8">
        <w:trPr>
          <w:trHeight w:val="300"/>
        </w:trPr>
        <w:tc>
          <w:tcPr>
            <w:tcW w:w="6513" w:type="dxa"/>
            <w:tcBorders>
              <w:top w:val="single" w:sz="6" w:space="0" w:color="303030" w:themeColor="text1"/>
              <w:left w:val="single" w:sz="6" w:space="0" w:color="303030" w:themeColor="text1"/>
              <w:bottom w:val="single" w:sz="6" w:space="0" w:color="303030" w:themeColor="text1"/>
              <w:right w:val="single" w:sz="6" w:space="0" w:color="303030" w:themeColor="text1"/>
            </w:tcBorders>
            <w:shd w:val="clear" w:color="auto" w:fill="CEDCDB" w:themeFill="accent2" w:themeFillTint="66"/>
          </w:tcPr>
          <w:p w14:paraId="2BBFDCA6" w14:textId="77777777" w:rsidR="001113DA" w:rsidRPr="00554B41" w:rsidRDefault="001113DA" w:rsidP="001113DA">
            <w:pPr>
              <w:jc w:val="left"/>
              <w:rPr>
                <w:b/>
                <w:bCs/>
              </w:rPr>
            </w:pPr>
            <w:r w:rsidRPr="00554B41">
              <w:rPr>
                <w:b/>
                <w:bCs/>
              </w:rPr>
              <w:t>Outcome title</w:t>
            </w:r>
          </w:p>
          <w:p w14:paraId="17534A3C" w14:textId="6F250BC2" w:rsidR="001113DA" w:rsidRPr="00554B41" w:rsidRDefault="001113DA" w:rsidP="001113DA">
            <w:pPr>
              <w:jc w:val="left"/>
              <w:rPr>
                <w:b/>
                <w:bCs/>
              </w:rPr>
            </w:pPr>
            <w:r w:rsidRPr="00554B41">
              <w:t xml:space="preserve">The expansion of a successful, innovative </w:t>
            </w:r>
            <w:r w:rsidR="00D2080D" w:rsidRPr="00554B41">
              <w:t xml:space="preserve">technical assistance </w:t>
            </w:r>
            <w:r w:rsidRPr="00554B41">
              <w:t xml:space="preserve">model to serve </w:t>
            </w:r>
            <w:r w:rsidRPr="00554B41" w:rsidDel="00CA371C">
              <w:t>Global South</w:t>
            </w:r>
            <w:r w:rsidRPr="00554B41">
              <w:t xml:space="preserve"> countries’ implementation needs</w:t>
            </w:r>
          </w:p>
        </w:tc>
        <w:tc>
          <w:tcPr>
            <w:tcW w:w="2551" w:type="dxa"/>
            <w:tcBorders>
              <w:top w:val="single" w:sz="6" w:space="0" w:color="303030" w:themeColor="text1"/>
              <w:left w:val="single" w:sz="6" w:space="0" w:color="303030" w:themeColor="text1"/>
              <w:bottom w:val="single" w:sz="6" w:space="0" w:color="303030" w:themeColor="text1"/>
              <w:right w:val="single" w:sz="6" w:space="0" w:color="303030" w:themeColor="text1"/>
            </w:tcBorders>
            <w:shd w:val="clear" w:color="auto" w:fill="CEDCDB" w:themeFill="accent2" w:themeFillTint="66"/>
          </w:tcPr>
          <w:p w14:paraId="2F766489" w14:textId="77777777" w:rsidR="001113DA" w:rsidRPr="00554B41" w:rsidRDefault="001113DA" w:rsidP="001113DA">
            <w:pPr>
              <w:jc w:val="left"/>
              <w:rPr>
                <w:b/>
                <w:bCs/>
              </w:rPr>
            </w:pPr>
            <w:r w:rsidRPr="00554B41">
              <w:rPr>
                <w:b/>
                <w:bCs/>
              </w:rPr>
              <w:t>Strength of evidence</w:t>
            </w:r>
          </w:p>
          <w:p w14:paraId="71539525" w14:textId="6BFBA99E" w:rsidR="001113DA" w:rsidRPr="00554B41" w:rsidRDefault="001113DA" w:rsidP="001113DA">
            <w:pPr>
              <w:jc w:val="left"/>
              <w:rPr>
                <w:b/>
                <w:bCs/>
              </w:rPr>
            </w:pPr>
            <w:r w:rsidRPr="00554B41">
              <w:rPr>
                <w:b/>
                <w:bCs/>
              </w:rPr>
              <w:t>Strong</w:t>
            </w:r>
          </w:p>
        </w:tc>
      </w:tr>
    </w:tbl>
    <w:p w14:paraId="1FF2D8D9" w14:textId="77777777" w:rsidR="00FE011C" w:rsidRPr="00554B41" w:rsidRDefault="00FE011C" w:rsidP="00FE011C">
      <w:pPr>
        <w:pStyle w:val="Heading2"/>
      </w:pPr>
      <w:bookmarkStart w:id="12" w:name="_Toc204967830"/>
      <w:r w:rsidRPr="00554B41">
        <w:t>Summary of CASA II contribution</w:t>
      </w:r>
      <w:bookmarkEnd w:id="12"/>
      <w:r w:rsidRPr="00554B41">
        <w:t xml:space="preserve"> </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4"/>
      </w:tblGrid>
      <w:tr w:rsidR="001113DA" w:rsidRPr="00554B41" w14:paraId="5C4B1E63" w14:textId="77777777" w:rsidTr="00FE011C">
        <w:trPr>
          <w:trHeight w:val="300"/>
        </w:trPr>
        <w:tc>
          <w:tcPr>
            <w:tcW w:w="9064" w:type="dxa"/>
            <w:tcBorders>
              <w:top w:val="single" w:sz="6" w:space="0" w:color="303030" w:themeColor="text1"/>
              <w:left w:val="single" w:sz="6" w:space="0" w:color="303030" w:themeColor="text1"/>
              <w:bottom w:val="single" w:sz="6" w:space="0" w:color="303030" w:themeColor="text1"/>
              <w:right w:val="single" w:sz="6" w:space="0" w:color="303030" w:themeColor="text1"/>
            </w:tcBorders>
            <w:shd w:val="clear" w:color="auto" w:fill="F2F2F2" w:themeFill="background1" w:themeFillShade="F2"/>
            <w:hideMark/>
          </w:tcPr>
          <w:p w14:paraId="67AE4E9F" w14:textId="08ECBCA4" w:rsidR="001113DA" w:rsidRPr="00554B41" w:rsidRDefault="001113DA" w:rsidP="00A07159">
            <w:pPr>
              <w:rPr>
                <w:b/>
                <w:bCs/>
              </w:rPr>
            </w:pPr>
            <w:r w:rsidRPr="00554B41">
              <w:rPr>
                <w:b/>
                <w:bCs/>
              </w:rPr>
              <w:t>Very confident that CASA II made a critical contribution</w:t>
            </w:r>
          </w:p>
          <w:p w14:paraId="250B0ED8" w14:textId="0700ECF7" w:rsidR="001113DA" w:rsidRPr="00554B41" w:rsidRDefault="00016694" w:rsidP="001113DA">
            <w:r w:rsidRPr="00554B41">
              <w:t xml:space="preserve">LRI employs </w:t>
            </w:r>
            <w:r w:rsidR="001113DA" w:rsidRPr="00554B41">
              <w:t>a unique operating model, providing pro bono, ad hoc</w:t>
            </w:r>
            <w:r w:rsidRPr="00554B41">
              <w:t>,</w:t>
            </w:r>
            <w:r w:rsidR="001113DA" w:rsidRPr="00554B41">
              <w:t xml:space="preserve"> and targeted legal support across a wide array of legal issues related to domestic implementation. LRI has adapted its operating model to offer a broader suite of services through the niche of high-quality legal expertise—ranging from NDC support</w:t>
            </w:r>
            <w:r w:rsidRPr="00554B41">
              <w:t xml:space="preserve"> and </w:t>
            </w:r>
            <w:r w:rsidR="001113DA" w:rsidRPr="00554B41">
              <w:t>drafting of climate legislation and carbon market frameworks, to conducting legal research and aligning domestic laws with international climate obligations.</w:t>
            </w:r>
          </w:p>
          <w:p w14:paraId="34452938" w14:textId="20C088EC" w:rsidR="001113DA" w:rsidRPr="00554B41" w:rsidRDefault="001113DA" w:rsidP="001113DA">
            <w:r w:rsidRPr="00554B41">
              <w:rPr>
                <w:bCs/>
              </w:rPr>
              <w:t xml:space="preserve">CASA’s support, as the main funder currently accounting for 76% of LRI’s core funding, enabled LRI to expand its approach and evolve into the go-to organisation for legal advice and support within the climate space. Continuous funding from the </w:t>
            </w:r>
            <w:r w:rsidR="00B13EC7" w:rsidRPr="00554B41">
              <w:rPr>
                <w:bCs/>
              </w:rPr>
              <w:t>United Kingdom (</w:t>
            </w:r>
            <w:r w:rsidRPr="00554B41">
              <w:rPr>
                <w:bCs/>
              </w:rPr>
              <w:t>UK</w:t>
            </w:r>
            <w:r w:rsidR="00B13EC7" w:rsidRPr="00554B41">
              <w:rPr>
                <w:bCs/>
              </w:rPr>
              <w:t>)</w:t>
            </w:r>
            <w:r w:rsidRPr="00554B41">
              <w:rPr>
                <w:bCs/>
              </w:rPr>
              <w:t xml:space="preserve"> </w:t>
            </w:r>
            <w:r w:rsidR="00B13EC7" w:rsidRPr="00554B41">
              <w:rPr>
                <w:bCs/>
              </w:rPr>
              <w:t xml:space="preserve">Government </w:t>
            </w:r>
            <w:r w:rsidRPr="00554B41">
              <w:rPr>
                <w:bCs/>
              </w:rPr>
              <w:t xml:space="preserve">for over </w:t>
            </w:r>
            <w:r w:rsidR="00016694" w:rsidRPr="00554B41">
              <w:rPr>
                <w:bCs/>
              </w:rPr>
              <w:t xml:space="preserve">15 </w:t>
            </w:r>
            <w:r w:rsidRPr="00554B41">
              <w:rPr>
                <w:bCs/>
              </w:rPr>
              <w:t xml:space="preserve">years has allowed LRI to maintain a consistent presence at climate negotiations and develop its stock of assets, which has led to an increase in demand for </w:t>
            </w:r>
            <w:r w:rsidR="00016694" w:rsidRPr="00554B41">
              <w:rPr>
                <w:bCs/>
              </w:rPr>
              <w:t xml:space="preserve">its </w:t>
            </w:r>
            <w:r w:rsidRPr="00554B41">
              <w:rPr>
                <w:bCs/>
              </w:rPr>
              <w:t xml:space="preserve">services—solidifying its role as an essential provider of legal support to </w:t>
            </w:r>
            <w:r w:rsidRPr="00554B41" w:rsidDel="00CA371C">
              <w:rPr>
                <w:bCs/>
              </w:rPr>
              <w:t>Global South</w:t>
            </w:r>
            <w:r w:rsidRPr="00554B41">
              <w:rPr>
                <w:bCs/>
              </w:rPr>
              <w:t xml:space="preserve"> country delegations.</w:t>
            </w:r>
          </w:p>
        </w:tc>
      </w:tr>
    </w:tbl>
    <w:p w14:paraId="701988FC" w14:textId="11DBB92E" w:rsidR="00FE011C" w:rsidRDefault="00686C16" w:rsidP="00412BDC">
      <w:pPr>
        <w:pStyle w:val="Heading2"/>
      </w:pPr>
      <w:bookmarkStart w:id="13" w:name="_Toc201327339"/>
      <w:bookmarkStart w:id="14" w:name="_Toc204967831"/>
      <w:r w:rsidRPr="00990E87">
        <w:t xml:space="preserve">Summary of </w:t>
      </w:r>
      <w:r>
        <w:t xml:space="preserve">the contribution of </w:t>
      </w:r>
      <w:r w:rsidRPr="00990E87">
        <w:t>other actors and factors</w:t>
      </w:r>
      <w:bookmarkEnd w:id="13"/>
      <w:bookmarkEnd w:id="14"/>
    </w:p>
    <w:tbl>
      <w:tblPr>
        <w:tblW w:w="9064"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2551"/>
      </w:tblGrid>
      <w:tr w:rsidR="001113DA" w:rsidRPr="00554B41" w14:paraId="3C235181" w14:textId="77777777" w:rsidTr="00550F7C">
        <w:trPr>
          <w:trHeight w:val="554"/>
        </w:trPr>
        <w:tc>
          <w:tcPr>
            <w:tcW w:w="6513" w:type="dxa"/>
            <w:tcBorders>
              <w:top w:val="single" w:sz="6" w:space="0" w:color="303030" w:themeColor="text1"/>
              <w:left w:val="single" w:sz="6" w:space="0" w:color="303030" w:themeColor="text1"/>
              <w:right w:val="single" w:sz="6" w:space="0" w:color="303030" w:themeColor="text1"/>
            </w:tcBorders>
          </w:tcPr>
          <w:p w14:paraId="37CA968B" w14:textId="77777777" w:rsidR="001113DA" w:rsidRPr="00554B41" w:rsidRDefault="001113DA" w:rsidP="001113DA">
            <w:pPr>
              <w:pStyle w:val="ListNumber"/>
              <w:numPr>
                <w:ilvl w:val="0"/>
                <w:numId w:val="26"/>
              </w:numPr>
              <w:jc w:val="left"/>
            </w:pPr>
            <w:r w:rsidRPr="00554B41">
              <w:t>LRI has an agile operating model</w:t>
            </w:r>
          </w:p>
        </w:tc>
        <w:tc>
          <w:tcPr>
            <w:tcW w:w="2551" w:type="dxa"/>
            <w:tcBorders>
              <w:top w:val="single" w:sz="6" w:space="0" w:color="303030" w:themeColor="text1"/>
              <w:left w:val="single" w:sz="6" w:space="0" w:color="303030" w:themeColor="text1"/>
              <w:right w:val="single" w:sz="6" w:space="0" w:color="303030" w:themeColor="text1"/>
            </w:tcBorders>
          </w:tcPr>
          <w:p w14:paraId="71FE1973" w14:textId="77777777" w:rsidR="001113DA" w:rsidRPr="00554B41" w:rsidRDefault="001113DA" w:rsidP="001113DA">
            <w:pPr>
              <w:pStyle w:val="ListNumber"/>
              <w:spacing w:after="160" w:line="259" w:lineRule="auto"/>
              <w:jc w:val="left"/>
            </w:pPr>
            <w:r w:rsidRPr="00554B41">
              <w:t>Critical contribution</w:t>
            </w:r>
          </w:p>
        </w:tc>
      </w:tr>
      <w:tr w:rsidR="001113DA" w:rsidRPr="00554B41" w14:paraId="10A5EDB5" w14:textId="77777777" w:rsidTr="00550F7C">
        <w:trPr>
          <w:trHeight w:val="862"/>
        </w:trPr>
        <w:tc>
          <w:tcPr>
            <w:tcW w:w="6513" w:type="dxa"/>
            <w:tcBorders>
              <w:top w:val="single" w:sz="6" w:space="0" w:color="303030" w:themeColor="text1"/>
              <w:left w:val="single" w:sz="6" w:space="0" w:color="303030" w:themeColor="text1"/>
              <w:right w:val="single" w:sz="6" w:space="0" w:color="303030" w:themeColor="text1"/>
            </w:tcBorders>
          </w:tcPr>
          <w:p w14:paraId="31FA9E1A" w14:textId="0DE76285" w:rsidR="001113DA" w:rsidRPr="00554B41" w:rsidRDefault="001113DA" w:rsidP="001113DA">
            <w:pPr>
              <w:pStyle w:val="ListNumber"/>
              <w:numPr>
                <w:ilvl w:val="0"/>
                <w:numId w:val="26"/>
              </w:numPr>
              <w:jc w:val="left"/>
            </w:pPr>
            <w:r w:rsidRPr="00554B41">
              <w:t>Increasingly expansive and engaged network of pro bono attorneys in a high-growth, strategically important area of legal practice</w:t>
            </w:r>
          </w:p>
        </w:tc>
        <w:tc>
          <w:tcPr>
            <w:tcW w:w="2551" w:type="dxa"/>
            <w:tcBorders>
              <w:top w:val="single" w:sz="6" w:space="0" w:color="303030" w:themeColor="text1"/>
              <w:left w:val="single" w:sz="6" w:space="0" w:color="303030" w:themeColor="text1"/>
              <w:right w:val="single" w:sz="6" w:space="0" w:color="303030" w:themeColor="text1"/>
            </w:tcBorders>
          </w:tcPr>
          <w:p w14:paraId="769015EC" w14:textId="77777777" w:rsidR="001113DA" w:rsidRPr="00554B41" w:rsidRDefault="001113DA" w:rsidP="001113DA">
            <w:pPr>
              <w:pStyle w:val="ListNumber"/>
              <w:ind w:left="0" w:firstLine="0"/>
              <w:jc w:val="left"/>
            </w:pPr>
            <w:r w:rsidRPr="00554B41">
              <w:t>Critical contribution</w:t>
            </w:r>
          </w:p>
        </w:tc>
      </w:tr>
      <w:tr w:rsidR="001113DA" w:rsidRPr="00554B41" w14:paraId="301D118B" w14:textId="77777777" w:rsidTr="00550F7C">
        <w:trPr>
          <w:trHeight w:val="862"/>
        </w:trPr>
        <w:tc>
          <w:tcPr>
            <w:tcW w:w="6513" w:type="dxa"/>
            <w:tcBorders>
              <w:top w:val="single" w:sz="6" w:space="0" w:color="303030" w:themeColor="text1"/>
              <w:left w:val="single" w:sz="6" w:space="0" w:color="303030" w:themeColor="text1"/>
              <w:right w:val="single" w:sz="6" w:space="0" w:color="303030" w:themeColor="text1"/>
            </w:tcBorders>
          </w:tcPr>
          <w:p w14:paraId="489CECAE" w14:textId="77777777" w:rsidR="001113DA" w:rsidRPr="00554B41" w:rsidRDefault="001113DA" w:rsidP="001113DA">
            <w:pPr>
              <w:pStyle w:val="ListNumber"/>
              <w:numPr>
                <w:ilvl w:val="0"/>
                <w:numId w:val="26"/>
              </w:numPr>
              <w:jc w:val="left"/>
            </w:pPr>
            <w:r w:rsidRPr="00554B41">
              <w:t>Strong focus on domestic implementation in the context of the multilateral climate framework, focusing on delivery of NDCs</w:t>
            </w:r>
          </w:p>
        </w:tc>
        <w:tc>
          <w:tcPr>
            <w:tcW w:w="2551" w:type="dxa"/>
            <w:tcBorders>
              <w:top w:val="single" w:sz="6" w:space="0" w:color="303030" w:themeColor="text1"/>
              <w:left w:val="single" w:sz="6" w:space="0" w:color="303030" w:themeColor="text1"/>
              <w:right w:val="single" w:sz="6" w:space="0" w:color="303030" w:themeColor="text1"/>
            </w:tcBorders>
          </w:tcPr>
          <w:p w14:paraId="4730A454" w14:textId="77777777" w:rsidR="001113DA" w:rsidRPr="00554B41" w:rsidRDefault="001113DA" w:rsidP="001113DA">
            <w:pPr>
              <w:pStyle w:val="ListNumber"/>
              <w:jc w:val="left"/>
            </w:pPr>
            <w:r w:rsidRPr="00554B41">
              <w:t>Critical contribution</w:t>
            </w:r>
          </w:p>
        </w:tc>
      </w:tr>
      <w:tr w:rsidR="001113DA" w:rsidRPr="00554B41" w14:paraId="119D8D11" w14:textId="77777777" w:rsidTr="00550F7C">
        <w:trPr>
          <w:trHeight w:val="862"/>
        </w:trPr>
        <w:tc>
          <w:tcPr>
            <w:tcW w:w="6513" w:type="dxa"/>
            <w:tcBorders>
              <w:top w:val="single" w:sz="6" w:space="0" w:color="303030" w:themeColor="text1"/>
              <w:left w:val="single" w:sz="6" w:space="0" w:color="303030" w:themeColor="text1"/>
              <w:right w:val="single" w:sz="6" w:space="0" w:color="303030" w:themeColor="text1"/>
            </w:tcBorders>
          </w:tcPr>
          <w:p w14:paraId="6636D1F8" w14:textId="77777777" w:rsidR="001113DA" w:rsidRPr="00554B41" w:rsidRDefault="001113DA" w:rsidP="001113DA">
            <w:pPr>
              <w:pStyle w:val="ListNumber"/>
              <w:numPr>
                <w:ilvl w:val="0"/>
                <w:numId w:val="26"/>
              </w:numPr>
              <w:jc w:val="left"/>
            </w:pPr>
            <w:r w:rsidRPr="00554B41">
              <w:t xml:space="preserve">Trusting relationships built up over time between negotiators and legal teams </w:t>
            </w:r>
          </w:p>
        </w:tc>
        <w:tc>
          <w:tcPr>
            <w:tcW w:w="2551" w:type="dxa"/>
            <w:tcBorders>
              <w:top w:val="single" w:sz="6" w:space="0" w:color="303030" w:themeColor="text1"/>
              <w:left w:val="single" w:sz="6" w:space="0" w:color="303030" w:themeColor="text1"/>
              <w:right w:val="single" w:sz="6" w:space="0" w:color="303030" w:themeColor="text1"/>
            </w:tcBorders>
          </w:tcPr>
          <w:p w14:paraId="6021F414" w14:textId="77777777" w:rsidR="001113DA" w:rsidRPr="00554B41" w:rsidRDefault="001113DA" w:rsidP="001113DA">
            <w:pPr>
              <w:pStyle w:val="ListNumber"/>
              <w:ind w:left="0" w:firstLine="0"/>
              <w:jc w:val="left"/>
            </w:pPr>
            <w:r w:rsidRPr="00554B41">
              <w:t>Critical contribution</w:t>
            </w:r>
          </w:p>
        </w:tc>
      </w:tr>
    </w:tbl>
    <w:p w14:paraId="6FC3E545" w14:textId="5A502541" w:rsidR="006B422F" w:rsidRDefault="006B422F" w:rsidP="006B422F">
      <w:pPr>
        <w:pStyle w:val="Heading2"/>
      </w:pPr>
      <w:bookmarkStart w:id="15" w:name="_Toc204967832"/>
      <w:r w:rsidRPr="00554B41">
        <w:t>Geographic and temporal context</w:t>
      </w:r>
      <w:bookmarkEnd w:id="15"/>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4"/>
      </w:tblGrid>
      <w:tr w:rsidR="001113DA" w:rsidRPr="00554B41" w14:paraId="452510C8" w14:textId="77777777" w:rsidTr="006B422F">
        <w:trPr>
          <w:trHeight w:val="300"/>
        </w:trPr>
        <w:tc>
          <w:tcPr>
            <w:tcW w:w="9064" w:type="dxa"/>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57BD8051" w14:textId="7C027954" w:rsidR="001113DA" w:rsidRPr="00554B41" w:rsidRDefault="001113DA" w:rsidP="001113DA">
            <w:r w:rsidRPr="00554B41">
              <w:t xml:space="preserve">The biggest shift in context during CASA II, of relevance to this </w:t>
            </w:r>
            <w:r w:rsidR="00016694" w:rsidRPr="00554B41">
              <w:t>case study</w:t>
            </w:r>
            <w:r w:rsidRPr="00554B41">
              <w:t xml:space="preserve">, is from delegations solely demanding rapid legal advice for negotiations support during climate negotiations to, now, also seeking greater alignment of international law and COP decisions with domestic policy and implementation.  This includes the development of NDCs every five years, </w:t>
            </w:r>
            <w:r w:rsidR="00016694" w:rsidRPr="00554B41">
              <w:t xml:space="preserve">climate change framework </w:t>
            </w:r>
            <w:r w:rsidRPr="00554B41">
              <w:t>laws, and</w:t>
            </w:r>
            <w:r w:rsidR="00016694" w:rsidRPr="00554B41">
              <w:t>,</w:t>
            </w:r>
            <w:r w:rsidRPr="00554B41">
              <w:t xml:space="preserve"> more recently, </w:t>
            </w:r>
            <w:r w:rsidR="00016694" w:rsidRPr="00554B41">
              <w:t>carbon market frameworks</w:t>
            </w:r>
            <w:r w:rsidRPr="00554B41">
              <w:t xml:space="preserve">. This shift resulted in a wave of a </w:t>
            </w:r>
            <w:r w:rsidR="00AE5739" w:rsidRPr="00554B41">
              <w:t>new type</w:t>
            </w:r>
            <w:r w:rsidRPr="00554B41">
              <w:t xml:space="preserve"> of request to LRI. </w:t>
            </w:r>
          </w:p>
          <w:p w14:paraId="1BF08057" w14:textId="04B8C5AA" w:rsidR="001113DA" w:rsidRPr="00554B41" w:rsidRDefault="001113DA" w:rsidP="001113DA">
            <w:r w:rsidRPr="00554B41">
              <w:t>In northern countries, common law jurisdictions and private practice, pro bono work is often embedded in the professional culture, serving not only as an obligation but also as a form of professional development. Law firms from LRI’s existing network have been very supportive of this shift towards domestic implementation and have been actively seeking work in this space. This also marks a shift from the early years of LRI (2010</w:t>
            </w:r>
            <w:r w:rsidR="00016694" w:rsidRPr="00554B41">
              <w:t>–</w:t>
            </w:r>
            <w:r w:rsidRPr="00554B41">
              <w:t>2015), when support from law firms had to be solicited. They now actively seek opportunities to support LRI.</w:t>
            </w:r>
          </w:p>
          <w:p w14:paraId="74784612" w14:textId="6AA19B40" w:rsidR="001113DA" w:rsidRPr="00554B41" w:rsidRDefault="001113DA" w:rsidP="001113DA">
            <w:r w:rsidRPr="00554B41">
              <w:t>Nevertheless, there are clear limitations to the extent in which international lawyers are familiar with legal frameworks in other countries, when advising on domestic implementation. LRI is looking to expand its legal network to include lawyers from supported countries to better respond to this. However, a</w:t>
            </w:r>
            <w:r w:rsidRPr="00554B41">
              <w:rPr>
                <w:rFonts w:eastAsia="Times New Roman" w:cs="Calibri"/>
                <w:color w:val="212121"/>
                <w:lang w:eastAsia="en-GB"/>
              </w:rPr>
              <w:t xml:space="preserve">necdotal evidence indicates that, in some </w:t>
            </w:r>
            <w:r w:rsidRPr="00554B41" w:rsidDel="00CA371C">
              <w:rPr>
                <w:rFonts w:eastAsia="Times New Roman" w:cs="Calibri"/>
                <w:color w:val="212121"/>
                <w:lang w:eastAsia="en-GB"/>
              </w:rPr>
              <w:t>Global South</w:t>
            </w:r>
            <w:r w:rsidRPr="00554B41">
              <w:rPr>
                <w:rFonts w:eastAsia="Times New Roman" w:cs="Calibri"/>
                <w:color w:val="212121"/>
                <w:lang w:eastAsia="en-GB"/>
              </w:rPr>
              <w:t xml:space="preserve"> countries, there is no or little pro bono culture (with regards to legal advice), and thus </w:t>
            </w:r>
            <w:r w:rsidRPr="00554B41">
              <w:t xml:space="preserve">the expansion of the legal network could come with the challenge of adapting the operating model further to pay legal fees to local experts for </w:t>
            </w:r>
            <w:r w:rsidR="00016694" w:rsidRPr="00554B41">
              <w:t>‘</w:t>
            </w:r>
            <w:r w:rsidRPr="00554B41">
              <w:t>low bono</w:t>
            </w:r>
            <w:r w:rsidR="00016694" w:rsidRPr="00554B41">
              <w:t xml:space="preserve">’ </w:t>
            </w:r>
            <w:r w:rsidRPr="00554B41">
              <w:t>support.</w:t>
            </w:r>
          </w:p>
        </w:tc>
      </w:tr>
    </w:tbl>
    <w:p w14:paraId="628BB5B0" w14:textId="4998DC45" w:rsidR="003C090D" w:rsidRDefault="003C090D" w:rsidP="003C090D">
      <w:pPr>
        <w:pStyle w:val="Heading2"/>
      </w:pPr>
      <w:bookmarkStart w:id="16" w:name="_Toc204967833"/>
      <w:r w:rsidRPr="00554B41">
        <w:t>What did LRI do?</w:t>
      </w:r>
      <w:bookmarkEnd w:id="16"/>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4"/>
      </w:tblGrid>
      <w:tr w:rsidR="001113DA" w:rsidRPr="00554B41" w14:paraId="52DF7894" w14:textId="77777777" w:rsidTr="006B422F">
        <w:trPr>
          <w:trHeight w:val="300"/>
        </w:trPr>
        <w:tc>
          <w:tcPr>
            <w:tcW w:w="9064" w:type="dxa"/>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342367E7" w14:textId="29514200" w:rsidR="001113DA" w:rsidRPr="00554B41" w:rsidRDefault="001113DA" w:rsidP="001113DA">
            <w:r w:rsidRPr="00554B41">
              <w:rPr>
                <w:b/>
                <w:bCs/>
              </w:rPr>
              <w:t xml:space="preserve">LRI has adapted and extended its rapid legal advice operating model to support greater depth and duration of support outside of negotiations. </w:t>
            </w:r>
            <w:r w:rsidRPr="00554B41">
              <w:t xml:space="preserve">The pro bono legal advice provided by law firms and other legal experts is instrumental to LRI’s operating model. While the LRI team members do respond to some requests themselves, including by drawing on </w:t>
            </w:r>
            <w:r w:rsidR="00016806" w:rsidRPr="00554B41">
              <w:t xml:space="preserve">a </w:t>
            </w:r>
            <w:r w:rsidRPr="00554B41">
              <w:t xml:space="preserve">legal database containing hundreds of prior advice cases (an important asset), they have over time established an expansive network of </w:t>
            </w:r>
            <w:r w:rsidR="00695741" w:rsidRPr="00554B41">
              <w:t xml:space="preserve">more than </w:t>
            </w:r>
            <w:r w:rsidRPr="00554B41">
              <w:t xml:space="preserve">165 legal advisors across 16 countries to draw on to respond to requests on a pro bono basis. While originally developed for direct, often in-person, negotiation support delivered through its extensive legal network, LRI now also offers support on domestic implementation. This shift was </w:t>
            </w:r>
            <w:r w:rsidR="00695741" w:rsidRPr="00554B41">
              <w:t xml:space="preserve">realised </w:t>
            </w:r>
            <w:r w:rsidRPr="00554B41">
              <w:t xml:space="preserve">by reaching out to the existing legal network and gauging legal partners’ level of expertise and interest for domestic implementation. The domestic implementation model largely operates on a basis like the negotiations support model, with countries submitting support requests to LRI, which are then addressed either through LRI’s in-house expertise or its legal network. The key difference lies in the depth and duration of support provided. While LRI typically acts as an intermediary between legal experts and the requesting party in its negotiations support model, the more intensive nature of domestic implementation requires longer term in-country support. This, for example, involves the drafting of a climate change framework law from scratch. The ability to respond to such a complex request highlights how far LRI has adapted its operating model to </w:t>
            </w:r>
            <w:r w:rsidR="00695741" w:rsidRPr="00554B41">
              <w:t xml:space="preserve">meet </w:t>
            </w:r>
            <w:r w:rsidRPr="00554B41">
              <w:t xml:space="preserve">these new needs. </w:t>
            </w:r>
          </w:p>
          <w:p w14:paraId="4D55EAB3" w14:textId="16CEEEA9" w:rsidR="001113DA" w:rsidRPr="00554B41" w:rsidRDefault="001113DA" w:rsidP="001113DA">
            <w:r w:rsidRPr="00554B41">
              <w:rPr>
                <w:b/>
                <w:bCs/>
              </w:rPr>
              <w:t xml:space="preserve">Requests for support to domestic implementation built on the stock of assets that LRI has created since 2010. This includes strong relationships and a high level of trust between LRI and country delegations, through a continued presence and involvement in the climate negotiations space and the consistent provision of high-quality legal advice. </w:t>
            </w:r>
            <w:r w:rsidRPr="00554B41">
              <w:t>Requests for support on domestic implementation primarily come from countries that LRI has previously engaged with</w:t>
            </w:r>
            <w:r w:rsidR="00695741" w:rsidRPr="00554B41">
              <w:t>,</w:t>
            </w:r>
            <w:r w:rsidRPr="00554B41">
              <w:t xml:space="preserve"> either through ad hoc support provided to negotiators during UNFCCC meetings or through capacity</w:t>
            </w:r>
            <w:r w:rsidR="00695741" w:rsidRPr="00554B41">
              <w:t>-</w:t>
            </w:r>
            <w:r w:rsidRPr="00554B41">
              <w:t>strengthening trainings and workshops it has conducted.</w:t>
            </w:r>
            <w:r w:rsidRPr="00554B41">
              <w:rPr>
                <w:rFonts w:eastAsia="Times New Roman" w:cs="Segoe UI"/>
                <w:sz w:val="18"/>
                <w:szCs w:val="18"/>
                <w:lang w:eastAsia="en-GB"/>
              </w:rPr>
              <w:t xml:space="preserve"> </w:t>
            </w:r>
            <w:r w:rsidRPr="00554B41">
              <w:rPr>
                <w:rFonts w:eastAsia="Times New Roman" w:cs="Segoe UI"/>
                <w:lang w:eastAsia="en-GB"/>
              </w:rPr>
              <w:t>For example</w:t>
            </w:r>
            <w:r w:rsidRPr="00554B41">
              <w:rPr>
                <w:rFonts w:eastAsia="Times New Roman" w:cs="Segoe UI"/>
                <w:sz w:val="22"/>
                <w:szCs w:val="22"/>
                <w:lang w:eastAsia="en-GB"/>
              </w:rPr>
              <w:t xml:space="preserve">, </w:t>
            </w:r>
            <w:r w:rsidRPr="00554B41">
              <w:t xml:space="preserve">one CASA-supported interviewee stated they felt confident making an informal request for legal research to support the development of their carbon markets legislation because they had a strong </w:t>
            </w:r>
            <w:r w:rsidR="00695741" w:rsidRPr="00554B41">
              <w:t>pre</w:t>
            </w:r>
            <w:r w:rsidRPr="00554B41">
              <w:t xml:space="preserve">-existing relationship with one of the LRI team members. Another interviewee who has been receiving support from LRI since 2021 mentioned that the LRI has kept them updated on the types of support </w:t>
            </w:r>
            <w:r w:rsidR="00695741" w:rsidRPr="00554B41">
              <w:t xml:space="preserve">it </w:t>
            </w:r>
            <w:r w:rsidRPr="00554B41">
              <w:t>offer</w:t>
            </w:r>
            <w:r w:rsidR="00695741" w:rsidRPr="00554B41">
              <w:t>s</w:t>
            </w:r>
            <w:r w:rsidRPr="00554B41">
              <w:t xml:space="preserve">, which led to a request for further support on domestic implementation. </w:t>
            </w:r>
          </w:p>
          <w:p w14:paraId="7419B070" w14:textId="43ED918D" w:rsidR="001113DA" w:rsidRPr="00554B41" w:rsidRDefault="001113DA" w:rsidP="001113DA">
            <w:r w:rsidRPr="00554B41">
              <w:rPr>
                <w:b/>
                <w:bCs/>
              </w:rPr>
              <w:t>Due to the varying levels of expertise across jurisdictions, and the fast-paced changes in the climate negotiations space, LRI conducts trainings for lawyers to develop and maintain the</w:t>
            </w:r>
            <w:r w:rsidR="00695741" w:rsidRPr="00554B41">
              <w:rPr>
                <w:b/>
                <w:bCs/>
              </w:rPr>
              <w:t>ir</w:t>
            </w:r>
            <w:r w:rsidRPr="00554B41">
              <w:rPr>
                <w:b/>
                <w:bCs/>
              </w:rPr>
              <w:t xml:space="preserve"> knowledge base and grow the</w:t>
            </w:r>
            <w:r w:rsidR="004C6D49" w:rsidRPr="00554B41">
              <w:rPr>
                <w:b/>
                <w:bCs/>
              </w:rPr>
              <w:t>ir legal</w:t>
            </w:r>
            <w:r w:rsidRPr="00554B41">
              <w:rPr>
                <w:b/>
                <w:bCs/>
              </w:rPr>
              <w:t xml:space="preserve"> network.</w:t>
            </w:r>
            <w:r w:rsidRPr="00554B41">
              <w:t xml:space="preserve"> The training provided </w:t>
            </w:r>
            <w:r w:rsidR="00695741" w:rsidRPr="00554B41">
              <w:t xml:space="preserve">helps </w:t>
            </w:r>
            <w:r w:rsidRPr="00554B41">
              <w:t>the legal experts that LRI relies on to stay informed of the most recent developments in climate negotiations. They are thus equipped to navigate the rapidly evolving climate landscape and can deliver quality, relevant advice. LRI has also developed training materials</w:t>
            </w:r>
            <w:r w:rsidR="00695741" w:rsidRPr="00554B41">
              <w:t xml:space="preserve"> that</w:t>
            </w:r>
            <w:r w:rsidRPr="00554B41">
              <w:t xml:space="preserve"> can be reused and adapted for broader audiences as well. In turn, law firms benefit from engagement with LRI by receiving no-cost training in a high-growth, strategically important area of legal practice. </w:t>
            </w:r>
            <w:r w:rsidR="005B17E3" w:rsidRPr="00554B41">
              <w:t>Training</w:t>
            </w:r>
            <w:r w:rsidRPr="00554B41">
              <w:t xml:space="preserve"> ha</w:t>
            </w:r>
            <w:r w:rsidR="00BD6C83" w:rsidRPr="00554B41">
              <w:t>s</w:t>
            </w:r>
            <w:r w:rsidRPr="00554B41">
              <w:t xml:space="preserve"> included webinars for members of the network in advance of COPs, as well as in-person sessions with more junior members of the network.</w:t>
            </w:r>
          </w:p>
          <w:p w14:paraId="1892A99B" w14:textId="38C1811D" w:rsidR="001113DA" w:rsidRPr="00554B41" w:rsidRDefault="001113DA" w:rsidP="001113DA">
            <w:r w:rsidRPr="00554B41">
              <w:rPr>
                <w:b/>
                <w:bCs/>
              </w:rPr>
              <w:t xml:space="preserve">LRI also uses legal experts, in addition to the core team, to staff </w:t>
            </w:r>
            <w:r w:rsidR="00695741" w:rsidRPr="00554B41">
              <w:rPr>
                <w:b/>
                <w:bCs/>
              </w:rPr>
              <w:t xml:space="preserve">its </w:t>
            </w:r>
            <w:r w:rsidRPr="00554B41">
              <w:rPr>
                <w:b/>
                <w:bCs/>
              </w:rPr>
              <w:t>team during negotiations</w:t>
            </w:r>
            <w:r w:rsidRPr="00554B41">
              <w:t xml:space="preserve">. This has led to the existence of a larger community of LRI ‘staff members’ who are familiar with the operating model, and who accompany LRI to negotiations and step in when LRI needs extra support. LRI connects </w:t>
            </w:r>
            <w:r w:rsidR="00695741" w:rsidRPr="00554B41">
              <w:t xml:space="preserve">its </w:t>
            </w:r>
            <w:r w:rsidRPr="00554B41">
              <w:t xml:space="preserve">legal teams to delegations where appropriate, building networks that country delegations can potentially draw on independently in the future. The staff volunteers are thus also provided the opportunity to build relationships with the country delegations during climate conferences. </w:t>
            </w:r>
          </w:p>
          <w:p w14:paraId="4D816EF5" w14:textId="5175399E" w:rsidR="001113DA" w:rsidRPr="00554B41" w:rsidRDefault="001113DA" w:rsidP="001113DA">
            <w:r w:rsidRPr="00554B41">
              <w:rPr>
                <w:b/>
                <w:bCs/>
              </w:rPr>
              <w:t>LRI has quality control systems in place to ensure the highest standards of advice</w:t>
            </w:r>
            <w:r w:rsidR="00695741" w:rsidRPr="00554B41">
              <w:rPr>
                <w:b/>
                <w:bCs/>
              </w:rPr>
              <w:t>,</w:t>
            </w:r>
            <w:r w:rsidR="00B15D14" w:rsidRPr="00554B41">
              <w:t xml:space="preserve"> </w:t>
            </w:r>
            <w:r w:rsidR="00B15D14" w:rsidRPr="00554B41">
              <w:rPr>
                <w:b/>
                <w:bCs/>
              </w:rPr>
              <w:t xml:space="preserve">which has helped build trust among the delegations it supports. </w:t>
            </w:r>
            <w:r w:rsidRPr="00554B41">
              <w:t xml:space="preserve">This includes providing internal peer review of legal advice, ensuring the lawyers in </w:t>
            </w:r>
            <w:r w:rsidR="00695741" w:rsidRPr="00554B41">
              <w:t xml:space="preserve">its </w:t>
            </w:r>
            <w:r w:rsidRPr="00554B41">
              <w:t xml:space="preserve">network have the necessary qualifications, and sending advice </w:t>
            </w:r>
            <w:r w:rsidR="00695741" w:rsidRPr="00554B41">
              <w:t>it is</w:t>
            </w:r>
            <w:r w:rsidRPr="00554B41">
              <w:t xml:space="preserve"> unsure of to a second advisor. LRI also conducts reviews of the advice provided.</w:t>
            </w:r>
          </w:p>
          <w:p w14:paraId="798A8A10" w14:textId="77777777" w:rsidR="001113DA" w:rsidRPr="00554B41" w:rsidRDefault="001113DA" w:rsidP="001113DA"/>
        </w:tc>
      </w:tr>
    </w:tbl>
    <w:p w14:paraId="30D5E818" w14:textId="75ACA18B" w:rsidR="003C090D" w:rsidRDefault="003C090D" w:rsidP="003C090D">
      <w:pPr>
        <w:pStyle w:val="Heading2"/>
      </w:pPr>
      <w:bookmarkStart w:id="17" w:name="_Toc204967834"/>
      <w:r w:rsidRPr="00554B41">
        <w:t>Intermediate outcomes – What changed?</w:t>
      </w:r>
      <w:bookmarkEnd w:id="17"/>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4"/>
      </w:tblGrid>
      <w:tr w:rsidR="001113DA" w:rsidRPr="00554B41" w14:paraId="335E41C8" w14:textId="77777777" w:rsidTr="64F4A590">
        <w:trPr>
          <w:trHeight w:val="300"/>
        </w:trPr>
        <w:tc>
          <w:tcPr>
            <w:tcW w:w="9064" w:type="dxa"/>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28F7E3CD" w14:textId="0C82067A" w:rsidR="001113DA" w:rsidRPr="00554B41" w:rsidRDefault="001113DA" w:rsidP="001113DA">
            <w:r w:rsidRPr="00554B41">
              <w:rPr>
                <w:b/>
                <w:bCs/>
              </w:rPr>
              <w:t>Over time, LRI has built organisational capabilities to a level where there is a perception of LRI as a significant institution within the UNFCCC regime</w:t>
            </w:r>
            <w:r w:rsidRPr="00554B41">
              <w:t>. LRI has adapted to context, formalised relationships with specific countries (through MoUs)</w:t>
            </w:r>
            <w:r w:rsidR="00695741" w:rsidRPr="00554B41">
              <w:t>,</w:t>
            </w:r>
            <w:r w:rsidRPr="00554B41">
              <w:t xml:space="preserve"> and </w:t>
            </w:r>
            <w:r w:rsidR="00695741" w:rsidRPr="00554B41">
              <w:t xml:space="preserve">drawn on </w:t>
            </w:r>
            <w:r w:rsidRPr="00554B41">
              <w:t>its wide network.</w:t>
            </w:r>
            <w:r w:rsidRPr="00554B41">
              <w:rPr>
                <w:b/>
                <w:bCs/>
              </w:rPr>
              <w:t xml:space="preserve"> </w:t>
            </w:r>
            <w:r w:rsidRPr="00554B41">
              <w:t>It is a credible organisation that operates beyond the capacity of its core team of three full</w:t>
            </w:r>
            <w:r w:rsidR="00695741" w:rsidRPr="00554B41">
              <w:t>-</w:t>
            </w:r>
            <w:r w:rsidRPr="00554B41">
              <w:t xml:space="preserve">time staff members and one intern.  Across supported countries, LRI is seen as a trustworthy, responsive, and flexible legal resource, filling gaps in negotiation support and domestic implementation. The legal network and deep, collective understanding of international climate law provide a unique value—particularly to countries with limited in-house legal expertise. LRI has responded to multiple requests for a widening array of services, including reviewing, analysing, and providing input to </w:t>
            </w:r>
            <w:r w:rsidR="00695741" w:rsidRPr="00554B41">
              <w:t xml:space="preserve">climate change </w:t>
            </w:r>
            <w:r w:rsidRPr="00554B41">
              <w:t xml:space="preserve">and </w:t>
            </w:r>
            <w:r w:rsidR="00695741" w:rsidRPr="00554B41">
              <w:t xml:space="preserve">carbon market frameworks </w:t>
            </w:r>
            <w:r w:rsidRPr="00554B41">
              <w:t xml:space="preserve">to ensure their alignment with Paris Agreement commitments, and supporting the development of NDCs. </w:t>
            </w:r>
            <w:r w:rsidR="00695741" w:rsidRPr="00554B41">
              <w:t xml:space="preserve">This </w:t>
            </w:r>
            <w:r w:rsidRPr="00554B41">
              <w:t>formalisation of ways of working</w:t>
            </w:r>
            <w:r w:rsidR="00695741" w:rsidRPr="00554B41">
              <w:t xml:space="preserve"> has included</w:t>
            </w:r>
            <w:r w:rsidRPr="00554B41">
              <w:t xml:space="preserve"> a</w:t>
            </w:r>
            <w:r w:rsidR="000558BF">
              <w:t>n</w:t>
            </w:r>
            <w:r w:rsidRPr="00554B41">
              <w:t xml:space="preserve"> </w:t>
            </w:r>
            <w:r w:rsidR="000558BF" w:rsidRPr="00554B41">
              <w:t>M</w:t>
            </w:r>
            <w:r w:rsidR="000558BF">
              <w:t>o</w:t>
            </w:r>
            <w:r w:rsidR="000558BF" w:rsidRPr="00554B41">
              <w:t xml:space="preserve">U </w:t>
            </w:r>
            <w:r w:rsidRPr="00554B41">
              <w:t xml:space="preserve">between LRI and The Gambia </w:t>
            </w:r>
            <w:r w:rsidR="00695741" w:rsidRPr="00554B41">
              <w:t xml:space="preserve">that </w:t>
            </w:r>
            <w:r w:rsidRPr="00554B41">
              <w:t>meant that LRI supported Gambian negotiators at UNFCCC meetings, while also playing a significant role in domestic implementation</w:t>
            </w:r>
            <w:r w:rsidR="00695741" w:rsidRPr="00554B41">
              <w:t>. This involved</w:t>
            </w:r>
            <w:r w:rsidRPr="00554B41">
              <w:t xml:space="preserve"> the drafting of a Terms of Reference for The Gambia’s </w:t>
            </w:r>
            <w:r w:rsidRPr="00554B41">
              <w:rPr>
                <w:rFonts w:eastAsia="Times New Roman" w:cs="Calibri"/>
                <w:color w:val="303030" w:themeColor="text1"/>
                <w:lang w:eastAsia="en-GB"/>
              </w:rPr>
              <w:t>Carbon Trading Bill</w:t>
            </w:r>
            <w:r w:rsidR="005279C3">
              <w:rPr>
                <w:rStyle w:val="FootnoteReference"/>
                <w:rFonts w:eastAsia="Times New Roman" w:cs="Calibri"/>
                <w:color w:val="303030" w:themeColor="text1"/>
                <w:lang w:eastAsia="en-GB"/>
              </w:rPr>
              <w:footnoteReference w:id="4"/>
            </w:r>
            <w:r w:rsidRPr="00554B41">
              <w:t xml:space="preserve">, contributing to the drafting process, and offering comments on the first iteration of the draft </w:t>
            </w:r>
            <w:r w:rsidR="00DB4A3F">
              <w:t>B</w:t>
            </w:r>
            <w:r w:rsidRPr="00554B41">
              <w:t xml:space="preserve">ill, both through internal expertise and the wider legal network. </w:t>
            </w:r>
          </w:p>
          <w:p w14:paraId="48EAF827" w14:textId="34E9A44F" w:rsidR="001113DA" w:rsidRPr="00554B41" w:rsidRDefault="001113DA" w:rsidP="001113DA">
            <w:r w:rsidRPr="00554B41">
              <w:rPr>
                <w:b/>
                <w:bCs/>
              </w:rPr>
              <w:t xml:space="preserve">For over a decade, legal experts have supported </w:t>
            </w:r>
            <w:r w:rsidRPr="00554B41" w:rsidDel="00CA371C">
              <w:rPr>
                <w:b/>
                <w:bCs/>
              </w:rPr>
              <w:t>Global South</w:t>
            </w:r>
            <w:r w:rsidRPr="00554B41">
              <w:rPr>
                <w:b/>
                <w:bCs/>
              </w:rPr>
              <w:t xml:space="preserve"> negotiators</w:t>
            </w:r>
            <w:r w:rsidR="00325775" w:rsidRPr="00554B41">
              <w:rPr>
                <w:b/>
                <w:bCs/>
              </w:rPr>
              <w:t xml:space="preserve"> in</w:t>
            </w:r>
            <w:r w:rsidRPr="00554B41">
              <w:rPr>
                <w:b/>
                <w:bCs/>
              </w:rPr>
              <w:t xml:space="preserve"> narrow</w:t>
            </w:r>
            <w:r w:rsidR="00325775" w:rsidRPr="00554B41">
              <w:rPr>
                <w:b/>
                <w:bCs/>
              </w:rPr>
              <w:t>ing</w:t>
            </w:r>
            <w:r w:rsidRPr="00554B41">
              <w:rPr>
                <w:b/>
                <w:bCs/>
              </w:rPr>
              <w:t xml:space="preserve"> the gap with counterparts from better-resourced delegations. This has enabled these negotiators to engage more confidently and effectively in international negotiations and place them on a more equal footing.</w:t>
            </w:r>
            <w:r w:rsidRPr="00554B41">
              <w:t xml:space="preserve"> At COP29, LRI provided support to two female Gambian lawyers from the Ministry of Justice—who are involved in legislative drafting—by setting up a WhatsApp group to answer questions and offer guidance during their first COP. In many </w:t>
            </w:r>
            <w:r w:rsidRPr="00554B41" w:rsidDel="00CA371C">
              <w:t>Global</w:t>
            </w:r>
            <w:r w:rsidR="00CA371C" w:rsidRPr="00554B41">
              <w:t xml:space="preserve"> South</w:t>
            </w:r>
            <w:r w:rsidRPr="00554B41">
              <w:t xml:space="preserve"> countries, the inclusion of legal experts in negotiation delegations remains uncommon due to limited resources. </w:t>
            </w:r>
          </w:p>
          <w:p w14:paraId="793ED159" w14:textId="30CCEE0C" w:rsidR="001113DA" w:rsidRPr="00554B41" w:rsidRDefault="001113DA" w:rsidP="001113DA">
            <w:r w:rsidRPr="00554B41">
              <w:t xml:space="preserve">Many of the ongoing relationships between LRI and delegations can be traced back to initial negotiator capacity strengthening. The main contact in the Burkina Faso delegation is a lawyer and adviser to the National Council for Sustainable Development </w:t>
            </w:r>
            <w:r w:rsidR="00325775" w:rsidRPr="00554B41">
              <w:t xml:space="preserve">who </w:t>
            </w:r>
            <w:r w:rsidRPr="00554B41">
              <w:t xml:space="preserve">was first supported by LRI to attend the pre-COP26 training for lawyers in London in 2021. </w:t>
            </w:r>
            <w:r w:rsidR="00325775" w:rsidRPr="00554B41">
              <w:t>Following this</w:t>
            </w:r>
            <w:r w:rsidRPr="00554B41">
              <w:t>, the lawyer has received continuous support from LRI on legal queries relating to the international climate negotiations on transparency. Recently, the lawyer became the delegation’s Team Leader for Article 6. In response, LRI expanded their support to include legal queries on that topic.</w:t>
            </w:r>
          </w:p>
          <w:p w14:paraId="79F233B9" w14:textId="3FA032D8" w:rsidR="001113DA" w:rsidRPr="00554B41" w:rsidRDefault="001113DA" w:rsidP="001113DA">
            <w:pPr>
              <w:spacing w:after="0" w:line="240" w:lineRule="auto"/>
            </w:pPr>
            <w:r w:rsidRPr="6E02F70E">
              <w:rPr>
                <w:b/>
                <w:bCs/>
              </w:rPr>
              <w:t>Several countries’ domestic legislation (Brazil, Burkina Faso, The Gambia, Haiti, Mauritania, Nigeria, Papua New Guinea</w:t>
            </w:r>
            <w:r w:rsidR="00325775" w:rsidRPr="6E02F70E">
              <w:rPr>
                <w:b/>
                <w:bCs/>
              </w:rPr>
              <w:t>,</w:t>
            </w:r>
            <w:r w:rsidRPr="6E02F70E">
              <w:rPr>
                <w:b/>
                <w:bCs/>
              </w:rPr>
              <w:t xml:space="preserve"> and Zimbabwe) now include increased climate ambition in policy text. </w:t>
            </w:r>
          </w:p>
          <w:p w14:paraId="5BB72BBA" w14:textId="77777777" w:rsidR="001113DA" w:rsidRPr="00554B41" w:rsidRDefault="001113DA" w:rsidP="001113DA">
            <w:pPr>
              <w:spacing w:after="0" w:line="240" w:lineRule="auto"/>
              <w:rPr>
                <w:rFonts w:eastAsia="Times New Roman" w:cs="Calibri"/>
                <w:color w:val="303030" w:themeColor="text1"/>
                <w:lang w:eastAsia="en-GB"/>
              </w:rPr>
            </w:pPr>
          </w:p>
          <w:p w14:paraId="5AB35A5D" w14:textId="06703101" w:rsidR="001113DA" w:rsidRPr="00554B41" w:rsidRDefault="001113DA" w:rsidP="001113DA">
            <w:r w:rsidRPr="00554B41">
              <w:t xml:space="preserve">In Nigeria, LRI </w:t>
            </w:r>
            <w:r w:rsidR="00325775" w:rsidRPr="00554B41">
              <w:t xml:space="preserve">together </w:t>
            </w:r>
            <w:r w:rsidRPr="00554B41">
              <w:t>with the Environmental Resource Centre facilitated the creation of a Legal Working Group (LWG) that provided legal advisory services to the government on the UNFCCC process. The LWG also contributed to the development of the Nigerian Climate Change Bill. It undertook a review and revision of the Climate Change Framework Bill 2017 with a view to ensuring its alignment with international treaties and its effectiveness to facilitate NDC implementation. Separately, LRI also provided comments on the Bill in 2018 and 2020.</w:t>
            </w:r>
          </w:p>
          <w:p w14:paraId="2D9E7794" w14:textId="4FE5FD58" w:rsidR="001113DA" w:rsidRPr="00554B41" w:rsidRDefault="001113DA" w:rsidP="001113DA">
            <w:r w:rsidRPr="00554B41">
              <w:t xml:space="preserve">As Burkina Faso has decided to develop a carbon market framework, </w:t>
            </w:r>
            <w:r w:rsidR="00325775" w:rsidRPr="00554B41">
              <w:t xml:space="preserve">it </w:t>
            </w:r>
            <w:r w:rsidRPr="00554B41">
              <w:t xml:space="preserve">reached out to LRI for legal support on specific aspects on the implementation of Article 6 as a part of this new framework. The country also receives support from the World Bank, Global Green Growth Institute, and the West African Alliance for the development of their carbon markets framework. However, the type of support from the actors above differs from the type of support </w:t>
            </w:r>
            <w:r w:rsidR="00A57B8E" w:rsidRPr="00554B41">
              <w:t>received</w:t>
            </w:r>
            <w:r w:rsidRPr="00554B41">
              <w:t xml:space="preserve"> from LRI. LRI’s support is more focused on guidance and explanations of the international context, facilitating the integration of international climate laws and outcomes in their domestic laws.</w:t>
            </w:r>
          </w:p>
        </w:tc>
      </w:tr>
    </w:tbl>
    <w:p w14:paraId="5587CF84" w14:textId="5839119C" w:rsidR="005279C3" w:rsidRDefault="005279C3" w:rsidP="005279C3">
      <w:pPr>
        <w:pStyle w:val="Heading2"/>
      </w:pPr>
      <w:bookmarkStart w:id="18" w:name="_Toc204967835"/>
      <w:r w:rsidRPr="00554B41">
        <w:t>How effective were the TPs during the period?</w:t>
      </w:r>
      <w:bookmarkEnd w:id="18"/>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4"/>
      </w:tblGrid>
      <w:tr w:rsidR="001113DA" w:rsidRPr="00554B41" w14:paraId="0779A1CE" w14:textId="77777777" w:rsidTr="6A00DA9F">
        <w:trPr>
          <w:trHeight w:val="300"/>
        </w:trPr>
        <w:tc>
          <w:tcPr>
            <w:tcW w:w="9064" w:type="dxa"/>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00872E67" w14:textId="52A2D059" w:rsidR="001113DA" w:rsidRPr="00554B41" w:rsidRDefault="001113DA" w:rsidP="001113DA">
            <w:r w:rsidRPr="00554B41">
              <w:rPr>
                <w:b/>
              </w:rPr>
              <w:t xml:space="preserve">LRI has been highly effective. </w:t>
            </w:r>
            <w:r w:rsidR="003F44FA" w:rsidRPr="00554B41">
              <w:rPr>
                <w:b/>
              </w:rPr>
              <w:t xml:space="preserve">It </w:t>
            </w:r>
            <w:r w:rsidRPr="00554B41">
              <w:rPr>
                <w:b/>
              </w:rPr>
              <w:t>provides a highly valuable service at no financial cost to the supported party</w:t>
            </w:r>
            <w:r w:rsidRPr="00554B41">
              <w:t>. Interviewees reported high</w:t>
            </w:r>
            <w:r w:rsidR="003F44FA" w:rsidRPr="00554B41">
              <w:t>-</w:t>
            </w:r>
            <w:r w:rsidRPr="00554B41">
              <w:t xml:space="preserve">quality service, timely inputs, and ease of requesting support. All interviewees also reported some pre-existing relationship or interaction with LRI, which speaks to the relationships and trust that LRI has been able to build over the years. The high quality of service provided is evidenced by the positive feedback below received from </w:t>
            </w:r>
            <w:r w:rsidR="003F44FA" w:rsidRPr="00554B41">
              <w:t xml:space="preserve">key informant interviews </w:t>
            </w:r>
            <w:r w:rsidR="005E2D49" w:rsidRPr="00554B41">
              <w:t>(</w:t>
            </w:r>
            <w:r w:rsidRPr="00554B41">
              <w:t>KIIs</w:t>
            </w:r>
            <w:r w:rsidR="005E2D49" w:rsidRPr="00554B41">
              <w:t>)</w:t>
            </w:r>
            <w:r w:rsidRPr="00554B41">
              <w:t xml:space="preserve"> with CASA-supported people who received legal advice from LRI for domestic implementation</w:t>
            </w:r>
            <w:r w:rsidR="003F44FA" w:rsidRPr="00554B41">
              <w:t>:</w:t>
            </w:r>
          </w:p>
          <w:p w14:paraId="6EAE6B55" w14:textId="77777777" w:rsidR="001113DA" w:rsidRPr="00EE5AF0" w:rsidRDefault="001113DA" w:rsidP="001113DA">
            <w:pPr>
              <w:rPr>
                <w:i/>
                <w:iCs/>
              </w:rPr>
            </w:pPr>
            <w:r w:rsidRPr="00554B41">
              <w:rPr>
                <w:i/>
                <w:iCs/>
              </w:rPr>
              <w:t xml:space="preserve">“It was really transformative for me to attend the training I did in London. It was the beginning of my collaboration with LRI and since this time we're still collaborating. I even introduced them to my bosses </w:t>
            </w:r>
            <w:r w:rsidRPr="00EE5AF0">
              <w:rPr>
                <w:i/>
                <w:iCs/>
              </w:rPr>
              <w:t>and said to them, this is the group that supports us when you ask for something.”</w:t>
            </w:r>
          </w:p>
          <w:p w14:paraId="09B10077" w14:textId="77777777" w:rsidR="001113DA" w:rsidRPr="00554B41" w:rsidRDefault="001113DA" w:rsidP="001113DA">
            <w:pPr>
              <w:rPr>
                <w:i/>
                <w:iCs/>
              </w:rPr>
            </w:pPr>
            <w:r w:rsidRPr="00554B41">
              <w:t>“</w:t>
            </w:r>
            <w:r w:rsidRPr="00554B41">
              <w:rPr>
                <w:i/>
                <w:iCs/>
              </w:rPr>
              <w:t xml:space="preserve">The support I got has been very good on so many levels. It allowed us as a government to take stock and </w:t>
            </w:r>
            <w:r w:rsidRPr="00EE5AF0">
              <w:t>[see]</w:t>
            </w:r>
            <w:r w:rsidRPr="00554B41">
              <w:rPr>
                <w:i/>
                <w:iCs/>
              </w:rPr>
              <w:t xml:space="preserve"> how best we can plug that gap. Just to have an extra set of eyes </w:t>
            </w:r>
            <w:r w:rsidRPr="00EE5AF0">
              <w:t>[from LRI]</w:t>
            </w:r>
            <w:r w:rsidRPr="00554B41">
              <w:rPr>
                <w:i/>
                <w:iCs/>
              </w:rPr>
              <w:t xml:space="preserve"> has been able to give us confidence that we are on the right path.”</w:t>
            </w:r>
          </w:p>
          <w:p w14:paraId="1AC84326" w14:textId="77777777" w:rsidR="001113DA" w:rsidRPr="00554B41" w:rsidRDefault="001113DA" w:rsidP="001113DA">
            <w:pPr>
              <w:rPr>
                <w:i/>
                <w:iCs/>
              </w:rPr>
            </w:pPr>
            <w:r w:rsidRPr="00554B41">
              <w:rPr>
                <w:i/>
                <w:iCs/>
              </w:rPr>
              <w:t>“It was excellent in terms of quality. They captured really well the needs that we were expressing in the questions and was very fast. It was done in a very short period of time.”</w:t>
            </w:r>
          </w:p>
          <w:p w14:paraId="0FC4D72F" w14:textId="4B1FB635" w:rsidR="001113DA" w:rsidRPr="00554B41" w:rsidRDefault="001113DA" w:rsidP="001113DA">
            <w:pPr>
              <w:rPr>
                <w:i/>
                <w:iCs/>
              </w:rPr>
            </w:pPr>
            <w:r w:rsidRPr="00554B41">
              <w:rPr>
                <w:i/>
                <w:iCs/>
              </w:rPr>
              <w:t>“There hadn’t been any cost with this interaction. This makes the support of LRI even more needed</w:t>
            </w:r>
            <w:r w:rsidR="003F44FA" w:rsidRPr="00554B41">
              <w:t>—</w:t>
            </w:r>
            <w:r w:rsidRPr="00554B41">
              <w:rPr>
                <w:i/>
                <w:iCs/>
              </w:rPr>
              <w:t>you don’t have to pay anything. They are super knowledgeable about the issues they help us on.”</w:t>
            </w:r>
          </w:p>
          <w:p w14:paraId="0D7FD967" w14:textId="77777777" w:rsidR="001113DA" w:rsidRPr="00554B41" w:rsidRDefault="001113DA" w:rsidP="001113DA">
            <w:pPr>
              <w:rPr>
                <w:i/>
                <w:iCs/>
              </w:rPr>
            </w:pPr>
            <w:r w:rsidRPr="00554B41">
              <w:rPr>
                <w:i/>
                <w:iCs/>
              </w:rPr>
              <w:t xml:space="preserve"> “Since this training, I have been supported, and I’m still supported. And I’m not the only one.”</w:t>
            </w:r>
          </w:p>
          <w:p w14:paraId="7CC40826" w14:textId="32C2B815" w:rsidR="001113DA" w:rsidRPr="00554B41" w:rsidRDefault="001113DA" w:rsidP="001113DA">
            <w:pPr>
              <w:rPr>
                <w:u w:val="single"/>
              </w:rPr>
            </w:pPr>
            <w:r w:rsidRPr="00554B41">
              <w:rPr>
                <w:b/>
                <w:bCs/>
              </w:rPr>
              <w:t xml:space="preserve">Nevertheless, while the current model is very successful, LRI is constrained by the small size of </w:t>
            </w:r>
            <w:r w:rsidR="003F44FA" w:rsidRPr="00554B41">
              <w:rPr>
                <w:b/>
                <w:bCs/>
              </w:rPr>
              <w:t xml:space="preserve">its </w:t>
            </w:r>
            <w:r w:rsidRPr="00554B41">
              <w:rPr>
                <w:b/>
                <w:bCs/>
              </w:rPr>
              <w:t>core team</w:t>
            </w:r>
            <w:r w:rsidRPr="00554B41">
              <w:t xml:space="preserve">. The network </w:t>
            </w:r>
            <w:r w:rsidR="003F44FA" w:rsidRPr="00554B41">
              <w:t xml:space="preserve">it </w:t>
            </w:r>
            <w:r w:rsidRPr="00554B41">
              <w:t>operate</w:t>
            </w:r>
            <w:r w:rsidR="003F44FA" w:rsidRPr="00554B41">
              <w:t>s</w:t>
            </w:r>
            <w:r w:rsidRPr="00554B41">
              <w:t xml:space="preserve"> within allows </w:t>
            </w:r>
            <w:r w:rsidR="003F44FA" w:rsidRPr="00554B41">
              <w:t>i</w:t>
            </w:r>
            <w:r w:rsidRPr="00554B41">
              <w:t xml:space="preserve">t to respond to multiple legal requests, but there is a limit to how many of these </w:t>
            </w:r>
            <w:r w:rsidR="003F44FA" w:rsidRPr="00554B41">
              <w:t>it is</w:t>
            </w:r>
            <w:r w:rsidRPr="00554B41">
              <w:t xml:space="preserve"> able to process and respond to due to resource constraints within the core team. This is exacerbated by the necessary overlap in roles within the core team to maintain flexibility in </w:t>
            </w:r>
            <w:r w:rsidR="009C5565" w:rsidRPr="00554B41">
              <w:t>delivery but</w:t>
            </w:r>
            <w:r w:rsidRPr="00554B41">
              <w:t xml:space="preserve"> constrains the amount of time available for strategic thinking. An area LRI would like to have additional support/resources on is in expanding the legal network of </w:t>
            </w:r>
            <w:r w:rsidRPr="00554B41" w:rsidDel="00CA371C">
              <w:t>Global South</w:t>
            </w:r>
            <w:r w:rsidRPr="00554B41">
              <w:t xml:space="preserve"> experts to help tackle some of the challenges above. </w:t>
            </w:r>
            <w:r w:rsidR="003F44FA" w:rsidRPr="00554B41">
              <w:t xml:space="preserve">LRI representatives </w:t>
            </w:r>
            <w:r w:rsidRPr="00554B41">
              <w:t xml:space="preserve">also state that </w:t>
            </w:r>
            <w:r w:rsidR="003F44FA" w:rsidRPr="00554B41">
              <w:t xml:space="preserve">the organisation </w:t>
            </w:r>
            <w:r w:rsidRPr="00554B41">
              <w:t>could benefit from more junior members to handle coordination and free up time for senior members to think strategically about gaps</w:t>
            </w:r>
            <w:r w:rsidR="003F44FA" w:rsidRPr="00554B41">
              <w:t>,</w:t>
            </w:r>
            <w:r w:rsidRPr="00554B41">
              <w:t xml:space="preserve"> needs</w:t>
            </w:r>
            <w:r w:rsidR="003F44FA" w:rsidRPr="00554B41">
              <w:t>,</w:t>
            </w:r>
            <w:r w:rsidRPr="00554B41">
              <w:t xml:space="preserve"> and challenges such as strengthening lawyers in the </w:t>
            </w:r>
            <w:r w:rsidRPr="00554B41" w:rsidDel="00CA371C">
              <w:t>Global South</w:t>
            </w:r>
            <w:r w:rsidRPr="00554B41">
              <w:t xml:space="preserve"> and building regional networks that they could tap into.</w:t>
            </w:r>
          </w:p>
        </w:tc>
      </w:tr>
    </w:tbl>
    <w:p w14:paraId="0BD88AE7" w14:textId="627E45D6" w:rsidR="00EE5AF0" w:rsidRDefault="00EE5AF0" w:rsidP="00EE5AF0">
      <w:pPr>
        <w:pStyle w:val="Heading2"/>
      </w:pPr>
      <w:bookmarkStart w:id="19" w:name="_Toc204967836"/>
      <w:r w:rsidRPr="00554B41">
        <w:t>What were other advocates/actors doing during the same period?</w:t>
      </w:r>
      <w:bookmarkEnd w:id="19"/>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4"/>
      </w:tblGrid>
      <w:tr w:rsidR="001113DA" w:rsidRPr="00554B41" w14:paraId="43767DA4" w14:textId="77777777" w:rsidTr="006B422F">
        <w:trPr>
          <w:trHeight w:val="300"/>
        </w:trPr>
        <w:tc>
          <w:tcPr>
            <w:tcW w:w="9064" w:type="dxa"/>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48CBCC9E" w14:textId="0C654336" w:rsidR="001113DA" w:rsidRPr="00554B41" w:rsidRDefault="001113DA" w:rsidP="001113DA">
            <w:r w:rsidRPr="00EE5AF0">
              <w:t xml:space="preserve">Other actors </w:t>
            </w:r>
            <w:r w:rsidRPr="00554B41">
              <w:t xml:space="preserve">such as the NDC Partnership, </w:t>
            </w:r>
            <w:r w:rsidR="007D3504" w:rsidRPr="00554B41">
              <w:t>the United Nations Development Programme (</w:t>
            </w:r>
            <w:r w:rsidRPr="00554B41">
              <w:t>UNDP</w:t>
            </w:r>
            <w:r w:rsidR="007D3504" w:rsidRPr="00554B41">
              <w:t>)</w:t>
            </w:r>
            <w:r w:rsidRPr="00554B41">
              <w:t>, the World Bank (Climate Support Facility)</w:t>
            </w:r>
            <w:r w:rsidR="003F44FA" w:rsidRPr="00554B41">
              <w:t>,</w:t>
            </w:r>
            <w:r w:rsidRPr="00554B41">
              <w:t xml:space="preserve"> and regional development banks</w:t>
            </w:r>
            <w:r w:rsidR="003F44FA" w:rsidRPr="00554B41">
              <w:t>—</w:t>
            </w:r>
            <w:r w:rsidRPr="00554B41">
              <w:t xml:space="preserve">such as </w:t>
            </w:r>
            <w:r w:rsidR="003F44FA" w:rsidRPr="00554B41">
              <w:t xml:space="preserve">the </w:t>
            </w:r>
            <w:r w:rsidRPr="00554B41">
              <w:t>I</w:t>
            </w:r>
            <w:r w:rsidR="004063A7" w:rsidRPr="00554B41">
              <w:t>nter</w:t>
            </w:r>
            <w:r w:rsidR="003F44FA" w:rsidRPr="00554B41">
              <w:t>-</w:t>
            </w:r>
            <w:r w:rsidRPr="00554B41">
              <w:t>A</w:t>
            </w:r>
            <w:r w:rsidR="004063A7" w:rsidRPr="00554B41">
              <w:t xml:space="preserve">merican </w:t>
            </w:r>
            <w:r w:rsidRPr="00554B41">
              <w:t>D</w:t>
            </w:r>
            <w:r w:rsidR="004063A7" w:rsidRPr="00554B41">
              <w:t xml:space="preserve">evelopment </w:t>
            </w:r>
            <w:r w:rsidRPr="00554B41">
              <w:t>B</w:t>
            </w:r>
            <w:r w:rsidR="004063A7" w:rsidRPr="00554B41">
              <w:t>ank (IA</w:t>
            </w:r>
            <w:r w:rsidR="00A50BF9" w:rsidRPr="00554B41">
              <w:t>DB)</w:t>
            </w:r>
            <w:r w:rsidRPr="00554B41">
              <w:t>, Af</w:t>
            </w:r>
            <w:r w:rsidR="00E52200" w:rsidRPr="00554B41">
              <w:t xml:space="preserve">rican </w:t>
            </w:r>
            <w:r w:rsidRPr="00554B41">
              <w:t>D</w:t>
            </w:r>
            <w:r w:rsidR="00E52200" w:rsidRPr="00554B41">
              <w:t xml:space="preserve">evelopment </w:t>
            </w:r>
            <w:r w:rsidRPr="00554B41">
              <w:t>B</w:t>
            </w:r>
            <w:r w:rsidR="00E52200" w:rsidRPr="00554B41">
              <w:t>ank</w:t>
            </w:r>
            <w:r w:rsidR="003F44FA" w:rsidRPr="00554B41">
              <w:t>,</w:t>
            </w:r>
            <w:r w:rsidRPr="00554B41">
              <w:t xml:space="preserve"> and A</w:t>
            </w:r>
            <w:r w:rsidR="006B101A" w:rsidRPr="00554B41">
              <w:t xml:space="preserve">sian </w:t>
            </w:r>
            <w:r w:rsidRPr="00554B41">
              <w:t>D</w:t>
            </w:r>
            <w:r w:rsidR="006B101A" w:rsidRPr="00554B41">
              <w:t xml:space="preserve">evelopment </w:t>
            </w:r>
            <w:r w:rsidRPr="00554B41">
              <w:t>B</w:t>
            </w:r>
            <w:r w:rsidR="006B101A" w:rsidRPr="00554B41">
              <w:t>ank (</w:t>
            </w:r>
            <w:r w:rsidRPr="00554B41">
              <w:t>ADB</w:t>
            </w:r>
            <w:r w:rsidR="006B101A" w:rsidRPr="00554B41">
              <w:t>)</w:t>
            </w:r>
            <w:r w:rsidR="003F44FA" w:rsidRPr="00554B41">
              <w:t>—</w:t>
            </w:r>
            <w:r w:rsidRPr="00554B41">
              <w:t>as well as bilateral program</w:t>
            </w:r>
            <w:r w:rsidR="003F44FA" w:rsidRPr="00554B41">
              <w:t>me</w:t>
            </w:r>
            <w:r w:rsidRPr="00554B41">
              <w:t>s like UK P</w:t>
            </w:r>
            <w:r w:rsidR="00EC405F" w:rsidRPr="00554B41">
              <w:t>artner</w:t>
            </w:r>
            <w:r w:rsidR="00145BF4" w:rsidRPr="00554B41">
              <w:t xml:space="preserve">ing for </w:t>
            </w:r>
            <w:r w:rsidRPr="00554B41">
              <w:t>A</w:t>
            </w:r>
            <w:r w:rsidR="00145BF4" w:rsidRPr="00554B41">
              <w:t xml:space="preserve">ccelerating </w:t>
            </w:r>
            <w:r w:rsidRPr="00554B41">
              <w:t>C</w:t>
            </w:r>
            <w:r w:rsidR="00145BF4" w:rsidRPr="00554B41">
              <w:t xml:space="preserve">limate </w:t>
            </w:r>
            <w:r w:rsidR="00DF012F" w:rsidRPr="00554B41">
              <w:t>Transitions</w:t>
            </w:r>
            <w:r w:rsidR="00145BF4" w:rsidRPr="00554B41">
              <w:t xml:space="preserve"> (</w:t>
            </w:r>
            <w:r w:rsidRPr="00554B41">
              <w:t>PACT</w:t>
            </w:r>
            <w:r w:rsidR="00145BF4" w:rsidRPr="00554B41">
              <w:t>)</w:t>
            </w:r>
            <w:r w:rsidRPr="00554B41">
              <w:t xml:space="preserve"> and </w:t>
            </w:r>
            <w:r w:rsidR="00E20E97" w:rsidRPr="00554B41">
              <w:t>Deutsche Gesellschaft für Internationale Zusammenarbeit (</w:t>
            </w:r>
            <w:r w:rsidRPr="00554B41">
              <w:t>GIZ</w:t>
            </w:r>
            <w:r w:rsidR="00E20E97" w:rsidRPr="00554B41">
              <w:t>)</w:t>
            </w:r>
            <w:r w:rsidRPr="00554B41">
              <w:t>’s NDC Support Program</w:t>
            </w:r>
            <w:r w:rsidR="003F44FA" w:rsidRPr="00554B41">
              <w:t>me</w:t>
            </w:r>
            <w:r w:rsidRPr="00554B41">
              <w:t xml:space="preserve"> and other organisations with a tighter focus and smaller budget like the Global Green Growth Institute (GGGI), or consultancies like Climate Analytics (a CASA TP) and Climate Focus</w:t>
            </w:r>
            <w:r w:rsidR="003F44FA" w:rsidRPr="00554B41">
              <w:t>,</w:t>
            </w:r>
            <w:r w:rsidRPr="00554B41">
              <w:rPr>
                <w:b/>
                <w:bCs/>
              </w:rPr>
              <w:t xml:space="preserve"> all provide technical assistance in climate policy. However, the scope for legal support and implementation of international commitments domestically is more limited.</w:t>
            </w:r>
            <w:r w:rsidRPr="00554B41">
              <w:t xml:space="preserve"> Two interviewees confirmed receiving legal support for domestic implementation from other actors</w:t>
            </w:r>
            <w:r w:rsidR="00946A5D" w:rsidRPr="00554B41">
              <w:t xml:space="preserve">. </w:t>
            </w:r>
            <w:r w:rsidRPr="00554B41">
              <w:t xml:space="preserve">First, Climate Analytics supported preparation of an NDC. Second, GGGI, the World Bank, and Climate Focus partnered with the West African Alliance on Carbon Markets and Climate Finance on </w:t>
            </w:r>
            <w:r w:rsidR="00946A5D" w:rsidRPr="00554B41">
              <w:t xml:space="preserve">the </w:t>
            </w:r>
            <w:r w:rsidRPr="00554B41">
              <w:t>implementation of Article 6.4.</w:t>
            </w:r>
          </w:p>
          <w:p w14:paraId="4D75A6E9" w14:textId="5B1C39F5" w:rsidR="001113DA" w:rsidRPr="00554B41" w:rsidRDefault="001113DA" w:rsidP="001113DA">
            <w:pPr>
              <w:pStyle w:val="ListParagraph"/>
              <w:numPr>
                <w:ilvl w:val="0"/>
                <w:numId w:val="17"/>
              </w:numPr>
              <w:spacing w:after="160" w:line="259" w:lineRule="auto"/>
              <w:jc w:val="left"/>
            </w:pPr>
            <w:r w:rsidRPr="00554B41">
              <w:t xml:space="preserve">The NDC Partnership is a global coalition including more than 130 countries established in 2016, which aims to support member countries in developing and implementing their NDCs by coordinating and facilitating support based on governments’ identified priorities and types of support needed. This technical support is provided at no cost to member countries as </w:t>
            </w:r>
            <w:r w:rsidR="00946A5D" w:rsidRPr="00554B41">
              <w:t>it is</w:t>
            </w:r>
            <w:r w:rsidRPr="00554B41">
              <w:t xml:space="preserve"> funded by bilateral and multilateral donors including ADB, </w:t>
            </w:r>
            <w:r w:rsidR="00946A5D" w:rsidRPr="00554B41">
              <w:t>the United Nations Food and Agriculture Organization (</w:t>
            </w:r>
            <w:r w:rsidRPr="00554B41">
              <w:t>FAO</w:t>
            </w:r>
            <w:r w:rsidR="00946A5D" w:rsidRPr="00554B41">
              <w:t>)</w:t>
            </w:r>
            <w:r w:rsidRPr="00554B41">
              <w:t>, UNDP, the World Bank, the UK, Germany</w:t>
            </w:r>
            <w:r w:rsidR="00946A5D" w:rsidRPr="00554B41">
              <w:t>,</w:t>
            </w:r>
            <w:r w:rsidRPr="00554B41">
              <w:t xml:space="preserve"> and others. It is beyond the scope of this evaluation to ascertain whether countries that received support from LRI may have also received support from the NDC Partnership.</w:t>
            </w:r>
          </w:p>
          <w:p w14:paraId="3591067F" w14:textId="3DCF2103" w:rsidR="001113DA" w:rsidRPr="00554B41" w:rsidRDefault="001113DA" w:rsidP="001113DA">
            <w:pPr>
              <w:pStyle w:val="ListParagraph"/>
              <w:numPr>
                <w:ilvl w:val="0"/>
                <w:numId w:val="17"/>
              </w:numPr>
              <w:spacing w:after="160" w:line="259" w:lineRule="auto"/>
              <w:jc w:val="left"/>
            </w:pPr>
            <w:r w:rsidRPr="00554B41">
              <w:t>The Climate Support Facility under the World Bank supports the development and implementation of NDCs and Long-Term Strategies.</w:t>
            </w:r>
          </w:p>
          <w:p w14:paraId="17B3056A" w14:textId="4E32455C" w:rsidR="001113DA" w:rsidRPr="00554B41" w:rsidRDefault="001113DA" w:rsidP="001113DA">
            <w:pPr>
              <w:pStyle w:val="ListParagraph"/>
              <w:numPr>
                <w:ilvl w:val="0"/>
                <w:numId w:val="17"/>
              </w:numPr>
              <w:spacing w:after="160" w:line="259" w:lineRule="auto"/>
              <w:jc w:val="left"/>
            </w:pPr>
            <w:r w:rsidRPr="00554B41">
              <w:t xml:space="preserve">UK PACT supports the development and implementation of NDCs by providing technical assistance, capacity building, and resources to partner countries, among other </w:t>
            </w:r>
            <w:r w:rsidR="00946A5D" w:rsidRPr="00554B41">
              <w:t xml:space="preserve">technical assistance </w:t>
            </w:r>
            <w:r w:rsidRPr="00554B41">
              <w:t>offerings.</w:t>
            </w:r>
          </w:p>
          <w:p w14:paraId="49E36DBA" w14:textId="77777777" w:rsidR="001113DA" w:rsidRPr="00554B41" w:rsidRDefault="001113DA" w:rsidP="001113DA">
            <w:pPr>
              <w:pStyle w:val="ListParagraph"/>
              <w:numPr>
                <w:ilvl w:val="0"/>
                <w:numId w:val="17"/>
              </w:numPr>
              <w:spacing w:after="160" w:line="259" w:lineRule="auto"/>
              <w:jc w:val="left"/>
            </w:pPr>
            <w:r w:rsidRPr="00554B41">
              <w:t>Countries and bilateral ODA donors may also have direct relationships with lawyers who may provide pro bono or low bono legal support.</w:t>
            </w:r>
          </w:p>
          <w:p w14:paraId="34F55795" w14:textId="77777777" w:rsidR="001113DA" w:rsidRPr="00554B41" w:rsidRDefault="001113DA" w:rsidP="001113DA">
            <w:pPr>
              <w:pStyle w:val="ListParagraph"/>
              <w:numPr>
                <w:ilvl w:val="0"/>
                <w:numId w:val="17"/>
              </w:numPr>
              <w:spacing w:after="160" w:line="259" w:lineRule="auto"/>
              <w:jc w:val="left"/>
            </w:pPr>
            <w:r w:rsidRPr="00554B41">
              <w:t>GGGI has provided some countries with policy advice and technical support in the development and enhancement of NDCs.</w:t>
            </w:r>
          </w:p>
          <w:p w14:paraId="432DAEE5" w14:textId="799BA905" w:rsidR="001113DA" w:rsidRPr="00554B41" w:rsidRDefault="001113DA" w:rsidP="001113DA">
            <w:pPr>
              <w:pStyle w:val="ListParagraph"/>
              <w:numPr>
                <w:ilvl w:val="0"/>
                <w:numId w:val="17"/>
              </w:numPr>
              <w:spacing w:after="160" w:line="259" w:lineRule="auto"/>
              <w:jc w:val="left"/>
            </w:pPr>
            <w:r w:rsidRPr="00554B41">
              <w:t xml:space="preserve">Climate Focus is a for-profit consultancy that focuses on developing and implementing climate policies and interventions, including the implementation of carbon markets under Article 6, among other activities. </w:t>
            </w:r>
          </w:p>
          <w:p w14:paraId="4A9B50C5" w14:textId="0780F10A" w:rsidR="001113DA" w:rsidRPr="00554B41" w:rsidRDefault="001113DA" w:rsidP="001113DA">
            <w:pPr>
              <w:pStyle w:val="ListParagraph"/>
              <w:numPr>
                <w:ilvl w:val="0"/>
                <w:numId w:val="17"/>
              </w:numPr>
              <w:spacing w:after="160" w:line="259" w:lineRule="auto"/>
              <w:jc w:val="left"/>
            </w:pPr>
            <w:r w:rsidRPr="00554B41">
              <w:t>Of a rather different nature, the Grantham Institute publishes an annual overview of key developments in climate litigation worldwide</w:t>
            </w:r>
            <w:r w:rsidRPr="00554B41">
              <w:rPr>
                <w:i/>
                <w:iCs/>
              </w:rPr>
              <w:t xml:space="preserve"> </w:t>
            </w:r>
            <w:r w:rsidRPr="00554B41">
              <w:t xml:space="preserve">called the </w:t>
            </w:r>
            <w:r w:rsidR="00223BB0" w:rsidRPr="00554B41">
              <w:t>‘</w:t>
            </w:r>
            <w:r w:rsidRPr="00554B41">
              <w:t>Global Trends in Climate Change Litigation</w:t>
            </w:r>
            <w:r w:rsidR="00223BB0" w:rsidRPr="00554B41">
              <w:t>’</w:t>
            </w:r>
            <w:r w:rsidRPr="00554B41">
              <w:t xml:space="preserve"> report. They also have an open access database </w:t>
            </w:r>
            <w:r w:rsidR="00656C87" w:rsidRPr="00554B41">
              <w:t xml:space="preserve">on </w:t>
            </w:r>
            <w:r w:rsidR="00223BB0" w:rsidRPr="00554B41">
              <w:t>‘</w:t>
            </w:r>
            <w:r w:rsidRPr="00554B41">
              <w:t>Climate Change Laws of the World</w:t>
            </w:r>
            <w:r w:rsidR="00223BB0" w:rsidRPr="00554B41">
              <w:t>’</w:t>
            </w:r>
            <w:r w:rsidR="00656C87" w:rsidRPr="00554B41">
              <w:t>,</w:t>
            </w:r>
            <w:r w:rsidRPr="00554B41">
              <w:t xml:space="preserve"> which details national-level climate change legislation and policies globally. This acts as a resource to lawyers worldwide. </w:t>
            </w:r>
          </w:p>
        </w:tc>
      </w:tr>
    </w:tbl>
    <w:p w14:paraId="74DE1C64" w14:textId="0AC1658A" w:rsidR="00550F7C" w:rsidRDefault="00550F7C" w:rsidP="00550F7C">
      <w:pPr>
        <w:pStyle w:val="Heading2"/>
      </w:pPr>
      <w:bookmarkStart w:id="20" w:name="_Toc204967837"/>
      <w:r w:rsidRPr="00554B41">
        <w:t>What were the key factors in determining the outcome</w:t>
      </w:r>
      <w:r>
        <w:t>?</w:t>
      </w:r>
      <w:bookmarkEnd w:id="20"/>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4"/>
      </w:tblGrid>
      <w:tr w:rsidR="001113DA" w:rsidRPr="00554B41" w14:paraId="0DB23CCA" w14:textId="77777777" w:rsidTr="006B422F">
        <w:trPr>
          <w:trHeight w:val="694"/>
        </w:trPr>
        <w:tc>
          <w:tcPr>
            <w:tcW w:w="9064" w:type="dxa"/>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53E22F28" w14:textId="3EA41241" w:rsidR="001113DA" w:rsidRPr="00554B41" w:rsidRDefault="00656C87" w:rsidP="001113DA">
            <w:r w:rsidRPr="00554B41">
              <w:rPr>
                <w:b/>
                <w:bCs/>
              </w:rPr>
              <w:t xml:space="preserve">The agility </w:t>
            </w:r>
            <w:r w:rsidR="001113DA" w:rsidRPr="00554B41">
              <w:rPr>
                <w:b/>
                <w:bCs/>
              </w:rPr>
              <w:t xml:space="preserve">of LRI’s operating model and trust-based relationships. </w:t>
            </w:r>
            <w:r w:rsidR="001113DA" w:rsidRPr="00554B41">
              <w:t>LRI has effectively harnessed its pro bono legal resources and volunteer network, building on some 15 years of trust-based relationships developed with various countries and adapted to support in-country implementation. As a result, despite having a small core team, LRI is perceived as a vital, trusted source of legal expertise and can respond to an increasing number and diversity of requests each year. Together, these elements have helped establish LRI as a reliable organisation that delegations can turn to for a wide range of needs across all three workstreams</w:t>
            </w:r>
            <w:r w:rsidRPr="00554B41">
              <w:t xml:space="preserve">: </w:t>
            </w:r>
            <w:r w:rsidR="001113DA" w:rsidRPr="00554B41">
              <w:t xml:space="preserve">negotiations support, domestic implementation, and capacity building. </w:t>
            </w:r>
          </w:p>
          <w:p w14:paraId="2737F2B7" w14:textId="106D86CC" w:rsidR="001113DA" w:rsidRPr="00554B41" w:rsidRDefault="001113DA" w:rsidP="001113DA">
            <w:r w:rsidRPr="00554B41">
              <w:t>In 2023, Pascale Bird became LRI’s Director, taking over from Christopher Schwartz who led the organisation for over a decade. Notwithstanding this change in leadership, with the attendant risk of a loss of some important relationships, LRI continues to receive growing numbers of requests year</w:t>
            </w:r>
            <w:r w:rsidR="00656C87" w:rsidRPr="00554B41">
              <w:t xml:space="preserve"> </w:t>
            </w:r>
            <w:r w:rsidRPr="00554B41">
              <w:t>on</w:t>
            </w:r>
            <w:r w:rsidR="00656C87" w:rsidRPr="00554B41">
              <w:t xml:space="preserve"> </w:t>
            </w:r>
            <w:r w:rsidRPr="00554B41">
              <w:t xml:space="preserve">year. </w:t>
            </w:r>
          </w:p>
          <w:p w14:paraId="28672083" w14:textId="77777777" w:rsidR="001113DA" w:rsidRPr="00554B41" w:rsidRDefault="001113DA" w:rsidP="001113DA">
            <w:r w:rsidRPr="00554B41">
              <w:rPr>
                <w:b/>
                <w:bCs/>
              </w:rPr>
              <w:t xml:space="preserve">Increasingly expansive and engaged network in a high-growth, strategically important area of legal practice. </w:t>
            </w:r>
            <w:r w:rsidRPr="00554B41">
              <w:t>The existence of the pro bono legal system, and appetite from law firms to gain experience in the climate negotiations and domestic implementation space, has allowed CASA-supported countries to benefit at no cost to themselves. Interest from law firms has grown in recent years, driven by the rising prominence of climate policy and carbon markets, enabling LRI to tap into an increasingly expansive and engaged legal network. This mutually beneficial relationship enables LRI’s relatively small team to draw on a wide pool of quality-assured external experts to respond to the diverse range of requests they receive across both negotiations support and domestic implementation. At the same time, legal professionals can meet their pro bono commitments while gaining valuable experience and, to some extent, training in a rapidly evolving field. This organisational structure ensures that CASA-supported individuals receive high-quality legal assistance—support that would otherwise be difficult or costly to obtain.</w:t>
            </w:r>
          </w:p>
          <w:p w14:paraId="175706C0" w14:textId="2FE0BE27" w:rsidR="001113DA" w:rsidRPr="00554B41" w:rsidRDefault="001113DA" w:rsidP="001113DA">
            <w:r w:rsidRPr="00554B41">
              <w:rPr>
                <w:b/>
                <w:bCs/>
              </w:rPr>
              <w:t xml:space="preserve">Strong focus on domestic implementation within </w:t>
            </w:r>
            <w:r w:rsidR="00692493" w:rsidRPr="00554B41">
              <w:rPr>
                <w:b/>
                <w:bCs/>
              </w:rPr>
              <w:t xml:space="preserve">the </w:t>
            </w:r>
            <w:r w:rsidRPr="00554B41">
              <w:rPr>
                <w:b/>
                <w:bCs/>
              </w:rPr>
              <w:t xml:space="preserve">global climate policy framework, specifically the delivery of NDCs. </w:t>
            </w:r>
            <w:r w:rsidRPr="00554B41">
              <w:t xml:space="preserve">The broader shift in the climate landscape following the Paris Agreement—particularly the growing focus on domestic implementation to meet international commitments—has led to an increase in requests from country delegations for support </w:t>
            </w:r>
            <w:r w:rsidR="00692493" w:rsidRPr="00554B41">
              <w:t xml:space="preserve">on the </w:t>
            </w:r>
            <w:r w:rsidRPr="00554B41">
              <w:t>alignment of domestic laws with international climate obligations. LRI mirrored this shift in its operating model to include offerings for domestic implementation.</w:t>
            </w:r>
          </w:p>
          <w:p w14:paraId="00AAC055" w14:textId="776DEEC7" w:rsidR="001113DA" w:rsidRPr="00554B41" w:rsidRDefault="001113DA" w:rsidP="001113DA">
            <w:r w:rsidRPr="00554B41">
              <w:rPr>
                <w:b/>
                <w:bCs/>
              </w:rPr>
              <w:t>Trusting relationships built up over time between negotiators and legal teams</w:t>
            </w:r>
            <w:r w:rsidRPr="00554B41">
              <w:t>. There are strong existing relationships between negotiating groups, legal networks, specific country delegations</w:t>
            </w:r>
            <w:r w:rsidR="003867F4" w:rsidRPr="00554B41">
              <w:t>,</w:t>
            </w:r>
            <w:r w:rsidRPr="00554B41">
              <w:t xml:space="preserve"> and </w:t>
            </w:r>
            <w:r w:rsidR="003867F4" w:rsidRPr="00554B41">
              <w:t>climate-</w:t>
            </w:r>
            <w:r w:rsidRPr="00554B41">
              <w:t xml:space="preserve">related alliances/regional coalitions. In addition, there is a large community of LRI members who are familiar with their offerings. These networks are the basis for delegations, where appropriate, to draw on independently in the future. </w:t>
            </w:r>
          </w:p>
          <w:p w14:paraId="31A1226B" w14:textId="3B3342F9" w:rsidR="001113DA" w:rsidRPr="00554B41" w:rsidRDefault="00656C87" w:rsidP="001113DA">
            <w:r w:rsidRPr="00554B41">
              <w:rPr>
                <w:b/>
                <w:bCs/>
              </w:rPr>
              <w:t xml:space="preserve">A constrained </w:t>
            </w:r>
            <w:r w:rsidR="001113DA" w:rsidRPr="00554B41">
              <w:rPr>
                <w:b/>
                <w:bCs/>
              </w:rPr>
              <w:t xml:space="preserve">core team limits </w:t>
            </w:r>
            <w:r w:rsidRPr="00554B41">
              <w:rPr>
                <w:b/>
                <w:bCs/>
              </w:rPr>
              <w:t xml:space="preserve">LRI’s </w:t>
            </w:r>
            <w:r w:rsidR="001113DA" w:rsidRPr="00554B41">
              <w:rPr>
                <w:b/>
                <w:bCs/>
              </w:rPr>
              <w:t xml:space="preserve">potential contribution. </w:t>
            </w:r>
            <w:r w:rsidR="001113DA" w:rsidRPr="00554B41">
              <w:t xml:space="preserve">LRI’s core team consists of three permanent staff and one intern. This limited capacity constrains the number of requests they can respond to, each of which are for highly valued legal services, particularly for more sustained support to domestic implementation. It also limits the time they can dedicate to strategise on scaling and tailoring </w:t>
            </w:r>
            <w:r w:rsidR="003867F4" w:rsidRPr="00554B41">
              <w:t xml:space="preserve">its </w:t>
            </w:r>
            <w:r w:rsidR="001113DA" w:rsidRPr="00554B41">
              <w:t>domestic legal support more effectively.</w:t>
            </w:r>
          </w:p>
        </w:tc>
      </w:tr>
    </w:tbl>
    <w:p w14:paraId="09D2CF2A" w14:textId="77777777" w:rsidR="000940E0" w:rsidRPr="00554B41" w:rsidRDefault="000940E0" w:rsidP="000940E0"/>
    <w:p w14:paraId="77623BCF" w14:textId="77777777" w:rsidR="000940E0" w:rsidRPr="00554B41" w:rsidRDefault="000940E0" w:rsidP="000940E0">
      <w:pPr>
        <w:sectPr w:rsidR="000940E0" w:rsidRPr="00554B41" w:rsidSect="000940E0">
          <w:pgSz w:w="11906" w:h="16838"/>
          <w:pgMar w:top="1440" w:right="1440" w:bottom="1440" w:left="1440" w:header="708" w:footer="708" w:gutter="0"/>
          <w:cols w:space="708"/>
          <w:docGrid w:linePitch="360"/>
        </w:sectPr>
      </w:pPr>
      <w:r w:rsidRPr="00554B41">
        <w:br w:type="page"/>
      </w:r>
    </w:p>
    <w:p w14:paraId="0E9D6994" w14:textId="49FB1313" w:rsidR="000940E0" w:rsidRPr="00554B41" w:rsidRDefault="00F42BFD" w:rsidP="007032D3">
      <w:pPr>
        <w:sectPr w:rsidR="000940E0" w:rsidRPr="00554B41" w:rsidSect="000940E0">
          <w:pgSz w:w="16838" w:h="11906" w:orient="landscape"/>
          <w:pgMar w:top="1440" w:right="1440" w:bottom="1440" w:left="1440" w:header="709" w:footer="709" w:gutter="0"/>
          <w:cols w:space="708"/>
          <w:docGrid w:linePitch="360"/>
        </w:sectPr>
      </w:pPr>
      <w:r>
        <w:rPr>
          <w:noProof/>
        </w:rPr>
        <mc:AlternateContent>
          <mc:Choice Requires="wps">
            <w:drawing>
              <wp:anchor distT="0" distB="0" distL="114300" distR="114300" simplePos="0" relativeHeight="251658249" behindDoc="0" locked="0" layoutInCell="1" allowOverlap="1" wp14:anchorId="4017A488" wp14:editId="13AD69F4">
                <wp:simplePos x="0" y="0"/>
                <wp:positionH relativeFrom="column">
                  <wp:posOffset>-85725</wp:posOffset>
                </wp:positionH>
                <wp:positionV relativeFrom="paragraph">
                  <wp:posOffset>6005830</wp:posOffset>
                </wp:positionV>
                <wp:extent cx="8782050" cy="635"/>
                <wp:effectExtent l="0" t="0" r="0" b="0"/>
                <wp:wrapNone/>
                <wp:docPr id="1431070536" name="Text Box 1"/>
                <wp:cNvGraphicFramePr/>
                <a:graphic xmlns:a="http://schemas.openxmlformats.org/drawingml/2006/main">
                  <a:graphicData uri="http://schemas.microsoft.com/office/word/2010/wordprocessingShape">
                    <wps:wsp>
                      <wps:cNvSpPr txBox="1"/>
                      <wps:spPr>
                        <a:xfrm>
                          <a:off x="0" y="0"/>
                          <a:ext cx="8782050" cy="635"/>
                        </a:xfrm>
                        <a:prstGeom prst="rect">
                          <a:avLst/>
                        </a:prstGeom>
                        <a:solidFill>
                          <a:prstClr val="white"/>
                        </a:solidFill>
                        <a:ln>
                          <a:noFill/>
                        </a:ln>
                      </wps:spPr>
                      <wps:txbx>
                        <w:txbxContent>
                          <w:p w14:paraId="1394AE9A" w14:textId="3A7EE1E4" w:rsidR="00F42BFD" w:rsidRPr="00AC5B0F" w:rsidRDefault="00F42BFD" w:rsidP="00F42BFD">
                            <w:pPr>
                              <w:pStyle w:val="Caption"/>
                              <w:rPr>
                                <w:noProof/>
                                <w:sz w:val="20"/>
                              </w:rPr>
                            </w:pPr>
                            <w:r>
                              <w:t xml:space="preserve">Figure </w:t>
                            </w:r>
                            <w:r>
                              <w:fldChar w:fldCharType="begin"/>
                            </w:r>
                            <w:r>
                              <w:instrText xml:space="preserve"> SEQ Figure \* ARABIC </w:instrText>
                            </w:r>
                            <w:r>
                              <w:fldChar w:fldCharType="separate"/>
                            </w:r>
                            <w:r>
                              <w:rPr>
                                <w:noProof/>
                              </w:rPr>
                              <w:t>3</w:t>
                            </w:r>
                            <w:r>
                              <w:fldChar w:fldCharType="end"/>
                            </w:r>
                            <w:r>
                              <w:t xml:space="preserve">. </w:t>
                            </w:r>
                            <w:r w:rsidRPr="00554B41">
                              <w:t>Timeline for the NGP case study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17A488" id="_x0000_s1028" type="#_x0000_t202" style="position:absolute;left:0;text-align:left;margin-left:-6.75pt;margin-top:472.9pt;width:691.5pt;height:.0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" stroked="f">
                <v:textbox style="mso-fit-shape-to-text:t" inset="0,0,0,0">
                  <w:txbxContent>
                    <w:p w14:paraId="1394AE9A" w14:textId="3A7EE1E4" w:rsidR="00F42BFD" w:rsidRPr="00AC5B0F" w:rsidRDefault="00F42BFD" w:rsidP="00F42BFD">
                      <w:pPr>
                        <w:pStyle w:val="Caption"/>
                        <w:rPr>
                          <w:noProof/>
                          <w:sz w:val="20"/>
                        </w:rPr>
                      </w:pPr>
                      <w:r>
                        <w:t xml:space="preserve">Figure </w:t>
                      </w:r>
                      <w:r>
                        <w:fldChar w:fldCharType="begin"/>
                      </w:r>
                      <w:r>
                        <w:instrText xml:space="preserve"> SEQ Figure \* ARABIC </w:instrText>
                      </w:r>
                      <w:r>
                        <w:fldChar w:fldCharType="separate"/>
                      </w:r>
                      <w:r>
                        <w:rPr>
                          <w:noProof/>
                        </w:rPr>
                        <w:t>3</w:t>
                      </w:r>
                      <w:r>
                        <w:fldChar w:fldCharType="end"/>
                      </w:r>
                      <w:r>
                        <w:t xml:space="preserve">. </w:t>
                      </w:r>
                      <w:r w:rsidRPr="00554B41">
                        <w:t>Timeline for the NGP case study</w:t>
                      </w:r>
                    </w:p>
                  </w:txbxContent>
                </v:textbox>
              </v:shape>
            </w:pict>
          </mc:Fallback>
        </mc:AlternateContent>
      </w:r>
      <w:r w:rsidR="007032D3" w:rsidRPr="00554B41">
        <w:rPr>
          <w:noProof/>
        </w:rPr>
        <w:drawing>
          <wp:anchor distT="0" distB="0" distL="114300" distR="114300" simplePos="0" relativeHeight="251658241" behindDoc="0" locked="0" layoutInCell="1" allowOverlap="1" wp14:anchorId="4E0973A1" wp14:editId="27494A85">
            <wp:simplePos x="0" y="0"/>
            <wp:positionH relativeFrom="column">
              <wp:posOffset>-85725</wp:posOffset>
            </wp:positionH>
            <wp:positionV relativeFrom="paragraph">
              <wp:posOffset>-384810</wp:posOffset>
            </wp:positionV>
            <wp:extent cx="8782050" cy="6334051"/>
            <wp:effectExtent l="0" t="0" r="0" b="0"/>
            <wp:wrapNone/>
            <wp:docPr id="1096850817"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50817" name="Picture 1" descr="A diagram of a graph&#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8782050" cy="6334051"/>
                    </a:xfrm>
                    <a:prstGeom prst="rect">
                      <a:avLst/>
                    </a:prstGeom>
                  </pic:spPr>
                </pic:pic>
              </a:graphicData>
            </a:graphic>
            <wp14:sizeRelH relativeFrom="margin">
              <wp14:pctWidth>0</wp14:pctWidth>
            </wp14:sizeRelH>
            <wp14:sizeRelV relativeFrom="margin">
              <wp14:pctHeight>0</wp14:pctHeight>
            </wp14:sizeRelV>
          </wp:anchor>
        </w:drawing>
      </w:r>
    </w:p>
    <w:p w14:paraId="3E618D33" w14:textId="01209C51" w:rsidR="00071B3C" w:rsidRDefault="001D3B65" w:rsidP="001D3B65">
      <w:pPr>
        <w:pStyle w:val="Heading1"/>
      </w:pPr>
      <w:bookmarkStart w:id="21" w:name="_Toc204967838"/>
      <w:r w:rsidRPr="00550F7C">
        <w:t>Case study 3: New Generation Programme</w:t>
      </w:r>
      <w:bookmarkEnd w:id="21"/>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88"/>
        <w:gridCol w:w="2976"/>
      </w:tblGrid>
      <w:tr w:rsidR="00DA3939" w:rsidRPr="00554B41" w14:paraId="16FC8CFE" w14:textId="77777777" w:rsidTr="7CBF6582">
        <w:trPr>
          <w:trHeight w:val="300"/>
        </w:trPr>
        <w:tc>
          <w:tcPr>
            <w:tcW w:w="6088" w:type="dxa"/>
            <w:tcBorders>
              <w:top w:val="single" w:sz="6" w:space="0" w:color="303030" w:themeColor="text1"/>
              <w:left w:val="single" w:sz="6" w:space="0" w:color="303030" w:themeColor="text1"/>
              <w:bottom w:val="single" w:sz="6" w:space="0" w:color="303030" w:themeColor="text1"/>
              <w:right w:val="single" w:sz="6" w:space="0" w:color="303030" w:themeColor="text1"/>
            </w:tcBorders>
            <w:shd w:val="clear" w:color="auto" w:fill="CEDCDB" w:themeFill="accent2" w:themeFillTint="66"/>
          </w:tcPr>
          <w:p w14:paraId="2B229510" w14:textId="77777777" w:rsidR="00DA3939" w:rsidRPr="00554B41" w:rsidRDefault="00DA3939" w:rsidP="00DA3939">
            <w:pPr>
              <w:jc w:val="left"/>
              <w:rPr>
                <w:rFonts w:asciiTheme="minorHAnsi" w:hAnsiTheme="minorHAnsi" w:cstheme="minorHAnsi"/>
                <w:b/>
                <w:bCs/>
              </w:rPr>
            </w:pPr>
            <w:r w:rsidRPr="00554B41">
              <w:rPr>
                <w:rFonts w:asciiTheme="minorHAnsi" w:hAnsiTheme="minorHAnsi" w:cstheme="minorHAnsi"/>
                <w:b/>
                <w:bCs/>
              </w:rPr>
              <w:t xml:space="preserve">Outcome title: </w:t>
            </w:r>
          </w:p>
          <w:p w14:paraId="68BD569C" w14:textId="2752750E" w:rsidR="00DA3939" w:rsidRPr="00554B41" w:rsidRDefault="00DA3939" w:rsidP="00DA3939">
            <w:pPr>
              <w:jc w:val="left"/>
              <w:rPr>
                <w:rFonts w:asciiTheme="minorHAnsi" w:hAnsiTheme="minorHAnsi" w:cstheme="minorHAnsi"/>
              </w:rPr>
            </w:pPr>
            <w:r w:rsidRPr="00554B41">
              <w:rPr>
                <w:rFonts w:asciiTheme="minorHAnsi" w:hAnsiTheme="minorHAnsi" w:cstheme="minorHAnsi"/>
              </w:rPr>
              <w:t xml:space="preserve">A continuity model for climate leadership: Strengthening the negotiator </w:t>
            </w:r>
            <w:r w:rsidR="003867F4" w:rsidRPr="00554B41">
              <w:rPr>
                <w:rFonts w:asciiTheme="minorHAnsi" w:hAnsiTheme="minorHAnsi" w:cstheme="minorHAnsi"/>
              </w:rPr>
              <w:t>‘</w:t>
            </w:r>
            <w:r w:rsidRPr="00554B41">
              <w:rPr>
                <w:rFonts w:asciiTheme="minorHAnsi" w:hAnsiTheme="minorHAnsi" w:cstheme="minorHAnsi"/>
              </w:rPr>
              <w:t>family</w:t>
            </w:r>
            <w:r w:rsidR="003867F4" w:rsidRPr="00554B41">
              <w:rPr>
                <w:rFonts w:asciiTheme="minorHAnsi" w:hAnsiTheme="minorHAnsi" w:cstheme="minorHAnsi"/>
              </w:rPr>
              <w:t xml:space="preserve">’ </w:t>
            </w:r>
            <w:r w:rsidRPr="00554B41">
              <w:rPr>
                <w:rFonts w:asciiTheme="minorHAnsi" w:hAnsiTheme="minorHAnsi" w:cstheme="minorHAnsi"/>
              </w:rPr>
              <w:t xml:space="preserve">among climate-vulnerable </w:t>
            </w:r>
            <w:r w:rsidR="009C5565" w:rsidRPr="00554B41">
              <w:rPr>
                <w:rFonts w:asciiTheme="minorHAnsi" w:hAnsiTheme="minorHAnsi" w:cstheme="minorHAnsi"/>
              </w:rPr>
              <w:t>countries.</w:t>
            </w:r>
          </w:p>
          <w:p w14:paraId="1210315C" w14:textId="77777777" w:rsidR="00DA3939" w:rsidRPr="00554B41" w:rsidRDefault="00DA3939" w:rsidP="00DA3939">
            <w:pPr>
              <w:jc w:val="left"/>
              <w:rPr>
                <w:rFonts w:asciiTheme="minorHAnsi" w:hAnsiTheme="minorHAnsi" w:cstheme="minorHAnsi"/>
                <w:b/>
                <w:bCs/>
              </w:rPr>
            </w:pPr>
          </w:p>
        </w:tc>
        <w:tc>
          <w:tcPr>
            <w:tcW w:w="2976" w:type="dxa"/>
            <w:tcBorders>
              <w:top w:val="single" w:sz="6" w:space="0" w:color="303030" w:themeColor="text1"/>
              <w:left w:val="single" w:sz="6" w:space="0" w:color="303030" w:themeColor="text1"/>
              <w:bottom w:val="single" w:sz="6" w:space="0" w:color="303030" w:themeColor="text1"/>
              <w:right w:val="single" w:sz="6" w:space="0" w:color="303030" w:themeColor="text1"/>
            </w:tcBorders>
            <w:shd w:val="clear" w:color="auto" w:fill="CEDCDB" w:themeFill="accent2" w:themeFillTint="66"/>
          </w:tcPr>
          <w:p w14:paraId="42B089AB" w14:textId="77777777" w:rsidR="00DA3939" w:rsidRPr="00554B41" w:rsidRDefault="00DA3939" w:rsidP="00DA3939">
            <w:pPr>
              <w:jc w:val="left"/>
              <w:rPr>
                <w:rFonts w:asciiTheme="minorHAnsi" w:hAnsiTheme="minorHAnsi" w:cstheme="minorHAnsi"/>
                <w:b/>
                <w:bCs/>
              </w:rPr>
            </w:pPr>
            <w:r w:rsidRPr="00554B41">
              <w:rPr>
                <w:rFonts w:asciiTheme="minorHAnsi" w:hAnsiTheme="minorHAnsi" w:cstheme="minorHAnsi"/>
                <w:b/>
                <w:bCs/>
              </w:rPr>
              <w:t>Strength of evidence</w:t>
            </w:r>
          </w:p>
          <w:p w14:paraId="099E4DA6" w14:textId="77777777" w:rsidR="00DA3939" w:rsidRPr="00554B41" w:rsidRDefault="00DA3939" w:rsidP="00DA3939">
            <w:pPr>
              <w:jc w:val="left"/>
              <w:rPr>
                <w:rFonts w:asciiTheme="minorHAnsi" w:hAnsiTheme="minorHAnsi" w:cstheme="minorHAnsi"/>
                <w:b/>
                <w:bCs/>
              </w:rPr>
            </w:pPr>
            <w:r w:rsidRPr="00554B41">
              <w:rPr>
                <w:rFonts w:asciiTheme="minorHAnsi" w:hAnsiTheme="minorHAnsi" w:cstheme="minorHAnsi"/>
                <w:b/>
                <w:bCs/>
              </w:rPr>
              <w:t>Strong</w:t>
            </w:r>
          </w:p>
          <w:p w14:paraId="12425D28" w14:textId="77777777" w:rsidR="00DA3939" w:rsidRPr="00554B41" w:rsidRDefault="00DA3939" w:rsidP="00DA3939">
            <w:pPr>
              <w:jc w:val="left"/>
              <w:rPr>
                <w:rFonts w:asciiTheme="minorHAnsi" w:hAnsiTheme="minorHAnsi" w:cstheme="minorHAnsi"/>
                <w:b/>
                <w:bCs/>
              </w:rPr>
            </w:pPr>
          </w:p>
        </w:tc>
      </w:tr>
    </w:tbl>
    <w:p w14:paraId="5FE88279" w14:textId="77777777" w:rsidR="00F03380" w:rsidRPr="00554B41" w:rsidRDefault="00F03380" w:rsidP="0091545C">
      <w:pPr>
        <w:pStyle w:val="Heading2"/>
      </w:pPr>
      <w:bookmarkStart w:id="22" w:name="_Toc204967839"/>
      <w:r w:rsidRPr="00554B41">
        <w:t xml:space="preserve">Summary of CASA II </w:t>
      </w:r>
      <w:r w:rsidRPr="0091545C">
        <w:t>contribution</w:t>
      </w:r>
      <w:bookmarkEnd w:id="22"/>
      <w:r w:rsidRPr="00554B41">
        <w:t xml:space="preserve"> </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4"/>
      </w:tblGrid>
      <w:tr w:rsidR="00DA3939" w:rsidRPr="00554B41" w14:paraId="4928D106" w14:textId="77777777">
        <w:trPr>
          <w:trHeight w:val="300"/>
        </w:trPr>
        <w:tc>
          <w:tcPr>
            <w:tcW w:w="9064" w:type="dxa"/>
            <w:tcBorders>
              <w:top w:val="single" w:sz="6" w:space="0" w:color="303030" w:themeColor="text1"/>
              <w:left w:val="single" w:sz="6" w:space="0" w:color="303030" w:themeColor="text1"/>
              <w:bottom w:val="single" w:sz="6" w:space="0" w:color="303030" w:themeColor="text1"/>
              <w:right w:val="single" w:sz="6" w:space="0" w:color="303030" w:themeColor="text1"/>
            </w:tcBorders>
            <w:shd w:val="clear" w:color="auto" w:fill="F2F2F2" w:themeFill="background1" w:themeFillShade="F2"/>
            <w:hideMark/>
          </w:tcPr>
          <w:p w14:paraId="4D195BA1" w14:textId="51DA4CB7" w:rsidR="00DA3939" w:rsidRPr="00554B41" w:rsidRDefault="00DA3939" w:rsidP="00A07159">
            <w:pPr>
              <w:rPr>
                <w:b/>
                <w:bCs/>
              </w:rPr>
            </w:pPr>
            <w:r w:rsidRPr="00554B41">
              <w:rPr>
                <w:b/>
                <w:bCs/>
              </w:rPr>
              <w:t>Very confident that CASA II made a critical contribution to the outcome</w:t>
            </w:r>
          </w:p>
          <w:p w14:paraId="60DD0EF2" w14:textId="080B96DE" w:rsidR="00DA3939" w:rsidRPr="00554B41" w:rsidRDefault="00DA3939" w:rsidP="00DA3939">
            <w:pPr>
              <w:rPr>
                <w:rFonts w:asciiTheme="minorHAnsi" w:hAnsiTheme="minorHAnsi" w:cstheme="minorHAnsi"/>
              </w:rPr>
            </w:pPr>
            <w:r w:rsidRPr="00554B41">
              <w:rPr>
                <w:rFonts w:asciiTheme="minorHAnsi" w:hAnsiTheme="minorHAnsi" w:cstheme="minorHAnsi"/>
              </w:rPr>
              <w:t>The CASA-funded third cohort of NGP marked a shift from an open-call youth fellowship to a negotiating group</w:t>
            </w:r>
            <w:r w:rsidR="00C5124E" w:rsidRPr="00554B41">
              <w:rPr>
                <w:rFonts w:asciiTheme="minorHAnsi" w:hAnsiTheme="minorHAnsi" w:cstheme="minorHAnsi"/>
              </w:rPr>
              <w:t>-</w:t>
            </w:r>
            <w:r w:rsidRPr="00554B41">
              <w:rPr>
                <w:rFonts w:asciiTheme="minorHAnsi" w:hAnsiTheme="minorHAnsi" w:cstheme="minorHAnsi"/>
              </w:rPr>
              <w:t>nominated model, embedding young negotiators directly within party delegations. This evolution ensured stronger alignment between fellows and national priorities and resulted in all participants being accredited as official delegates at COP29. Alumni from previous cohorts returned as mentors and programme leads, establishing a self-reinforcing model of peer-led training and continuity. In summary, the programme demonstrated flexibility, strong coordination, and a clear commitment to participant needs. The third cohort appears to have been delivered effectively and credibly, reflecting a maturing model of negotiator development support.</w:t>
            </w:r>
          </w:p>
          <w:p w14:paraId="1B93437E" w14:textId="625FF5CD" w:rsidR="00DA3939" w:rsidRPr="00554B41" w:rsidRDefault="00DA3939" w:rsidP="00DA3939">
            <w:pPr>
              <w:rPr>
                <w:rFonts w:asciiTheme="minorHAnsi" w:eastAsia="Aptos" w:hAnsiTheme="minorHAnsi" w:cstheme="minorHAnsi"/>
              </w:rPr>
            </w:pPr>
            <w:r w:rsidRPr="00554B41">
              <w:rPr>
                <w:rFonts w:asciiTheme="minorHAnsi" w:hAnsiTheme="minorHAnsi" w:cstheme="minorHAnsi"/>
              </w:rPr>
              <w:t xml:space="preserve">NGP now functions less as a standalone initiative and more as a structured pathway into formal negotiating roles—particularly within the LDC Group. CASA II funding was critical to enabling this shift, supporting core staffing and wider thematic engagement. </w:t>
            </w:r>
            <w:r w:rsidRPr="00554B41">
              <w:rPr>
                <w:rFonts w:asciiTheme="minorHAnsi" w:eastAsia="Aptos" w:hAnsiTheme="minorHAnsi" w:cstheme="minorHAnsi"/>
              </w:rPr>
              <w:t xml:space="preserve">As a result, the programme has established a pipeline of young negotiators who are now contributing within three negotiating groups, where NGP is increasingly seen as a reliable source of </w:t>
            </w:r>
            <w:r w:rsidR="005C757E" w:rsidRPr="00554B41">
              <w:rPr>
                <w:rFonts w:asciiTheme="minorHAnsi" w:eastAsia="Aptos" w:hAnsiTheme="minorHAnsi" w:cstheme="minorHAnsi"/>
              </w:rPr>
              <w:t>expertly curated</w:t>
            </w:r>
            <w:r w:rsidRPr="00554B41">
              <w:rPr>
                <w:rFonts w:asciiTheme="minorHAnsi" w:eastAsia="Aptos" w:hAnsiTheme="minorHAnsi" w:cstheme="minorHAnsi"/>
              </w:rPr>
              <w:t xml:space="preserve"> climate negotiation preparation. </w:t>
            </w:r>
          </w:p>
          <w:p w14:paraId="7B90E9A0" w14:textId="20DA16B2" w:rsidR="00DA3939" w:rsidRPr="00554B41" w:rsidRDefault="00DA3939" w:rsidP="00DA3939">
            <w:pPr>
              <w:rPr>
                <w:rFonts w:asciiTheme="minorHAnsi" w:eastAsia="Aptos" w:hAnsiTheme="minorHAnsi" w:cstheme="minorHAnsi"/>
              </w:rPr>
            </w:pPr>
            <w:r w:rsidRPr="00554B41">
              <w:rPr>
                <w:rFonts w:asciiTheme="minorHAnsi" w:hAnsiTheme="minorHAnsi" w:cstheme="minorHAnsi"/>
              </w:rPr>
              <w:t>A wide set of reinforcing factors shaped the outcomes of the third cohort of NGP</w:t>
            </w:r>
            <w:r w:rsidR="00C5124E" w:rsidRPr="00554B41">
              <w:rPr>
                <w:rFonts w:asciiTheme="minorHAnsi" w:hAnsiTheme="minorHAnsi" w:cstheme="minorHAnsi"/>
              </w:rPr>
              <w:t>,</w:t>
            </w:r>
            <w:r w:rsidRPr="00554B41">
              <w:rPr>
                <w:rFonts w:asciiTheme="minorHAnsi" w:hAnsiTheme="minorHAnsi" w:cstheme="minorHAnsi"/>
              </w:rPr>
              <w:t xml:space="preserve"> but many were supported, directly or indirectly, by CASA. Overall, we see that CASA’s support came in at a strategic point for both CLI and CASA</w:t>
            </w:r>
            <w:r w:rsidR="00C5124E" w:rsidRPr="00554B41">
              <w:rPr>
                <w:rFonts w:asciiTheme="minorHAnsi" w:hAnsiTheme="minorHAnsi" w:cstheme="minorHAnsi"/>
              </w:rPr>
              <w:t>,</w:t>
            </w:r>
            <w:r w:rsidRPr="00554B41">
              <w:rPr>
                <w:rFonts w:asciiTheme="minorHAnsi" w:hAnsiTheme="minorHAnsi" w:cstheme="minorHAnsi"/>
              </w:rPr>
              <w:t xml:space="preserve"> but that NGP’s credibility, and overall stock of assets, had been built during the previous cohorts.</w:t>
            </w:r>
          </w:p>
          <w:p w14:paraId="015F8974" w14:textId="77777777" w:rsidR="00DA3939" w:rsidRPr="00554B41" w:rsidRDefault="00DA3939" w:rsidP="00DA3939">
            <w:pPr>
              <w:rPr>
                <w:rFonts w:asciiTheme="minorHAnsi" w:hAnsiTheme="minorHAnsi" w:cstheme="minorHAnsi"/>
              </w:rPr>
            </w:pPr>
          </w:p>
        </w:tc>
      </w:tr>
    </w:tbl>
    <w:p w14:paraId="46ECE3CF" w14:textId="64AF6E73" w:rsidR="000A6D54" w:rsidRDefault="00686C16" w:rsidP="008019EE">
      <w:pPr>
        <w:pStyle w:val="Heading2"/>
      </w:pPr>
      <w:bookmarkStart w:id="23" w:name="_Toc204967840"/>
      <w:r w:rsidRPr="00990E87">
        <w:t xml:space="preserve">Summary of </w:t>
      </w:r>
      <w:r>
        <w:t xml:space="preserve">the contribution of </w:t>
      </w:r>
      <w:r w:rsidRPr="00990E87">
        <w:t>other actors and factors</w:t>
      </w:r>
      <w:bookmarkEnd w:id="23"/>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88"/>
        <w:gridCol w:w="2976"/>
      </w:tblGrid>
      <w:tr w:rsidR="00DA3939" w:rsidRPr="00554B41" w14:paraId="139BBC27" w14:textId="77777777" w:rsidTr="008D6DEF">
        <w:trPr>
          <w:trHeight w:val="300"/>
        </w:trPr>
        <w:tc>
          <w:tcPr>
            <w:tcW w:w="6088" w:type="dxa"/>
            <w:tcBorders>
              <w:top w:val="single" w:sz="6" w:space="0" w:color="303030" w:themeColor="text1"/>
              <w:left w:val="single" w:sz="6" w:space="0" w:color="303030" w:themeColor="text1"/>
              <w:right w:val="single" w:sz="6" w:space="0" w:color="303030" w:themeColor="text1"/>
            </w:tcBorders>
          </w:tcPr>
          <w:p w14:paraId="228EA2F2" w14:textId="47DBDAE2" w:rsidR="00DA3939" w:rsidRPr="00554B41" w:rsidRDefault="00DA3939" w:rsidP="00DA3939">
            <w:pPr>
              <w:numPr>
                <w:ilvl w:val="0"/>
                <w:numId w:val="27"/>
              </w:numPr>
              <w:spacing w:after="160" w:line="259" w:lineRule="auto"/>
              <w:jc w:val="left"/>
              <w:rPr>
                <w:rFonts w:asciiTheme="minorHAnsi" w:hAnsiTheme="minorHAnsi" w:cstheme="minorHAnsi"/>
              </w:rPr>
            </w:pPr>
            <w:r w:rsidRPr="00554B41">
              <w:rPr>
                <w:rFonts w:asciiTheme="minorHAnsi" w:hAnsiTheme="minorHAnsi" w:cstheme="minorHAnsi"/>
              </w:rPr>
              <w:t xml:space="preserve">Convening power of </w:t>
            </w:r>
            <w:r w:rsidR="00180367" w:rsidRPr="00554B41">
              <w:rPr>
                <w:rFonts w:asciiTheme="minorHAnsi" w:hAnsiTheme="minorHAnsi" w:cstheme="minorHAnsi"/>
              </w:rPr>
              <w:t xml:space="preserve">the </w:t>
            </w:r>
            <w:r w:rsidRPr="00554B41">
              <w:rPr>
                <w:rFonts w:asciiTheme="minorHAnsi" w:hAnsiTheme="minorHAnsi" w:cstheme="minorHAnsi"/>
              </w:rPr>
              <w:t xml:space="preserve">Director of </w:t>
            </w:r>
            <w:r w:rsidR="00180367" w:rsidRPr="00554B41">
              <w:rPr>
                <w:rFonts w:asciiTheme="minorHAnsi" w:hAnsiTheme="minorHAnsi" w:cstheme="minorHAnsi"/>
              </w:rPr>
              <w:t>CLI</w:t>
            </w:r>
            <w:r w:rsidRPr="00554B41">
              <w:rPr>
                <w:rFonts w:asciiTheme="minorHAnsi" w:hAnsiTheme="minorHAnsi" w:cstheme="minorHAnsi"/>
              </w:rPr>
              <w:t xml:space="preserve"> and </w:t>
            </w:r>
            <w:r w:rsidR="00564C67" w:rsidRPr="00554B41">
              <w:rPr>
                <w:rFonts w:asciiTheme="minorHAnsi" w:hAnsiTheme="minorHAnsi" w:cstheme="minorHAnsi"/>
              </w:rPr>
              <w:t xml:space="preserve">the </w:t>
            </w:r>
            <w:r w:rsidRPr="00554B41">
              <w:rPr>
                <w:rFonts w:asciiTheme="minorHAnsi" w:hAnsiTheme="minorHAnsi" w:cstheme="minorHAnsi"/>
              </w:rPr>
              <w:t>Loss and Damage Collaboration</w:t>
            </w:r>
            <w:r w:rsidR="00564C67" w:rsidRPr="00554B41">
              <w:rPr>
                <w:rFonts w:asciiTheme="minorHAnsi" w:hAnsiTheme="minorHAnsi" w:cstheme="minorHAnsi"/>
              </w:rPr>
              <w:t xml:space="preserve"> (L&amp;DC)</w:t>
            </w:r>
          </w:p>
        </w:tc>
        <w:tc>
          <w:tcPr>
            <w:tcW w:w="2976" w:type="dxa"/>
            <w:tcBorders>
              <w:top w:val="single" w:sz="6" w:space="0" w:color="303030" w:themeColor="text1"/>
              <w:left w:val="single" w:sz="6" w:space="0" w:color="303030" w:themeColor="text1"/>
              <w:bottom w:val="single" w:sz="6" w:space="0" w:color="303030" w:themeColor="text1"/>
              <w:right w:val="single" w:sz="6" w:space="0" w:color="303030" w:themeColor="text1"/>
            </w:tcBorders>
          </w:tcPr>
          <w:p w14:paraId="550DF5CE" w14:textId="77777777" w:rsidR="00DA3939" w:rsidRPr="00554B41" w:rsidRDefault="00DA3939" w:rsidP="00DA3939">
            <w:pPr>
              <w:rPr>
                <w:rFonts w:asciiTheme="minorHAnsi" w:hAnsiTheme="minorHAnsi" w:cstheme="minorHAnsi"/>
              </w:rPr>
            </w:pPr>
            <w:r w:rsidRPr="00554B41">
              <w:rPr>
                <w:rFonts w:asciiTheme="minorHAnsi" w:hAnsiTheme="minorHAnsi" w:cstheme="minorHAnsi"/>
              </w:rPr>
              <w:t>Critical contribution</w:t>
            </w:r>
          </w:p>
        </w:tc>
      </w:tr>
      <w:tr w:rsidR="00DA3939" w:rsidRPr="00554B41" w14:paraId="73B45AAB" w14:textId="77777777" w:rsidTr="008D6DEF">
        <w:trPr>
          <w:trHeight w:val="300"/>
        </w:trPr>
        <w:tc>
          <w:tcPr>
            <w:tcW w:w="6088" w:type="dxa"/>
            <w:tcBorders>
              <w:top w:val="single" w:sz="6" w:space="0" w:color="303030" w:themeColor="text1"/>
              <w:left w:val="single" w:sz="6" w:space="0" w:color="303030" w:themeColor="text1"/>
              <w:right w:val="single" w:sz="6" w:space="0" w:color="303030" w:themeColor="text1"/>
            </w:tcBorders>
          </w:tcPr>
          <w:p w14:paraId="588DCF40" w14:textId="77777777" w:rsidR="00DA3939" w:rsidRPr="00554B41" w:rsidRDefault="00DA3939" w:rsidP="00DA3939">
            <w:pPr>
              <w:numPr>
                <w:ilvl w:val="0"/>
                <w:numId w:val="27"/>
              </w:numPr>
              <w:spacing w:after="160" w:line="259" w:lineRule="auto"/>
              <w:jc w:val="left"/>
              <w:rPr>
                <w:rFonts w:asciiTheme="minorHAnsi" w:hAnsiTheme="minorHAnsi" w:cstheme="minorHAnsi"/>
              </w:rPr>
            </w:pPr>
            <w:r w:rsidRPr="00554B41">
              <w:rPr>
                <w:rFonts w:asciiTheme="minorHAnsi" w:hAnsiTheme="minorHAnsi" w:cstheme="minorHAnsi"/>
              </w:rPr>
              <w:t>Presence of alumni and informal allies as mentors</w:t>
            </w:r>
          </w:p>
        </w:tc>
        <w:tc>
          <w:tcPr>
            <w:tcW w:w="2976" w:type="dxa"/>
            <w:tcBorders>
              <w:top w:val="single" w:sz="6" w:space="0" w:color="303030" w:themeColor="text1"/>
              <w:left w:val="single" w:sz="6" w:space="0" w:color="303030" w:themeColor="text1"/>
              <w:bottom w:val="single" w:sz="6" w:space="0" w:color="303030" w:themeColor="text1"/>
              <w:right w:val="single" w:sz="6" w:space="0" w:color="303030" w:themeColor="text1"/>
            </w:tcBorders>
          </w:tcPr>
          <w:p w14:paraId="5354B519" w14:textId="77777777" w:rsidR="00DA3939" w:rsidRPr="00554B41" w:rsidRDefault="00DA3939" w:rsidP="00DA3939">
            <w:pPr>
              <w:rPr>
                <w:rFonts w:asciiTheme="minorHAnsi" w:hAnsiTheme="minorHAnsi" w:cstheme="minorHAnsi"/>
              </w:rPr>
            </w:pPr>
            <w:r w:rsidRPr="00554B41">
              <w:rPr>
                <w:rFonts w:asciiTheme="minorHAnsi" w:hAnsiTheme="minorHAnsi" w:cstheme="minorHAnsi"/>
              </w:rPr>
              <w:t>Critical contribution</w:t>
            </w:r>
          </w:p>
        </w:tc>
      </w:tr>
      <w:tr w:rsidR="00DA3939" w:rsidRPr="00554B41" w14:paraId="4D727F3D" w14:textId="77777777" w:rsidTr="008D6DEF">
        <w:trPr>
          <w:trHeight w:val="300"/>
        </w:trPr>
        <w:tc>
          <w:tcPr>
            <w:tcW w:w="6088" w:type="dxa"/>
            <w:tcBorders>
              <w:top w:val="single" w:sz="6" w:space="0" w:color="303030" w:themeColor="text1"/>
              <w:left w:val="single" w:sz="6" w:space="0" w:color="303030" w:themeColor="text1"/>
              <w:right w:val="single" w:sz="6" w:space="0" w:color="303030" w:themeColor="text1"/>
            </w:tcBorders>
          </w:tcPr>
          <w:p w14:paraId="6907431C" w14:textId="77777777" w:rsidR="00DA3939" w:rsidRPr="00554B41" w:rsidRDefault="00DA3939" w:rsidP="00DA3939">
            <w:pPr>
              <w:numPr>
                <w:ilvl w:val="0"/>
                <w:numId w:val="27"/>
              </w:numPr>
              <w:spacing w:after="160" w:line="259" w:lineRule="auto"/>
              <w:jc w:val="left"/>
              <w:rPr>
                <w:rFonts w:asciiTheme="minorHAnsi" w:hAnsiTheme="minorHAnsi" w:cstheme="minorHAnsi"/>
              </w:rPr>
            </w:pPr>
            <w:r w:rsidRPr="00554B41">
              <w:rPr>
                <w:rFonts w:asciiTheme="minorHAnsi" w:hAnsiTheme="minorHAnsi" w:cstheme="minorHAnsi"/>
              </w:rPr>
              <w:t xml:space="preserve">Support from other funders </w:t>
            </w:r>
          </w:p>
        </w:tc>
        <w:tc>
          <w:tcPr>
            <w:tcW w:w="2976" w:type="dxa"/>
            <w:tcBorders>
              <w:top w:val="single" w:sz="6" w:space="0" w:color="303030" w:themeColor="text1"/>
              <w:left w:val="single" w:sz="6" w:space="0" w:color="303030" w:themeColor="text1"/>
              <w:bottom w:val="single" w:sz="6" w:space="0" w:color="303030" w:themeColor="text1"/>
              <w:right w:val="single" w:sz="6" w:space="0" w:color="303030" w:themeColor="text1"/>
            </w:tcBorders>
          </w:tcPr>
          <w:p w14:paraId="56A68614" w14:textId="77777777" w:rsidR="00DA3939" w:rsidRPr="00554B41" w:rsidRDefault="00DA3939" w:rsidP="00DA3939">
            <w:pPr>
              <w:rPr>
                <w:rFonts w:asciiTheme="minorHAnsi" w:hAnsiTheme="minorHAnsi" w:cstheme="minorHAnsi"/>
              </w:rPr>
            </w:pPr>
            <w:r w:rsidRPr="00554B41">
              <w:rPr>
                <w:rFonts w:asciiTheme="minorHAnsi" w:hAnsiTheme="minorHAnsi" w:cstheme="minorHAnsi"/>
              </w:rPr>
              <w:t>Critical contribution</w:t>
            </w:r>
          </w:p>
        </w:tc>
      </w:tr>
      <w:tr w:rsidR="00DA3939" w:rsidRPr="00554B41" w14:paraId="17EB11D7" w14:textId="77777777" w:rsidTr="008D6DEF">
        <w:trPr>
          <w:trHeight w:val="300"/>
        </w:trPr>
        <w:tc>
          <w:tcPr>
            <w:tcW w:w="6088" w:type="dxa"/>
            <w:tcBorders>
              <w:top w:val="single" w:sz="6" w:space="0" w:color="303030" w:themeColor="text1"/>
              <w:left w:val="single" w:sz="6" w:space="0" w:color="303030" w:themeColor="text1"/>
              <w:right w:val="single" w:sz="6" w:space="0" w:color="303030" w:themeColor="text1"/>
            </w:tcBorders>
          </w:tcPr>
          <w:p w14:paraId="3C88160F" w14:textId="0965A53E" w:rsidR="00DA3939" w:rsidRPr="00554B41" w:rsidRDefault="00DA3939" w:rsidP="00DA3939">
            <w:pPr>
              <w:numPr>
                <w:ilvl w:val="0"/>
                <w:numId w:val="27"/>
              </w:numPr>
              <w:spacing w:after="160" w:line="259" w:lineRule="auto"/>
              <w:jc w:val="left"/>
              <w:rPr>
                <w:rFonts w:asciiTheme="minorHAnsi" w:hAnsiTheme="minorHAnsi" w:cstheme="minorHAnsi"/>
              </w:rPr>
            </w:pPr>
            <w:r w:rsidRPr="00554B41">
              <w:rPr>
                <w:rFonts w:asciiTheme="minorHAnsi" w:hAnsiTheme="minorHAnsi" w:cstheme="minorHAnsi"/>
              </w:rPr>
              <w:t xml:space="preserve">Negotiating group buy-in and use of </w:t>
            </w:r>
            <w:r w:rsidR="00180367" w:rsidRPr="00554B41">
              <w:rPr>
                <w:rFonts w:asciiTheme="minorHAnsi" w:hAnsiTheme="minorHAnsi" w:cstheme="minorHAnsi"/>
              </w:rPr>
              <w:t xml:space="preserve">the </w:t>
            </w:r>
            <w:r w:rsidRPr="00554B41">
              <w:rPr>
                <w:rFonts w:asciiTheme="minorHAnsi" w:hAnsiTheme="minorHAnsi" w:cstheme="minorHAnsi"/>
              </w:rPr>
              <w:t>nomination model</w:t>
            </w:r>
          </w:p>
        </w:tc>
        <w:tc>
          <w:tcPr>
            <w:tcW w:w="2976" w:type="dxa"/>
            <w:tcBorders>
              <w:top w:val="single" w:sz="6" w:space="0" w:color="303030" w:themeColor="text1"/>
              <w:left w:val="single" w:sz="6" w:space="0" w:color="303030" w:themeColor="text1"/>
              <w:bottom w:val="single" w:sz="6" w:space="0" w:color="303030" w:themeColor="text1"/>
              <w:right w:val="single" w:sz="6" w:space="0" w:color="303030" w:themeColor="text1"/>
            </w:tcBorders>
          </w:tcPr>
          <w:p w14:paraId="4BC3218E" w14:textId="77777777" w:rsidR="00DA3939" w:rsidRPr="00554B41" w:rsidRDefault="00DA3939" w:rsidP="00DA3939">
            <w:pPr>
              <w:rPr>
                <w:rFonts w:asciiTheme="minorHAnsi" w:hAnsiTheme="minorHAnsi" w:cstheme="minorHAnsi"/>
              </w:rPr>
            </w:pPr>
            <w:r w:rsidRPr="00554B41">
              <w:rPr>
                <w:rFonts w:asciiTheme="minorHAnsi" w:hAnsiTheme="minorHAnsi" w:cstheme="minorHAnsi"/>
              </w:rPr>
              <w:t>Important contribution</w:t>
            </w:r>
          </w:p>
        </w:tc>
      </w:tr>
      <w:tr w:rsidR="00DA3939" w:rsidRPr="00554B41" w14:paraId="034C59AB" w14:textId="77777777" w:rsidTr="008D6DEF">
        <w:trPr>
          <w:trHeight w:val="300"/>
        </w:trPr>
        <w:tc>
          <w:tcPr>
            <w:tcW w:w="6088" w:type="dxa"/>
            <w:tcBorders>
              <w:top w:val="single" w:sz="6" w:space="0" w:color="303030" w:themeColor="text1"/>
              <w:left w:val="single" w:sz="6" w:space="0" w:color="303030" w:themeColor="text1"/>
              <w:right w:val="single" w:sz="6" w:space="0" w:color="303030" w:themeColor="text1"/>
            </w:tcBorders>
          </w:tcPr>
          <w:p w14:paraId="301822FF" w14:textId="77777777" w:rsidR="00DA3939" w:rsidRPr="00554B41" w:rsidRDefault="00DA3939" w:rsidP="00DA3939">
            <w:pPr>
              <w:numPr>
                <w:ilvl w:val="0"/>
                <w:numId w:val="27"/>
              </w:numPr>
              <w:spacing w:after="160" w:line="259" w:lineRule="auto"/>
              <w:jc w:val="left"/>
              <w:rPr>
                <w:rFonts w:asciiTheme="minorHAnsi" w:hAnsiTheme="minorHAnsi" w:cstheme="minorHAnsi"/>
              </w:rPr>
            </w:pPr>
            <w:r w:rsidRPr="00554B41">
              <w:rPr>
                <w:rFonts w:asciiTheme="minorHAnsi" w:hAnsiTheme="minorHAnsi" w:cstheme="minorHAnsi"/>
              </w:rPr>
              <w:t>Ability of CLI to set direction and evolve</w:t>
            </w:r>
          </w:p>
        </w:tc>
        <w:tc>
          <w:tcPr>
            <w:tcW w:w="2976" w:type="dxa"/>
            <w:tcBorders>
              <w:top w:val="single" w:sz="6" w:space="0" w:color="303030" w:themeColor="text1"/>
              <w:left w:val="single" w:sz="6" w:space="0" w:color="303030" w:themeColor="text1"/>
              <w:bottom w:val="single" w:sz="6" w:space="0" w:color="303030" w:themeColor="text1"/>
              <w:right w:val="single" w:sz="6" w:space="0" w:color="303030" w:themeColor="text1"/>
            </w:tcBorders>
          </w:tcPr>
          <w:p w14:paraId="29036BD4" w14:textId="77777777" w:rsidR="00DA3939" w:rsidRPr="00554B41" w:rsidRDefault="00DA3939" w:rsidP="00DA3939">
            <w:pPr>
              <w:rPr>
                <w:rFonts w:asciiTheme="minorHAnsi" w:hAnsiTheme="minorHAnsi" w:cstheme="minorHAnsi"/>
              </w:rPr>
            </w:pPr>
            <w:r w:rsidRPr="00554B41">
              <w:rPr>
                <w:rFonts w:asciiTheme="minorHAnsi" w:hAnsiTheme="minorHAnsi" w:cstheme="minorHAnsi"/>
              </w:rPr>
              <w:t>Important contribution</w:t>
            </w:r>
          </w:p>
        </w:tc>
      </w:tr>
      <w:tr w:rsidR="00DA3939" w:rsidRPr="00554B41" w14:paraId="6F848DF1" w14:textId="77777777" w:rsidTr="008D6DEF">
        <w:trPr>
          <w:trHeight w:val="300"/>
        </w:trPr>
        <w:tc>
          <w:tcPr>
            <w:tcW w:w="6088" w:type="dxa"/>
            <w:tcBorders>
              <w:top w:val="single" w:sz="6" w:space="0" w:color="303030" w:themeColor="text1"/>
              <w:left w:val="single" w:sz="6" w:space="0" w:color="303030" w:themeColor="text1"/>
              <w:right w:val="single" w:sz="6" w:space="0" w:color="303030" w:themeColor="text1"/>
            </w:tcBorders>
          </w:tcPr>
          <w:p w14:paraId="2318AAB2" w14:textId="77777777" w:rsidR="00DA3939" w:rsidRPr="00554B41" w:rsidRDefault="00DA3939" w:rsidP="00DA3939">
            <w:pPr>
              <w:numPr>
                <w:ilvl w:val="0"/>
                <w:numId w:val="27"/>
              </w:numPr>
              <w:spacing w:after="160" w:line="259" w:lineRule="auto"/>
              <w:jc w:val="left"/>
              <w:rPr>
                <w:rFonts w:asciiTheme="minorHAnsi" w:hAnsiTheme="minorHAnsi" w:cstheme="minorHAnsi"/>
              </w:rPr>
            </w:pPr>
            <w:r w:rsidRPr="00554B41">
              <w:rPr>
                <w:rFonts w:asciiTheme="minorHAnsi" w:hAnsiTheme="minorHAnsi" w:cstheme="minorHAnsi"/>
              </w:rPr>
              <w:t>Delivery capacity and resilience</w:t>
            </w:r>
          </w:p>
        </w:tc>
        <w:tc>
          <w:tcPr>
            <w:tcW w:w="2976" w:type="dxa"/>
            <w:tcBorders>
              <w:top w:val="single" w:sz="6" w:space="0" w:color="303030" w:themeColor="text1"/>
              <w:left w:val="single" w:sz="6" w:space="0" w:color="303030" w:themeColor="text1"/>
              <w:bottom w:val="single" w:sz="6" w:space="0" w:color="303030" w:themeColor="text1"/>
              <w:right w:val="single" w:sz="6" w:space="0" w:color="303030" w:themeColor="text1"/>
            </w:tcBorders>
          </w:tcPr>
          <w:p w14:paraId="045943A4" w14:textId="77777777" w:rsidR="00DA3939" w:rsidRPr="00554B41" w:rsidRDefault="00DA3939" w:rsidP="00DA3939">
            <w:pPr>
              <w:rPr>
                <w:rFonts w:asciiTheme="minorHAnsi" w:hAnsiTheme="minorHAnsi" w:cstheme="minorHAnsi"/>
              </w:rPr>
            </w:pPr>
            <w:r w:rsidRPr="00554B41">
              <w:rPr>
                <w:rFonts w:asciiTheme="minorHAnsi" w:hAnsiTheme="minorHAnsi" w:cstheme="minorHAnsi"/>
              </w:rPr>
              <w:t>Important contribution</w:t>
            </w:r>
          </w:p>
        </w:tc>
      </w:tr>
      <w:tr w:rsidR="00DA3939" w:rsidRPr="00554B41" w14:paraId="47B4C626" w14:textId="77777777" w:rsidTr="008D6DEF">
        <w:trPr>
          <w:trHeight w:val="300"/>
        </w:trPr>
        <w:tc>
          <w:tcPr>
            <w:tcW w:w="6088" w:type="dxa"/>
            <w:tcBorders>
              <w:top w:val="single" w:sz="6" w:space="0" w:color="303030" w:themeColor="text1"/>
              <w:left w:val="single" w:sz="6" w:space="0" w:color="303030" w:themeColor="text1"/>
              <w:right w:val="single" w:sz="6" w:space="0" w:color="303030" w:themeColor="text1"/>
            </w:tcBorders>
          </w:tcPr>
          <w:p w14:paraId="4B464C90" w14:textId="3B0F7E47" w:rsidR="00DA3939" w:rsidRPr="00554B41" w:rsidRDefault="00DA3939" w:rsidP="00DA3939">
            <w:pPr>
              <w:numPr>
                <w:ilvl w:val="0"/>
                <w:numId w:val="27"/>
              </w:numPr>
              <w:spacing w:after="160" w:line="259" w:lineRule="auto"/>
              <w:jc w:val="left"/>
              <w:rPr>
                <w:rFonts w:asciiTheme="minorHAnsi" w:hAnsiTheme="minorHAnsi" w:cstheme="minorHAnsi"/>
              </w:rPr>
            </w:pPr>
            <w:r w:rsidRPr="00554B41">
              <w:rPr>
                <w:rFonts w:asciiTheme="minorHAnsi" w:hAnsiTheme="minorHAnsi" w:cstheme="minorHAnsi"/>
              </w:rPr>
              <w:t xml:space="preserve">Contribution of CASA II </w:t>
            </w:r>
            <w:r w:rsidR="00BA6521" w:rsidRPr="00554B41">
              <w:rPr>
                <w:rFonts w:asciiTheme="minorHAnsi" w:hAnsiTheme="minorHAnsi" w:cstheme="minorHAnsi"/>
              </w:rPr>
              <w:t>TP</w:t>
            </w:r>
            <w:r w:rsidRPr="00554B41">
              <w:rPr>
                <w:rFonts w:asciiTheme="minorHAnsi" w:hAnsiTheme="minorHAnsi" w:cstheme="minorHAnsi"/>
              </w:rPr>
              <w:t>s to process</w:t>
            </w:r>
          </w:p>
        </w:tc>
        <w:tc>
          <w:tcPr>
            <w:tcW w:w="2976" w:type="dxa"/>
            <w:tcBorders>
              <w:top w:val="single" w:sz="6" w:space="0" w:color="303030" w:themeColor="text1"/>
              <w:left w:val="single" w:sz="6" w:space="0" w:color="303030" w:themeColor="text1"/>
              <w:bottom w:val="single" w:sz="6" w:space="0" w:color="303030" w:themeColor="text1"/>
              <w:right w:val="single" w:sz="6" w:space="0" w:color="303030" w:themeColor="text1"/>
            </w:tcBorders>
          </w:tcPr>
          <w:p w14:paraId="62F40D72" w14:textId="77777777" w:rsidR="00DA3939" w:rsidRPr="00554B41" w:rsidRDefault="00DA3939" w:rsidP="00DA3939">
            <w:pPr>
              <w:rPr>
                <w:rFonts w:asciiTheme="minorHAnsi" w:hAnsiTheme="minorHAnsi" w:cstheme="minorHAnsi"/>
              </w:rPr>
            </w:pPr>
            <w:r w:rsidRPr="00554B41">
              <w:rPr>
                <w:rFonts w:asciiTheme="minorHAnsi" w:hAnsiTheme="minorHAnsi" w:cstheme="minorHAnsi"/>
              </w:rPr>
              <w:t>Important contribution</w:t>
            </w:r>
          </w:p>
        </w:tc>
      </w:tr>
      <w:tr w:rsidR="00DA3939" w:rsidRPr="00554B41" w14:paraId="3DAB4DC6" w14:textId="77777777" w:rsidTr="008D6DEF">
        <w:trPr>
          <w:trHeight w:val="300"/>
        </w:trPr>
        <w:tc>
          <w:tcPr>
            <w:tcW w:w="6088" w:type="dxa"/>
            <w:tcBorders>
              <w:top w:val="single" w:sz="6" w:space="0" w:color="303030" w:themeColor="text1"/>
              <w:left w:val="single" w:sz="6" w:space="0" w:color="303030" w:themeColor="text1"/>
              <w:right w:val="single" w:sz="6" w:space="0" w:color="303030" w:themeColor="text1"/>
            </w:tcBorders>
          </w:tcPr>
          <w:p w14:paraId="7D2283AE" w14:textId="77777777" w:rsidR="00DA3939" w:rsidRPr="00554B41" w:rsidRDefault="00DA3939" w:rsidP="00DA3939">
            <w:pPr>
              <w:numPr>
                <w:ilvl w:val="0"/>
                <w:numId w:val="27"/>
              </w:numPr>
              <w:spacing w:after="160" w:line="259" w:lineRule="auto"/>
              <w:jc w:val="left"/>
              <w:rPr>
                <w:rFonts w:asciiTheme="minorHAnsi" w:hAnsiTheme="minorHAnsi" w:cstheme="minorHAnsi"/>
              </w:rPr>
            </w:pPr>
            <w:r w:rsidRPr="00554B41">
              <w:rPr>
                <w:rFonts w:asciiTheme="minorHAnsi" w:hAnsiTheme="minorHAnsi" w:cstheme="minorHAnsi"/>
              </w:rPr>
              <w:t>Wider momentum behind youth participation</w:t>
            </w:r>
          </w:p>
        </w:tc>
        <w:tc>
          <w:tcPr>
            <w:tcW w:w="2976" w:type="dxa"/>
            <w:tcBorders>
              <w:top w:val="single" w:sz="6" w:space="0" w:color="303030" w:themeColor="text1"/>
              <w:left w:val="single" w:sz="6" w:space="0" w:color="303030" w:themeColor="text1"/>
              <w:bottom w:val="single" w:sz="6" w:space="0" w:color="303030" w:themeColor="text1"/>
              <w:right w:val="single" w:sz="6" w:space="0" w:color="303030" w:themeColor="text1"/>
            </w:tcBorders>
          </w:tcPr>
          <w:p w14:paraId="3022AF49" w14:textId="77777777" w:rsidR="00DA3939" w:rsidRPr="00554B41" w:rsidRDefault="00DA3939" w:rsidP="00DA3939">
            <w:pPr>
              <w:rPr>
                <w:rFonts w:asciiTheme="minorHAnsi" w:hAnsiTheme="minorHAnsi" w:cstheme="minorHAnsi"/>
              </w:rPr>
            </w:pPr>
            <w:r w:rsidRPr="00554B41">
              <w:rPr>
                <w:rFonts w:asciiTheme="minorHAnsi" w:hAnsiTheme="minorHAnsi" w:cstheme="minorHAnsi"/>
              </w:rPr>
              <w:t>Some contribution</w:t>
            </w:r>
          </w:p>
        </w:tc>
      </w:tr>
    </w:tbl>
    <w:p w14:paraId="3C855176" w14:textId="6E0E56A0" w:rsidR="00331E90" w:rsidRDefault="00331E90" w:rsidP="00331E90">
      <w:pPr>
        <w:pStyle w:val="Heading2"/>
      </w:pPr>
      <w:bookmarkStart w:id="24" w:name="_Toc204967841"/>
      <w:r w:rsidRPr="00554B41">
        <w:t>Geographic and temporal context</w:t>
      </w:r>
      <w:bookmarkEnd w:id="24"/>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4"/>
      </w:tblGrid>
      <w:tr w:rsidR="00DA3939" w:rsidRPr="00554B41" w14:paraId="40A624AE" w14:textId="77777777" w:rsidTr="006557F3">
        <w:trPr>
          <w:trHeight w:val="300"/>
        </w:trPr>
        <w:tc>
          <w:tcPr>
            <w:tcW w:w="9064" w:type="dxa"/>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0048C44D" w14:textId="526A3C0F" w:rsidR="00DA3939" w:rsidRPr="00554B41" w:rsidRDefault="00DA3939" w:rsidP="00DA3939">
            <w:pPr>
              <w:rPr>
                <w:rFonts w:asciiTheme="minorHAnsi" w:hAnsiTheme="minorHAnsi" w:cstheme="minorHAnsi"/>
              </w:rPr>
            </w:pPr>
            <w:r w:rsidRPr="00554B41">
              <w:rPr>
                <w:rFonts w:asciiTheme="minorHAnsi" w:hAnsiTheme="minorHAnsi" w:cstheme="minorHAnsi"/>
              </w:rPr>
              <w:t xml:space="preserve">NGP has evolved as a </w:t>
            </w:r>
            <w:r w:rsidR="00CA371C" w:rsidRPr="00554B41">
              <w:rPr>
                <w:rFonts w:asciiTheme="minorHAnsi" w:hAnsiTheme="minorHAnsi" w:cstheme="minorHAnsi"/>
              </w:rPr>
              <w:t>Global South</w:t>
            </w:r>
            <w:r w:rsidRPr="00554B41">
              <w:rPr>
                <w:rFonts w:asciiTheme="minorHAnsi" w:hAnsiTheme="minorHAnsi" w:cstheme="minorHAnsi"/>
              </w:rPr>
              <w:t xml:space="preserve"> initiative, initially focused on young negotiators from African countries</w:t>
            </w:r>
            <w:r w:rsidR="00084655" w:rsidRPr="00554B41">
              <w:rPr>
                <w:rFonts w:asciiTheme="minorHAnsi" w:hAnsiTheme="minorHAnsi" w:cstheme="minorHAnsi"/>
              </w:rPr>
              <w:t xml:space="preserve"> and </w:t>
            </w:r>
            <w:r w:rsidRPr="00554B41">
              <w:rPr>
                <w:rFonts w:asciiTheme="minorHAnsi" w:hAnsiTheme="minorHAnsi" w:cstheme="minorHAnsi"/>
              </w:rPr>
              <w:t>subsequently expanding to a broader regional representation. The first and second cohort were dominated by African fellows, reflecting the existing networks of CLI and L&amp;DC, as well as available funding streams. However, by the third cohort (2024–2025) CLI</w:t>
            </w:r>
            <w:r w:rsidR="00084655" w:rsidRPr="00554B41">
              <w:rPr>
                <w:rFonts w:asciiTheme="minorHAnsi" w:hAnsiTheme="minorHAnsi" w:cstheme="minorHAnsi"/>
              </w:rPr>
              <w:t xml:space="preserve"> had</w:t>
            </w:r>
            <w:r w:rsidRPr="00554B41">
              <w:rPr>
                <w:rFonts w:asciiTheme="minorHAnsi" w:hAnsiTheme="minorHAnsi" w:cstheme="minorHAnsi"/>
              </w:rPr>
              <w:t xml:space="preserve"> intentionally widened participation to include fellows from South Asia and other regions, reflecting a shift toward a more inclusive and globally representative programme.</w:t>
            </w:r>
          </w:p>
          <w:p w14:paraId="029F6DEE" w14:textId="5452698E" w:rsidR="00DA3939" w:rsidRPr="00554B41" w:rsidRDefault="00DA3939" w:rsidP="00DA3939">
            <w:pPr>
              <w:rPr>
                <w:rFonts w:asciiTheme="minorHAnsi" w:hAnsiTheme="minorHAnsi" w:cstheme="minorHAnsi"/>
              </w:rPr>
            </w:pPr>
            <w:r w:rsidRPr="00554B41">
              <w:rPr>
                <w:rFonts w:asciiTheme="minorHAnsi" w:hAnsiTheme="minorHAnsi" w:cstheme="minorHAnsi"/>
              </w:rPr>
              <w:t xml:space="preserve">This geographical broadening was both a strategic and values-driven choice, underpinned by a recognition of shared structural challenges faced by young negotiators across </w:t>
            </w:r>
            <w:r w:rsidRPr="00554B41" w:rsidDel="00CA371C">
              <w:rPr>
                <w:rFonts w:asciiTheme="minorHAnsi" w:hAnsiTheme="minorHAnsi" w:cstheme="minorHAnsi"/>
              </w:rPr>
              <w:t>Global South</w:t>
            </w:r>
            <w:r w:rsidRPr="00554B41">
              <w:rPr>
                <w:rFonts w:asciiTheme="minorHAnsi" w:hAnsiTheme="minorHAnsi" w:cstheme="minorHAnsi"/>
              </w:rPr>
              <w:t xml:space="preserve"> regions. Fellows in the third cohort included individuals from countries such as Rwanda, Fiji, Ethiopia, and across South Asia, all of whom were nominated by their respective negotiating groups. This reflects the programme’s ambition to cultivate a diverse leadership pipeline that spans regional groupings such as LDC, AOSIS, </w:t>
            </w:r>
            <w:r w:rsidR="007D3504" w:rsidRPr="00554B41">
              <w:rPr>
                <w:rFonts w:asciiTheme="minorHAnsi" w:hAnsiTheme="minorHAnsi" w:cstheme="minorHAnsi"/>
              </w:rPr>
              <w:t>the Independent Alliance of Latin America and the Caribbean (</w:t>
            </w:r>
            <w:r w:rsidRPr="00554B41">
              <w:rPr>
                <w:rFonts w:asciiTheme="minorHAnsi" w:hAnsiTheme="minorHAnsi" w:cstheme="minorHAnsi"/>
              </w:rPr>
              <w:t>AILAC</w:t>
            </w:r>
            <w:r w:rsidR="007D3504" w:rsidRPr="00554B41">
              <w:rPr>
                <w:rFonts w:asciiTheme="minorHAnsi" w:hAnsiTheme="minorHAnsi" w:cstheme="minorHAnsi"/>
              </w:rPr>
              <w:t>)</w:t>
            </w:r>
            <w:r w:rsidRPr="00554B41">
              <w:rPr>
                <w:rFonts w:asciiTheme="minorHAnsi" w:hAnsiTheme="minorHAnsi" w:cstheme="minorHAnsi"/>
              </w:rPr>
              <w:t>, and AGN.</w:t>
            </w:r>
          </w:p>
          <w:p w14:paraId="39490088" w14:textId="250CAB78" w:rsidR="00DA3939" w:rsidRPr="00554B41" w:rsidRDefault="00DA3939" w:rsidP="00DA3939">
            <w:pPr>
              <w:rPr>
                <w:rFonts w:asciiTheme="minorHAnsi" w:hAnsiTheme="minorHAnsi" w:cstheme="minorHAnsi"/>
              </w:rPr>
            </w:pPr>
            <w:r w:rsidRPr="00554B41">
              <w:rPr>
                <w:rFonts w:asciiTheme="minorHAnsi" w:hAnsiTheme="minorHAnsi" w:cstheme="minorHAnsi"/>
              </w:rPr>
              <w:t>NGP has been in operation since 2020, with each cohort building on the lessons and networks of the one before. The third cohort, implemented from October 2024 to March 2025, marked a significant maturation of the programme, showcasing deeper negotiating group buy-in, greater operational independence, and expanded geographic reach.</w:t>
            </w:r>
          </w:p>
        </w:tc>
      </w:tr>
    </w:tbl>
    <w:p w14:paraId="678816BE" w14:textId="344E01D7" w:rsidR="00BD7F6F" w:rsidRDefault="00BD7F6F" w:rsidP="00BD7F6F">
      <w:pPr>
        <w:pStyle w:val="Heading2"/>
      </w:pPr>
      <w:bookmarkStart w:id="25" w:name="_Toc204967842"/>
      <w:r w:rsidRPr="00554B41">
        <w:t>What did NGP do?</w:t>
      </w:r>
      <w:bookmarkEnd w:id="25"/>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4"/>
      </w:tblGrid>
      <w:tr w:rsidR="00DA3939" w:rsidRPr="00554B41" w14:paraId="5A4220EF" w14:textId="77777777" w:rsidTr="006557F3">
        <w:trPr>
          <w:trHeight w:val="300"/>
        </w:trPr>
        <w:tc>
          <w:tcPr>
            <w:tcW w:w="9064" w:type="dxa"/>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27B360A2" w14:textId="2205F979" w:rsidR="00DA3939" w:rsidRPr="00554B41" w:rsidRDefault="00DA3939" w:rsidP="00DA3939">
            <w:pPr>
              <w:rPr>
                <w:rFonts w:asciiTheme="minorHAnsi" w:hAnsiTheme="minorHAnsi"/>
              </w:rPr>
            </w:pPr>
            <w:r w:rsidRPr="00554B41">
              <w:rPr>
                <w:rFonts w:asciiTheme="minorHAnsi" w:hAnsiTheme="minorHAnsi"/>
              </w:rPr>
              <w:t>C</w:t>
            </w:r>
            <w:r w:rsidR="3F9C43C1" w:rsidRPr="00554B41">
              <w:rPr>
                <w:rFonts w:asciiTheme="minorHAnsi" w:hAnsiTheme="minorHAnsi"/>
              </w:rPr>
              <w:t>LI</w:t>
            </w:r>
            <w:r w:rsidRPr="00554B41">
              <w:rPr>
                <w:rFonts w:asciiTheme="minorHAnsi" w:hAnsiTheme="minorHAnsi"/>
              </w:rPr>
              <w:t xml:space="preserve"> and L&amp;DC collaborated to implement the third cohort of the existing N</w:t>
            </w:r>
            <w:r w:rsidR="1BC0205A" w:rsidRPr="00554B41">
              <w:rPr>
                <w:rFonts w:asciiTheme="minorHAnsi" w:hAnsiTheme="minorHAnsi"/>
              </w:rPr>
              <w:t>GP</w:t>
            </w:r>
            <w:r w:rsidRPr="00554B41">
              <w:rPr>
                <w:rFonts w:asciiTheme="minorHAnsi" w:hAnsiTheme="minorHAnsi"/>
              </w:rPr>
              <w:t xml:space="preserve">, developing a joint proposal for CASA II’s </w:t>
            </w:r>
            <w:r w:rsidR="00DE0025" w:rsidRPr="00554B41">
              <w:rPr>
                <w:rFonts w:asciiTheme="minorHAnsi" w:hAnsiTheme="minorHAnsi"/>
              </w:rPr>
              <w:t>OF</w:t>
            </w:r>
            <w:r w:rsidRPr="00554B41">
              <w:rPr>
                <w:rFonts w:asciiTheme="minorHAnsi" w:hAnsiTheme="minorHAnsi"/>
              </w:rPr>
              <w:t xml:space="preserve"> in 2024. CASA II supported the third cohort of eight fellows, following the second and first cohorts in 2023 and 2020, respectively. </w:t>
            </w:r>
          </w:p>
          <w:p w14:paraId="278EE4D2" w14:textId="0E79D52C" w:rsidR="00DA3939" w:rsidRPr="00554B41" w:rsidRDefault="00DA3939" w:rsidP="00DA3939">
            <w:pPr>
              <w:rPr>
                <w:rFonts w:asciiTheme="minorHAnsi" w:hAnsiTheme="minorHAnsi"/>
              </w:rPr>
            </w:pPr>
            <w:r w:rsidRPr="00554B41">
              <w:rPr>
                <w:rFonts w:asciiTheme="minorHAnsi" w:hAnsiTheme="minorHAnsi"/>
              </w:rPr>
              <w:t>The third cohort comprised eight young negotiators from Dominica, Burundi, Guinea, Kenya, Panama, Peru, Samoa</w:t>
            </w:r>
            <w:r w:rsidR="00084655" w:rsidRPr="00554B41">
              <w:rPr>
                <w:rFonts w:asciiTheme="minorHAnsi" w:hAnsiTheme="minorHAnsi"/>
              </w:rPr>
              <w:t>,</w:t>
            </w:r>
            <w:r w:rsidRPr="00554B41">
              <w:rPr>
                <w:rFonts w:asciiTheme="minorHAnsi" w:hAnsiTheme="minorHAnsi"/>
              </w:rPr>
              <w:t xml:space="preserve"> and South Sudan. Nominated by the AGN, AILAC, AOSIS</w:t>
            </w:r>
            <w:r w:rsidR="00084655" w:rsidRPr="00554B41">
              <w:rPr>
                <w:rFonts w:asciiTheme="minorHAnsi" w:hAnsiTheme="minorHAnsi"/>
              </w:rPr>
              <w:t>,</w:t>
            </w:r>
            <w:r w:rsidRPr="00554B41">
              <w:rPr>
                <w:rFonts w:asciiTheme="minorHAnsi" w:hAnsiTheme="minorHAnsi"/>
              </w:rPr>
              <w:t xml:space="preserve"> and LDC Group, they participated in a six-month programme combining monthly thematic workshops, coaching calls, and tailored one-to-one mentorship.</w:t>
            </w:r>
          </w:p>
          <w:p w14:paraId="2FED0815" w14:textId="6134AAD6" w:rsidR="00DA3939" w:rsidRPr="00554B41" w:rsidRDefault="00DA3939" w:rsidP="00DA3939">
            <w:pPr>
              <w:rPr>
                <w:rFonts w:asciiTheme="minorHAnsi" w:hAnsiTheme="minorHAnsi" w:cstheme="minorHAnsi"/>
              </w:rPr>
            </w:pPr>
            <w:r w:rsidRPr="00554B41">
              <w:rPr>
                <w:rFonts w:asciiTheme="minorHAnsi" w:hAnsiTheme="minorHAnsi" w:cstheme="minorHAnsi"/>
              </w:rPr>
              <w:t>Mentorship was central to the model. Each fellow was paired with an experienced negotiator who provided ongoing guidance</w:t>
            </w:r>
            <w:r w:rsidR="00084655" w:rsidRPr="00554B41">
              <w:rPr>
                <w:rFonts w:asciiTheme="minorHAnsi" w:hAnsiTheme="minorHAnsi" w:cstheme="minorHAnsi"/>
              </w:rPr>
              <w:t xml:space="preserve"> </w:t>
            </w:r>
            <w:r w:rsidRPr="00554B41">
              <w:rPr>
                <w:rFonts w:asciiTheme="minorHAnsi" w:hAnsiTheme="minorHAnsi" w:cstheme="minorHAnsi"/>
              </w:rPr>
              <w:t xml:space="preserve">both during the training period and throughout COP29 itself. Mentors helped fellows navigate the complex UNFCCC process, access key sessions, and translate technical knowledge into negotiation strategy. This personalised support was consistently cited by fellows as one of the most valuable aspects of the programme. </w:t>
            </w:r>
          </w:p>
          <w:p w14:paraId="335BE585" w14:textId="354E00D7" w:rsidR="00DA3939" w:rsidRPr="00554B41" w:rsidRDefault="00DA3939" w:rsidP="00DA3939">
            <w:pPr>
              <w:rPr>
                <w:rFonts w:asciiTheme="minorHAnsi" w:hAnsiTheme="minorHAnsi" w:cstheme="minorHAnsi"/>
              </w:rPr>
            </w:pPr>
            <w:r w:rsidRPr="00554B41">
              <w:rPr>
                <w:rFonts w:asciiTheme="minorHAnsi" w:hAnsiTheme="minorHAnsi" w:cstheme="minorHAnsi"/>
              </w:rPr>
              <w:t xml:space="preserve">At COP29, seven of the eight fellows joined their national delegations and engaged directly in negotiations. They took on formal roles across agenda items including Article 6, Loss and Damage, and transparency. Rogelio Campos (Peru) intervened during Article 6.2 discussions, while Kevin Polo (Panama) presented on Panama’s </w:t>
            </w:r>
            <w:r w:rsidR="00DB4A3F">
              <w:rPr>
                <w:rFonts w:asciiTheme="minorHAnsi" w:hAnsiTheme="minorHAnsi" w:cstheme="minorHAnsi"/>
              </w:rPr>
              <w:t>biennial transparency report</w:t>
            </w:r>
            <w:r w:rsidRPr="00554B41">
              <w:rPr>
                <w:rFonts w:asciiTheme="minorHAnsi" w:hAnsiTheme="minorHAnsi" w:cstheme="minorHAnsi"/>
              </w:rPr>
              <w:t>. Others contributed to internal coordination, attended bloc strategy meetings, and participated in side events. They were joined by alumni from earlier cohorts—now totalling 28 negotiators from 21 countries—several of whom have progressed into senior roles, including national UNFCCC focal points and LDC Chair advisers.</w:t>
            </w:r>
          </w:p>
          <w:p w14:paraId="6780FBA0" w14:textId="7F3015D7" w:rsidR="00DA3939" w:rsidRPr="00554B41" w:rsidRDefault="00DA3939" w:rsidP="00DA3939">
            <w:pPr>
              <w:rPr>
                <w:rFonts w:asciiTheme="minorHAnsi" w:hAnsiTheme="minorHAnsi" w:cstheme="minorHAnsi"/>
              </w:rPr>
            </w:pPr>
            <w:r w:rsidRPr="00554B41">
              <w:rPr>
                <w:rFonts w:asciiTheme="minorHAnsi" w:hAnsiTheme="minorHAnsi" w:cstheme="minorHAnsi"/>
              </w:rPr>
              <w:t xml:space="preserve">To support fellows and wider </w:t>
            </w:r>
            <w:r w:rsidRPr="00554B41" w:rsidDel="00CA371C">
              <w:rPr>
                <w:rFonts w:asciiTheme="minorHAnsi" w:hAnsiTheme="minorHAnsi" w:cstheme="minorHAnsi"/>
              </w:rPr>
              <w:t>Global South</w:t>
            </w:r>
            <w:r w:rsidRPr="00554B41">
              <w:rPr>
                <w:rFonts w:asciiTheme="minorHAnsi" w:hAnsiTheme="minorHAnsi" w:cstheme="minorHAnsi"/>
              </w:rPr>
              <w:t xml:space="preserve"> negotiators, CLI and L&amp;DC produced over 25 formal outputs during COP29, including key messages, daily updates, negotiation </w:t>
            </w:r>
            <w:r w:rsidR="00084655" w:rsidRPr="00554B41">
              <w:rPr>
                <w:rFonts w:asciiTheme="minorHAnsi" w:hAnsiTheme="minorHAnsi" w:cstheme="minorHAnsi"/>
              </w:rPr>
              <w:t>‘</w:t>
            </w:r>
            <w:r w:rsidRPr="00554B41">
              <w:rPr>
                <w:rFonts w:asciiTheme="minorHAnsi" w:hAnsiTheme="minorHAnsi" w:cstheme="minorHAnsi"/>
              </w:rPr>
              <w:t>cheat sheets</w:t>
            </w:r>
            <w:r w:rsidR="00084655" w:rsidRPr="00554B41">
              <w:rPr>
                <w:rFonts w:asciiTheme="minorHAnsi" w:hAnsiTheme="minorHAnsi" w:cstheme="minorHAnsi"/>
              </w:rPr>
              <w:t>’</w:t>
            </w:r>
            <w:r w:rsidRPr="00554B41">
              <w:rPr>
                <w:rFonts w:asciiTheme="minorHAnsi" w:hAnsiTheme="minorHAnsi" w:cstheme="minorHAnsi"/>
              </w:rPr>
              <w:t>, and a Loss and Damage finance briefing. A COP29 outcome brief was released within hours of the close.</w:t>
            </w:r>
          </w:p>
        </w:tc>
      </w:tr>
    </w:tbl>
    <w:p w14:paraId="73F00BC3" w14:textId="0EF1F251" w:rsidR="00077402" w:rsidRDefault="00077402" w:rsidP="00077402">
      <w:pPr>
        <w:pStyle w:val="Heading2"/>
      </w:pPr>
      <w:bookmarkStart w:id="26" w:name="_Toc204967843"/>
      <w:r w:rsidRPr="00554B41">
        <w:t>Intermediate outcomes – What changed?</w:t>
      </w:r>
      <w:bookmarkEnd w:id="26"/>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4"/>
      </w:tblGrid>
      <w:tr w:rsidR="00DA3939" w:rsidRPr="00554B41" w14:paraId="7A25F826" w14:textId="77777777" w:rsidTr="77F70F82">
        <w:trPr>
          <w:trHeight w:val="300"/>
        </w:trPr>
        <w:tc>
          <w:tcPr>
            <w:tcW w:w="9064" w:type="dxa"/>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589A9388" w14:textId="62B4BBB1" w:rsidR="00DA3939" w:rsidRPr="00554B41" w:rsidRDefault="00DA3939" w:rsidP="00DA3939">
            <w:pPr>
              <w:rPr>
                <w:rFonts w:asciiTheme="minorHAnsi" w:hAnsiTheme="minorHAnsi" w:cstheme="minorHAnsi"/>
              </w:rPr>
            </w:pPr>
            <w:r w:rsidRPr="00554B41">
              <w:rPr>
                <w:rFonts w:asciiTheme="minorHAnsi" w:hAnsiTheme="minorHAnsi" w:cstheme="minorHAnsi"/>
              </w:rPr>
              <w:t>NGP has transitioned from an experimental initiative to a structured and strategic pipeline for developing country negotiators. Evidence from the third cohort demonstrates clear contributions across CASA II’s three pathways of change.</w:t>
            </w:r>
          </w:p>
          <w:p w14:paraId="3D1A9EF3" w14:textId="7D59C35C" w:rsidR="00DA3939" w:rsidRPr="00554B41" w:rsidRDefault="00DA3939" w:rsidP="00DA3939">
            <w:pPr>
              <w:rPr>
                <w:rFonts w:asciiTheme="minorHAnsi" w:hAnsiTheme="minorHAnsi" w:cstheme="minorHAnsi"/>
                <w:b/>
                <w:bCs/>
              </w:rPr>
            </w:pPr>
            <w:r w:rsidRPr="00554B41">
              <w:rPr>
                <w:rFonts w:asciiTheme="minorHAnsi" w:hAnsiTheme="minorHAnsi" w:cstheme="minorHAnsi"/>
                <w:b/>
                <w:bCs/>
              </w:rPr>
              <w:t xml:space="preserve">Capacity and </w:t>
            </w:r>
            <w:r w:rsidR="00084655" w:rsidRPr="00554B41">
              <w:rPr>
                <w:rFonts w:asciiTheme="minorHAnsi" w:hAnsiTheme="minorHAnsi" w:cstheme="minorHAnsi"/>
                <w:b/>
                <w:bCs/>
              </w:rPr>
              <w:t>institutional strengthening</w:t>
            </w:r>
          </w:p>
          <w:p w14:paraId="4150A240" w14:textId="0B989352" w:rsidR="00DA3939" w:rsidRPr="00554B41" w:rsidRDefault="0094062D" w:rsidP="00DA3939">
            <w:pPr>
              <w:rPr>
                <w:rFonts w:asciiTheme="minorHAnsi" w:hAnsiTheme="minorHAnsi" w:cstheme="minorHAnsi"/>
              </w:rPr>
            </w:pPr>
            <w:r w:rsidRPr="00554B41">
              <w:rPr>
                <w:rFonts w:asciiTheme="minorHAnsi" w:hAnsiTheme="minorHAnsi" w:cstheme="minorHAnsi"/>
              </w:rPr>
              <w:t>NGP</w:t>
            </w:r>
            <w:r w:rsidR="00DA3939" w:rsidRPr="00554B41">
              <w:rPr>
                <w:rFonts w:asciiTheme="minorHAnsi" w:hAnsiTheme="minorHAnsi" w:cstheme="minorHAnsi"/>
              </w:rPr>
              <w:t xml:space="preserve"> has become a strategic asset to </w:t>
            </w:r>
            <w:r w:rsidR="00DA3939" w:rsidRPr="00554B41" w:rsidDel="00CA371C">
              <w:rPr>
                <w:rFonts w:asciiTheme="minorHAnsi" w:hAnsiTheme="minorHAnsi" w:cstheme="minorHAnsi"/>
              </w:rPr>
              <w:t>Global South</w:t>
            </w:r>
            <w:r w:rsidR="00DA3939" w:rsidRPr="00554B41">
              <w:rPr>
                <w:rFonts w:asciiTheme="minorHAnsi" w:hAnsiTheme="minorHAnsi" w:cstheme="minorHAnsi"/>
              </w:rPr>
              <w:t xml:space="preserve"> negotiating groups seeking to build resilient, homegrown negotiating capacity. The shift in cohort three to a nomination-based selection process—implemented in collaboration with the LDC Group, AILAC, AOSIS</w:t>
            </w:r>
            <w:r w:rsidR="00084655" w:rsidRPr="00554B41">
              <w:rPr>
                <w:rFonts w:asciiTheme="minorHAnsi" w:hAnsiTheme="minorHAnsi" w:cstheme="minorHAnsi"/>
              </w:rPr>
              <w:t>,</w:t>
            </w:r>
            <w:r w:rsidR="00DA3939" w:rsidRPr="00554B41">
              <w:rPr>
                <w:rFonts w:asciiTheme="minorHAnsi" w:hAnsiTheme="minorHAnsi" w:cstheme="minorHAnsi"/>
              </w:rPr>
              <w:t xml:space="preserve"> and AGN—marked a step change in how CLI aligned individual skill-building with institutional strengthening. Fellows were not only trained as individuals but positioned as functional members of their delegations, accountable to bloc leadership and directly involved in negotiation processes at SB62 and COP29.</w:t>
            </w:r>
          </w:p>
          <w:p w14:paraId="4D6D4026" w14:textId="775866CF" w:rsidR="00DA3939" w:rsidRPr="00554B41" w:rsidRDefault="00DA3939" w:rsidP="00DA3939">
            <w:pPr>
              <w:rPr>
                <w:rFonts w:asciiTheme="minorHAnsi" w:hAnsiTheme="minorHAnsi" w:cstheme="minorHAnsi"/>
              </w:rPr>
            </w:pPr>
            <w:r w:rsidRPr="00554B41">
              <w:rPr>
                <w:rFonts w:asciiTheme="minorHAnsi" w:hAnsiTheme="minorHAnsi" w:cstheme="minorHAnsi"/>
              </w:rPr>
              <w:t xml:space="preserve">This closer alignment has strengthened group cohesion, reduced reliance on external </w:t>
            </w:r>
            <w:r w:rsidR="00BA6521" w:rsidRPr="00554B41">
              <w:rPr>
                <w:rFonts w:asciiTheme="minorHAnsi" w:hAnsiTheme="minorHAnsi" w:cstheme="minorHAnsi"/>
              </w:rPr>
              <w:t>TP</w:t>
            </w:r>
            <w:r w:rsidRPr="00554B41">
              <w:rPr>
                <w:rFonts w:asciiTheme="minorHAnsi" w:hAnsiTheme="minorHAnsi" w:cstheme="minorHAnsi"/>
              </w:rPr>
              <w:t>s, and enabled blocs to begin cultivating internal pipelines of talent. CASA II’s investment in NGP at this stage reflects a strategic and forward-looking approach: rather than delivering one-off training inputs, the programme supports a replicable, politically grounded model of climate diplomacy that is shaped by and for developing country actors.</w:t>
            </w:r>
          </w:p>
          <w:p w14:paraId="7342D5E8" w14:textId="5BE93E61" w:rsidR="00DA3939" w:rsidRPr="00554B41" w:rsidRDefault="00DA3939" w:rsidP="69F1CC1F">
            <w:pPr>
              <w:rPr>
                <w:rFonts w:asciiTheme="minorHAnsi" w:hAnsiTheme="minorHAnsi"/>
              </w:rPr>
            </w:pPr>
            <w:r w:rsidRPr="69F1CC1F">
              <w:rPr>
                <w:rFonts w:asciiTheme="minorHAnsi" w:hAnsiTheme="minorHAnsi"/>
              </w:rPr>
              <w:t xml:space="preserve">The LDC Group has become a key institutional beneficiary of this approach. Several alumni from the first two NGP cohorts are now embedded within the </w:t>
            </w:r>
            <w:r w:rsidR="00900822" w:rsidRPr="69F1CC1F">
              <w:rPr>
                <w:rFonts w:asciiTheme="minorHAnsi" w:hAnsiTheme="minorHAnsi"/>
              </w:rPr>
              <w:t xml:space="preserve">Group’s </w:t>
            </w:r>
            <w:r w:rsidRPr="69F1CC1F">
              <w:rPr>
                <w:rFonts w:asciiTheme="minorHAnsi" w:hAnsiTheme="minorHAnsi"/>
              </w:rPr>
              <w:t xml:space="preserve">structures and contributing directly to its negotiating function. </w:t>
            </w:r>
            <w:r w:rsidRPr="69F1CC1F">
              <w:rPr>
                <w:rFonts w:asciiTheme="minorHAnsi" w:hAnsiTheme="minorHAnsi"/>
                <w:b/>
                <w:bCs/>
              </w:rPr>
              <w:t>Brenda Mwale</w:t>
            </w:r>
            <w:r w:rsidRPr="69F1CC1F">
              <w:rPr>
                <w:rFonts w:asciiTheme="minorHAnsi" w:hAnsiTheme="minorHAnsi"/>
              </w:rPr>
              <w:t xml:space="preserve"> (Malawi), a cohort one alumna currently serves as Climate Diplomacy Advisor to the LDC Chair. She provided orientation and strategy support to the third cohort ahead of COP29, helped fellows understand bloc priorities, and facilitated their integration into LDC coordination meetings. Her position bridges technical support, political messaging, and mentorship.</w:t>
            </w:r>
          </w:p>
          <w:p w14:paraId="76BF10C5" w14:textId="28726468" w:rsidR="000768A4" w:rsidRDefault="000768A4" w:rsidP="69F1CC1F">
            <w:pPr>
              <w:rPr>
                <w:rFonts w:asciiTheme="minorHAnsi" w:hAnsiTheme="minorHAnsi"/>
                <w:b/>
                <w:bCs/>
              </w:rPr>
            </w:pPr>
            <w:r w:rsidRPr="000768A4">
              <w:rPr>
                <w:rFonts w:asciiTheme="minorHAnsi" w:hAnsiTheme="minorHAnsi"/>
                <w:b/>
                <w:bCs/>
              </w:rPr>
              <w:t xml:space="preserve">Honorine Isingizwe </w:t>
            </w:r>
            <w:r w:rsidRPr="00CC64E3">
              <w:rPr>
                <w:rFonts w:asciiTheme="minorHAnsi" w:hAnsiTheme="minorHAnsi"/>
              </w:rPr>
              <w:t>(Rwanda), alumna of first cohort, now serves as Coordinator of the New Generation program. She led the design and delivery of the third cohort’s curriculum, managed liaison with chairs of four negotiating groups (AGN, AILAC, AOSIS and LDC), and oversaw mentorship pairings—thus ensuring the programme responded dynamically to real-world negotiation demands, with a focus on providing support to the fellows and alumni to effectively participate in the negotiations proces</w:t>
            </w:r>
            <w:r w:rsidR="001E619A">
              <w:rPr>
                <w:rFonts w:asciiTheme="minorHAnsi" w:hAnsiTheme="minorHAnsi"/>
              </w:rPr>
              <w:t xml:space="preserve">s. </w:t>
            </w:r>
          </w:p>
          <w:p w14:paraId="65F90A93" w14:textId="09E2F94A" w:rsidR="00AC5EEB" w:rsidRDefault="00AC5EEB" w:rsidP="00AC5EEB">
            <w:pPr>
              <w:rPr>
                <w:rFonts w:ascii="Calibri" w:eastAsia="Calibri" w:hAnsi="Calibri" w:cs="Calibri"/>
                <w:sz w:val="22"/>
                <w:szCs w:val="22"/>
              </w:rPr>
            </w:pPr>
            <w:r w:rsidRPr="730A0371">
              <w:rPr>
                <w:rFonts w:ascii="Calibri" w:eastAsia="Calibri" w:hAnsi="Calibri" w:cs="Calibri"/>
                <w:b/>
                <w:bCs/>
                <w:sz w:val="22"/>
                <w:szCs w:val="22"/>
                <w:highlight w:val="yellow"/>
              </w:rPr>
              <w:t>Justina Áurea Da Costa Belo</w:t>
            </w:r>
            <w:r w:rsidRPr="730A0371">
              <w:rPr>
                <w:rFonts w:ascii="Calibri" w:eastAsia="Calibri" w:hAnsi="Calibri" w:cs="Calibri"/>
                <w:sz w:val="22"/>
                <w:szCs w:val="22"/>
              </w:rPr>
              <w:t xml:space="preserve"> (Timor-Leste), New Generation Program founding member, former IIED fellow, successfully coordinated the New Generation Program’s second cohort. She also played a key role in supporting the Least Developed Country (LDC) Group position on Loss and Damage, contributing to negotiation strategies and mentoring emerging climate leaders during COP 28. She is now Communications Co-lead shaping communications to reflect the programme’s diffusion of influence beyond its core participants.</w:t>
            </w:r>
          </w:p>
          <w:p w14:paraId="1E6CE97A" w14:textId="198910ED" w:rsidR="00DA3939" w:rsidRPr="00554B41" w:rsidRDefault="00DA3939" w:rsidP="69F1CC1F">
            <w:pPr>
              <w:rPr>
                <w:rFonts w:asciiTheme="minorHAnsi" w:hAnsiTheme="minorHAnsi"/>
              </w:rPr>
            </w:pPr>
            <w:r w:rsidRPr="69F1CC1F">
              <w:rPr>
                <w:rFonts w:asciiTheme="minorHAnsi" w:hAnsiTheme="minorHAnsi"/>
                <w:b/>
                <w:bCs/>
              </w:rPr>
              <w:t>Olivier Ishimwe</w:t>
            </w:r>
            <w:r w:rsidRPr="69F1CC1F">
              <w:rPr>
                <w:rFonts w:asciiTheme="minorHAnsi" w:hAnsiTheme="minorHAnsi"/>
              </w:rPr>
              <w:t xml:space="preserve"> (Rwanda) from cohort one has become the LDC Group’s co-coordinator for Article 6 and its alternate member on the Article 6.4 Mechanism Supervisory Body. He continues to mentor NGP fellows on carbon market architecture and governance, helping them connect to high-stakes technical spaces.</w:t>
            </w:r>
          </w:p>
          <w:p w14:paraId="53459ED9" w14:textId="77777777" w:rsidR="00DA3939" w:rsidRPr="00554B41" w:rsidRDefault="00DA3939" w:rsidP="00DA3939">
            <w:pPr>
              <w:rPr>
                <w:rFonts w:asciiTheme="minorHAnsi" w:hAnsiTheme="minorHAnsi" w:cstheme="minorHAnsi"/>
              </w:rPr>
            </w:pPr>
            <w:r w:rsidRPr="00554B41">
              <w:rPr>
                <w:rFonts w:asciiTheme="minorHAnsi" w:hAnsiTheme="minorHAnsi" w:cstheme="minorHAnsi"/>
              </w:rPr>
              <w:t xml:space="preserve">Taken together, these trajectories reflect how the NGP has evolved into an institutional backbone for the LDC Group—creating continuity across negotiation cycles and cultivating a generation of negotiators who are now central to the process. </w:t>
            </w:r>
          </w:p>
          <w:p w14:paraId="30EBC725" w14:textId="68820884" w:rsidR="00DA3939" w:rsidRPr="00554B41" w:rsidRDefault="00DA3939" w:rsidP="00DA3939">
            <w:pPr>
              <w:rPr>
                <w:rFonts w:asciiTheme="minorHAnsi" w:hAnsiTheme="minorHAnsi" w:cstheme="minorHAnsi"/>
                <w:b/>
                <w:bCs/>
              </w:rPr>
            </w:pPr>
            <w:r w:rsidRPr="00554B41">
              <w:rPr>
                <w:rFonts w:asciiTheme="minorHAnsi" w:hAnsiTheme="minorHAnsi" w:cstheme="minorHAnsi"/>
                <w:b/>
                <w:bCs/>
              </w:rPr>
              <w:t xml:space="preserve">Access to and </w:t>
            </w:r>
            <w:r w:rsidR="00900822" w:rsidRPr="00554B41">
              <w:rPr>
                <w:rFonts w:asciiTheme="minorHAnsi" w:hAnsiTheme="minorHAnsi" w:cstheme="minorHAnsi"/>
                <w:b/>
                <w:bCs/>
              </w:rPr>
              <w:t xml:space="preserve">engagement </w:t>
            </w:r>
            <w:r w:rsidRPr="00554B41">
              <w:rPr>
                <w:rFonts w:asciiTheme="minorHAnsi" w:hAnsiTheme="minorHAnsi" w:cstheme="minorHAnsi"/>
                <w:b/>
                <w:bCs/>
              </w:rPr>
              <w:t xml:space="preserve">in </w:t>
            </w:r>
            <w:r w:rsidR="00900822" w:rsidRPr="00554B41">
              <w:rPr>
                <w:rFonts w:asciiTheme="minorHAnsi" w:hAnsiTheme="minorHAnsi" w:cstheme="minorHAnsi"/>
                <w:b/>
                <w:bCs/>
              </w:rPr>
              <w:t>negotiations</w:t>
            </w:r>
          </w:p>
          <w:p w14:paraId="6043A7E3" w14:textId="546DF6CC" w:rsidR="00DA3939" w:rsidRPr="00554B41" w:rsidRDefault="00DA3939" w:rsidP="69F1CC1F">
            <w:pPr>
              <w:rPr>
                <w:rFonts w:asciiTheme="minorHAnsi" w:hAnsiTheme="minorHAnsi"/>
              </w:rPr>
            </w:pPr>
            <w:r w:rsidRPr="77F70F82">
              <w:rPr>
                <w:rFonts w:asciiTheme="minorHAnsi" w:hAnsiTheme="minorHAnsi"/>
              </w:rPr>
              <w:t xml:space="preserve">The third cohort’s full access to COP29 negotiations enabled more meaningful participation. Seven of the eight fellows attended COP29 (one withdrew due to illness), with all actively engaged in formal processes. </w:t>
            </w:r>
            <w:r w:rsidRPr="00441AEF">
              <w:rPr>
                <w:rFonts w:asciiTheme="minorHAnsi" w:hAnsiTheme="minorHAnsi"/>
                <w:b/>
                <w:bCs/>
              </w:rPr>
              <w:t>Rogelio Campos</w:t>
            </w:r>
            <w:r w:rsidRPr="00441AEF">
              <w:rPr>
                <w:rFonts w:asciiTheme="minorHAnsi" w:hAnsiTheme="minorHAnsi"/>
              </w:rPr>
              <w:t xml:space="preserve"> (Peru) made an intervention in the Article 6.2 negotiations</w:t>
            </w:r>
            <w:r w:rsidR="00DD46AB" w:rsidRPr="00441AEF">
              <w:rPr>
                <w:rFonts w:asciiTheme="minorHAnsi" w:hAnsiTheme="minorHAnsi"/>
              </w:rPr>
              <w:t xml:space="preserve">, while </w:t>
            </w:r>
            <w:r w:rsidRPr="00441AEF">
              <w:rPr>
                <w:rFonts w:asciiTheme="minorHAnsi" w:hAnsiTheme="minorHAnsi"/>
                <w:b/>
                <w:bCs/>
              </w:rPr>
              <w:t>Kevin Polo</w:t>
            </w:r>
            <w:r w:rsidRPr="00441AEF">
              <w:rPr>
                <w:rFonts w:asciiTheme="minorHAnsi" w:hAnsiTheme="minorHAnsi"/>
              </w:rPr>
              <w:t xml:space="preserve"> (Panama)</w:t>
            </w:r>
            <w:r w:rsidRPr="77F70F82">
              <w:rPr>
                <w:rFonts w:asciiTheme="minorHAnsi" w:hAnsiTheme="minorHAnsi"/>
              </w:rPr>
              <w:t xml:space="preserve"> spoke during the </w:t>
            </w:r>
            <w:r w:rsidR="00DB4A3F" w:rsidRPr="77F70F82">
              <w:rPr>
                <w:rFonts w:asciiTheme="minorHAnsi" w:hAnsiTheme="minorHAnsi"/>
              </w:rPr>
              <w:t>b</w:t>
            </w:r>
            <w:r w:rsidRPr="77F70F82">
              <w:rPr>
                <w:rFonts w:asciiTheme="minorHAnsi" w:hAnsiTheme="minorHAnsi"/>
              </w:rPr>
              <w:t xml:space="preserve">iennial </w:t>
            </w:r>
            <w:r w:rsidR="00DB4A3F" w:rsidRPr="77F70F82">
              <w:rPr>
                <w:rFonts w:asciiTheme="minorHAnsi" w:hAnsiTheme="minorHAnsi"/>
              </w:rPr>
              <w:t>t</w:t>
            </w:r>
            <w:r w:rsidRPr="77F70F82">
              <w:rPr>
                <w:rFonts w:asciiTheme="minorHAnsi" w:hAnsiTheme="minorHAnsi"/>
              </w:rPr>
              <w:t xml:space="preserve">ransparency </w:t>
            </w:r>
            <w:r w:rsidR="00DB4A3F" w:rsidRPr="77F70F82">
              <w:rPr>
                <w:rFonts w:asciiTheme="minorHAnsi" w:hAnsiTheme="minorHAnsi"/>
              </w:rPr>
              <w:t>r</w:t>
            </w:r>
            <w:r w:rsidRPr="77F70F82">
              <w:rPr>
                <w:rFonts w:asciiTheme="minorHAnsi" w:hAnsiTheme="minorHAnsi"/>
              </w:rPr>
              <w:t>eport dialogue. Fellows joined bloc coordination meetings, participated in contact groups, and contributed to strategic briefings. Post-COP reflections confirmed that mentorship, thematic workshops, and targeted coaching strengthened their ability to track negotiations, align with bloc messaging, and respond in real time to negotiation dynamics.</w:t>
            </w:r>
          </w:p>
          <w:p w14:paraId="6F93602B" w14:textId="30A0D42E" w:rsidR="007E7F1D" w:rsidRDefault="007E7F1D" w:rsidP="69F1CC1F">
            <w:pPr>
              <w:rPr>
                <w:rFonts w:ascii="Calibri" w:eastAsia="Calibri" w:hAnsi="Calibri" w:cs="Calibri"/>
                <w:sz w:val="22"/>
                <w:szCs w:val="22"/>
              </w:rPr>
            </w:pPr>
            <w:r w:rsidRPr="002707B1">
              <w:rPr>
                <w:rFonts w:ascii="Calibri" w:eastAsia="Calibri" w:hAnsi="Calibri" w:cs="Calibri"/>
                <w:b/>
                <w:sz w:val="22"/>
                <w:szCs w:val="22"/>
              </w:rPr>
              <w:t>Prakriti Koirala</w:t>
            </w:r>
            <w:r w:rsidRPr="007E7F1D">
              <w:rPr>
                <w:rFonts w:ascii="Calibri" w:eastAsia="Calibri" w:hAnsi="Calibri" w:cs="Calibri"/>
                <w:sz w:val="22"/>
                <w:szCs w:val="22"/>
              </w:rPr>
              <w:t xml:space="preserve"> (Nepal), also from cohort one, and a mentor of 2nd cohort of the program, acts as a youth coordinator to the LDC Group </w:t>
            </w:r>
            <w:r w:rsidR="009C5565" w:rsidRPr="007E7F1D">
              <w:rPr>
                <w:rFonts w:ascii="Calibri" w:eastAsia="Calibri" w:hAnsi="Calibri" w:cs="Calibri"/>
                <w:sz w:val="22"/>
                <w:szCs w:val="22"/>
              </w:rPr>
              <w:t>at</w:t>
            </w:r>
            <w:r w:rsidRPr="007E7F1D">
              <w:rPr>
                <w:rFonts w:ascii="Calibri" w:eastAsia="Calibri" w:hAnsi="Calibri" w:cs="Calibri"/>
                <w:sz w:val="22"/>
                <w:szCs w:val="22"/>
              </w:rPr>
              <w:t xml:space="preserve"> COP29, she supported the production of real-time messaging, and thematic analysis. Working alongside CLI communications co-lead </w:t>
            </w:r>
            <w:r w:rsidRPr="002707B1">
              <w:rPr>
                <w:rFonts w:ascii="Calibri" w:eastAsia="Calibri" w:hAnsi="Calibri" w:cs="Calibri"/>
                <w:b/>
                <w:sz w:val="22"/>
                <w:szCs w:val="22"/>
              </w:rPr>
              <w:t>Justina Áurea Da Costa Belo</w:t>
            </w:r>
            <w:r w:rsidRPr="007E7F1D">
              <w:rPr>
                <w:rFonts w:ascii="Calibri" w:eastAsia="Calibri" w:hAnsi="Calibri" w:cs="Calibri"/>
                <w:sz w:val="22"/>
                <w:szCs w:val="22"/>
              </w:rPr>
              <w:t xml:space="preserve"> (Timor-Leste), she helped shape public visibility, extending institutional capacity not only in negotiations but in framing their narrative.</w:t>
            </w:r>
          </w:p>
          <w:p w14:paraId="1308C9A7" w14:textId="7357356B" w:rsidR="00DA3939" w:rsidRPr="00554B41" w:rsidRDefault="00DA3939" w:rsidP="00DA3939">
            <w:pPr>
              <w:rPr>
                <w:rFonts w:asciiTheme="minorHAnsi" w:hAnsiTheme="minorHAnsi" w:cstheme="minorHAnsi"/>
                <w:b/>
                <w:bCs/>
              </w:rPr>
            </w:pPr>
            <w:r w:rsidRPr="00554B41">
              <w:rPr>
                <w:rFonts w:asciiTheme="minorHAnsi" w:hAnsiTheme="minorHAnsi" w:cstheme="minorHAnsi"/>
                <w:b/>
                <w:bCs/>
              </w:rPr>
              <w:t xml:space="preserve">Support to </w:t>
            </w:r>
            <w:r w:rsidR="00DD46AB" w:rsidRPr="00554B41">
              <w:rPr>
                <w:rFonts w:asciiTheme="minorHAnsi" w:hAnsiTheme="minorHAnsi" w:cstheme="minorHAnsi"/>
                <w:b/>
                <w:bCs/>
              </w:rPr>
              <w:t xml:space="preserve">implementation </w:t>
            </w:r>
            <w:r w:rsidRPr="00554B41">
              <w:rPr>
                <w:rFonts w:asciiTheme="minorHAnsi" w:hAnsiTheme="minorHAnsi" w:cstheme="minorHAnsi"/>
                <w:b/>
                <w:bCs/>
              </w:rPr>
              <w:t xml:space="preserve">and </w:t>
            </w:r>
            <w:r w:rsidR="00DD46AB" w:rsidRPr="00554B41">
              <w:rPr>
                <w:rFonts w:asciiTheme="minorHAnsi" w:hAnsiTheme="minorHAnsi" w:cstheme="minorHAnsi"/>
                <w:b/>
                <w:bCs/>
              </w:rPr>
              <w:t>review mechanisms</w:t>
            </w:r>
          </w:p>
          <w:p w14:paraId="532CD64C" w14:textId="7307F287" w:rsidR="00DA3939" w:rsidRPr="00554B41" w:rsidRDefault="00DA3939" w:rsidP="00DA3939">
            <w:pPr>
              <w:rPr>
                <w:rFonts w:asciiTheme="minorHAnsi" w:hAnsiTheme="minorHAnsi" w:cstheme="minorHAnsi"/>
              </w:rPr>
            </w:pPr>
            <w:r w:rsidRPr="00554B41">
              <w:rPr>
                <w:rFonts w:asciiTheme="minorHAnsi" w:hAnsiTheme="minorHAnsi" w:cstheme="minorHAnsi"/>
              </w:rPr>
              <w:t xml:space="preserve">The March 2025 L&amp;DC submission to the </w:t>
            </w:r>
            <w:r w:rsidR="007507A5" w:rsidRPr="00554B41">
              <w:rPr>
                <w:rFonts w:asciiTheme="minorHAnsi" w:hAnsiTheme="minorHAnsi" w:cstheme="minorHAnsi"/>
              </w:rPr>
              <w:t>‘</w:t>
            </w:r>
            <w:r w:rsidRPr="00554B41">
              <w:rPr>
                <w:rFonts w:asciiTheme="minorHAnsi" w:hAnsiTheme="minorHAnsi" w:cstheme="minorHAnsi"/>
              </w:rPr>
              <w:t xml:space="preserve">Baku to Belém Roadmap to 1.3 </w:t>
            </w:r>
            <w:r w:rsidR="009C5565" w:rsidRPr="00554B41">
              <w:rPr>
                <w:rFonts w:asciiTheme="minorHAnsi" w:hAnsiTheme="minorHAnsi" w:cstheme="minorHAnsi"/>
              </w:rPr>
              <w:t>trillion</w:t>
            </w:r>
            <w:r w:rsidR="007507A5" w:rsidRPr="00554B41">
              <w:rPr>
                <w:rFonts w:asciiTheme="minorHAnsi" w:hAnsiTheme="minorHAnsi" w:cstheme="minorHAnsi"/>
                <w:i/>
                <w:iCs/>
              </w:rPr>
              <w:t>’</w:t>
            </w:r>
            <w:r w:rsidRPr="00554B41">
              <w:rPr>
                <w:rFonts w:asciiTheme="minorHAnsi" w:hAnsiTheme="minorHAnsi" w:cstheme="minorHAnsi"/>
              </w:rPr>
              <w:t xml:space="preserve"> was shaped in part by outputs and insights generated through NGP. Fellows and alumni contributed to earlier messaging and analysis on the NCQG, including briefing materials and cheat sheets used by delegations. This submission exemplifies how fellows’ contributions are beginning to influence how global frameworks are interpreted and operationalised in vulnerable countries.</w:t>
            </w:r>
          </w:p>
        </w:tc>
      </w:tr>
    </w:tbl>
    <w:p w14:paraId="5AD5D0C2" w14:textId="116157F0" w:rsidR="00077402" w:rsidRDefault="00077402" w:rsidP="00077402">
      <w:pPr>
        <w:pStyle w:val="Heading2"/>
      </w:pPr>
      <w:bookmarkStart w:id="27" w:name="_Toc204967844"/>
      <w:r w:rsidRPr="00554B41">
        <w:t>How effective was the implementation of NGP?</w:t>
      </w:r>
      <w:bookmarkEnd w:id="27"/>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4"/>
      </w:tblGrid>
      <w:tr w:rsidR="00DA3939" w:rsidRPr="00554B41" w14:paraId="548781ED" w14:textId="77777777" w:rsidTr="006557F3">
        <w:trPr>
          <w:trHeight w:val="300"/>
        </w:trPr>
        <w:tc>
          <w:tcPr>
            <w:tcW w:w="9064" w:type="dxa"/>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780DF3AA" w14:textId="1D977A46" w:rsidR="00DA3939" w:rsidRPr="00554B41" w:rsidRDefault="00DA3939" w:rsidP="00DA3939">
            <w:pPr>
              <w:rPr>
                <w:rFonts w:asciiTheme="minorHAnsi" w:hAnsiTheme="minorHAnsi" w:cstheme="minorHAnsi"/>
              </w:rPr>
            </w:pPr>
            <w:r w:rsidRPr="00554B41">
              <w:rPr>
                <w:rFonts w:asciiTheme="minorHAnsi" w:hAnsiTheme="minorHAnsi" w:cstheme="minorHAnsi"/>
              </w:rPr>
              <w:t xml:space="preserve">Based on the evidence available, the delivery of the third cohort of the </w:t>
            </w:r>
            <w:r w:rsidR="0094062D" w:rsidRPr="00554B41">
              <w:rPr>
                <w:rFonts w:asciiTheme="minorHAnsi" w:hAnsiTheme="minorHAnsi" w:cstheme="minorHAnsi"/>
              </w:rPr>
              <w:t>NGP</w:t>
            </w:r>
            <w:r w:rsidRPr="00554B41">
              <w:rPr>
                <w:rFonts w:asciiTheme="minorHAnsi" w:hAnsiTheme="minorHAnsi" w:cstheme="minorHAnsi"/>
              </w:rPr>
              <w:t xml:space="preserve"> appears to have been highly effective overall. Despite operating in a challenging context—with delayed funding, political nomination processes, and a crowded global negotiation calendar—CLI and L&amp;DC delivered a coherent, timely, and well-regarded programme </w:t>
            </w:r>
            <w:r w:rsidR="00DD46AB" w:rsidRPr="00554B41">
              <w:rPr>
                <w:rFonts w:asciiTheme="minorHAnsi" w:hAnsiTheme="minorHAnsi" w:cstheme="minorHAnsi"/>
              </w:rPr>
              <w:t xml:space="preserve">that </w:t>
            </w:r>
            <w:r w:rsidRPr="00554B41">
              <w:rPr>
                <w:rFonts w:asciiTheme="minorHAnsi" w:hAnsiTheme="minorHAnsi" w:cstheme="minorHAnsi"/>
              </w:rPr>
              <w:t xml:space="preserve">was aligned to the needs of negotiators. </w:t>
            </w:r>
          </w:p>
          <w:p w14:paraId="4A49AC21" w14:textId="77777777" w:rsidR="00DA3939" w:rsidRPr="00554B41" w:rsidRDefault="00DA3939" w:rsidP="00DA3939">
            <w:pPr>
              <w:rPr>
                <w:rFonts w:asciiTheme="minorHAnsi" w:hAnsiTheme="minorHAnsi" w:cstheme="minorHAnsi"/>
              </w:rPr>
            </w:pPr>
            <w:r w:rsidRPr="00554B41">
              <w:rPr>
                <w:rFonts w:asciiTheme="minorHAnsi" w:hAnsiTheme="minorHAnsi" w:cstheme="minorHAnsi"/>
              </w:rPr>
              <w:t>Coordination between CLI and L&amp;DC functioned well, even as both partners managed competing priorities across Loss and Damage processes, the NCQG, and broader 2024 summits in what has been acknowledged as a particularly busy year. The team delivered pre-COP workshops, real-time negotiation support, and communications outputs, while maintaining close relationships with negotiation group leadership. This suggests a delivery model that, while lean, was sufficiently robust to meet the demands of the programme.</w:t>
            </w:r>
          </w:p>
          <w:p w14:paraId="075D5312" w14:textId="77777777" w:rsidR="00DA3939" w:rsidRPr="00554B41" w:rsidRDefault="00DA3939" w:rsidP="00DA3939">
            <w:pPr>
              <w:rPr>
                <w:rFonts w:asciiTheme="minorHAnsi" w:hAnsiTheme="minorHAnsi" w:cstheme="minorHAnsi"/>
              </w:rPr>
            </w:pPr>
            <w:r w:rsidRPr="00554B41">
              <w:rPr>
                <w:rFonts w:asciiTheme="minorHAnsi" w:hAnsiTheme="minorHAnsi" w:cstheme="minorHAnsi"/>
              </w:rPr>
              <w:t>There were, however, several delivery challenges. The most significant was the delay in receiving nominations from negotiating groups. This created a compressed onboarding window and limited the time available for structured preparation. Although CLI adapted quickly—revising the training schedule and leveraging alumni support—this bottleneck likely reduced the depth of early engagement. Similarly, CASA’s delayed disbursement of funds meant that some activities had to be initiated before resources were fully confirmed, introducing risk and limiting advance planning.</w:t>
            </w:r>
          </w:p>
          <w:p w14:paraId="22488E4A" w14:textId="02E244BE" w:rsidR="00DA3939" w:rsidRPr="00554B41" w:rsidRDefault="00DA3939" w:rsidP="00DA3939">
            <w:pPr>
              <w:rPr>
                <w:rFonts w:asciiTheme="minorHAnsi" w:hAnsiTheme="minorHAnsi" w:cstheme="minorHAnsi"/>
              </w:rPr>
            </w:pPr>
            <w:r w:rsidRPr="00554B41">
              <w:rPr>
                <w:rFonts w:asciiTheme="minorHAnsi" w:hAnsiTheme="minorHAnsi" w:cstheme="minorHAnsi"/>
              </w:rPr>
              <w:t xml:space="preserve">Operational issues such as time zone coordination and language accessibility also posed challenges. Fellows were located across widely different time zones, and several Francophone participants had limited English fluency. However, the delivery team responded proactively </w:t>
            </w:r>
            <w:r w:rsidR="00DD46AB" w:rsidRPr="00554B41">
              <w:rPr>
                <w:rFonts w:asciiTheme="minorHAnsi" w:hAnsiTheme="minorHAnsi" w:cstheme="minorHAnsi"/>
              </w:rPr>
              <w:t xml:space="preserve">by </w:t>
            </w:r>
            <w:r w:rsidRPr="00554B41">
              <w:rPr>
                <w:rFonts w:asciiTheme="minorHAnsi" w:hAnsiTheme="minorHAnsi" w:cstheme="minorHAnsi"/>
              </w:rPr>
              <w:t>introducing staggered sessions, sharing recordings, offering bilingual peer support, and simplifying language use where possible.</w:t>
            </w:r>
          </w:p>
        </w:tc>
      </w:tr>
    </w:tbl>
    <w:p w14:paraId="61148BDC" w14:textId="48208B38" w:rsidR="00077402" w:rsidRDefault="00077402" w:rsidP="00077402">
      <w:pPr>
        <w:pStyle w:val="Heading2"/>
      </w:pPr>
      <w:bookmarkStart w:id="28" w:name="_Toc204967845"/>
      <w:r w:rsidRPr="00554B41">
        <w:t>What were other advocates/actors doing during the same period?</w:t>
      </w:r>
      <w:bookmarkEnd w:id="28"/>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4"/>
      </w:tblGrid>
      <w:tr w:rsidR="00DA3939" w:rsidRPr="00554B41" w14:paraId="5BD6EDDF" w14:textId="77777777" w:rsidTr="257611A6">
        <w:trPr>
          <w:trHeight w:val="300"/>
        </w:trPr>
        <w:tc>
          <w:tcPr>
            <w:tcW w:w="9064" w:type="dxa"/>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417A5850" w14:textId="35423119" w:rsidR="00DA3939" w:rsidRPr="00554B41" w:rsidRDefault="00DA3939" w:rsidP="00DA3939">
            <w:pPr>
              <w:rPr>
                <w:rFonts w:asciiTheme="minorHAnsi" w:hAnsiTheme="minorHAnsi" w:cstheme="minorHAnsi"/>
              </w:rPr>
            </w:pPr>
            <w:r w:rsidRPr="00554B41">
              <w:rPr>
                <w:rFonts w:asciiTheme="minorHAnsi" w:hAnsiTheme="minorHAnsi" w:cstheme="minorHAnsi"/>
              </w:rPr>
              <w:t>While other youth-focused initiatives were active during the same period—such as AGNES, the Climate Youth Negotiators Programme, and Oxfam’s Youth Climate Negotiators Academy—coordination across these programmes remained limited. Interviewees suggested that</w:t>
            </w:r>
            <w:r w:rsidR="00DD46AB" w:rsidRPr="00554B41">
              <w:rPr>
                <w:rFonts w:asciiTheme="minorHAnsi" w:hAnsiTheme="minorHAnsi" w:cstheme="minorHAnsi"/>
              </w:rPr>
              <w:t>,</w:t>
            </w:r>
            <w:r w:rsidRPr="00554B41">
              <w:rPr>
                <w:rFonts w:asciiTheme="minorHAnsi" w:hAnsiTheme="minorHAnsi" w:cstheme="minorHAnsi"/>
              </w:rPr>
              <w:t xml:space="preserve"> while some of these initiatives aimed to achieve similar goals, many lacked the continuity, independence, or deep negotiating group relationships that defined NGP</w:t>
            </w:r>
            <w:r w:rsidR="00DD46AB" w:rsidRPr="00554B41">
              <w:rPr>
                <w:rFonts w:asciiTheme="minorHAnsi" w:hAnsiTheme="minorHAnsi" w:cstheme="minorHAnsi"/>
              </w:rPr>
              <w:t>’s</w:t>
            </w:r>
            <w:r w:rsidRPr="00554B41">
              <w:rPr>
                <w:rFonts w:asciiTheme="minorHAnsi" w:hAnsiTheme="minorHAnsi" w:cstheme="minorHAnsi"/>
              </w:rPr>
              <w:t xml:space="preserve"> model.</w:t>
            </w:r>
          </w:p>
          <w:p w14:paraId="0D9AC2FE" w14:textId="77777777" w:rsidR="00DA3939" w:rsidRPr="00554B41" w:rsidRDefault="00DA3939" w:rsidP="00DA3939">
            <w:pPr>
              <w:rPr>
                <w:rFonts w:asciiTheme="minorHAnsi" w:hAnsiTheme="minorHAnsi" w:cstheme="minorHAnsi"/>
              </w:rPr>
            </w:pPr>
            <w:r w:rsidRPr="00554B41">
              <w:rPr>
                <w:rFonts w:asciiTheme="minorHAnsi" w:hAnsiTheme="minorHAnsi" w:cstheme="minorHAnsi"/>
              </w:rPr>
              <w:t>Efforts to build alliances with other programmes encountered barriers, including varying degrees of readiness to collaborate, differing visions, and institutional silos. CLI reached out to create shared channels and conversations but found that many initiatives sought curated support without contributing shared learning or strategic coordination.</w:t>
            </w:r>
          </w:p>
          <w:p w14:paraId="05373A28" w14:textId="13F05554" w:rsidR="00DA3939" w:rsidRPr="00554B41" w:rsidRDefault="00DA3939" w:rsidP="257611A6">
            <w:pPr>
              <w:rPr>
                <w:rFonts w:asciiTheme="minorHAnsi" w:hAnsiTheme="minorHAnsi"/>
              </w:rPr>
            </w:pPr>
            <w:r w:rsidRPr="257611A6">
              <w:rPr>
                <w:rFonts w:asciiTheme="minorHAnsi" w:hAnsiTheme="minorHAnsi"/>
              </w:rPr>
              <w:t xml:space="preserve">Additionally, criticisms were raised about the role of </w:t>
            </w:r>
            <w:r w:rsidR="00897C33">
              <w:rPr>
                <w:rFonts w:asciiTheme="minorHAnsi" w:hAnsiTheme="minorHAnsi"/>
              </w:rPr>
              <w:t xml:space="preserve">some </w:t>
            </w:r>
            <w:r w:rsidRPr="257611A6">
              <w:rPr>
                <w:rFonts w:asciiTheme="minorHAnsi" w:hAnsiTheme="minorHAnsi"/>
              </w:rPr>
              <w:t>established organisations</w:t>
            </w:r>
            <w:r w:rsidR="002707B1">
              <w:rPr>
                <w:rFonts w:asciiTheme="minorHAnsi" w:hAnsiTheme="minorHAnsi"/>
              </w:rPr>
              <w:t xml:space="preserve">. </w:t>
            </w:r>
            <w:r w:rsidRPr="257611A6">
              <w:rPr>
                <w:rFonts w:asciiTheme="minorHAnsi" w:hAnsiTheme="minorHAnsi"/>
              </w:rPr>
              <w:t xml:space="preserve"> Interviewees noted that historically, these actors—though highly influential—were at times perceived as gatekeepers in the space, inhibiting more locally led or youth-driven initiatives. Specific concerns were raised about exclusionary practices and the lack of equitable recognition of contributions by negotiators from the Global South. While</w:t>
            </w:r>
            <w:r w:rsidR="007A68C1">
              <w:rPr>
                <w:rFonts w:asciiTheme="minorHAnsi" w:hAnsiTheme="minorHAnsi"/>
              </w:rPr>
              <w:t xml:space="preserve"> some</w:t>
            </w:r>
            <w:r w:rsidRPr="257611A6">
              <w:rPr>
                <w:rFonts w:asciiTheme="minorHAnsi" w:hAnsiTheme="minorHAnsi"/>
              </w:rPr>
              <w:t xml:space="preserve"> individuals were recognised as key allies and mentors, broader institutional dynamics were critiqued for perpetuating </w:t>
            </w:r>
            <w:r w:rsidR="00733213" w:rsidRPr="257611A6">
              <w:rPr>
                <w:rFonts w:asciiTheme="minorHAnsi" w:hAnsiTheme="minorHAnsi"/>
              </w:rPr>
              <w:t>‘</w:t>
            </w:r>
            <w:r w:rsidRPr="257611A6">
              <w:rPr>
                <w:rFonts w:asciiTheme="minorHAnsi" w:hAnsiTheme="minorHAnsi"/>
              </w:rPr>
              <w:t>colonial tendencies</w:t>
            </w:r>
            <w:r w:rsidR="00733213" w:rsidRPr="257611A6">
              <w:rPr>
                <w:rFonts w:asciiTheme="minorHAnsi" w:hAnsiTheme="minorHAnsi"/>
              </w:rPr>
              <w:t>’</w:t>
            </w:r>
            <w:r w:rsidRPr="257611A6">
              <w:rPr>
                <w:rFonts w:asciiTheme="minorHAnsi" w:hAnsiTheme="minorHAnsi"/>
              </w:rPr>
              <w:t xml:space="preserve"> and power asymmetries.</w:t>
            </w:r>
          </w:p>
          <w:p w14:paraId="32BEC6A1" w14:textId="77777777" w:rsidR="00DA3939" w:rsidRPr="00554B41" w:rsidRDefault="00DA3939" w:rsidP="00DA3939">
            <w:pPr>
              <w:rPr>
                <w:rFonts w:asciiTheme="minorHAnsi" w:hAnsiTheme="minorHAnsi" w:cstheme="minorHAnsi"/>
              </w:rPr>
            </w:pPr>
            <w:r w:rsidRPr="00554B41">
              <w:rPr>
                <w:rFonts w:asciiTheme="minorHAnsi" w:hAnsiTheme="minorHAnsi" w:cstheme="minorHAnsi"/>
              </w:rPr>
              <w:t>These critiques underscore the importance of independent, youth-led initiatives like NGP, which aim to shift those dynamics by embedding young negotiators directly into decision-making spaces.</w:t>
            </w:r>
          </w:p>
        </w:tc>
      </w:tr>
    </w:tbl>
    <w:p w14:paraId="5F8F369F" w14:textId="0A29A24D" w:rsidR="00471F53" w:rsidRDefault="00471F53" w:rsidP="00471F53">
      <w:pPr>
        <w:pStyle w:val="Heading2"/>
      </w:pPr>
      <w:bookmarkStart w:id="29" w:name="_Toc204967846"/>
      <w:r w:rsidRPr="00554B41">
        <w:t>What were the key factors in determining the outcome?</w:t>
      </w:r>
      <w:bookmarkEnd w:id="29"/>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4"/>
      </w:tblGrid>
      <w:tr w:rsidR="00DA3939" w:rsidRPr="00554B41" w14:paraId="65DCAE79" w14:textId="77777777" w:rsidTr="77F70F82">
        <w:trPr>
          <w:trHeight w:val="694"/>
        </w:trPr>
        <w:tc>
          <w:tcPr>
            <w:tcW w:w="9064" w:type="dxa"/>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682C943E" w14:textId="7294E0DF" w:rsidR="00DA3939" w:rsidRPr="00554B41" w:rsidRDefault="00DA3939" w:rsidP="00DA3939">
            <w:pPr>
              <w:rPr>
                <w:rFonts w:asciiTheme="minorHAnsi" w:eastAsia="Aptos" w:hAnsiTheme="minorHAnsi" w:cstheme="minorHAnsi"/>
              </w:rPr>
            </w:pPr>
            <w:r w:rsidRPr="00554B41">
              <w:rPr>
                <w:rFonts w:asciiTheme="minorHAnsi" w:eastAsia="Aptos" w:hAnsiTheme="minorHAnsi" w:cstheme="minorHAnsi"/>
                <w:b/>
                <w:bCs/>
              </w:rPr>
              <w:t>CASA II’s contribution to the third cohort of NGP appears to have been both catalytic and well</w:t>
            </w:r>
            <w:r w:rsidR="00DD46AB" w:rsidRPr="00554B41">
              <w:rPr>
                <w:rFonts w:asciiTheme="minorHAnsi" w:eastAsia="Aptos" w:hAnsiTheme="minorHAnsi" w:cstheme="minorHAnsi"/>
                <w:b/>
                <w:bCs/>
              </w:rPr>
              <w:t xml:space="preserve"> </w:t>
            </w:r>
            <w:r w:rsidRPr="00554B41">
              <w:rPr>
                <w:rFonts w:asciiTheme="minorHAnsi" w:eastAsia="Aptos" w:hAnsiTheme="minorHAnsi" w:cstheme="minorHAnsi"/>
                <w:b/>
                <w:bCs/>
              </w:rPr>
              <w:t>timed.</w:t>
            </w:r>
            <w:r w:rsidRPr="00554B41">
              <w:rPr>
                <w:rFonts w:asciiTheme="minorHAnsi" w:eastAsia="Aptos" w:hAnsiTheme="minorHAnsi" w:cstheme="minorHAnsi"/>
              </w:rPr>
              <w:t xml:space="preserve"> Based on available evidence, the </w:t>
            </w:r>
            <w:r w:rsidR="00DE0025" w:rsidRPr="00554B41">
              <w:rPr>
                <w:rFonts w:asciiTheme="minorHAnsi" w:eastAsia="Aptos" w:hAnsiTheme="minorHAnsi" w:cstheme="minorHAnsi"/>
              </w:rPr>
              <w:t>OF</w:t>
            </w:r>
            <w:r w:rsidRPr="00554B41">
              <w:rPr>
                <w:rFonts w:asciiTheme="minorHAnsi" w:eastAsia="Aptos" w:hAnsiTheme="minorHAnsi" w:cstheme="minorHAnsi"/>
              </w:rPr>
              <w:t xml:space="preserve"> grant enabled delivery of the third cohort at a pivotal moment</w:t>
            </w:r>
            <w:r w:rsidR="008B3D34" w:rsidRPr="00554B41">
              <w:rPr>
                <w:rFonts w:asciiTheme="minorHAnsi" w:eastAsia="Aptos" w:hAnsiTheme="minorHAnsi" w:cstheme="minorHAnsi"/>
              </w:rPr>
              <w:t>,</w:t>
            </w:r>
            <w:r w:rsidRPr="00554B41">
              <w:rPr>
                <w:rFonts w:asciiTheme="minorHAnsi" w:eastAsia="Aptos" w:hAnsiTheme="minorHAnsi" w:cstheme="minorHAnsi"/>
              </w:rPr>
              <w:t xml:space="preserve"> supporting the programme’s shift from an open-call youth fellowship to a nomination-based model embedded within negotiating group structures. Without this funding, the third cohort would likely not have gone ahead.</w:t>
            </w:r>
          </w:p>
          <w:p w14:paraId="114008BC" w14:textId="7B3A23C9" w:rsidR="00DA3939" w:rsidRPr="00554B41" w:rsidRDefault="00DA3939" w:rsidP="00DA3939">
            <w:pPr>
              <w:rPr>
                <w:rFonts w:asciiTheme="minorHAnsi" w:eastAsia="Aptos" w:hAnsiTheme="minorHAnsi" w:cstheme="minorHAnsi"/>
              </w:rPr>
            </w:pPr>
            <w:r w:rsidRPr="00554B41">
              <w:rPr>
                <w:rFonts w:asciiTheme="minorHAnsi" w:eastAsia="Aptos" w:hAnsiTheme="minorHAnsi" w:cstheme="minorHAnsi"/>
              </w:rPr>
              <w:t xml:space="preserve">CASA’s support can be understood in two dimensions. </w:t>
            </w:r>
            <w:r w:rsidRPr="00554B41">
              <w:rPr>
                <w:rFonts w:asciiTheme="minorHAnsi" w:eastAsia="Aptos" w:hAnsiTheme="minorHAnsi" w:cstheme="minorHAnsi"/>
                <w:b/>
                <w:bCs/>
              </w:rPr>
              <w:t>Directly</w:t>
            </w:r>
            <w:r w:rsidRPr="00554B41">
              <w:rPr>
                <w:rFonts w:asciiTheme="minorHAnsi" w:eastAsia="Aptos" w:hAnsiTheme="minorHAnsi" w:cstheme="minorHAnsi"/>
              </w:rPr>
              <w:t>, it provided a combined grant to CLI and L&amp;DC, which—although submitted as separate proposals—were merged into a single award on the recommendation of the CASA programme team due to close operational ties and shared leadership under Erin Roberts. This consolidation improved administrative efficiency but also complicated CLI’s strategic ambition to establish greater operational independence from L&amp;DC, including diversifying the programme’s thematic focus beyond Loss and Damage.</w:t>
            </w:r>
          </w:p>
          <w:p w14:paraId="609BD196" w14:textId="5CCA09EA" w:rsidR="00DA3939" w:rsidRPr="00554B41" w:rsidRDefault="00DA3939" w:rsidP="00DA3939">
            <w:pPr>
              <w:spacing w:before="240"/>
              <w:rPr>
                <w:rFonts w:asciiTheme="minorHAnsi" w:hAnsiTheme="minorHAnsi" w:cstheme="minorHAnsi"/>
              </w:rPr>
            </w:pPr>
            <w:r w:rsidRPr="00554B41">
              <w:rPr>
                <w:rFonts w:asciiTheme="minorHAnsi" w:eastAsia="Aptos" w:hAnsiTheme="minorHAnsi" w:cstheme="minorHAnsi"/>
              </w:rPr>
              <w:t>The CASA grant, confirmed in October 2024, underwrote staffing, communications, and programme delivery for the third cohort. It enabled CLI to professionalise operations and invest in centralised support</w:t>
            </w:r>
            <w:r w:rsidR="008B3D34" w:rsidRPr="00554B41">
              <w:rPr>
                <w:rFonts w:asciiTheme="minorHAnsi" w:eastAsia="Aptos" w:hAnsiTheme="minorHAnsi" w:cstheme="minorHAnsi"/>
              </w:rPr>
              <w:t xml:space="preserve">, including </w:t>
            </w:r>
            <w:r w:rsidRPr="00554B41">
              <w:rPr>
                <w:rFonts w:asciiTheme="minorHAnsi" w:eastAsia="Aptos" w:hAnsiTheme="minorHAnsi" w:cstheme="minorHAnsi"/>
              </w:rPr>
              <w:t>two communications leads, a dedicated programme coordinator, and administrative capacity. Importantly, the additional resourcing allowed CLI to broaden NGP’s thematic scope beyond Loss and Damage</w:t>
            </w:r>
            <w:r w:rsidR="008B3D34" w:rsidRPr="00554B41">
              <w:rPr>
                <w:rFonts w:asciiTheme="minorHAnsi" w:eastAsia="Aptos" w:hAnsiTheme="minorHAnsi" w:cstheme="minorHAnsi"/>
              </w:rPr>
              <w:t xml:space="preserve">, </w:t>
            </w:r>
            <w:r w:rsidRPr="00554B41">
              <w:rPr>
                <w:rFonts w:asciiTheme="minorHAnsi" w:eastAsia="Aptos" w:hAnsiTheme="minorHAnsi" w:cstheme="minorHAnsi"/>
              </w:rPr>
              <w:t xml:space="preserve">responding to a longstanding objective to reflect the full range of issues faced by young negotiators from the </w:t>
            </w:r>
            <w:r w:rsidRPr="00554B41" w:rsidDel="00CA371C">
              <w:rPr>
                <w:rFonts w:asciiTheme="minorHAnsi" w:eastAsia="Aptos" w:hAnsiTheme="minorHAnsi" w:cstheme="minorHAnsi"/>
              </w:rPr>
              <w:t>Global South</w:t>
            </w:r>
            <w:r w:rsidRPr="00554B41">
              <w:rPr>
                <w:rFonts w:asciiTheme="minorHAnsi" w:eastAsia="Aptos" w:hAnsiTheme="minorHAnsi" w:cstheme="minorHAnsi"/>
              </w:rPr>
              <w:t>.</w:t>
            </w:r>
          </w:p>
          <w:p w14:paraId="54C457A9" w14:textId="31D76728" w:rsidR="00DA3939" w:rsidRPr="00554B41" w:rsidRDefault="00DA3939" w:rsidP="00DA3939">
            <w:pPr>
              <w:spacing w:before="240"/>
              <w:rPr>
                <w:rFonts w:asciiTheme="minorHAnsi" w:hAnsiTheme="minorHAnsi" w:cstheme="minorHAnsi"/>
              </w:rPr>
            </w:pPr>
            <w:r w:rsidRPr="00554B41">
              <w:rPr>
                <w:rFonts w:asciiTheme="minorHAnsi" w:eastAsia="Aptos" w:hAnsiTheme="minorHAnsi" w:cstheme="minorHAnsi"/>
                <w:b/>
                <w:bCs/>
              </w:rPr>
              <w:t>At the same time, CASA’s role should be viewed as part of a longer trajectory.</w:t>
            </w:r>
            <w:r w:rsidRPr="00554B41">
              <w:rPr>
                <w:rFonts w:asciiTheme="minorHAnsi" w:eastAsia="Aptos" w:hAnsiTheme="minorHAnsi" w:cstheme="minorHAnsi"/>
              </w:rPr>
              <w:t xml:space="preserve"> While its support was critical to the third cohort, CASA was not involved in the design or delivery of the previous cohorts, nor in the foundational community</w:t>
            </w:r>
            <w:r w:rsidR="001903BA" w:rsidRPr="00554B41">
              <w:rPr>
                <w:rFonts w:asciiTheme="minorHAnsi" w:eastAsia="Aptos" w:hAnsiTheme="minorHAnsi" w:cstheme="minorHAnsi"/>
              </w:rPr>
              <w:t xml:space="preserve"> </w:t>
            </w:r>
            <w:r w:rsidRPr="00554B41">
              <w:rPr>
                <w:rFonts w:asciiTheme="minorHAnsi" w:eastAsia="Aptos" w:hAnsiTheme="minorHAnsi" w:cstheme="minorHAnsi"/>
              </w:rPr>
              <w:t>building that underpins the programme. CLI’s credibility, networks, and delivery capacity have been developed incrementally since 2020, primarily through earlier investments and alumni engagement. CASA contributed approximately two-thirds of the third cohort’s costs but did not build the social and technical capital that made the programme viable. Its role in the broader NGP story is therefore meaningful</w:t>
            </w:r>
            <w:r w:rsidR="00C66155" w:rsidRPr="00554B41">
              <w:rPr>
                <w:rFonts w:asciiTheme="minorHAnsi" w:eastAsia="Aptos" w:hAnsiTheme="minorHAnsi" w:cstheme="minorHAnsi"/>
              </w:rPr>
              <w:t xml:space="preserve"> but recent</w:t>
            </w:r>
            <w:r w:rsidRPr="00554B41">
              <w:rPr>
                <w:rFonts w:asciiTheme="minorHAnsi" w:eastAsia="Aptos" w:hAnsiTheme="minorHAnsi" w:cstheme="minorHAnsi"/>
              </w:rPr>
              <w:t>.</w:t>
            </w:r>
          </w:p>
          <w:p w14:paraId="0B63C504" w14:textId="5336F25D" w:rsidR="00DA3939" w:rsidRPr="00554B41" w:rsidRDefault="00DA3939" w:rsidP="00DA3939">
            <w:pPr>
              <w:spacing w:before="240"/>
              <w:rPr>
                <w:rFonts w:asciiTheme="minorHAnsi" w:hAnsiTheme="minorHAnsi" w:cstheme="minorHAnsi"/>
              </w:rPr>
            </w:pPr>
            <w:r w:rsidRPr="00554B41">
              <w:rPr>
                <w:rFonts w:asciiTheme="minorHAnsi" w:eastAsia="Aptos" w:hAnsiTheme="minorHAnsi" w:cstheme="minorHAnsi"/>
                <w:b/>
                <w:bCs/>
              </w:rPr>
              <w:t>CASA’s contribution also extended through indirect channels.</w:t>
            </w:r>
            <w:r w:rsidRPr="00554B41">
              <w:rPr>
                <w:rFonts w:asciiTheme="minorHAnsi" w:eastAsia="Aptos" w:hAnsiTheme="minorHAnsi" w:cstheme="minorHAnsi"/>
              </w:rPr>
              <w:t xml:space="preserve"> The selection of fellows for the third cohort drew on CLI’s collaboration with four negotiating groups—LDC, AILAC, AOSIS, and AGN—three of which receive core support under CASA’s Work Package 2. While CASA </w:t>
            </w:r>
            <w:r w:rsidR="00BA6521" w:rsidRPr="00554B41">
              <w:rPr>
                <w:rFonts w:asciiTheme="minorHAnsi" w:eastAsia="Aptos" w:hAnsiTheme="minorHAnsi" w:cstheme="minorHAnsi"/>
              </w:rPr>
              <w:t>TP</w:t>
            </w:r>
            <w:r w:rsidR="001903BA" w:rsidRPr="00554B41">
              <w:rPr>
                <w:rFonts w:asciiTheme="minorHAnsi" w:eastAsia="Aptos" w:hAnsiTheme="minorHAnsi" w:cstheme="minorHAnsi"/>
              </w:rPr>
              <w:t xml:space="preserve">s </w:t>
            </w:r>
            <w:r w:rsidRPr="00554B41">
              <w:rPr>
                <w:rFonts w:asciiTheme="minorHAnsi" w:eastAsia="Aptos" w:hAnsiTheme="minorHAnsi" w:cstheme="minorHAnsi"/>
              </w:rPr>
              <w:t>were not directly involved in the nomination process, ongoing CASA support appears to have enabled these groups to engage meaningfully. In the absence of this support, it is unlikely they would have had the institutional capacity or incentives to participate in a structured, group-led fellowship.</w:t>
            </w:r>
          </w:p>
          <w:p w14:paraId="0D89DD08" w14:textId="112B0E0C" w:rsidR="00DA3939" w:rsidRPr="00554B41" w:rsidRDefault="00DA3939" w:rsidP="397C6395">
            <w:pPr>
              <w:spacing w:before="240"/>
              <w:rPr>
                <w:rFonts w:asciiTheme="minorHAnsi" w:hAnsiTheme="minorHAnsi"/>
              </w:rPr>
            </w:pPr>
            <w:r w:rsidRPr="77F70F82">
              <w:rPr>
                <w:rFonts w:asciiTheme="minorHAnsi" w:eastAsia="Aptos" w:hAnsiTheme="minorHAnsi"/>
              </w:rPr>
              <w:t xml:space="preserve">Furthermore, several individuals who shaped or delivered NGP have longstanding links to CASA-funded organisations. Erin Roberts (CLI and L&amp;DC founder) previously worked with ODI and IIED during periods when both were funded under </w:t>
            </w:r>
            <w:r w:rsidRPr="0079754D">
              <w:rPr>
                <w:rFonts w:asciiTheme="minorHAnsi" w:eastAsia="Aptos" w:hAnsiTheme="minorHAnsi"/>
              </w:rPr>
              <w:t xml:space="preserve">CASA. Communications Co-Lead Prakriti Koirala and her colleague Justina Áurea da Costa Belo are both NGP alumni and former IIED </w:t>
            </w:r>
            <w:r w:rsidR="001903BA" w:rsidRPr="0079754D">
              <w:rPr>
                <w:rFonts w:asciiTheme="minorHAnsi" w:eastAsia="Aptos" w:hAnsiTheme="minorHAnsi"/>
              </w:rPr>
              <w:t>fellows</w:t>
            </w:r>
            <w:r w:rsidRPr="0079754D">
              <w:rPr>
                <w:rFonts w:asciiTheme="minorHAnsi" w:eastAsia="Aptos" w:hAnsiTheme="minorHAnsi"/>
              </w:rPr>
              <w:t>, while Camilla More (IIED) served</w:t>
            </w:r>
            <w:r w:rsidRPr="77F70F82">
              <w:rPr>
                <w:rFonts w:asciiTheme="minorHAnsi" w:eastAsia="Aptos" w:hAnsiTheme="minorHAnsi"/>
              </w:rPr>
              <w:t xml:space="preserve"> as a pro</w:t>
            </w:r>
            <w:r w:rsidR="001903BA" w:rsidRPr="77F70F82">
              <w:rPr>
                <w:rFonts w:asciiTheme="minorHAnsi" w:eastAsia="Aptos" w:hAnsiTheme="minorHAnsi"/>
              </w:rPr>
              <w:t xml:space="preserve"> </w:t>
            </w:r>
            <w:r w:rsidRPr="77F70F82">
              <w:rPr>
                <w:rFonts w:asciiTheme="minorHAnsi" w:eastAsia="Aptos" w:hAnsiTheme="minorHAnsi"/>
              </w:rPr>
              <w:t>bono mentor and advisor to the programme. Although these links were not orchestrated by CASA, they reflect a shared ecosystem of practice that has benefit</w:t>
            </w:r>
            <w:r w:rsidR="000558BF" w:rsidRPr="77F70F82">
              <w:rPr>
                <w:rFonts w:asciiTheme="minorHAnsi" w:eastAsia="Aptos" w:hAnsiTheme="minorHAnsi"/>
              </w:rPr>
              <w:t>ted</w:t>
            </w:r>
            <w:r w:rsidRPr="77F70F82">
              <w:rPr>
                <w:rFonts w:asciiTheme="minorHAnsi" w:eastAsia="Aptos" w:hAnsiTheme="minorHAnsi"/>
              </w:rPr>
              <w:t xml:space="preserve"> from CASA funding.</w:t>
            </w:r>
          </w:p>
          <w:p w14:paraId="7CF146AE" w14:textId="03B14AE1" w:rsidR="00DA3939" w:rsidRPr="00554B41" w:rsidRDefault="00DA3939" w:rsidP="00DA3939">
            <w:pPr>
              <w:spacing w:before="240"/>
              <w:rPr>
                <w:rFonts w:asciiTheme="minorHAnsi" w:hAnsiTheme="minorHAnsi" w:cstheme="minorHAnsi"/>
              </w:rPr>
            </w:pPr>
            <w:r w:rsidRPr="00554B41">
              <w:rPr>
                <w:rFonts w:asciiTheme="minorHAnsi" w:eastAsia="Aptos" w:hAnsiTheme="minorHAnsi" w:cstheme="minorHAnsi"/>
              </w:rPr>
              <w:t xml:space="preserve">Finally, </w:t>
            </w:r>
            <w:r w:rsidRPr="00554B41">
              <w:rPr>
                <w:rFonts w:asciiTheme="minorHAnsi" w:eastAsia="Aptos" w:hAnsiTheme="minorHAnsi" w:cstheme="minorHAnsi"/>
                <w:b/>
                <w:bCs/>
              </w:rPr>
              <w:t>the relationship between NGP and CASA is reciprocal</w:t>
            </w:r>
            <w:r w:rsidRPr="00554B41">
              <w:rPr>
                <w:rFonts w:asciiTheme="minorHAnsi" w:eastAsia="Aptos" w:hAnsiTheme="minorHAnsi" w:cstheme="minorHAnsi"/>
              </w:rPr>
              <w:t>. NGP has generated tangible value for CASA-supported groups, particularly the LDC Group. Several NGP alumni are now embedded in national and negotiating group roles, where they contribute to communications, coordination, and technical functions</w:t>
            </w:r>
            <w:r w:rsidR="001903BA" w:rsidRPr="00554B41">
              <w:rPr>
                <w:rFonts w:asciiTheme="minorHAnsi" w:eastAsia="Aptos" w:hAnsiTheme="minorHAnsi" w:cstheme="minorHAnsi"/>
              </w:rPr>
              <w:t xml:space="preserve">, </w:t>
            </w:r>
            <w:r w:rsidRPr="00554B41">
              <w:rPr>
                <w:rFonts w:asciiTheme="minorHAnsi" w:eastAsia="Aptos" w:hAnsiTheme="minorHAnsi" w:cstheme="minorHAnsi"/>
              </w:rPr>
              <w:t>reinforcing CASA’s broader support for negotiation effectiveness. In this way, NGP has enhanced continuity and institutional memory within CASA’s priority constituencies, demonstrating how targeted investments in youth leadership can yield broader systemic gains.</w:t>
            </w:r>
          </w:p>
          <w:p w14:paraId="4F318C0D" w14:textId="439256BB" w:rsidR="00DA3939" w:rsidRPr="00554B41" w:rsidRDefault="00DA3939" w:rsidP="00DA3939">
            <w:pPr>
              <w:spacing w:before="240"/>
              <w:rPr>
                <w:rFonts w:asciiTheme="minorHAnsi" w:hAnsiTheme="minorHAnsi" w:cstheme="minorHAnsi"/>
              </w:rPr>
            </w:pPr>
            <w:r w:rsidRPr="00554B41">
              <w:rPr>
                <w:rFonts w:asciiTheme="minorHAnsi" w:eastAsia="Aptos" w:hAnsiTheme="minorHAnsi" w:cstheme="minorHAnsi"/>
              </w:rPr>
              <w:t>In sum, CASA’s support to the third NGP cohort was timely, enabling, and mutually reinforcing—integrated within a wider landscape of actors and relationships that have shaped the programme’s success to date. While not the architect of NGP, CASA played an important enabling role in its most recent phase.</w:t>
            </w:r>
          </w:p>
          <w:p w14:paraId="3AD6BEE4" w14:textId="77777777" w:rsidR="00DA3939" w:rsidRPr="00C66155" w:rsidRDefault="00DA3939" w:rsidP="00DA3939">
            <w:pPr>
              <w:rPr>
                <w:rFonts w:asciiTheme="minorHAnsi" w:hAnsiTheme="minorHAnsi" w:cstheme="minorHAnsi"/>
              </w:rPr>
            </w:pPr>
            <w:r w:rsidRPr="00C66155">
              <w:rPr>
                <w:rFonts w:asciiTheme="minorHAnsi" w:hAnsiTheme="minorHAnsi" w:cstheme="minorHAnsi"/>
                <w:b/>
                <w:bCs/>
              </w:rPr>
              <w:t>Other factors: Foundations of credibility</w:t>
            </w:r>
          </w:p>
          <w:p w14:paraId="5B660772" w14:textId="77777777" w:rsidR="00DA3939" w:rsidRPr="00C66155" w:rsidRDefault="00DA3939" w:rsidP="00DA3939">
            <w:pPr>
              <w:rPr>
                <w:rFonts w:asciiTheme="minorHAnsi" w:hAnsiTheme="minorHAnsi" w:cstheme="minorHAnsi"/>
              </w:rPr>
            </w:pPr>
            <w:r w:rsidRPr="00554B41">
              <w:rPr>
                <w:rFonts w:asciiTheme="minorHAnsi" w:hAnsiTheme="minorHAnsi" w:cstheme="minorHAnsi"/>
              </w:rPr>
              <w:t xml:space="preserve">The strength of the NGP model rests heavily on </w:t>
            </w:r>
            <w:r w:rsidRPr="00C66155">
              <w:rPr>
                <w:rFonts w:asciiTheme="minorHAnsi" w:hAnsiTheme="minorHAnsi" w:cstheme="minorHAnsi"/>
              </w:rPr>
              <w:t>investments and relationships that predate CASA’s direct involvement:</w:t>
            </w:r>
          </w:p>
          <w:p w14:paraId="2EE3B94B" w14:textId="77777777" w:rsidR="00607B6B" w:rsidRDefault="00607B6B" w:rsidP="00607B6B">
            <w:pPr>
              <w:rPr>
                <w:rFonts w:ascii="Calibri" w:eastAsia="Calibri" w:hAnsi="Calibri" w:cs="Calibri"/>
                <w:sz w:val="22"/>
                <w:szCs w:val="22"/>
              </w:rPr>
            </w:pPr>
            <w:r>
              <w:rPr>
                <w:rFonts w:ascii="Calibri" w:eastAsia="Calibri" w:hAnsi="Calibri" w:cs="Calibri"/>
                <w:b/>
                <w:sz w:val="22"/>
                <w:szCs w:val="22"/>
              </w:rPr>
              <w:t xml:space="preserve">Leadership and vision </w:t>
            </w:r>
            <w:r w:rsidRPr="00607B6B">
              <w:rPr>
                <w:rFonts w:ascii="Calibri" w:eastAsia="Calibri" w:hAnsi="Calibri" w:cs="Calibri"/>
                <w:b/>
                <w:sz w:val="22"/>
                <w:szCs w:val="22"/>
              </w:rPr>
              <w:t xml:space="preserve">of </w:t>
            </w:r>
            <w:r w:rsidRPr="0079754D">
              <w:rPr>
                <w:rFonts w:ascii="Calibri" w:eastAsia="Calibri" w:hAnsi="Calibri" w:cs="Calibri"/>
                <w:b/>
                <w:sz w:val="22"/>
                <w:szCs w:val="22"/>
              </w:rPr>
              <w:t>Erin Roberts:</w:t>
            </w:r>
            <w:r w:rsidRPr="00607B6B">
              <w:rPr>
                <w:rFonts w:ascii="Calibri" w:eastAsia="Calibri" w:hAnsi="Calibri" w:cs="Calibri"/>
                <w:sz w:val="22"/>
                <w:szCs w:val="22"/>
              </w:rPr>
              <w:t xml:space="preserve"> As the</w:t>
            </w:r>
            <w:r>
              <w:rPr>
                <w:rFonts w:ascii="Calibri" w:eastAsia="Calibri" w:hAnsi="Calibri" w:cs="Calibri"/>
                <w:sz w:val="22"/>
                <w:szCs w:val="22"/>
              </w:rPr>
              <w:t xml:space="preserve"> founder of CLI and L&amp;DC, Erin Roberts has played a foundational role in shaping NGP’s structure, strategy, and ethos. While her leadership predates CASA involvement, the OF grant helped consolidate her vision by enabling the third cohort to scale. CASA funding allowed her to formalise staff roles and support CLI’s strategic aim of decoupling from L&amp;DC, giving her greater autonomy to steer the programme.</w:t>
            </w:r>
          </w:p>
          <w:p w14:paraId="74E82241" w14:textId="5FB21710" w:rsidR="00367CCD" w:rsidRDefault="00367CCD" w:rsidP="02A53BA6">
            <w:pPr>
              <w:rPr>
                <w:rFonts w:ascii="Calibri" w:eastAsia="Calibri" w:hAnsi="Calibri" w:cs="Calibri"/>
                <w:sz w:val="22"/>
                <w:szCs w:val="22"/>
              </w:rPr>
            </w:pPr>
            <w:r w:rsidRPr="00367CCD">
              <w:rPr>
                <w:rFonts w:ascii="Calibri" w:eastAsia="Calibri" w:hAnsi="Calibri" w:cs="Calibri"/>
                <w:b/>
                <w:sz w:val="22"/>
                <w:szCs w:val="22"/>
              </w:rPr>
              <w:t>Alumni and informal allies:</w:t>
            </w:r>
            <w:r w:rsidRPr="00367CCD">
              <w:rPr>
                <w:rFonts w:ascii="Calibri" w:eastAsia="Calibri" w:hAnsi="Calibri" w:cs="Calibri"/>
                <w:sz w:val="22"/>
                <w:szCs w:val="22"/>
              </w:rPr>
              <w:t xml:space="preserve"> The growing alumni network—including figures such as </w:t>
            </w:r>
            <w:r w:rsidRPr="0079754D">
              <w:rPr>
                <w:rFonts w:ascii="Calibri" w:eastAsia="Calibri" w:hAnsi="Calibri" w:cs="Calibri"/>
                <w:sz w:val="22"/>
                <w:szCs w:val="22"/>
              </w:rPr>
              <w:t>Honorine Isingizwe</w:t>
            </w:r>
            <w:r w:rsidRPr="00367CCD">
              <w:rPr>
                <w:rFonts w:ascii="Calibri" w:eastAsia="Calibri" w:hAnsi="Calibri" w:cs="Calibri"/>
                <w:sz w:val="22"/>
                <w:szCs w:val="22"/>
              </w:rPr>
              <w:t xml:space="preserve">, </w:t>
            </w:r>
            <w:r w:rsidRPr="0079754D">
              <w:rPr>
                <w:rFonts w:ascii="Calibri" w:eastAsia="Calibri" w:hAnsi="Calibri" w:cs="Calibri"/>
                <w:b/>
                <w:sz w:val="22"/>
                <w:szCs w:val="22"/>
              </w:rPr>
              <w:t>Justina Áurea Da Costa Belo</w:t>
            </w:r>
            <w:r w:rsidRPr="00367CCD">
              <w:rPr>
                <w:rFonts w:ascii="Calibri" w:eastAsia="Calibri" w:hAnsi="Calibri" w:cs="Calibri"/>
                <w:sz w:val="22"/>
                <w:szCs w:val="22"/>
              </w:rPr>
              <w:t xml:space="preserve"> and </w:t>
            </w:r>
            <w:r w:rsidRPr="0079754D">
              <w:rPr>
                <w:rFonts w:ascii="Calibri" w:eastAsia="Calibri" w:hAnsi="Calibri" w:cs="Calibri"/>
                <w:b/>
                <w:sz w:val="22"/>
                <w:szCs w:val="22"/>
              </w:rPr>
              <w:t>Prakriti Koirala</w:t>
            </w:r>
            <w:r w:rsidRPr="00367CCD">
              <w:rPr>
                <w:rFonts w:ascii="Calibri" w:eastAsia="Calibri" w:hAnsi="Calibri" w:cs="Calibri"/>
                <w:sz w:val="22"/>
                <w:szCs w:val="22"/>
              </w:rPr>
              <w:t xml:space="preserve"> in leadership roles—has ensured continuity, credibility, and peer-led delivery. While this network existed before CASA’s involvement, its activation during the third cohort was made possible through CASA’s funding of programme coordination roles and mentorship activities. The funded staff were critical in designing and implementing a cohort model that placed alumni at the heart of delivery.</w:t>
            </w:r>
          </w:p>
          <w:p w14:paraId="18A09060" w14:textId="77777777" w:rsidR="00DA3939" w:rsidRPr="00554B41" w:rsidRDefault="00DA3939" w:rsidP="00DA3939">
            <w:pPr>
              <w:rPr>
                <w:rFonts w:asciiTheme="minorHAnsi" w:hAnsiTheme="minorHAnsi" w:cstheme="minorHAnsi"/>
              </w:rPr>
            </w:pPr>
            <w:r w:rsidRPr="00554B41">
              <w:rPr>
                <w:rFonts w:asciiTheme="minorHAnsi" w:hAnsiTheme="minorHAnsi" w:cstheme="minorHAnsi"/>
                <w:b/>
                <w:bCs/>
              </w:rPr>
              <w:t>Negotiating group buy-in and active participation:</w:t>
            </w:r>
            <w:r w:rsidRPr="00554B41">
              <w:rPr>
                <w:rFonts w:asciiTheme="minorHAnsi" w:hAnsiTheme="minorHAnsi" w:cstheme="minorHAnsi"/>
              </w:rPr>
              <w:t xml:space="preserve"> Support from the LDC Group, AILAC, AOSIS, and AGN was essential to nominating and embedding fellows. While this was enabled by CLI’s own relationships, CASA’s ongoing support to three of these groups through its negotiation support work indirectly helped create the conditions for their participation. Without that broader investment in these groups’ capacity and coordination, the nomination process may have lacked momentum or legitimacy.</w:t>
            </w:r>
          </w:p>
          <w:p w14:paraId="62CF642D" w14:textId="77777777" w:rsidR="00DA3939" w:rsidRPr="00554B41" w:rsidRDefault="00DA3939" w:rsidP="00DA3939">
            <w:pPr>
              <w:rPr>
                <w:rFonts w:asciiTheme="minorHAnsi" w:hAnsiTheme="minorHAnsi" w:cstheme="minorHAnsi"/>
              </w:rPr>
            </w:pPr>
            <w:r w:rsidRPr="00554B41">
              <w:rPr>
                <w:rFonts w:asciiTheme="minorHAnsi" w:hAnsiTheme="minorHAnsi" w:cstheme="minorHAnsi"/>
                <w:b/>
                <w:bCs/>
              </w:rPr>
              <w:t>Flexible support from other funders:</w:t>
            </w:r>
            <w:r w:rsidRPr="00554B41">
              <w:rPr>
                <w:rFonts w:asciiTheme="minorHAnsi" w:hAnsiTheme="minorHAnsi" w:cstheme="minorHAnsi"/>
              </w:rPr>
              <w:t xml:space="preserve"> Prior support from organisations such as Oxfam and Practical Action enabled earlier cohorts and contributed to the legitimacy of the model. CASA’s entry as a funder reinforced this foundation, offering a level of institutional recognition that further strengthened CLI’s fundraising case. The CASA grant also allowed the programme to diversify beyond its initial Loss and Damage focus, signalling to others that NGP had broader strategic value.</w:t>
            </w:r>
          </w:p>
          <w:p w14:paraId="4943001E" w14:textId="0F115341" w:rsidR="00DA3939" w:rsidRPr="00554B41" w:rsidRDefault="00DA3939" w:rsidP="00DA3939">
            <w:pPr>
              <w:rPr>
                <w:rFonts w:asciiTheme="minorHAnsi" w:hAnsiTheme="minorHAnsi" w:cstheme="minorHAnsi"/>
              </w:rPr>
            </w:pPr>
            <w:r w:rsidRPr="00554B41">
              <w:rPr>
                <w:rFonts w:asciiTheme="minorHAnsi" w:hAnsiTheme="minorHAnsi" w:cstheme="minorHAnsi"/>
                <w:b/>
                <w:bCs/>
              </w:rPr>
              <w:t>Wider momentum behind youth participation:</w:t>
            </w:r>
            <w:r w:rsidRPr="00554B41">
              <w:rPr>
                <w:rFonts w:asciiTheme="minorHAnsi" w:hAnsiTheme="minorHAnsi" w:cstheme="minorHAnsi"/>
              </w:rPr>
              <w:t xml:space="preserve"> The third cohort benefitted from an overall shift in the climate diplomacy space toward supporting young negotiators from the </w:t>
            </w:r>
            <w:r w:rsidRPr="00554B41" w:rsidDel="00CA371C">
              <w:rPr>
                <w:rFonts w:asciiTheme="minorHAnsi" w:hAnsiTheme="minorHAnsi" w:cstheme="minorHAnsi"/>
              </w:rPr>
              <w:t>Global South</w:t>
            </w:r>
            <w:r w:rsidRPr="00554B41">
              <w:rPr>
                <w:rFonts w:asciiTheme="minorHAnsi" w:hAnsiTheme="minorHAnsi" w:cstheme="minorHAnsi"/>
              </w:rPr>
              <w:t xml:space="preserve"> (see Table 1 </w:t>
            </w:r>
            <w:r w:rsidR="001903BA" w:rsidRPr="00554B41">
              <w:rPr>
                <w:rFonts w:asciiTheme="minorHAnsi" w:hAnsiTheme="minorHAnsi" w:cstheme="minorHAnsi"/>
              </w:rPr>
              <w:t xml:space="preserve">for some </w:t>
            </w:r>
            <w:r w:rsidRPr="00554B41">
              <w:rPr>
                <w:rFonts w:asciiTheme="minorHAnsi" w:hAnsiTheme="minorHAnsi" w:cstheme="minorHAnsi"/>
              </w:rPr>
              <w:t>example initiatives). CASA did not create this trend, but it responded to it in a way that helped consolidate it. By backing an initiative like NGP, CASA provided practical reinforcement to this global momentum</w:t>
            </w:r>
            <w:r w:rsidR="001903BA" w:rsidRPr="00554B41">
              <w:rPr>
                <w:rFonts w:asciiTheme="minorHAnsi" w:hAnsiTheme="minorHAnsi" w:cstheme="minorHAnsi"/>
              </w:rPr>
              <w:t>, while</w:t>
            </w:r>
            <w:r w:rsidRPr="00554B41">
              <w:rPr>
                <w:rFonts w:asciiTheme="minorHAnsi" w:hAnsiTheme="minorHAnsi" w:cstheme="minorHAnsi"/>
              </w:rPr>
              <w:t xml:space="preserve"> its emphasis on alignment with negotiation groups helped distinguish NGP from more ad hoc youth initiatives.</w:t>
            </w:r>
          </w:p>
          <w:p w14:paraId="2A685CB6" w14:textId="52ECDB61" w:rsidR="00DA3939" w:rsidRPr="00554B41" w:rsidRDefault="001903BA" w:rsidP="00DA3939">
            <w:pPr>
              <w:rPr>
                <w:rFonts w:asciiTheme="minorHAnsi" w:hAnsiTheme="minorHAnsi" w:cstheme="minorHAnsi"/>
              </w:rPr>
            </w:pPr>
            <w:r w:rsidRPr="00554B41">
              <w:rPr>
                <w:rFonts w:asciiTheme="minorHAnsi" w:hAnsiTheme="minorHAnsi" w:cstheme="minorHAnsi"/>
                <w:b/>
                <w:bCs/>
              </w:rPr>
              <w:t xml:space="preserve">The ability </w:t>
            </w:r>
            <w:r w:rsidR="00DA3939" w:rsidRPr="00554B41">
              <w:rPr>
                <w:rFonts w:asciiTheme="minorHAnsi" w:hAnsiTheme="minorHAnsi" w:cstheme="minorHAnsi"/>
                <w:b/>
                <w:bCs/>
              </w:rPr>
              <w:t>of CLI to set direction and evolve:</w:t>
            </w:r>
            <w:r w:rsidR="00DA3939" w:rsidRPr="00554B41">
              <w:rPr>
                <w:rFonts w:asciiTheme="minorHAnsi" w:hAnsiTheme="minorHAnsi" w:cstheme="minorHAnsi"/>
              </w:rPr>
              <w:t xml:space="preserve"> CLI’s decision to diversify the programme’s scope, embed it within group structures, and ensure alumni retention was crucial to its maturity. CASA played a facilitating role in this evolution by enabling CLI to formalise leadership roles and pursue greater independence. The structure of the </w:t>
            </w:r>
            <w:r w:rsidR="00DE0025" w:rsidRPr="00554B41">
              <w:rPr>
                <w:rFonts w:asciiTheme="minorHAnsi" w:hAnsiTheme="minorHAnsi" w:cstheme="minorHAnsi"/>
              </w:rPr>
              <w:t>OF</w:t>
            </w:r>
            <w:r w:rsidR="00DA3939" w:rsidRPr="00554B41">
              <w:rPr>
                <w:rFonts w:asciiTheme="minorHAnsi" w:hAnsiTheme="minorHAnsi" w:cstheme="minorHAnsi"/>
              </w:rPr>
              <w:t xml:space="preserve"> grant allowed CLI to retain control over programme design, while gaining the resourcing necessary to strengthen its delivery.</w:t>
            </w:r>
          </w:p>
          <w:p w14:paraId="00B9757B" w14:textId="77777777" w:rsidR="00DA3939" w:rsidRPr="00554B41" w:rsidRDefault="00DA3939" w:rsidP="00DA3939">
            <w:pPr>
              <w:rPr>
                <w:rFonts w:asciiTheme="minorHAnsi" w:hAnsiTheme="minorHAnsi" w:cstheme="minorHAnsi"/>
              </w:rPr>
            </w:pPr>
            <w:r w:rsidRPr="00554B41">
              <w:rPr>
                <w:rFonts w:asciiTheme="minorHAnsi" w:hAnsiTheme="minorHAnsi" w:cstheme="minorHAnsi"/>
                <w:b/>
                <w:bCs/>
              </w:rPr>
              <w:t>Delivery capacity and resilience:</w:t>
            </w:r>
            <w:r w:rsidRPr="00554B41">
              <w:rPr>
                <w:rFonts w:asciiTheme="minorHAnsi" w:hAnsiTheme="minorHAnsi" w:cstheme="minorHAnsi"/>
              </w:rPr>
              <w:t xml:space="preserve"> The third cohort was implemented under tight timelines and logistical pressure, yet CLI delivered a well-regarded and fully integrated programme. CASA’s funding enabled the hiring of key staff who managed training, communications, and alumni engagement. While much of CLI’s delivery capacity was rooted in experience from earlier cohorts, CASA’s support was pivotal in translating that capacity into a high-quality, six-month programme.</w:t>
            </w:r>
          </w:p>
        </w:tc>
      </w:tr>
    </w:tbl>
    <w:p w14:paraId="5E1E3A0A" w14:textId="77777777" w:rsidR="000940E0" w:rsidRPr="00554B41" w:rsidRDefault="000940E0" w:rsidP="000940E0"/>
    <w:p w14:paraId="48A56E05" w14:textId="77777777" w:rsidR="000940E0" w:rsidRPr="00554B41" w:rsidRDefault="000940E0" w:rsidP="000940E0">
      <w:pPr>
        <w:sectPr w:rsidR="000940E0" w:rsidRPr="00554B41" w:rsidSect="000940E0">
          <w:pgSz w:w="11906" w:h="16838"/>
          <w:pgMar w:top="1440" w:right="1440" w:bottom="1440" w:left="1440" w:header="708" w:footer="708" w:gutter="0"/>
          <w:cols w:space="708"/>
          <w:docGrid w:linePitch="360"/>
        </w:sectPr>
      </w:pPr>
      <w:r w:rsidRPr="00554B41">
        <w:br w:type="page"/>
      </w:r>
    </w:p>
    <w:p w14:paraId="522A6E54" w14:textId="644A9DAE" w:rsidR="000940E0" w:rsidRPr="00554B41" w:rsidRDefault="00F42BFD" w:rsidP="007032D3">
      <w:r>
        <w:rPr>
          <w:noProof/>
        </w:rPr>
        <mc:AlternateContent>
          <mc:Choice Requires="wps">
            <w:drawing>
              <wp:anchor distT="0" distB="0" distL="114300" distR="114300" simplePos="0" relativeHeight="251658250" behindDoc="0" locked="0" layoutInCell="1" allowOverlap="1" wp14:anchorId="1D900869" wp14:editId="06E987B8">
                <wp:simplePos x="0" y="0"/>
                <wp:positionH relativeFrom="column">
                  <wp:posOffset>-85090</wp:posOffset>
                </wp:positionH>
                <wp:positionV relativeFrom="paragraph">
                  <wp:posOffset>6067425</wp:posOffset>
                </wp:positionV>
                <wp:extent cx="9099550" cy="635"/>
                <wp:effectExtent l="0" t="0" r="0" b="0"/>
                <wp:wrapNone/>
                <wp:docPr id="1792097047" name="Text Box 1"/>
                <wp:cNvGraphicFramePr/>
                <a:graphic xmlns:a="http://schemas.openxmlformats.org/drawingml/2006/main">
                  <a:graphicData uri="http://schemas.microsoft.com/office/word/2010/wordprocessingShape">
                    <wps:wsp>
                      <wps:cNvSpPr txBox="1"/>
                      <wps:spPr>
                        <a:xfrm>
                          <a:off x="0" y="0"/>
                          <a:ext cx="9099550" cy="635"/>
                        </a:xfrm>
                        <a:prstGeom prst="rect">
                          <a:avLst/>
                        </a:prstGeom>
                        <a:solidFill>
                          <a:prstClr val="white"/>
                        </a:solidFill>
                        <a:ln>
                          <a:noFill/>
                        </a:ln>
                      </wps:spPr>
                      <wps:txbx>
                        <w:txbxContent>
                          <w:p w14:paraId="5F233239" w14:textId="7BA027EF" w:rsidR="00F42BFD" w:rsidRPr="000B4E25" w:rsidRDefault="00F42BFD" w:rsidP="00F42BFD">
                            <w:pPr>
                              <w:pStyle w:val="Caption"/>
                              <w:rPr>
                                <w:noProof/>
                                <w:sz w:val="20"/>
                              </w:rPr>
                            </w:pPr>
                            <w:r>
                              <w:t xml:space="preserve">Figure </w:t>
                            </w:r>
                            <w:r>
                              <w:fldChar w:fldCharType="begin"/>
                            </w:r>
                            <w:r>
                              <w:instrText xml:space="preserve"> SEQ Figure \* ARABIC </w:instrText>
                            </w:r>
                            <w:r>
                              <w:fldChar w:fldCharType="separate"/>
                            </w:r>
                            <w:r>
                              <w:rPr>
                                <w:noProof/>
                              </w:rPr>
                              <w:t>4</w:t>
                            </w:r>
                            <w:r>
                              <w:fldChar w:fldCharType="end"/>
                            </w:r>
                            <w:r>
                              <w:t xml:space="preserve">. </w:t>
                            </w:r>
                            <w:r w:rsidRPr="00554B41">
                              <w:t>Timeline for the RMI-HAC case study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900869" id="_x0000_s1029" type="#_x0000_t202" style="position:absolute;left:0;text-align:left;margin-left:-6.7pt;margin-top:477.75pt;width:716.5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" stroked="f">
                <v:textbox style="mso-fit-shape-to-text:t" inset="0,0,0,0">
                  <w:txbxContent>
                    <w:p w14:paraId="5F233239" w14:textId="7BA027EF" w:rsidR="00F42BFD" w:rsidRPr="000B4E25" w:rsidRDefault="00F42BFD" w:rsidP="00F42BFD">
                      <w:pPr>
                        <w:pStyle w:val="Caption"/>
                        <w:rPr>
                          <w:noProof/>
                          <w:sz w:val="20"/>
                        </w:rPr>
                      </w:pPr>
                      <w:r>
                        <w:t xml:space="preserve">Figure </w:t>
                      </w:r>
                      <w:r>
                        <w:fldChar w:fldCharType="begin"/>
                      </w:r>
                      <w:r>
                        <w:instrText xml:space="preserve"> SEQ Figure \* ARABIC </w:instrText>
                      </w:r>
                      <w:r>
                        <w:fldChar w:fldCharType="separate"/>
                      </w:r>
                      <w:r>
                        <w:rPr>
                          <w:noProof/>
                        </w:rPr>
                        <w:t>4</w:t>
                      </w:r>
                      <w:r>
                        <w:fldChar w:fldCharType="end"/>
                      </w:r>
                      <w:r>
                        <w:t xml:space="preserve">. </w:t>
                      </w:r>
                      <w:r w:rsidRPr="00554B41">
                        <w:t>Timeline for the RMI-HAC case study</w:t>
                      </w:r>
                    </w:p>
                  </w:txbxContent>
                </v:textbox>
              </v:shape>
            </w:pict>
          </mc:Fallback>
        </mc:AlternateContent>
      </w:r>
      <w:r w:rsidR="007032D3" w:rsidRPr="00554B41">
        <w:rPr>
          <w:noProof/>
        </w:rPr>
        <w:drawing>
          <wp:anchor distT="0" distB="0" distL="114300" distR="114300" simplePos="0" relativeHeight="251658242" behindDoc="0" locked="0" layoutInCell="1" allowOverlap="1" wp14:anchorId="00866A3C" wp14:editId="5F4B7BEF">
            <wp:simplePos x="0" y="0"/>
            <wp:positionH relativeFrom="column">
              <wp:posOffset>-85592</wp:posOffset>
            </wp:positionH>
            <wp:positionV relativeFrom="paragraph">
              <wp:posOffset>-370205</wp:posOffset>
            </wp:positionV>
            <wp:extent cx="9100141" cy="6380988"/>
            <wp:effectExtent l="0" t="0" r="6350" b="1270"/>
            <wp:wrapNone/>
            <wp:docPr id="1288420168"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20168" name="Picture 1" descr="A diagram of a graph&#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9100141" cy="6380988"/>
                    </a:xfrm>
                    <a:prstGeom prst="rect">
                      <a:avLst/>
                    </a:prstGeom>
                  </pic:spPr>
                </pic:pic>
              </a:graphicData>
            </a:graphic>
            <wp14:sizeRelH relativeFrom="margin">
              <wp14:pctWidth>0</wp14:pctWidth>
            </wp14:sizeRelH>
            <wp14:sizeRelV relativeFrom="margin">
              <wp14:pctHeight>0</wp14:pctHeight>
            </wp14:sizeRelV>
          </wp:anchor>
        </w:drawing>
      </w:r>
    </w:p>
    <w:p w14:paraId="0D7A8E3C" w14:textId="6643C629" w:rsidR="00843051" w:rsidRPr="00554B41" w:rsidRDefault="00843051" w:rsidP="00843051">
      <w:pPr>
        <w:sectPr w:rsidR="00843051" w:rsidRPr="00554B41" w:rsidSect="000940E0">
          <w:pgSz w:w="16838" w:h="11906" w:orient="landscape"/>
          <w:pgMar w:top="1440" w:right="1440" w:bottom="1440" w:left="1440" w:header="709" w:footer="709" w:gutter="0"/>
          <w:cols w:space="708"/>
          <w:docGrid w:linePitch="360"/>
        </w:sectPr>
      </w:pPr>
    </w:p>
    <w:p w14:paraId="2ECA98B0" w14:textId="0B7757E7" w:rsidR="00DF6D9C" w:rsidRPr="00DF6D9C" w:rsidRDefault="00DF6D9C" w:rsidP="00DF6D9C">
      <w:pPr>
        <w:pStyle w:val="Heading1"/>
      </w:pPr>
      <w:bookmarkStart w:id="30" w:name="_Toc204967847"/>
      <w:r w:rsidRPr="00DF6D9C">
        <w:rPr>
          <w:rStyle w:val="Heading1Char"/>
          <w:b/>
        </w:rPr>
        <w:t>Case study 4: Republic of the Marshall Islands and the High Ambition Coalition</w:t>
      </w:r>
      <w:bookmarkEnd w:id="30"/>
    </w:p>
    <w:tbl>
      <w:tblPr>
        <w:tblW w:w="90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2529"/>
      </w:tblGrid>
      <w:tr w:rsidR="00D2369E" w:rsidRPr="00554B41" w14:paraId="36CEE7F9" w14:textId="77777777" w:rsidTr="08D8E3A1">
        <w:trPr>
          <w:trHeight w:val="300"/>
        </w:trPr>
        <w:tc>
          <w:tcPr>
            <w:tcW w:w="6513" w:type="dxa"/>
            <w:tcBorders>
              <w:top w:val="single" w:sz="6" w:space="0" w:color="303030" w:themeColor="text1"/>
              <w:left w:val="single" w:sz="6" w:space="0" w:color="303030" w:themeColor="text1"/>
              <w:bottom w:val="single" w:sz="6" w:space="0" w:color="303030" w:themeColor="text1"/>
              <w:right w:val="single" w:sz="6" w:space="0" w:color="303030" w:themeColor="text1"/>
            </w:tcBorders>
            <w:shd w:val="clear" w:color="auto" w:fill="CEDCDB" w:themeFill="accent2" w:themeFillTint="66"/>
          </w:tcPr>
          <w:p w14:paraId="344C5680" w14:textId="77777777" w:rsidR="00D2369E" w:rsidRPr="00554B41" w:rsidRDefault="00D2369E" w:rsidP="00D2369E">
            <w:pPr>
              <w:jc w:val="left"/>
            </w:pPr>
            <w:r w:rsidRPr="00554B41">
              <w:rPr>
                <w:b/>
                <w:bCs/>
              </w:rPr>
              <w:t>Outcome title</w:t>
            </w:r>
            <w:r w:rsidRPr="00554B41">
              <w:t> </w:t>
            </w:r>
          </w:p>
          <w:p w14:paraId="28CB4793" w14:textId="7B688160" w:rsidR="00D2369E" w:rsidRPr="00554B41" w:rsidRDefault="00D2369E" w:rsidP="00D2369E">
            <w:pPr>
              <w:jc w:val="left"/>
              <w:rPr>
                <w:b/>
                <w:bCs/>
              </w:rPr>
            </w:pPr>
            <w:r w:rsidRPr="00554B41">
              <w:t xml:space="preserve">Sustained leadership by the Republic of the Marshall Islands (RMI) as the convenor and chair of the HAC influences </w:t>
            </w:r>
            <w:r w:rsidR="001903BA" w:rsidRPr="00554B41">
              <w:t xml:space="preserve">the </w:t>
            </w:r>
            <w:r w:rsidRPr="00554B41">
              <w:t>outcomes of negotiations</w:t>
            </w:r>
          </w:p>
        </w:tc>
        <w:tc>
          <w:tcPr>
            <w:tcW w:w="2529" w:type="dxa"/>
            <w:tcBorders>
              <w:top w:val="single" w:sz="6" w:space="0" w:color="303030" w:themeColor="text1"/>
              <w:left w:val="single" w:sz="6" w:space="0" w:color="303030" w:themeColor="text1"/>
              <w:bottom w:val="single" w:sz="6" w:space="0" w:color="303030" w:themeColor="text1"/>
              <w:right w:val="single" w:sz="6" w:space="0" w:color="303030" w:themeColor="text1"/>
            </w:tcBorders>
            <w:shd w:val="clear" w:color="auto" w:fill="CEDCDB" w:themeFill="accent2" w:themeFillTint="66"/>
          </w:tcPr>
          <w:p w14:paraId="494F4C53" w14:textId="77777777" w:rsidR="00D2369E" w:rsidRPr="00554B41" w:rsidRDefault="00D2369E" w:rsidP="00D2369E">
            <w:pPr>
              <w:jc w:val="left"/>
            </w:pPr>
            <w:r w:rsidRPr="00554B41">
              <w:rPr>
                <w:b/>
                <w:bCs/>
              </w:rPr>
              <w:t>Strength of evidence</w:t>
            </w:r>
            <w:r w:rsidRPr="00554B41">
              <w:t> </w:t>
            </w:r>
          </w:p>
          <w:p w14:paraId="1985A31A" w14:textId="022FE9E4" w:rsidR="00D2369E" w:rsidRPr="00554B41" w:rsidRDefault="00D2369E" w:rsidP="00D2369E">
            <w:pPr>
              <w:jc w:val="left"/>
              <w:rPr>
                <w:b/>
                <w:bCs/>
              </w:rPr>
            </w:pPr>
            <w:r w:rsidRPr="00554B41">
              <w:t>Some evidence</w:t>
            </w:r>
          </w:p>
        </w:tc>
      </w:tr>
    </w:tbl>
    <w:p w14:paraId="5C543BB5" w14:textId="77777777" w:rsidR="00AB3F24" w:rsidRPr="00554B41" w:rsidRDefault="00AB3F24" w:rsidP="00AB3F24">
      <w:pPr>
        <w:pStyle w:val="Heading2"/>
      </w:pPr>
      <w:bookmarkStart w:id="31" w:name="_Toc204967848"/>
      <w:r w:rsidRPr="00AB3F24">
        <w:t>Summary</w:t>
      </w:r>
      <w:r w:rsidRPr="00554B41">
        <w:t xml:space="preserve"> of CASA II contribution</w:t>
      </w:r>
      <w:bookmarkEnd w:id="31"/>
      <w:r w:rsidRPr="00554B41">
        <w:t xml:space="preserve"> </w:t>
      </w:r>
    </w:p>
    <w:tbl>
      <w:tblPr>
        <w:tblW w:w="90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42"/>
      </w:tblGrid>
      <w:tr w:rsidR="00D2369E" w:rsidRPr="00554B41" w14:paraId="347C1CB2" w14:textId="77777777" w:rsidTr="08D8E3A1">
        <w:trPr>
          <w:trHeight w:val="300"/>
        </w:trPr>
        <w:tc>
          <w:tcPr>
            <w:tcW w:w="9042" w:type="dxa"/>
            <w:tcBorders>
              <w:top w:val="single" w:sz="6" w:space="0" w:color="303030" w:themeColor="text1"/>
              <w:left w:val="single" w:sz="6" w:space="0" w:color="303030" w:themeColor="text1"/>
              <w:bottom w:val="single" w:sz="6" w:space="0" w:color="303030" w:themeColor="text1"/>
              <w:right w:val="single" w:sz="6" w:space="0" w:color="303030" w:themeColor="text1"/>
            </w:tcBorders>
            <w:shd w:val="clear" w:color="auto" w:fill="F2F2F2" w:themeFill="background1" w:themeFillShade="F2"/>
            <w:hideMark/>
          </w:tcPr>
          <w:p w14:paraId="71414CCA" w14:textId="4C8F6E5C" w:rsidR="00D2369E" w:rsidRPr="00554B41" w:rsidRDefault="00D2369E" w:rsidP="00A07159">
            <w:pPr>
              <w:rPr>
                <w:b/>
                <w:bCs/>
              </w:rPr>
            </w:pPr>
            <w:r w:rsidRPr="00554B41">
              <w:rPr>
                <w:b/>
                <w:bCs/>
              </w:rPr>
              <w:t>More confident than not that CASA II made an important contribution to the outcome</w:t>
            </w:r>
          </w:p>
          <w:p w14:paraId="3A1E38F7" w14:textId="31DB8190" w:rsidR="00D2369E" w:rsidRPr="00554B41" w:rsidRDefault="00D2369E" w:rsidP="00D2369E">
            <w:r w:rsidRPr="00554B41">
              <w:t xml:space="preserve">After the Paris Agreement was secured, Independent Diplomat continued to provide critical capacity and resources as the Secretariat </w:t>
            </w:r>
            <w:r w:rsidR="001903BA" w:rsidRPr="00554B41">
              <w:t xml:space="preserve">of </w:t>
            </w:r>
            <w:r w:rsidRPr="00554B41">
              <w:t>the HAC and to RMI directly. The country could continue to fulfil its role as convenor and chair of</w:t>
            </w:r>
            <w:r w:rsidR="00182264" w:rsidRPr="00554B41">
              <w:t xml:space="preserve"> the</w:t>
            </w:r>
            <w:r w:rsidRPr="00554B41">
              <w:t xml:space="preserve"> HAC, while also starting to transition RMI staff into key HAC Secretariat roles. </w:t>
            </w:r>
          </w:p>
        </w:tc>
      </w:tr>
    </w:tbl>
    <w:p w14:paraId="77F34582" w14:textId="6DE48DAB" w:rsidR="00BD20BF" w:rsidRDefault="00686C16" w:rsidP="00BD20BF">
      <w:pPr>
        <w:pStyle w:val="Heading2"/>
      </w:pPr>
      <w:bookmarkStart w:id="32" w:name="_Toc204967849"/>
      <w:r w:rsidRPr="00990E87">
        <w:t xml:space="preserve">Summary of </w:t>
      </w:r>
      <w:r>
        <w:t xml:space="preserve">the contribution of </w:t>
      </w:r>
      <w:r w:rsidRPr="00990E87">
        <w:t>other actors and factors</w:t>
      </w:r>
      <w:bookmarkEnd w:id="32"/>
    </w:p>
    <w:tbl>
      <w:tblPr>
        <w:tblW w:w="9042"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13"/>
        <w:gridCol w:w="2529"/>
      </w:tblGrid>
      <w:tr w:rsidR="00D2369E" w:rsidRPr="00554B41" w14:paraId="424E003B" w14:textId="77777777" w:rsidTr="00BD20BF">
        <w:trPr>
          <w:trHeight w:val="623"/>
        </w:trPr>
        <w:tc>
          <w:tcPr>
            <w:tcW w:w="6513" w:type="dxa"/>
            <w:tcBorders>
              <w:top w:val="single" w:sz="4" w:space="0" w:color="auto"/>
              <w:left w:val="single" w:sz="4" w:space="0" w:color="auto"/>
              <w:bottom w:val="single" w:sz="4" w:space="0" w:color="auto"/>
              <w:right w:val="single" w:sz="4" w:space="0" w:color="auto"/>
            </w:tcBorders>
            <w:hideMark/>
          </w:tcPr>
          <w:p w14:paraId="1ED25423" w14:textId="1F52DECC" w:rsidR="00D2369E" w:rsidRPr="00554B41" w:rsidRDefault="007C098C" w:rsidP="00D2369E">
            <w:pPr>
              <w:pStyle w:val="ListParagraph"/>
              <w:numPr>
                <w:ilvl w:val="0"/>
                <w:numId w:val="25"/>
              </w:numPr>
              <w:spacing w:after="160" w:line="259" w:lineRule="auto"/>
              <w:jc w:val="left"/>
            </w:pPr>
            <w:r w:rsidRPr="00554B41">
              <w:t xml:space="preserve">The longstanding </w:t>
            </w:r>
            <w:r w:rsidR="00D2369E" w:rsidRPr="00554B41">
              <w:t>relationship between RMI and I</w:t>
            </w:r>
            <w:r w:rsidR="001903BA" w:rsidRPr="00554B41">
              <w:t xml:space="preserve">ndependent </w:t>
            </w:r>
            <w:r w:rsidR="00D2369E" w:rsidRPr="00554B41">
              <w:t>D</w:t>
            </w:r>
            <w:r w:rsidR="001903BA" w:rsidRPr="00554B41">
              <w:t>iplomat</w:t>
            </w:r>
            <w:r w:rsidR="00D2369E" w:rsidRPr="00554B41">
              <w:t xml:space="preserve"> was pivotal in securing ambitious negotiation outcomes</w:t>
            </w:r>
          </w:p>
        </w:tc>
        <w:tc>
          <w:tcPr>
            <w:tcW w:w="2529" w:type="dxa"/>
            <w:tcBorders>
              <w:top w:val="single" w:sz="6" w:space="0" w:color="303030" w:themeColor="text1"/>
              <w:left w:val="single" w:sz="4" w:space="0" w:color="auto"/>
              <w:bottom w:val="single" w:sz="6" w:space="0" w:color="303030" w:themeColor="text1"/>
              <w:right w:val="single" w:sz="6" w:space="0" w:color="303030" w:themeColor="text1"/>
            </w:tcBorders>
            <w:hideMark/>
          </w:tcPr>
          <w:p w14:paraId="05F27A64" w14:textId="77777777" w:rsidR="00D2369E" w:rsidRPr="00554B41" w:rsidRDefault="00D2369E" w:rsidP="00D2369E">
            <w:r w:rsidRPr="00554B41">
              <w:t xml:space="preserve">Important contribution </w:t>
            </w:r>
          </w:p>
        </w:tc>
      </w:tr>
      <w:tr w:rsidR="00D2369E" w:rsidRPr="00554B41" w14:paraId="0A4BFF22" w14:textId="77777777" w:rsidTr="00BD20BF">
        <w:trPr>
          <w:trHeight w:val="300"/>
        </w:trPr>
        <w:tc>
          <w:tcPr>
            <w:tcW w:w="6513" w:type="dxa"/>
            <w:tcBorders>
              <w:top w:val="single" w:sz="4" w:space="0" w:color="auto"/>
              <w:left w:val="single" w:sz="4" w:space="0" w:color="auto"/>
              <w:bottom w:val="single" w:sz="4" w:space="0" w:color="auto"/>
              <w:right w:val="single" w:sz="4" w:space="0" w:color="auto"/>
            </w:tcBorders>
            <w:vAlign w:val="center"/>
            <w:hideMark/>
          </w:tcPr>
          <w:p w14:paraId="4F545DE9" w14:textId="4DD62DC0" w:rsidR="00D2369E" w:rsidRPr="00554B41" w:rsidRDefault="00D2369E" w:rsidP="08D8E3A1">
            <w:pPr>
              <w:pStyle w:val="ListParagraph"/>
              <w:numPr>
                <w:ilvl w:val="0"/>
                <w:numId w:val="25"/>
              </w:numPr>
              <w:spacing w:after="160" w:line="259" w:lineRule="auto"/>
              <w:jc w:val="left"/>
            </w:pPr>
            <w:r w:rsidRPr="00554B41">
              <w:t xml:space="preserve">RMI was already established as a leader and a notable actor with political resources and capacity to take forward </w:t>
            </w:r>
            <w:r w:rsidR="007C098C" w:rsidRPr="00554B41">
              <w:t xml:space="preserve">the country’s </w:t>
            </w:r>
            <w:r w:rsidRPr="00554B41">
              <w:t>interests and mandate within HAC and the broader climate regime</w:t>
            </w:r>
          </w:p>
        </w:tc>
        <w:tc>
          <w:tcPr>
            <w:tcW w:w="2529" w:type="dxa"/>
            <w:tcBorders>
              <w:top w:val="single" w:sz="6" w:space="0" w:color="303030" w:themeColor="text1"/>
              <w:left w:val="single" w:sz="4" w:space="0" w:color="auto"/>
              <w:bottom w:val="single" w:sz="6" w:space="0" w:color="303030" w:themeColor="text1"/>
              <w:right w:val="single" w:sz="6" w:space="0" w:color="303030" w:themeColor="text1"/>
            </w:tcBorders>
            <w:hideMark/>
          </w:tcPr>
          <w:p w14:paraId="72A3A05D" w14:textId="77777777" w:rsidR="00D2369E" w:rsidRPr="00554B41" w:rsidRDefault="00D2369E" w:rsidP="00D2369E">
            <w:r w:rsidRPr="00554B41">
              <w:t>Important contribution</w:t>
            </w:r>
          </w:p>
        </w:tc>
      </w:tr>
      <w:tr w:rsidR="00D2369E" w:rsidRPr="00554B41" w14:paraId="0C377DA2" w14:textId="77777777" w:rsidTr="00BD20BF">
        <w:trPr>
          <w:trHeight w:val="1117"/>
        </w:trPr>
        <w:tc>
          <w:tcPr>
            <w:tcW w:w="6513" w:type="dxa"/>
            <w:tcBorders>
              <w:top w:val="single" w:sz="4" w:space="0" w:color="auto"/>
              <w:left w:val="single" w:sz="4" w:space="0" w:color="auto"/>
              <w:bottom w:val="single" w:sz="4" w:space="0" w:color="auto"/>
              <w:right w:val="single" w:sz="4" w:space="0" w:color="auto"/>
            </w:tcBorders>
            <w:vAlign w:val="center"/>
            <w:hideMark/>
          </w:tcPr>
          <w:p w14:paraId="064091DD" w14:textId="7707C179" w:rsidR="00D2369E" w:rsidRPr="00554B41" w:rsidRDefault="00D2369E" w:rsidP="08D8E3A1">
            <w:pPr>
              <w:pStyle w:val="ListParagraph"/>
              <w:numPr>
                <w:ilvl w:val="0"/>
                <w:numId w:val="25"/>
              </w:numPr>
              <w:spacing w:after="160" w:line="259" w:lineRule="auto"/>
              <w:jc w:val="left"/>
            </w:pPr>
            <w:r w:rsidRPr="00554B41">
              <w:t xml:space="preserve">Other actors such as Saleem Ul Huq (deceased 2023), the LDC </w:t>
            </w:r>
            <w:r w:rsidR="007C098C" w:rsidRPr="00554B41">
              <w:t>Group</w:t>
            </w:r>
            <w:r w:rsidRPr="00554B41">
              <w:t xml:space="preserve">, civil society at large, </w:t>
            </w:r>
            <w:r w:rsidR="007C098C" w:rsidRPr="00554B41">
              <w:t xml:space="preserve">and </w:t>
            </w:r>
            <w:r w:rsidRPr="00554B41">
              <w:t>CYNP (youth negotiator training) played a more crucial role in climate ambition than I</w:t>
            </w:r>
            <w:r w:rsidR="007C098C" w:rsidRPr="00554B41">
              <w:t xml:space="preserve">ndependent </w:t>
            </w:r>
            <w:r w:rsidRPr="00554B41">
              <w:t>D</w:t>
            </w:r>
            <w:r w:rsidR="007C098C" w:rsidRPr="00554B41">
              <w:t>iplomat</w:t>
            </w:r>
          </w:p>
        </w:tc>
        <w:tc>
          <w:tcPr>
            <w:tcW w:w="2529" w:type="dxa"/>
            <w:tcBorders>
              <w:top w:val="single" w:sz="6" w:space="0" w:color="303030" w:themeColor="text1"/>
              <w:left w:val="single" w:sz="4" w:space="0" w:color="auto"/>
              <w:bottom w:val="single" w:sz="6" w:space="0" w:color="303030" w:themeColor="text1"/>
              <w:right w:val="single" w:sz="6" w:space="0" w:color="303030" w:themeColor="text1"/>
            </w:tcBorders>
            <w:hideMark/>
          </w:tcPr>
          <w:p w14:paraId="762889B3" w14:textId="77777777" w:rsidR="00D2369E" w:rsidRPr="00554B41" w:rsidRDefault="00D2369E" w:rsidP="00D2369E">
            <w:r w:rsidRPr="00554B41">
              <w:t>Critical contribution</w:t>
            </w:r>
          </w:p>
        </w:tc>
      </w:tr>
      <w:tr w:rsidR="00D2369E" w:rsidRPr="00554B41" w14:paraId="2BFF14C6" w14:textId="77777777" w:rsidTr="00BD20BF">
        <w:trPr>
          <w:trHeight w:val="300"/>
        </w:trPr>
        <w:tc>
          <w:tcPr>
            <w:tcW w:w="6513" w:type="dxa"/>
            <w:tcBorders>
              <w:top w:val="single" w:sz="4" w:space="0" w:color="auto"/>
              <w:left w:val="single" w:sz="4" w:space="0" w:color="auto"/>
              <w:bottom w:val="single" w:sz="4" w:space="0" w:color="auto"/>
              <w:right w:val="single" w:sz="4" w:space="0" w:color="auto"/>
            </w:tcBorders>
            <w:vAlign w:val="center"/>
          </w:tcPr>
          <w:p w14:paraId="47DB6F04" w14:textId="7F962AC6" w:rsidR="00D2369E" w:rsidRPr="00554B41" w:rsidRDefault="00D2369E" w:rsidP="00D2369E">
            <w:pPr>
              <w:pStyle w:val="ListParagraph"/>
              <w:numPr>
                <w:ilvl w:val="0"/>
                <w:numId w:val="25"/>
              </w:numPr>
              <w:spacing w:after="160" w:line="259" w:lineRule="auto"/>
              <w:jc w:val="left"/>
            </w:pPr>
            <w:r w:rsidRPr="00554B41">
              <w:t>Others provided greater funding to RMI/other HAC actors</w:t>
            </w:r>
          </w:p>
        </w:tc>
        <w:tc>
          <w:tcPr>
            <w:tcW w:w="2529" w:type="dxa"/>
            <w:tcBorders>
              <w:top w:val="single" w:sz="6" w:space="0" w:color="303030" w:themeColor="text1"/>
              <w:left w:val="single" w:sz="4" w:space="0" w:color="auto"/>
              <w:bottom w:val="single" w:sz="6" w:space="0" w:color="303030" w:themeColor="text1"/>
              <w:right w:val="single" w:sz="6" w:space="0" w:color="303030" w:themeColor="text1"/>
            </w:tcBorders>
          </w:tcPr>
          <w:p w14:paraId="483ECB03" w14:textId="77777777" w:rsidR="00D2369E" w:rsidRPr="00554B41" w:rsidRDefault="00D2369E" w:rsidP="00D2369E">
            <w:r w:rsidRPr="00554B41">
              <w:t>Some contribution</w:t>
            </w:r>
          </w:p>
        </w:tc>
      </w:tr>
      <w:tr w:rsidR="00D2369E" w:rsidRPr="00554B41" w14:paraId="75D15F3F" w14:textId="77777777" w:rsidTr="00BD20BF">
        <w:trPr>
          <w:trHeight w:val="300"/>
        </w:trPr>
        <w:tc>
          <w:tcPr>
            <w:tcW w:w="6513" w:type="dxa"/>
            <w:tcBorders>
              <w:top w:val="single" w:sz="4" w:space="0" w:color="auto"/>
              <w:left w:val="single" w:sz="4" w:space="0" w:color="auto"/>
              <w:bottom w:val="single" w:sz="4" w:space="0" w:color="auto"/>
              <w:right w:val="single" w:sz="4" w:space="0" w:color="auto"/>
            </w:tcBorders>
            <w:vAlign w:val="center"/>
          </w:tcPr>
          <w:p w14:paraId="73CCABDF" w14:textId="26BF51EC" w:rsidR="00D2369E" w:rsidRPr="00554B41" w:rsidRDefault="00D2369E" w:rsidP="00D2369E">
            <w:pPr>
              <w:pStyle w:val="ListParagraph"/>
              <w:numPr>
                <w:ilvl w:val="0"/>
                <w:numId w:val="25"/>
              </w:numPr>
              <w:spacing w:after="160" w:line="259" w:lineRule="auto"/>
              <w:jc w:val="left"/>
            </w:pPr>
            <w:r w:rsidRPr="00554B41">
              <w:t>The size of RMI</w:t>
            </w:r>
            <w:r w:rsidR="001903BA" w:rsidRPr="00554B41">
              <w:rPr>
                <w:rFonts w:asciiTheme="minorHAnsi" w:eastAsia="Aptos" w:hAnsiTheme="minorHAnsi" w:cstheme="minorHAnsi"/>
              </w:rPr>
              <w:t>—</w:t>
            </w:r>
            <w:r w:rsidRPr="00554B41">
              <w:t>a small island nation population</w:t>
            </w:r>
            <w:r w:rsidR="007C098C" w:rsidRPr="00554B41">
              <w:rPr>
                <w:rFonts w:asciiTheme="minorHAnsi" w:eastAsia="Aptos" w:hAnsiTheme="minorHAnsi" w:cstheme="minorHAnsi"/>
              </w:rPr>
              <w:t>—</w:t>
            </w:r>
            <w:r w:rsidRPr="00554B41">
              <w:t>means that sustainability is constrained</w:t>
            </w:r>
          </w:p>
        </w:tc>
        <w:tc>
          <w:tcPr>
            <w:tcW w:w="2529" w:type="dxa"/>
            <w:tcBorders>
              <w:top w:val="single" w:sz="6" w:space="0" w:color="303030" w:themeColor="text1"/>
              <w:left w:val="single" w:sz="4" w:space="0" w:color="auto"/>
              <w:bottom w:val="single" w:sz="6" w:space="0" w:color="303030" w:themeColor="text1"/>
              <w:right w:val="single" w:sz="6" w:space="0" w:color="303030" w:themeColor="text1"/>
            </w:tcBorders>
          </w:tcPr>
          <w:p w14:paraId="0DEA6FD8" w14:textId="77777777" w:rsidR="00D2369E" w:rsidRPr="00554B41" w:rsidRDefault="00D2369E" w:rsidP="00D2369E">
            <w:r w:rsidRPr="00554B41">
              <w:t xml:space="preserve">Some contribution </w:t>
            </w:r>
          </w:p>
        </w:tc>
      </w:tr>
    </w:tbl>
    <w:p w14:paraId="338DDB8B" w14:textId="77777777" w:rsidR="00AF4A55" w:rsidRDefault="00AF4A55" w:rsidP="00AF4A55">
      <w:pPr>
        <w:pStyle w:val="Heading2"/>
      </w:pPr>
      <w:bookmarkStart w:id="33" w:name="_Toc204967850"/>
      <w:r w:rsidRPr="00554B41">
        <w:t>Geographic and temporal context</w:t>
      </w:r>
      <w:bookmarkEnd w:id="33"/>
    </w:p>
    <w:tbl>
      <w:tblPr>
        <w:tblW w:w="90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42"/>
      </w:tblGrid>
      <w:tr w:rsidR="00D2369E" w:rsidRPr="00554B41" w14:paraId="657E9AF6" w14:textId="77777777" w:rsidTr="00AF4A55">
        <w:trPr>
          <w:trHeight w:val="300"/>
        </w:trPr>
        <w:tc>
          <w:tcPr>
            <w:tcW w:w="9042" w:type="dxa"/>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4AF534BB" w14:textId="2AEF0C7C" w:rsidR="00D2369E" w:rsidRPr="00BD20BF" w:rsidRDefault="00D2369E" w:rsidP="00D2369E">
            <w:r w:rsidRPr="00BD20BF">
              <w:t xml:space="preserve">For this </w:t>
            </w:r>
            <w:r w:rsidR="007C098C" w:rsidRPr="00554B41">
              <w:t>case study</w:t>
            </w:r>
            <w:r w:rsidRPr="00BD20BF">
              <w:t>, the temporal period includes the run</w:t>
            </w:r>
            <w:r w:rsidR="007C098C" w:rsidRPr="00BD20BF">
              <w:t>-</w:t>
            </w:r>
            <w:r w:rsidRPr="00BD20BF">
              <w:t>up to COP28 in Dubai in 2023, COP28</w:t>
            </w:r>
            <w:r w:rsidR="007C098C" w:rsidRPr="00554B41">
              <w:t xml:space="preserve"> itself,</w:t>
            </w:r>
            <w:r w:rsidRPr="00BD20BF">
              <w:t xml:space="preserve"> and other key events in the climate regime </w:t>
            </w:r>
            <w:r w:rsidR="007C098C" w:rsidRPr="00554B41">
              <w:t>prior to</w:t>
            </w:r>
            <w:r w:rsidRPr="00BD20BF">
              <w:t xml:space="preserve"> and during COP</w:t>
            </w:r>
            <w:r w:rsidR="007C098C" w:rsidRPr="00554B41">
              <w:t>26</w:t>
            </w:r>
            <w:r w:rsidRPr="00BD20BF">
              <w:t xml:space="preserve">. </w:t>
            </w:r>
          </w:p>
          <w:p w14:paraId="3BF4D9E1" w14:textId="5D32351B" w:rsidR="00D2369E" w:rsidRPr="00554B41" w:rsidRDefault="00D2369E" w:rsidP="00D2369E">
            <w:r w:rsidRPr="00554B41">
              <w:t>Under the leadership of the late Minister Tony de Brum (1945</w:t>
            </w:r>
            <w:r w:rsidR="007C098C" w:rsidRPr="00554B41">
              <w:t>–</w:t>
            </w:r>
            <w:r w:rsidRPr="00554B41">
              <w:t>2017), the RMI government placed ‘climate leadership’ at the heart of its hosting of the 44th Pacific Island Leaders Meeting</w:t>
            </w:r>
            <w:r w:rsidR="007C098C" w:rsidRPr="00554B41">
              <w:t xml:space="preserve">, </w:t>
            </w:r>
            <w:r w:rsidRPr="00554B41">
              <w:t xml:space="preserve">marking a new chapter in RMI’s climate diplomacy two years ahead of the Paris Agreement. Minister de Brum’s strong advocacy for the 1.5°C target, along with the founding of the HAC at COP21, laid the groundwork for RMI’s continued active engagement in UNFCCC negotiations. </w:t>
            </w:r>
          </w:p>
          <w:p w14:paraId="0DB3BF00" w14:textId="3E32C33F" w:rsidR="007C098C" w:rsidRPr="00554B41" w:rsidRDefault="00D2369E" w:rsidP="00D2369E">
            <w:pPr>
              <w:rPr>
                <w:i/>
                <w:iCs/>
              </w:rPr>
            </w:pPr>
            <w:r w:rsidRPr="00554B41">
              <w:t>One of the biggest wins for RMI and the HAC since the Paris Agreement came at COP</w:t>
            </w:r>
            <w:r w:rsidR="007C098C" w:rsidRPr="00554B41">
              <w:t>26</w:t>
            </w:r>
            <w:r w:rsidRPr="00554B41">
              <w:t xml:space="preserve"> in Glasgow (2021), with the agreement to double adaptation finance by 2025. Much of the HAC</w:t>
            </w:r>
            <w:r w:rsidRPr="00554B41" w:rsidDel="000D7CC8">
              <w:t xml:space="preserve"> </w:t>
            </w:r>
            <w:r w:rsidRPr="00554B41">
              <w:t>leader statement issued at the start of COP26 was</w:t>
            </w:r>
            <w:r w:rsidRPr="00554B41" w:rsidDel="000D7CC8">
              <w:t xml:space="preserve"> </w:t>
            </w:r>
            <w:r w:rsidRPr="00554B41">
              <w:t>replicated in the Glasgow Climate Pact</w:t>
            </w:r>
            <w:r w:rsidR="007C098C" w:rsidRPr="00554B41">
              <w:t>,</w:t>
            </w:r>
            <w:r w:rsidRPr="00554B41">
              <w:t xml:space="preserve"> including text on a phase</w:t>
            </w:r>
            <w:r w:rsidR="008F2079" w:rsidRPr="00554B41">
              <w:t>-</w:t>
            </w:r>
            <w:r w:rsidRPr="00554B41">
              <w:t>down of unabated coal and inefficient fossil fuel subsidies, and the doubling of adaptation finance, which were taken directly from the HAC statement, showing a clear line of influence</w:t>
            </w:r>
            <w:r w:rsidR="007C098C" w:rsidRPr="00554B41">
              <w:t>:</w:t>
            </w:r>
            <w:r w:rsidRPr="00554B41">
              <w:rPr>
                <w:rStyle w:val="FootnoteReference"/>
              </w:rPr>
              <w:footnoteReference w:id="5"/>
            </w:r>
            <w:r w:rsidRPr="00554B41">
              <w:t xml:space="preserve"> </w:t>
            </w:r>
          </w:p>
          <w:p w14:paraId="3B574E73" w14:textId="4C9F1349" w:rsidR="00D2369E" w:rsidRPr="00554B41" w:rsidRDefault="00D2369E" w:rsidP="00BD20BF">
            <w:pPr>
              <w:rPr>
                <w:i/>
                <w:iCs/>
              </w:rPr>
            </w:pPr>
            <w:r w:rsidRPr="00554B41">
              <w:rPr>
                <w:i/>
                <w:iCs/>
              </w:rPr>
              <w:t>‘Within the High Ambition Coalition, we campaigned hard from dawn to dusk to secure a doubling of adaptation financing. When the High Ambition Coalition launched this call, we didn’t know if it would be possible, it was a very hard-fought win,” said Marshall Islands Climate Envoy, on twitter’</w:t>
            </w:r>
            <w:r w:rsidRPr="00554B41">
              <w:rPr>
                <w:rStyle w:val="FootnoteReference"/>
              </w:rPr>
              <w:footnoteReference w:id="6"/>
            </w:r>
            <w:r w:rsidRPr="00554B41">
              <w:rPr>
                <w:i/>
                <w:iCs/>
              </w:rPr>
              <w:t xml:space="preserve"> </w:t>
            </w:r>
          </w:p>
          <w:p w14:paraId="1F697715" w14:textId="4318A991" w:rsidR="00D2369E" w:rsidRPr="00554B41" w:rsidRDefault="00D2369E" w:rsidP="00D2369E">
            <w:r w:rsidRPr="00554B41">
              <w:t xml:space="preserve">The HAC </w:t>
            </w:r>
            <w:r w:rsidR="007C098C" w:rsidRPr="00554B41">
              <w:t xml:space="preserve">Secretariat </w:t>
            </w:r>
            <w:r w:rsidRPr="00554B41">
              <w:t>was approached by the COP Presidency team and HAC ministers with a request for support to drive results at COP26. The first HAC ministerial meeting took place in July, and I</w:t>
            </w:r>
            <w:r w:rsidR="00097028" w:rsidRPr="00554B41">
              <w:t xml:space="preserve">ndependent </w:t>
            </w:r>
            <w:r w:rsidRPr="00554B41">
              <w:t>D</w:t>
            </w:r>
            <w:r w:rsidR="00097028" w:rsidRPr="00554B41">
              <w:t>iplomat</w:t>
            </w:r>
            <w:r w:rsidRPr="00554B41">
              <w:t xml:space="preserve"> began working with ministers and the HAC </w:t>
            </w:r>
            <w:r w:rsidR="00097028" w:rsidRPr="00554B41">
              <w:t xml:space="preserve">Secretariat </w:t>
            </w:r>
            <w:r w:rsidRPr="00554B41">
              <w:t xml:space="preserve">to develop a public statement outlining the </w:t>
            </w:r>
            <w:r w:rsidR="00097028" w:rsidRPr="00554B41">
              <w:t xml:space="preserve">Coalition’s </w:t>
            </w:r>
            <w:r w:rsidRPr="00554B41">
              <w:t>priorities, including decarbonisation and adaptation finance. I</w:t>
            </w:r>
            <w:r w:rsidR="00097028" w:rsidRPr="00554B41">
              <w:t xml:space="preserve">ndependent </w:t>
            </w:r>
            <w:r w:rsidRPr="00554B41">
              <w:t>D</w:t>
            </w:r>
            <w:r w:rsidR="00097028" w:rsidRPr="00554B41">
              <w:t>iplomat</w:t>
            </w:r>
            <w:r w:rsidRPr="00554B41">
              <w:t xml:space="preserve"> supported the organisation of two key ministerial meetings ahead of COP to publicly shape the HAC agenda and issued a public response to the IPCC Working Group report, gathering signatures from HAC members to demonstrate coordinated climate leadership. As</w:t>
            </w:r>
            <w:r w:rsidRPr="00554B41" w:rsidDel="008F5515">
              <w:t xml:space="preserve"> </w:t>
            </w:r>
            <w:r w:rsidRPr="00554B41">
              <w:t>COP26 approached, I</w:t>
            </w:r>
            <w:r w:rsidR="00097028" w:rsidRPr="00554B41">
              <w:t xml:space="preserve">ndependent </w:t>
            </w:r>
            <w:r w:rsidRPr="00554B41">
              <w:t>D</w:t>
            </w:r>
            <w:r w:rsidR="00097028" w:rsidRPr="00554B41">
              <w:t>iplomat</w:t>
            </w:r>
            <w:r w:rsidRPr="00554B41">
              <w:t xml:space="preserve"> also started to rally core HAC members and developed an open letter to the G20, setting out asks on decarbonisation and the doubling of adaptation finance. </w:t>
            </w:r>
          </w:p>
          <w:p w14:paraId="2C0A2A49" w14:textId="18EDCD35" w:rsidR="00D2369E" w:rsidRPr="00554B41" w:rsidRDefault="00D2369E" w:rsidP="00D2369E">
            <w:r w:rsidRPr="00554B41">
              <w:t xml:space="preserve">As the HAC </w:t>
            </w:r>
            <w:r w:rsidR="009F4C88" w:rsidRPr="00554B41">
              <w:t>Secretariat</w:t>
            </w:r>
            <w:r w:rsidRPr="00554B41">
              <w:t>, I</w:t>
            </w:r>
            <w:r w:rsidR="003623F2" w:rsidRPr="00554B41">
              <w:t xml:space="preserve">ndependent </w:t>
            </w:r>
            <w:r w:rsidRPr="00554B41">
              <w:t>D</w:t>
            </w:r>
            <w:r w:rsidR="003623F2" w:rsidRPr="00554B41">
              <w:t>iplomat</w:t>
            </w:r>
            <w:r w:rsidRPr="00554B41">
              <w:t xml:space="preserve"> also played a behind-the-scenes diplomatic role in encouraging the </w:t>
            </w:r>
            <w:r w:rsidR="006E743E" w:rsidRPr="00554B41">
              <w:t>US</w:t>
            </w:r>
            <w:r w:rsidRPr="00554B41">
              <w:t xml:space="preserve"> to rejoin the HAC under the Biden administration</w:t>
            </w:r>
            <w:r w:rsidR="003623F2" w:rsidRPr="00554B41">
              <w:rPr>
                <w:rFonts w:asciiTheme="minorHAnsi" w:eastAsia="Aptos" w:hAnsiTheme="minorHAnsi" w:cstheme="minorHAnsi"/>
              </w:rPr>
              <w:t>—</w:t>
            </w:r>
            <w:r w:rsidRPr="00554B41">
              <w:t>an effort made more delicate by the complex historical relationship between the US and RMI, shaped by nuclear testing and broader Pacific geopolitics. They started by meeting with the US delegation and introduced them to RMI negotiators, including the RMI Climate Envoy. I</w:t>
            </w:r>
            <w:r w:rsidR="003623F2" w:rsidRPr="00554B41">
              <w:t xml:space="preserve">ndependent </w:t>
            </w:r>
            <w:r w:rsidRPr="00554B41">
              <w:t>D</w:t>
            </w:r>
            <w:r w:rsidR="003623F2" w:rsidRPr="00554B41">
              <w:t>iplomat</w:t>
            </w:r>
            <w:r w:rsidRPr="00554B41">
              <w:t xml:space="preserve"> supported the organisation of these meetings,</w:t>
            </w:r>
            <w:r w:rsidRPr="00554B41" w:rsidDel="003A56CD">
              <w:t xml:space="preserve"> </w:t>
            </w:r>
            <w:r w:rsidRPr="00554B41">
              <w:t xml:space="preserve">monitored domestic political developments in the US, assessed </w:t>
            </w:r>
            <w:r w:rsidR="00E60342">
              <w:t>The US</w:t>
            </w:r>
            <w:r w:rsidR="00DE5395">
              <w:t>’</w:t>
            </w:r>
            <w:r w:rsidRPr="00554B41">
              <w:t xml:space="preserve"> readiness to meet </w:t>
            </w:r>
            <w:r w:rsidR="005F2132" w:rsidRPr="00554B41">
              <w:t xml:space="preserve">the </w:t>
            </w:r>
            <w:r w:rsidRPr="00554B41">
              <w:t xml:space="preserve">HAC’s standards for membership, and coordinated with RMI negotiators on the best way to approach the inclusion of the US as a HAC member. They then worked with US negotiators to deliver this. </w:t>
            </w:r>
          </w:p>
          <w:p w14:paraId="1D04FB34" w14:textId="3DF9EBA9" w:rsidR="00D2369E" w:rsidRPr="00554B41" w:rsidRDefault="00D2369E" w:rsidP="00D2369E">
            <w:r w:rsidRPr="00554B41">
              <w:t>The US officially joined during COP26, coinciding with the release of the HAC COP26 Leaders’ Statement in week one. The Statement</w:t>
            </w:r>
            <w:r w:rsidRPr="00554B41" w:rsidDel="000D600D">
              <w:t>,</w:t>
            </w:r>
            <w:r w:rsidRPr="00554B41">
              <w:t xml:space="preserve"> which initially had around 20 signatories, grew to over 50 by the end of the week, leveraging the media coverage of the inclusion of the US to garner more support and add more signatures. They also conducted </w:t>
            </w:r>
            <w:r w:rsidR="008F2079" w:rsidRPr="00554B41">
              <w:t xml:space="preserve">a </w:t>
            </w:r>
            <w:r w:rsidRPr="00554B41">
              <w:t xml:space="preserve">semi-recruitment event featuring President Obama, who highlighted the importance of the HAC in driving ambition at Glasgow. </w:t>
            </w:r>
          </w:p>
          <w:p w14:paraId="6325B4B5" w14:textId="37D295E6" w:rsidR="00D2369E" w:rsidRPr="00554B41" w:rsidRDefault="00D2369E" w:rsidP="00D2369E">
            <w:r w:rsidRPr="00554B41">
              <w:t>T</w:t>
            </w:r>
            <w:r w:rsidRPr="00554B41" w:rsidDel="00746231">
              <w:t xml:space="preserve">he </w:t>
            </w:r>
            <w:r w:rsidRPr="00554B41">
              <w:t>HAC was able to leverage this support to negotiate an increase in finance for adaptation. These efforts contributed significantly to shaping the Glasgow Climate Pact, with several elements from the HAC statement reflected in the final text, including the phase</w:t>
            </w:r>
            <w:r w:rsidR="008F2079" w:rsidRPr="00554B41">
              <w:t>-</w:t>
            </w:r>
            <w:r w:rsidRPr="00554B41">
              <w:t>out of fossil fuel subsidies. Although the final text on coal was watered down at the last moment, the HAC’s advocacy facilitated the agreement</w:t>
            </w:r>
            <w:r w:rsidRPr="00554B41" w:rsidDel="0041690B">
              <w:t xml:space="preserve"> </w:t>
            </w:r>
            <w:r w:rsidRPr="00554B41">
              <w:t>on fossil fuel phase</w:t>
            </w:r>
            <w:r w:rsidR="008F2079" w:rsidRPr="00554B41">
              <w:t>-</w:t>
            </w:r>
            <w:r w:rsidRPr="00554B41">
              <w:t>out and adaptation finance.</w:t>
            </w:r>
          </w:p>
          <w:p w14:paraId="38927426" w14:textId="79C142ED" w:rsidR="00D2369E" w:rsidRPr="00554B41" w:rsidRDefault="00D2369E" w:rsidP="00D2369E">
            <w:r w:rsidRPr="00554B41">
              <w:t>At COP28, RMI again played a prominent role, supported by I</w:t>
            </w:r>
            <w:r w:rsidR="008F2079" w:rsidRPr="00554B41">
              <w:t xml:space="preserve">ndependent </w:t>
            </w:r>
            <w:r w:rsidRPr="00554B41">
              <w:t>D</w:t>
            </w:r>
            <w:r w:rsidR="008F2079" w:rsidRPr="00554B41">
              <w:t>iplomat</w:t>
            </w:r>
            <w:r w:rsidRPr="00554B41">
              <w:t xml:space="preserve"> through press coordination, meetings facilitation, and its role as HAC </w:t>
            </w:r>
            <w:r w:rsidR="008F2079" w:rsidRPr="00554B41">
              <w:t xml:space="preserve">Secretariat </w:t>
            </w:r>
            <w:r w:rsidRPr="00554B41">
              <w:t>to build momentum for phasing out fossil fuels. This included publishing the Leaders Letter to the G7 and securing strong media coverage for RMI’s National Adaptation Plan</w:t>
            </w:r>
            <w:r w:rsidR="008F2079" w:rsidRPr="00554B41">
              <w:t xml:space="preserve"> (NAP)</w:t>
            </w:r>
            <w:r w:rsidRPr="00554B41">
              <w:t xml:space="preserve"> launch. </w:t>
            </w:r>
            <w:r w:rsidR="008F2079" w:rsidRPr="00554B41">
              <w:t>Independent Diplomat</w:t>
            </w:r>
            <w:r w:rsidR="008F2079" w:rsidRPr="00554B41" w:rsidDel="002C48CE">
              <w:t xml:space="preserve"> </w:t>
            </w:r>
            <w:r w:rsidRPr="00554B41">
              <w:t xml:space="preserve">helped align developed and developing countries within the HAC, contributing to progress on the </w:t>
            </w:r>
            <w:r w:rsidR="00CF4862" w:rsidRPr="00554B41">
              <w:t>GGA</w:t>
            </w:r>
            <w:r w:rsidRPr="00554B41">
              <w:t xml:space="preserve"> framework.</w:t>
            </w:r>
          </w:p>
        </w:tc>
      </w:tr>
    </w:tbl>
    <w:p w14:paraId="6829A4C3" w14:textId="6AD5C18D" w:rsidR="00E60342" w:rsidRDefault="00E60342" w:rsidP="00E60342">
      <w:pPr>
        <w:pStyle w:val="Heading2"/>
      </w:pPr>
      <w:bookmarkStart w:id="34" w:name="_Toc204967851"/>
      <w:r w:rsidRPr="00554B41">
        <w:t>What did Independent Diplomat do?</w:t>
      </w:r>
      <w:bookmarkEnd w:id="34"/>
    </w:p>
    <w:tbl>
      <w:tblPr>
        <w:tblW w:w="90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42"/>
      </w:tblGrid>
      <w:tr w:rsidR="00D2369E" w:rsidRPr="00554B41" w14:paraId="66B8395F" w14:textId="77777777" w:rsidTr="00E60342">
        <w:trPr>
          <w:trHeight w:val="300"/>
        </w:trPr>
        <w:tc>
          <w:tcPr>
            <w:tcW w:w="9042" w:type="dxa"/>
            <w:tcBorders>
              <w:top w:val="single" w:sz="6" w:space="0" w:color="303030" w:themeColor="text1"/>
              <w:left w:val="single" w:sz="6" w:space="0" w:color="303030" w:themeColor="text1"/>
              <w:bottom w:val="single" w:sz="6" w:space="0" w:color="303030" w:themeColor="text1"/>
              <w:right w:val="single" w:sz="6" w:space="0" w:color="303030" w:themeColor="text1"/>
            </w:tcBorders>
          </w:tcPr>
          <w:p w14:paraId="3D9819DC" w14:textId="59A09521" w:rsidR="00D2369E" w:rsidRPr="00554B41" w:rsidRDefault="00D2369E" w:rsidP="00D2369E">
            <w:r w:rsidRPr="00554B41">
              <w:rPr>
                <w:b/>
              </w:rPr>
              <w:t>In its Secretariat role for the HAC, I</w:t>
            </w:r>
            <w:r w:rsidR="008F2079" w:rsidRPr="00554B41">
              <w:rPr>
                <w:b/>
              </w:rPr>
              <w:t xml:space="preserve">ndependent </w:t>
            </w:r>
            <w:r w:rsidRPr="00554B41">
              <w:rPr>
                <w:b/>
              </w:rPr>
              <w:t>D</w:t>
            </w:r>
            <w:r w:rsidR="008F2079" w:rsidRPr="00554B41">
              <w:rPr>
                <w:b/>
              </w:rPr>
              <w:t>iplomat</w:t>
            </w:r>
            <w:r w:rsidRPr="00554B41">
              <w:rPr>
                <w:b/>
              </w:rPr>
              <w:t xml:space="preserve"> supports </w:t>
            </w:r>
            <w:r w:rsidRPr="00554B41">
              <w:rPr>
                <w:b/>
                <w:bCs/>
              </w:rPr>
              <w:t>RMI</w:t>
            </w:r>
            <w:r w:rsidRPr="00554B41">
              <w:rPr>
                <w:b/>
              </w:rPr>
              <w:t xml:space="preserve"> as the HAC convenor</w:t>
            </w:r>
            <w:r w:rsidRPr="00554B41">
              <w:t xml:space="preserve"> by managing day-to-day logistics, preparing statements and screening notes, and advising on strategic direction, including expansion of </w:t>
            </w:r>
            <w:r w:rsidR="00B46C4A" w:rsidRPr="00554B41">
              <w:t xml:space="preserve">the </w:t>
            </w:r>
            <w:r w:rsidRPr="00554B41">
              <w:t xml:space="preserve">HAC's agenda to </w:t>
            </w:r>
            <w:r w:rsidR="008F2079" w:rsidRPr="00554B41">
              <w:t xml:space="preserve">emphasise </w:t>
            </w:r>
            <w:r w:rsidRPr="00554B41">
              <w:t xml:space="preserve">adaptation. Through technical diplomacy, ID supports building alliances, coordinating outreach, and facilitating member engagement to secure outcomes such as the commitment to double adaptation finance agreed at COP26. </w:t>
            </w:r>
            <w:r w:rsidR="008F2079" w:rsidRPr="00554B41">
              <w:t xml:space="preserve">It </w:t>
            </w:r>
            <w:r w:rsidRPr="00554B41">
              <w:t xml:space="preserve">assists in identifying and approaching new HAC members, balancing representation between developed and developing countries, and ensuring that group strategy reflects the needs and ambitions of all members. </w:t>
            </w:r>
            <w:r w:rsidR="008F2079" w:rsidRPr="00554B41">
              <w:t xml:space="preserve">It </w:t>
            </w:r>
            <w:r w:rsidRPr="00554B41">
              <w:t>shape</w:t>
            </w:r>
            <w:r w:rsidR="008F2079" w:rsidRPr="00554B41">
              <w:t>s</w:t>
            </w:r>
            <w:r w:rsidRPr="00554B41">
              <w:t xml:space="preserve"> the strategic direction of the HAC under the direction of the RMI government. </w:t>
            </w:r>
          </w:p>
          <w:p w14:paraId="0F24E591" w14:textId="56511148" w:rsidR="00D2369E" w:rsidRPr="00554B41" w:rsidRDefault="00D2369E" w:rsidP="00D2369E">
            <w:r w:rsidRPr="00554B41">
              <w:t xml:space="preserve">When the </w:t>
            </w:r>
            <w:r w:rsidR="008F2079" w:rsidRPr="00554B41">
              <w:t xml:space="preserve">Secretariat </w:t>
            </w:r>
            <w:r w:rsidRPr="00554B41">
              <w:t xml:space="preserve">is interested in incorporating new members into the HAC </w:t>
            </w:r>
            <w:r w:rsidR="008F2079" w:rsidRPr="00554B41">
              <w:t>(e.g.</w:t>
            </w:r>
            <w:r w:rsidRPr="00554B41">
              <w:t xml:space="preserve"> </w:t>
            </w:r>
            <w:r w:rsidRPr="00554B41" w:rsidDel="00426043">
              <w:t xml:space="preserve">to build support </w:t>
            </w:r>
            <w:r w:rsidRPr="00554B41">
              <w:t>for a statement</w:t>
            </w:r>
            <w:r w:rsidR="008F2079" w:rsidRPr="00554B41">
              <w:t xml:space="preserve">), members </w:t>
            </w:r>
            <w:r w:rsidRPr="00554B41">
              <w:t xml:space="preserve">may first approach the target country in the margins of climate conferences and invite them to observe a meeting of </w:t>
            </w:r>
            <w:r w:rsidR="006F3E2C" w:rsidRPr="00554B41">
              <w:t xml:space="preserve">the </w:t>
            </w:r>
            <w:r w:rsidRPr="00554B41">
              <w:t xml:space="preserve">HAC and have an initial bilateral discussion. They have also conducted outreach tours in the past in target regions to engage countries and ensure alignment with particular statements and the overall HAC ambition. </w:t>
            </w:r>
          </w:p>
          <w:p w14:paraId="15879A95" w14:textId="44A6A1D0" w:rsidR="00D2369E" w:rsidRPr="00554B41" w:rsidRDefault="00D2369E" w:rsidP="00D2369E">
            <w:r w:rsidRPr="00554B41">
              <w:t>In 2020, I</w:t>
            </w:r>
            <w:r w:rsidR="008F2079" w:rsidRPr="00554B41">
              <w:t xml:space="preserve">ndependent </w:t>
            </w:r>
            <w:r w:rsidRPr="00554B41">
              <w:t>D</w:t>
            </w:r>
            <w:r w:rsidR="008F2079" w:rsidRPr="00554B41">
              <w:t>iplomat</w:t>
            </w:r>
            <w:r w:rsidRPr="00554B41">
              <w:t xml:space="preserve">, as the HAC </w:t>
            </w:r>
            <w:r w:rsidR="008F2079" w:rsidRPr="00554B41">
              <w:t>Secretariat</w:t>
            </w:r>
            <w:r w:rsidRPr="00554B41">
              <w:t>, pushed to widen the scope of the HAC from being primarily focused on achieving the 1.5-degree goal to include adaptation. There was</w:t>
            </w:r>
            <w:r w:rsidRPr="00554B41" w:rsidDel="00426043">
              <w:t xml:space="preserve"> </w:t>
            </w:r>
            <w:r w:rsidRPr="00554B41">
              <w:t xml:space="preserve">interest from developing country members on adaptation, particularly after the focus of COP21 on </w:t>
            </w:r>
            <w:r w:rsidR="008F2079" w:rsidRPr="00554B41">
              <w:t xml:space="preserve">its </w:t>
            </w:r>
            <w:r w:rsidRPr="00554B41">
              <w:t xml:space="preserve">importance. </w:t>
            </w:r>
            <w:r w:rsidR="005B2C99" w:rsidRPr="00554B41">
              <w:t xml:space="preserve">While </w:t>
            </w:r>
            <w:r w:rsidRPr="00554B41">
              <w:t>I</w:t>
            </w:r>
            <w:r w:rsidR="008F2079" w:rsidRPr="00554B41">
              <w:t xml:space="preserve">ndependent </w:t>
            </w:r>
            <w:r w:rsidRPr="00554B41">
              <w:t>D</w:t>
            </w:r>
            <w:r w:rsidR="008F2079" w:rsidRPr="00554B41">
              <w:t>iplomat</w:t>
            </w:r>
            <w:r w:rsidRPr="00554B41">
              <w:t xml:space="preserve"> did not directly engage in discussions between developing and developed country members</w:t>
            </w:r>
            <w:r w:rsidR="005B2C99" w:rsidRPr="00554B41">
              <w:t xml:space="preserve">, </w:t>
            </w:r>
            <w:r w:rsidR="008F2079" w:rsidRPr="00554B41">
              <w:t xml:space="preserve">it </w:t>
            </w:r>
            <w:r w:rsidRPr="00554B41">
              <w:t>did provide technical support to help RMI teams prepare for those meetings.</w:t>
            </w:r>
          </w:p>
          <w:p w14:paraId="0E4214BB" w14:textId="6778F67B" w:rsidR="00D2369E" w:rsidRPr="00554B41" w:rsidRDefault="008F2079" w:rsidP="00D2369E">
            <w:r w:rsidRPr="00554B41">
              <w:rPr>
                <w:b/>
              </w:rPr>
              <w:t xml:space="preserve">Independent Diplomat </w:t>
            </w:r>
            <w:r w:rsidR="00D2369E" w:rsidRPr="00554B41">
              <w:rPr>
                <w:b/>
              </w:rPr>
              <w:t xml:space="preserve">has </w:t>
            </w:r>
            <w:r w:rsidR="00D2369E" w:rsidRPr="00554B41">
              <w:rPr>
                <w:b/>
                <w:bCs/>
              </w:rPr>
              <w:t>been providing</w:t>
            </w:r>
            <w:r w:rsidR="00D2369E" w:rsidRPr="00554B41" w:rsidDel="002315C8">
              <w:rPr>
                <w:b/>
                <w:bCs/>
              </w:rPr>
              <w:t xml:space="preserve"> </w:t>
            </w:r>
            <w:r w:rsidR="00D2369E" w:rsidRPr="00554B41">
              <w:rPr>
                <w:b/>
                <w:bCs/>
              </w:rPr>
              <w:t>climate diplomacy support to</w:t>
            </w:r>
            <w:r w:rsidR="00D2369E" w:rsidRPr="00554B41">
              <w:rPr>
                <w:b/>
              </w:rPr>
              <w:t xml:space="preserve"> RMI since 2009.</w:t>
            </w:r>
            <w:r w:rsidR="00D2369E" w:rsidRPr="00554B41">
              <w:t xml:space="preserve"> Each year, </w:t>
            </w:r>
            <w:r w:rsidRPr="00554B41">
              <w:t xml:space="preserve">it </w:t>
            </w:r>
            <w:r w:rsidR="00D2369E" w:rsidRPr="00554B41">
              <w:t xml:space="preserve">co-develops an annual workplan with the RMI Climate Envoy, ensuring that strategic priorities are aligned with both political and technical leadership. </w:t>
            </w:r>
            <w:r w:rsidRPr="00554B41">
              <w:t xml:space="preserve">It </w:t>
            </w:r>
            <w:r w:rsidR="00D2369E" w:rsidRPr="00554B41">
              <w:t xml:space="preserve">offers ad hoc technical training, strategic coaching for </w:t>
            </w:r>
            <w:r w:rsidR="00D2369E" w:rsidRPr="00C66155">
              <w:t xml:space="preserve">negotiators and politicians, and ongoing mentorship for emerging leaders, while positioning its contribution as </w:t>
            </w:r>
            <w:r w:rsidR="00C66155" w:rsidRPr="00C66155">
              <w:t>“</w:t>
            </w:r>
            <w:r w:rsidR="00D2369E" w:rsidRPr="00C66155">
              <w:t>strengthening existing capacities</w:t>
            </w:r>
            <w:r w:rsidR="00C66155">
              <w:t>”</w:t>
            </w:r>
            <w:r w:rsidR="00D2369E" w:rsidRPr="00C66155">
              <w:t xml:space="preserve"> rather than providing formal capacity building. This includes securing interview opportunities for RMI’s Climate Envoy, Tina Stege, coordinating the scheduling, and preparing</w:t>
            </w:r>
            <w:r w:rsidR="00D2369E" w:rsidRPr="00554B41">
              <w:t xml:space="preserve"> her with talking points in advance. Emphasis is placed on bi-directional capacity strengthening</w:t>
            </w:r>
            <w:r w:rsidR="00D2369E" w:rsidRPr="00554B41" w:rsidDel="00C25EF7">
              <w:t xml:space="preserve"> </w:t>
            </w:r>
            <w:r w:rsidR="00D2369E" w:rsidRPr="00554B41">
              <w:t>when an I</w:t>
            </w:r>
            <w:r w:rsidRPr="00554B41">
              <w:t xml:space="preserve">ndependent </w:t>
            </w:r>
            <w:r w:rsidR="00D2369E" w:rsidRPr="00554B41">
              <w:t>D</w:t>
            </w:r>
            <w:r w:rsidRPr="00554B41">
              <w:t>iplomat</w:t>
            </w:r>
            <w:r w:rsidR="00D2369E" w:rsidRPr="00554B41">
              <w:t xml:space="preserve"> team member is partnered with an RMI counterpart. </w:t>
            </w:r>
            <w:r w:rsidRPr="00554B41">
              <w:t xml:space="preserve">The </w:t>
            </w:r>
            <w:r w:rsidR="00D2369E" w:rsidRPr="00554B41">
              <w:t xml:space="preserve">funding from CASA also allows RMI delegates to attend intercessional meetings such as the </w:t>
            </w:r>
            <w:r w:rsidR="003A1DB9" w:rsidRPr="00554B41">
              <w:t>SB</w:t>
            </w:r>
            <w:r w:rsidR="00D2369E" w:rsidRPr="00554B41">
              <w:t xml:space="preserve">s in Bonn. </w:t>
            </w:r>
          </w:p>
          <w:p w14:paraId="1822122B" w14:textId="26D97DAD" w:rsidR="00D2369E" w:rsidRPr="00554B41" w:rsidRDefault="00D2369E" w:rsidP="00D2369E">
            <w:r w:rsidRPr="00554B41">
              <w:rPr>
                <w:b/>
              </w:rPr>
              <w:t>The type of support I</w:t>
            </w:r>
            <w:r w:rsidR="008F2079" w:rsidRPr="00554B41">
              <w:rPr>
                <w:b/>
              </w:rPr>
              <w:t xml:space="preserve">ndependent </w:t>
            </w:r>
            <w:r w:rsidRPr="00554B41">
              <w:rPr>
                <w:b/>
              </w:rPr>
              <w:t>D</w:t>
            </w:r>
            <w:r w:rsidR="008F2079" w:rsidRPr="00554B41">
              <w:rPr>
                <w:b/>
              </w:rPr>
              <w:t>iplomat</w:t>
            </w:r>
            <w:r w:rsidRPr="00554B41">
              <w:rPr>
                <w:b/>
              </w:rPr>
              <w:t xml:space="preserve"> provides </w:t>
            </w:r>
            <w:r w:rsidRPr="00554B41">
              <w:rPr>
                <w:b/>
                <w:bCs/>
              </w:rPr>
              <w:t xml:space="preserve">has </w:t>
            </w:r>
            <w:r w:rsidRPr="00554B41">
              <w:rPr>
                <w:b/>
              </w:rPr>
              <w:t>adapt</w:t>
            </w:r>
            <w:r w:rsidRPr="00554B41">
              <w:rPr>
                <w:b/>
                <w:bCs/>
              </w:rPr>
              <w:t>ed</w:t>
            </w:r>
            <w:r w:rsidRPr="00554B41">
              <w:rPr>
                <w:b/>
              </w:rPr>
              <w:t xml:space="preserve"> in response to specific requests from RMI, largely driven by the trust-based relationship between the two parties.</w:t>
            </w:r>
            <w:r w:rsidRPr="00554B41">
              <w:t xml:space="preserve"> In 2020, </w:t>
            </w:r>
            <w:r w:rsidR="008F2079" w:rsidRPr="00554B41">
              <w:t xml:space="preserve">it </w:t>
            </w:r>
            <w:r w:rsidRPr="00554B41">
              <w:t xml:space="preserve">received feedback from </w:t>
            </w:r>
            <w:r w:rsidR="008F2079" w:rsidRPr="00554B41">
              <w:t xml:space="preserve">the </w:t>
            </w:r>
            <w:r w:rsidRPr="00554B41">
              <w:t>Marshallese team that there was an appetite and interest in Marshallese negotiators taking over from I</w:t>
            </w:r>
            <w:r w:rsidR="008F2079" w:rsidRPr="00554B41">
              <w:t xml:space="preserve">ndependent </w:t>
            </w:r>
            <w:r w:rsidRPr="00554B41">
              <w:t>D</w:t>
            </w:r>
            <w:r w:rsidR="008F2079" w:rsidRPr="00554B41">
              <w:t>iplomat</w:t>
            </w:r>
            <w:r w:rsidRPr="00554B41">
              <w:t xml:space="preserve"> during negotiations and developing the capacity of young Marshallese negotiators to represent RMI whenever possible. This shift was largely attributed to one of RMI’s climate envoys. Instead of I</w:t>
            </w:r>
            <w:r w:rsidR="008F2079" w:rsidRPr="00554B41">
              <w:t xml:space="preserve">ndependent </w:t>
            </w:r>
            <w:r w:rsidRPr="00554B41">
              <w:t>D</w:t>
            </w:r>
            <w:r w:rsidR="008F2079" w:rsidRPr="00554B41">
              <w:t>iplomat</w:t>
            </w:r>
            <w:r w:rsidRPr="00554B41" w:rsidDel="00EC7009">
              <w:t xml:space="preserve"> </w:t>
            </w:r>
            <w:r w:rsidRPr="00554B41">
              <w:t>being at the forefront of negotiations,</w:t>
            </w:r>
            <w:r w:rsidR="008F2079" w:rsidRPr="00554B41">
              <w:t xml:space="preserve"> then,</w:t>
            </w:r>
            <w:r w:rsidRPr="00554B41">
              <w:t xml:space="preserve"> it now provides backstopping and logistical support to the RMI team, allowing the RMI team to be responsible at a technical level during negotiations. There was also a request to increase climate finance support. In response</w:t>
            </w:r>
            <w:r w:rsidR="00FA2F42" w:rsidRPr="00554B41">
              <w:t>,</w:t>
            </w:r>
            <w:r w:rsidRPr="00554B41">
              <w:t xml:space="preserve"> in 2022 I</w:t>
            </w:r>
            <w:r w:rsidR="008F2079" w:rsidRPr="00554B41">
              <w:t xml:space="preserve">ndependent </w:t>
            </w:r>
            <w:r w:rsidRPr="00554B41">
              <w:t>D</w:t>
            </w:r>
            <w:r w:rsidR="008F2079" w:rsidRPr="00554B41">
              <w:t>iplomat</w:t>
            </w:r>
            <w:r w:rsidRPr="00554B41">
              <w:t xml:space="preserve"> brought in a full-time climate finance expert. </w:t>
            </w:r>
            <w:r w:rsidR="008F2079" w:rsidRPr="00554B41">
              <w:t xml:space="preserve">It </w:t>
            </w:r>
            <w:r w:rsidRPr="00554B41">
              <w:t xml:space="preserve">also played a critical supporting role by bringing in experts with adaptation and gender expertise, helping to establish and then strengthen RMI’s internal capabilities over time. </w:t>
            </w:r>
          </w:p>
          <w:p w14:paraId="6E1FB2FE" w14:textId="6F42338C" w:rsidR="00D2369E" w:rsidRPr="00554B41" w:rsidRDefault="00D2369E" w:rsidP="00D2369E">
            <w:r w:rsidRPr="00554B41">
              <w:t xml:space="preserve">Much of the support </w:t>
            </w:r>
            <w:r w:rsidR="008F2079" w:rsidRPr="00554B41">
              <w:t xml:space="preserve">it </w:t>
            </w:r>
            <w:r w:rsidRPr="00554B41">
              <w:t xml:space="preserve">provides to RMI (beyond strategic advisory support and training) is viewed to be essential </w:t>
            </w:r>
            <w:r w:rsidR="008F2079" w:rsidRPr="00554B41">
              <w:t>‘</w:t>
            </w:r>
            <w:r w:rsidRPr="00554B41">
              <w:t>logistical</w:t>
            </w:r>
            <w:r w:rsidR="008F2079" w:rsidRPr="00554B41">
              <w:t xml:space="preserve">’ </w:t>
            </w:r>
            <w:r w:rsidRPr="00554B41">
              <w:t xml:space="preserve">or </w:t>
            </w:r>
            <w:r w:rsidR="008F2079" w:rsidRPr="00554B41">
              <w:t>‘</w:t>
            </w:r>
            <w:r w:rsidRPr="00554B41">
              <w:t>administrative</w:t>
            </w:r>
            <w:r w:rsidR="008F2079" w:rsidRPr="00554B41">
              <w:t xml:space="preserve">’ </w:t>
            </w:r>
            <w:r w:rsidRPr="00554B41">
              <w:t xml:space="preserve">support, </w:t>
            </w:r>
            <w:r w:rsidR="008F2079" w:rsidRPr="00554B41">
              <w:t xml:space="preserve">which </w:t>
            </w:r>
            <w:r w:rsidRPr="00554B41">
              <w:t xml:space="preserve">the RMI team could potentially do if only they had a larger delegation. This, however, is constrained by the small population size of RMI (~40,000 people). KIIs suggest that it would be near impossible to operate at the same levels if CASA support were removed and RMI had to rely only on internal resources, as there simply </w:t>
            </w:r>
            <w:r w:rsidR="005C40DF" w:rsidRPr="00554B41">
              <w:t>is not</w:t>
            </w:r>
            <w:r w:rsidRPr="00554B41">
              <w:t xml:space="preserve"> enough people. </w:t>
            </w:r>
          </w:p>
          <w:p w14:paraId="51229D07" w14:textId="598DD44F" w:rsidR="00D2369E" w:rsidRPr="00554B41" w:rsidRDefault="00D2369E" w:rsidP="00D2369E">
            <w:r w:rsidRPr="00554B41">
              <w:rPr>
                <w:b/>
              </w:rPr>
              <w:t>In addition to providing administrative support, I</w:t>
            </w:r>
            <w:r w:rsidR="007E5249" w:rsidRPr="00554B41">
              <w:rPr>
                <w:b/>
              </w:rPr>
              <w:t xml:space="preserve">ndependent </w:t>
            </w:r>
            <w:r w:rsidRPr="00554B41">
              <w:rPr>
                <w:b/>
              </w:rPr>
              <w:t>D</w:t>
            </w:r>
            <w:r w:rsidR="007E5249" w:rsidRPr="00554B41">
              <w:rPr>
                <w:b/>
              </w:rPr>
              <w:t>iplomat</w:t>
            </w:r>
            <w:r w:rsidRPr="00554B41">
              <w:rPr>
                <w:b/>
              </w:rPr>
              <w:t xml:space="preserve"> also support</w:t>
            </w:r>
            <w:r w:rsidRPr="00554B41">
              <w:rPr>
                <w:b/>
                <w:bCs/>
              </w:rPr>
              <w:t>s domestic implementation within RMI.</w:t>
            </w:r>
            <w:r w:rsidRPr="00554B41">
              <w:rPr>
                <w:b/>
              </w:rPr>
              <w:t xml:space="preserve"> </w:t>
            </w:r>
            <w:r w:rsidR="007E5249" w:rsidRPr="00554B41">
              <w:t xml:space="preserve">It </w:t>
            </w:r>
            <w:r w:rsidRPr="00554B41">
              <w:t xml:space="preserve">supported the development of RMI’s NAP by handling media and reviewing drafts to ensure the document aligned with both domestic and international law. As stated above, the NAP was published in 2023 at COP28. </w:t>
            </w:r>
          </w:p>
          <w:p w14:paraId="37EEFEF8" w14:textId="57B8F036" w:rsidR="00D2369E" w:rsidRPr="00554B41" w:rsidRDefault="00D2369E" w:rsidP="00D2369E">
            <w:r w:rsidRPr="00554B41">
              <w:t>After COP29, I</w:t>
            </w:r>
            <w:r w:rsidR="007E5249" w:rsidRPr="00554B41">
              <w:t xml:space="preserve">ndependent </w:t>
            </w:r>
            <w:r w:rsidRPr="00554B41">
              <w:t>D</w:t>
            </w:r>
            <w:r w:rsidR="007E5249" w:rsidRPr="00554B41">
              <w:t>iplomat</w:t>
            </w:r>
            <w:r w:rsidRPr="00554B41">
              <w:t xml:space="preserve"> also supported the development of RMI’s latest NDC</w:t>
            </w:r>
            <w:r w:rsidRPr="00554B41" w:rsidDel="008D14AD">
              <w:t xml:space="preserve"> </w:t>
            </w:r>
            <w:r w:rsidRPr="00554B41">
              <w:t xml:space="preserve">by creating the initial framework and, through in-country consultations and drawing on the NAP, supported the drafting and flagging where new information was still needed. RMI identified where parts of the NDC could be drawn from existing work, such as the sections on adaptation and </w:t>
            </w:r>
            <w:r w:rsidR="007E5249" w:rsidRPr="00554B41">
              <w:t xml:space="preserve">Loss </w:t>
            </w:r>
            <w:r w:rsidRPr="00554B41">
              <w:t xml:space="preserve">and </w:t>
            </w:r>
            <w:r w:rsidR="007E5249" w:rsidRPr="00554B41">
              <w:t>Damage</w:t>
            </w:r>
            <w:r w:rsidRPr="00554B41">
              <w:t>, thereby reducing the need for inputs. I</w:t>
            </w:r>
            <w:r w:rsidR="007E5249" w:rsidRPr="00554B41">
              <w:t xml:space="preserve">ndependent </w:t>
            </w:r>
            <w:r w:rsidRPr="00554B41">
              <w:t>D</w:t>
            </w:r>
            <w:r w:rsidR="007E5249" w:rsidRPr="00554B41">
              <w:t>iplomat</w:t>
            </w:r>
            <w:r w:rsidRPr="00554B41">
              <w:t xml:space="preserve"> conducted weekly meetings focused on the NDC and </w:t>
            </w:r>
            <w:r w:rsidR="007E5249" w:rsidRPr="00554B41">
              <w:t xml:space="preserve">was </w:t>
            </w:r>
            <w:r w:rsidRPr="00554B41">
              <w:t>consistently engaged throughout the development process. The NDC update was successfully published in February 2025</w:t>
            </w:r>
            <w:r w:rsidR="007E5249" w:rsidRPr="00554B41">
              <w:t>.</w:t>
            </w:r>
            <w:r w:rsidRPr="00554B41">
              <w:rPr>
                <w:rStyle w:val="FootnoteReference"/>
              </w:rPr>
              <w:footnoteReference w:id="7"/>
            </w:r>
          </w:p>
        </w:tc>
      </w:tr>
    </w:tbl>
    <w:p w14:paraId="0BDD618A" w14:textId="0CF48A2C" w:rsidR="00E60342" w:rsidRDefault="00E60342" w:rsidP="00E60342">
      <w:pPr>
        <w:pStyle w:val="Heading2"/>
      </w:pPr>
      <w:bookmarkStart w:id="35" w:name="_Toc204967852"/>
      <w:r w:rsidRPr="00554B41">
        <w:t xml:space="preserve">Intermediate </w:t>
      </w:r>
      <w:r w:rsidRPr="00554B41">
        <w:rPr>
          <w:rStyle w:val="Heading2Char"/>
          <w:b/>
          <w:bCs/>
        </w:rPr>
        <w:t>outcomes – What changed?</w:t>
      </w:r>
      <w:bookmarkEnd w:id="35"/>
    </w:p>
    <w:tbl>
      <w:tblPr>
        <w:tblW w:w="90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42"/>
      </w:tblGrid>
      <w:tr w:rsidR="00D2369E" w:rsidRPr="00554B41" w14:paraId="17D6B702" w14:textId="77777777" w:rsidTr="00E60342">
        <w:trPr>
          <w:trHeight w:val="300"/>
        </w:trPr>
        <w:tc>
          <w:tcPr>
            <w:tcW w:w="9042" w:type="dxa"/>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1CA52876" w14:textId="3EEA016C" w:rsidR="00D2369E" w:rsidRPr="00554B41" w:rsidRDefault="00D2369E" w:rsidP="00D2369E">
            <w:r w:rsidRPr="00554B41">
              <w:t xml:space="preserve">RMI has consistently been described as </w:t>
            </w:r>
            <w:r w:rsidR="007E5249" w:rsidRPr="00554B41">
              <w:t>‘</w:t>
            </w:r>
            <w:r w:rsidRPr="00554B41">
              <w:t>punching above its weight</w:t>
            </w:r>
            <w:r w:rsidR="007E5249" w:rsidRPr="00554B41">
              <w:t xml:space="preserve">’ </w:t>
            </w:r>
            <w:r w:rsidRPr="00554B41">
              <w:t>at UNFCCC and International Maritime Organisation negotiations, where it has played a leading role in</w:t>
            </w:r>
            <w:r w:rsidRPr="00554B41" w:rsidDel="006A42AE">
              <w:t xml:space="preserve"> </w:t>
            </w:r>
            <w:r w:rsidRPr="00554B41">
              <w:t>raising ambition and building consensus between developing and developed countries through leadership of the HAC.</w:t>
            </w:r>
            <w:r w:rsidRPr="00554B41">
              <w:rPr>
                <w:rStyle w:val="FootnoteReference"/>
              </w:rPr>
              <w:footnoteReference w:id="8"/>
            </w:r>
            <w:r w:rsidRPr="00554B41">
              <w:rPr>
                <w:vertAlign w:val="superscript"/>
              </w:rPr>
              <w:t>,</w:t>
            </w:r>
            <w:r w:rsidRPr="00554B41">
              <w:rPr>
                <w:rStyle w:val="FootnoteReference"/>
              </w:rPr>
              <w:footnoteReference w:id="9"/>
            </w:r>
            <w:r w:rsidRPr="00554B41">
              <w:rPr>
                <w:vertAlign w:val="superscript"/>
              </w:rPr>
              <w:t>,</w:t>
            </w:r>
            <w:r w:rsidRPr="00554B41">
              <w:rPr>
                <w:rStyle w:val="FootnoteReference"/>
              </w:rPr>
              <w:footnoteReference w:id="10"/>
            </w:r>
            <w:r w:rsidRPr="00554B41">
              <w:t xml:space="preserve"> Through consistent support to RMI’s climate diplomacy since 2009, I</w:t>
            </w:r>
            <w:r w:rsidR="007E5249" w:rsidRPr="00554B41">
              <w:t xml:space="preserve">ndependent </w:t>
            </w:r>
            <w:r w:rsidRPr="00554B41">
              <w:t>D</w:t>
            </w:r>
            <w:r w:rsidR="007E5249" w:rsidRPr="00554B41">
              <w:t>iplomat</w:t>
            </w:r>
            <w:r w:rsidRPr="00554B41">
              <w:t xml:space="preserve"> has played a role in strengthening, sustaining, and highlighting RMI’s capacity to lead in the climate negotiations space. </w:t>
            </w:r>
          </w:p>
          <w:p w14:paraId="070DE746" w14:textId="3536839F" w:rsidR="00D2369E" w:rsidRPr="00554B41" w:rsidRDefault="00D2369E" w:rsidP="00D2369E">
            <w:pPr>
              <w:rPr>
                <w:u w:val="single"/>
              </w:rPr>
            </w:pPr>
            <w:r w:rsidRPr="00554B41">
              <w:rPr>
                <w:u w:val="single"/>
              </w:rPr>
              <w:t>Dubai COP28 – Phase</w:t>
            </w:r>
            <w:r w:rsidR="007E5249" w:rsidRPr="00554B41">
              <w:rPr>
                <w:u w:val="single"/>
              </w:rPr>
              <w:t>-</w:t>
            </w:r>
            <w:r w:rsidRPr="00554B41">
              <w:rPr>
                <w:u w:val="single"/>
              </w:rPr>
              <w:t>out of fossil fuels</w:t>
            </w:r>
          </w:p>
          <w:p w14:paraId="57638D8C" w14:textId="65B5D348" w:rsidR="00171B1E" w:rsidRDefault="00D2369E" w:rsidP="00D2369E">
            <w:r w:rsidRPr="00554B41">
              <w:t xml:space="preserve">The outcome in Dubai marked another turning point, with language on transitioning away from fossil fuels included in the final agreement for the first time. </w:t>
            </w:r>
            <w:r w:rsidR="00171B1E" w:rsidRPr="00171B1E">
              <w:t>RMI played a pivotal role in securing this result through sustained advocacy for climate ambition and justice in the lead-up to COP28 and throughout the negotiations. The HAC, led by RMI, was also instrumental</w:t>
            </w:r>
            <w:r w:rsidR="00343D32">
              <w:t xml:space="preserve"> in achieving this outcome</w:t>
            </w:r>
            <w:r w:rsidR="00171B1E" w:rsidRPr="00171B1E">
              <w:t>—organising multiple formal and informal convenings during COP that enabled a strong, coordinated pushback against the initial weak text proposed by the COP presidency. This effort helped forge a unified stance within the HAC, bridging developed and developing country members around the importance of phasing out fossil fuels.</w:t>
            </w:r>
          </w:p>
          <w:p w14:paraId="0C258E74" w14:textId="786949F1" w:rsidR="00D2369E" w:rsidRPr="00554B41" w:rsidRDefault="00D2369E" w:rsidP="000C2A3A">
            <w:r w:rsidRPr="00554B41">
              <w:t>During COP28, I</w:t>
            </w:r>
            <w:r w:rsidR="007E5249" w:rsidRPr="00554B41">
              <w:t xml:space="preserve">ndependent </w:t>
            </w:r>
            <w:r w:rsidRPr="00554B41">
              <w:t>D</w:t>
            </w:r>
            <w:r w:rsidR="007E5249" w:rsidRPr="00554B41">
              <w:t>iplomat</w:t>
            </w:r>
            <w:r w:rsidRPr="00554B41">
              <w:t xml:space="preserve"> supported </w:t>
            </w:r>
            <w:r w:rsidR="00A76577">
              <w:t xml:space="preserve">the </w:t>
            </w:r>
            <w:r w:rsidRPr="00554B41">
              <w:t xml:space="preserve">RMI </w:t>
            </w:r>
            <w:r w:rsidR="00A76577">
              <w:t xml:space="preserve">delegation </w:t>
            </w:r>
            <w:r w:rsidRPr="00554B41">
              <w:t xml:space="preserve">by coordinating press engagements, facilitating both informal and formal meetings, and acting as the HAC </w:t>
            </w:r>
            <w:r w:rsidR="007E5249" w:rsidRPr="00554B41">
              <w:t xml:space="preserve">Secretariat </w:t>
            </w:r>
            <w:r w:rsidRPr="00554B41">
              <w:t>to strengthen momentum behind the fossil fuel phase-out. This included publishing the Leaders Letter</w:t>
            </w:r>
            <w:r w:rsidRPr="00554B41">
              <w:rPr>
                <w:rStyle w:val="FootnoteReference"/>
              </w:rPr>
              <w:footnoteReference w:id="11"/>
            </w:r>
            <w:r w:rsidRPr="00554B41">
              <w:t xml:space="preserve"> to the G7</w:t>
            </w:r>
            <w:r w:rsidR="007E5249" w:rsidRPr="00554B41">
              <w:t>,</w:t>
            </w:r>
            <w:r w:rsidRPr="00554B41">
              <w:t xml:space="preserve"> which called for a global </w:t>
            </w:r>
            <w:r w:rsidR="007E5249" w:rsidRPr="00554B41">
              <w:t>phase-</w:t>
            </w:r>
            <w:r w:rsidRPr="00554B41">
              <w:t xml:space="preserve">out of fossil fuels. </w:t>
            </w:r>
            <w:r w:rsidR="00817F3E" w:rsidRPr="00817F3E">
              <w:t xml:space="preserve">Independent Diplomat also secured widespread media coverage for RMI, including prominent reporting of remarks by RMI’s Head of Delegation, Hon. John Silk—such as the widely quoted line, </w:t>
            </w:r>
            <w:r w:rsidR="00817F3E" w:rsidRPr="00817F3E">
              <w:rPr>
                <w:i/>
                <w:iCs/>
              </w:rPr>
              <w:t>“</w:t>
            </w:r>
            <w:r w:rsidR="00E70F28">
              <w:rPr>
                <w:i/>
                <w:iCs/>
              </w:rPr>
              <w:t>w</w:t>
            </w:r>
            <w:r w:rsidR="00E70F28" w:rsidRPr="00E70F28">
              <w:rPr>
                <w:i/>
                <w:iCs/>
              </w:rPr>
              <w:t>e will not go silently to our watery graves</w:t>
            </w:r>
            <w:r w:rsidR="00817F3E" w:rsidRPr="00817F3E">
              <w:rPr>
                <w:i/>
                <w:iCs/>
              </w:rPr>
              <w:t>”</w:t>
            </w:r>
            <w:r w:rsidR="00936838">
              <w:rPr>
                <w:rStyle w:val="FootnoteReference"/>
                <w:i/>
                <w:iCs/>
              </w:rPr>
              <w:footnoteReference w:id="12"/>
            </w:r>
            <w:r w:rsidR="00817F3E" w:rsidRPr="00817F3E">
              <w:t xml:space="preserve">—which were drafted and/or distributed </w:t>
            </w:r>
            <w:r w:rsidR="00855592">
              <w:t>to the press by</w:t>
            </w:r>
            <w:r w:rsidR="00817F3E" w:rsidRPr="00817F3E">
              <w:t xml:space="preserve"> Independent Diplomat. They also secured media attention for the launch of RMI’s NAP at COP28. As HAC Secretariat, Independent Diplomat further facilitated coordination between developed and developing country members, which was critical in advancing the Global GGA framework at COP28.</w:t>
            </w:r>
          </w:p>
        </w:tc>
      </w:tr>
    </w:tbl>
    <w:p w14:paraId="0D5EF41E" w14:textId="779F7EB2" w:rsidR="00AF4A55" w:rsidRDefault="00AF4A55" w:rsidP="00AF4A55">
      <w:pPr>
        <w:pStyle w:val="Heading2"/>
      </w:pPr>
      <w:bookmarkStart w:id="36" w:name="_Toc204967853"/>
      <w:r w:rsidRPr="00554B41">
        <w:t>How effective were the TPs during the period?</w:t>
      </w:r>
      <w:bookmarkEnd w:id="36"/>
    </w:p>
    <w:tbl>
      <w:tblPr>
        <w:tblW w:w="90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42"/>
      </w:tblGrid>
      <w:tr w:rsidR="00D2369E" w:rsidRPr="00554B41" w14:paraId="2C7D47D8" w14:textId="77777777" w:rsidTr="0EAC417F">
        <w:trPr>
          <w:trHeight w:val="300"/>
        </w:trPr>
        <w:tc>
          <w:tcPr>
            <w:tcW w:w="9042" w:type="dxa"/>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53FBA481" w14:textId="22EC03F8" w:rsidR="00D2369E" w:rsidRPr="00554B41" w:rsidRDefault="00D2369E" w:rsidP="00D2369E">
            <w:pPr>
              <w:rPr>
                <w:i/>
                <w:iCs/>
              </w:rPr>
            </w:pPr>
            <w:r w:rsidRPr="00554B41">
              <w:t xml:space="preserve">The </w:t>
            </w:r>
            <w:r w:rsidR="003A1DB9" w:rsidRPr="00554B41">
              <w:t xml:space="preserve">monitoring, evaluation, and learning </w:t>
            </w:r>
            <w:r w:rsidRPr="00554B41">
              <w:t>team were unable to interview Dean Bialek, who led I</w:t>
            </w:r>
            <w:r w:rsidR="007E5249" w:rsidRPr="00554B41">
              <w:t xml:space="preserve">ndependent </w:t>
            </w:r>
            <w:r w:rsidRPr="00554B41">
              <w:t>D</w:t>
            </w:r>
            <w:r w:rsidR="007E5249" w:rsidRPr="00554B41">
              <w:t>iplomat</w:t>
            </w:r>
            <w:r w:rsidRPr="00554B41">
              <w:t xml:space="preserve">’s work with RMI </w:t>
            </w:r>
            <w:r w:rsidR="007E5249" w:rsidRPr="00554B41">
              <w:t xml:space="preserve">in the period </w:t>
            </w:r>
            <w:r w:rsidRPr="00554B41">
              <w:t>2008</w:t>
            </w:r>
            <w:r w:rsidR="007E5249" w:rsidRPr="00554B41">
              <w:t>–</w:t>
            </w:r>
            <w:r w:rsidRPr="00554B41">
              <w:t xml:space="preserve">2016. However, a partner confirmed the role that </w:t>
            </w:r>
            <w:r w:rsidR="007E5249" w:rsidRPr="00554B41">
              <w:t xml:space="preserve">the organisation </w:t>
            </w:r>
            <w:r w:rsidRPr="00554B41">
              <w:t>played in achieving ambitious climate outcomes</w:t>
            </w:r>
            <w:r w:rsidRPr="00554B41">
              <w:rPr>
                <w:i/>
                <w:iCs/>
              </w:rPr>
              <w:t>: “I</w:t>
            </w:r>
            <w:r w:rsidR="007E5249" w:rsidRPr="00554B41">
              <w:rPr>
                <w:i/>
                <w:iCs/>
              </w:rPr>
              <w:t>ndependent Diplomat</w:t>
            </w:r>
            <w:r w:rsidRPr="00554B41">
              <w:rPr>
                <w:i/>
                <w:iCs/>
              </w:rPr>
              <w:t xml:space="preserve"> was very involved from the start and was sort of playing in the background but influencing the strategy and the approach from the beginning.”</w:t>
            </w:r>
          </w:p>
          <w:p w14:paraId="77E2DCC6" w14:textId="5C6A051D" w:rsidR="00D2369E" w:rsidRPr="00554B41" w:rsidRDefault="00D2369E" w:rsidP="0EAC417F">
            <w:pPr>
              <w:rPr>
                <w:i/>
                <w:iCs/>
              </w:rPr>
            </w:pPr>
            <w:r>
              <w:t xml:space="preserve">There was also further validation from a KII on </w:t>
            </w:r>
            <w:r w:rsidR="007E5249">
              <w:t xml:space="preserve">Independent Diplomat’s </w:t>
            </w:r>
            <w:r>
              <w:t>role in amplifying voices from RMI</w:t>
            </w:r>
            <w:r w:rsidR="007E5249">
              <w:t>:</w:t>
            </w:r>
            <w:r w:rsidR="007E5249" w:rsidRPr="0EAC417F">
              <w:rPr>
                <w:i/>
                <w:iCs/>
              </w:rPr>
              <w:t xml:space="preserve"> </w:t>
            </w:r>
            <w:r w:rsidRPr="0EAC417F">
              <w:rPr>
                <w:i/>
                <w:iCs/>
              </w:rPr>
              <w:t xml:space="preserve">“I don’t know that </w:t>
            </w:r>
            <w:r>
              <w:t>[RMI]</w:t>
            </w:r>
            <w:r w:rsidR="007E5249" w:rsidRPr="0EAC417F">
              <w:rPr>
                <w:i/>
                <w:iCs/>
              </w:rPr>
              <w:t xml:space="preserve"> </w:t>
            </w:r>
            <w:r w:rsidRPr="0EAC417F">
              <w:rPr>
                <w:i/>
                <w:iCs/>
              </w:rPr>
              <w:t xml:space="preserve">would be </w:t>
            </w:r>
            <w:r w:rsidR="05FE2AA4" w:rsidRPr="0EAC417F">
              <w:rPr>
                <w:i/>
                <w:iCs/>
              </w:rPr>
              <w:t xml:space="preserve">at </w:t>
            </w:r>
            <w:r w:rsidRPr="0EAC417F">
              <w:rPr>
                <w:i/>
                <w:iCs/>
              </w:rPr>
              <w:t xml:space="preserve">the table </w:t>
            </w:r>
            <w:r>
              <w:t>[without CASA support] –</w:t>
            </w:r>
            <w:r w:rsidR="007E5249">
              <w:t xml:space="preserve"> </w:t>
            </w:r>
            <w:r>
              <w:t>[RMI]</w:t>
            </w:r>
            <w:r w:rsidR="0036290D" w:rsidRPr="0EAC417F">
              <w:rPr>
                <w:i/>
                <w:iCs/>
              </w:rPr>
              <w:t xml:space="preserve"> </w:t>
            </w:r>
            <w:r w:rsidRPr="0EAC417F">
              <w:rPr>
                <w:i/>
                <w:iCs/>
              </w:rPr>
              <w:t>certainly wouldn’t be at the table in the same way</w:t>
            </w:r>
            <w:r w:rsidR="007E5249" w:rsidRPr="0EAC417F">
              <w:rPr>
                <w:i/>
                <w:iCs/>
              </w:rPr>
              <w:t>”.</w:t>
            </w:r>
            <w:r w:rsidR="007E5249">
              <w:t xml:space="preserve"> They also stressed</w:t>
            </w:r>
            <w:r>
              <w:t xml:space="preserve"> the importance of climate</w:t>
            </w:r>
            <w:r w:rsidR="000558BF">
              <w:t>-</w:t>
            </w:r>
            <w:r>
              <w:t>vulnerable countries having access to climate negotiations: “</w:t>
            </w:r>
            <w:r w:rsidRPr="0EAC417F">
              <w:rPr>
                <w:i/>
                <w:iCs/>
              </w:rPr>
              <w:t>If the Marshall Islands wasn't at the table…</w:t>
            </w:r>
            <w:r w:rsidR="007E5249" w:rsidRPr="0EAC417F">
              <w:rPr>
                <w:i/>
                <w:iCs/>
              </w:rPr>
              <w:t xml:space="preserve"> </w:t>
            </w:r>
            <w:r w:rsidRPr="0EAC417F">
              <w:rPr>
                <w:i/>
                <w:iCs/>
              </w:rPr>
              <w:t xml:space="preserve">or other CASA </w:t>
            </w:r>
            <w:r w:rsidR="007E5249" w:rsidRPr="0EAC417F">
              <w:rPr>
                <w:i/>
                <w:iCs/>
              </w:rPr>
              <w:t>beneficiaries</w:t>
            </w:r>
            <w:r w:rsidRPr="0EAC417F">
              <w:rPr>
                <w:i/>
                <w:iCs/>
              </w:rPr>
              <w:t>… if you didn't have those voices in these spaces, then I don't know that we would have a Paris Agreement with 1.5 [degrees]. I don't know that you'd have</w:t>
            </w:r>
            <w:r>
              <w:t xml:space="preserve"> </w:t>
            </w:r>
            <w:r w:rsidRPr="0EAC417F">
              <w:rPr>
                <w:i/>
                <w:iCs/>
              </w:rPr>
              <w:t>almost any initiative of ambition,</w:t>
            </w:r>
            <w:r>
              <w:t xml:space="preserve"> </w:t>
            </w:r>
            <w:r w:rsidRPr="0EAC417F">
              <w:rPr>
                <w:i/>
                <w:iCs/>
              </w:rPr>
              <w:t>because the most vulnerable countries have pushed it.”</w:t>
            </w:r>
          </w:p>
          <w:p w14:paraId="553C980E" w14:textId="2D5500FE" w:rsidR="00D2369E" w:rsidRPr="00554B41" w:rsidRDefault="00D2369E" w:rsidP="00D2369E">
            <w:pPr>
              <w:rPr>
                <w:i/>
                <w:iCs/>
              </w:rPr>
            </w:pPr>
            <w:r w:rsidRPr="00554B41">
              <w:t>I</w:t>
            </w:r>
            <w:r w:rsidR="007E5249" w:rsidRPr="00554B41">
              <w:t xml:space="preserve">ndependent </w:t>
            </w:r>
            <w:r w:rsidRPr="00554B41">
              <w:t>D</w:t>
            </w:r>
            <w:r w:rsidR="007E5249" w:rsidRPr="00554B41">
              <w:t>iplomat</w:t>
            </w:r>
            <w:r w:rsidRPr="00554B41">
              <w:t xml:space="preserve">’s role as the HAC </w:t>
            </w:r>
            <w:r w:rsidR="007E5249" w:rsidRPr="00554B41">
              <w:t>S</w:t>
            </w:r>
            <w:r w:rsidRPr="00554B41">
              <w:t>ecretariat and RMI’s role as convenor and chair of the HAC have significantly contributed to RMI being continually invited to attend key events that other nations of the same size are not typically invited to. A KII stated</w:t>
            </w:r>
            <w:r w:rsidR="007E5249" w:rsidRPr="00554B41">
              <w:t xml:space="preserve">: </w:t>
            </w:r>
            <w:r w:rsidRPr="00554B41">
              <w:rPr>
                <w:i/>
                <w:iCs/>
              </w:rPr>
              <w:t>“To be consistently invited to every meeting as Marshall Islands because of</w:t>
            </w:r>
            <w:r w:rsidRPr="00AF4A55">
              <w:t xml:space="preserve"> [RMI’s</w:t>
            </w:r>
            <w:r w:rsidR="007E5249" w:rsidRPr="00AF4A55">
              <w:t xml:space="preserve">] </w:t>
            </w:r>
            <w:r w:rsidRPr="00554B41">
              <w:rPr>
                <w:i/>
                <w:iCs/>
              </w:rPr>
              <w:t xml:space="preserve">role as chair of the HAC, I just don't see that that would have happened if </w:t>
            </w:r>
            <w:r w:rsidRPr="00AF4A55">
              <w:t>[RMI]</w:t>
            </w:r>
            <w:r w:rsidRPr="00554B41">
              <w:rPr>
                <w:i/>
                <w:iCs/>
              </w:rPr>
              <w:t xml:space="preserve"> didn't have the support </w:t>
            </w:r>
            <w:r w:rsidRPr="00AF4A55">
              <w:t>[from I</w:t>
            </w:r>
            <w:r w:rsidR="007E5249" w:rsidRPr="00554B41">
              <w:t xml:space="preserve">ndependent </w:t>
            </w:r>
            <w:r w:rsidRPr="00AF4A55">
              <w:t>D</w:t>
            </w:r>
            <w:r w:rsidR="007E5249" w:rsidRPr="00554B41">
              <w:t>iplomat</w:t>
            </w:r>
            <w:r w:rsidRPr="00AF4A55">
              <w:t>]</w:t>
            </w:r>
            <w:r w:rsidRPr="00554B41">
              <w:rPr>
                <w:i/>
                <w:iCs/>
              </w:rPr>
              <w:t xml:space="preserve"> as the HAC Secretariat.”</w:t>
            </w:r>
          </w:p>
          <w:p w14:paraId="3BD66F6C" w14:textId="3113D55C" w:rsidR="00D2369E" w:rsidRPr="00554B41" w:rsidRDefault="00D2369E" w:rsidP="00D2369E">
            <w:r w:rsidRPr="00554B41">
              <w:t>I</w:t>
            </w:r>
            <w:r w:rsidR="007E5249" w:rsidRPr="00554B41">
              <w:t xml:space="preserve">ndependent </w:t>
            </w:r>
            <w:r w:rsidRPr="00554B41">
              <w:t>D</w:t>
            </w:r>
            <w:r w:rsidR="007E5249" w:rsidRPr="00554B41">
              <w:t>iplomat</w:t>
            </w:r>
            <w:r w:rsidRPr="00554B41">
              <w:t>’s role as the convenor of the HAC and in supporting the RMI delegation with logistics and administration is highly valued. Stakeholders have indicated that</w:t>
            </w:r>
            <w:r w:rsidR="007E5249" w:rsidRPr="00554B41">
              <w:t>,</w:t>
            </w:r>
            <w:r w:rsidRPr="00554B41">
              <w:t xml:space="preserve"> without </w:t>
            </w:r>
            <w:r w:rsidR="007E5249" w:rsidRPr="00554B41">
              <w:t xml:space="preserve">its </w:t>
            </w:r>
            <w:r w:rsidRPr="00554B41">
              <w:t>support, RMI would not be operating at its current level and would struggle to manage the volume of meetings and substantive work required to engage meaningfully in international negotiations.</w:t>
            </w:r>
          </w:p>
        </w:tc>
      </w:tr>
    </w:tbl>
    <w:p w14:paraId="6EF2E674" w14:textId="1460EB45" w:rsidR="00AF4A55" w:rsidRDefault="00AF4A55" w:rsidP="00AF4A55">
      <w:pPr>
        <w:pStyle w:val="Heading2"/>
      </w:pPr>
      <w:bookmarkStart w:id="37" w:name="_Toc204967854"/>
      <w:r w:rsidRPr="00554B41">
        <w:t>What were other advocates/actors doing during the same period?</w:t>
      </w:r>
      <w:bookmarkEnd w:id="37"/>
    </w:p>
    <w:tbl>
      <w:tblPr>
        <w:tblW w:w="90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42"/>
      </w:tblGrid>
      <w:tr w:rsidR="00D2369E" w:rsidRPr="00554B41" w14:paraId="07E0A09F" w14:textId="77777777" w:rsidTr="00E60342">
        <w:trPr>
          <w:trHeight w:val="300"/>
        </w:trPr>
        <w:tc>
          <w:tcPr>
            <w:tcW w:w="9042" w:type="dxa"/>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71BB4939" w14:textId="2D02CE2D" w:rsidR="00D2369E" w:rsidRPr="00554B41" w:rsidRDefault="00D2369E" w:rsidP="00D2369E">
            <w:r w:rsidRPr="00554B41">
              <w:t xml:space="preserve">One of the key factors cited that influenced the decision at Glasgow on doubling adaptation finance was the election of the Biden </w:t>
            </w:r>
            <w:r w:rsidR="007E5249" w:rsidRPr="00554B41">
              <w:t xml:space="preserve">administration </w:t>
            </w:r>
            <w:r w:rsidRPr="00554B41">
              <w:t xml:space="preserve">in the US. The US </w:t>
            </w:r>
            <w:r w:rsidR="009C5565" w:rsidRPr="00554B41">
              <w:t>delegation</w:t>
            </w:r>
            <w:r w:rsidR="009C5565">
              <w:t>,</w:t>
            </w:r>
            <w:r w:rsidRPr="00554B41">
              <w:t xml:space="preserve"> led by John Kerry, became a key player in bolstering support for the HAC from other countries that may not necessarily have </w:t>
            </w:r>
            <w:r w:rsidR="004F1AD0" w:rsidRPr="00554B41">
              <w:t xml:space="preserve">otherwise </w:t>
            </w:r>
            <w:r w:rsidRPr="00554B41">
              <w:t>been on board.</w:t>
            </w:r>
          </w:p>
          <w:p w14:paraId="38F4F995" w14:textId="627679EB" w:rsidR="00D2369E" w:rsidRPr="00554B41" w:rsidRDefault="00D2369E" w:rsidP="00D2369E">
            <w:r w:rsidRPr="00554B41">
              <w:t xml:space="preserve">Climate Action Network (CAN), which is a global network of civil society organisations in over 130 countries, led a concerted campaign to push the agenda to establish a </w:t>
            </w:r>
            <w:r w:rsidR="004F1AD0" w:rsidRPr="00554B41">
              <w:t xml:space="preserve">Loss </w:t>
            </w:r>
            <w:r w:rsidRPr="00554B41">
              <w:t xml:space="preserve">and </w:t>
            </w:r>
            <w:r w:rsidR="004F1AD0" w:rsidRPr="00554B41">
              <w:t xml:space="preserve">Damage Fund </w:t>
            </w:r>
            <w:r w:rsidRPr="00554B41">
              <w:t>onto the negotiating table at COP26 in Glasgow. CAN mobili</w:t>
            </w:r>
            <w:r w:rsidR="00265E92" w:rsidRPr="00554B41">
              <w:t>s</w:t>
            </w:r>
            <w:r w:rsidRPr="00554B41">
              <w:t>ed pressure and coordinated with negotiating groups such as AOSIS, AGN, and key countries within the LDC Group. Under Pakistan’s leadership of the G77</w:t>
            </w:r>
            <w:r w:rsidR="004F1AD0" w:rsidRPr="00554B41">
              <w:t>+</w:t>
            </w:r>
            <w:r w:rsidRPr="00554B41">
              <w:t xml:space="preserve">China, the bloc also presented a united front in calling for the establishment of the </w:t>
            </w:r>
            <w:r w:rsidR="004F1AD0" w:rsidRPr="00554B41">
              <w:t xml:space="preserve">Loss </w:t>
            </w:r>
            <w:r w:rsidRPr="00554B41">
              <w:t xml:space="preserve">and </w:t>
            </w:r>
            <w:r w:rsidR="004F1AD0" w:rsidRPr="00554B41">
              <w:t>Damage Fund</w:t>
            </w:r>
            <w:r w:rsidRPr="00554B41">
              <w:t>.</w:t>
            </w:r>
          </w:p>
          <w:p w14:paraId="291795EF" w14:textId="4D5188F0" w:rsidR="00D2369E" w:rsidRPr="00554B41" w:rsidRDefault="00D2369E" w:rsidP="00D2369E">
            <w:r w:rsidRPr="00554B41">
              <w:t xml:space="preserve">CAN continued and intensified </w:t>
            </w:r>
            <w:r w:rsidR="004F1AD0" w:rsidRPr="00554B41">
              <w:t xml:space="preserve">its </w:t>
            </w:r>
            <w:r w:rsidRPr="00554B41">
              <w:t>advocacy leading up to COP27 in Egypt. The alignment between civil society actors such as CAN and the G77+China</w:t>
            </w:r>
            <w:r w:rsidR="004F1AD0" w:rsidRPr="00554B41">
              <w:t xml:space="preserve"> resulted in</w:t>
            </w:r>
            <w:r w:rsidRPr="00554B41">
              <w:t xml:space="preserve"> a </w:t>
            </w:r>
            <w:r w:rsidR="004F1AD0" w:rsidRPr="00554B41">
              <w:t>“</w:t>
            </w:r>
            <w:r w:rsidRPr="00554B41">
              <w:t>political partnership</w:t>
            </w:r>
            <w:r w:rsidR="004F1AD0" w:rsidRPr="00554B41">
              <w:t xml:space="preserve">”. </w:t>
            </w:r>
            <w:r w:rsidRPr="00554B41">
              <w:t xml:space="preserve">One interviewee mentioned that this partnership was key in overcoming resistance, particularly from developed countries within formations like the HAC, who were seen as blocking progress for the establishment of the </w:t>
            </w:r>
            <w:r w:rsidR="004F1AD0" w:rsidRPr="00554B41">
              <w:t>Fund</w:t>
            </w:r>
            <w:r w:rsidRPr="00554B41">
              <w:t xml:space="preserve">. </w:t>
            </w:r>
          </w:p>
          <w:p w14:paraId="08DFAC46" w14:textId="4BFF4098" w:rsidR="00D2369E" w:rsidRPr="00554B41" w:rsidRDefault="00D2369E" w:rsidP="00D2369E">
            <w:r w:rsidRPr="00554B41">
              <w:t xml:space="preserve">At COP28, CAN and allies once again built broad coalitions, conducted direct engagement with country blocs, and elevated fossil fuels </w:t>
            </w:r>
            <w:r w:rsidR="00AB5EC1" w:rsidRPr="00554B41">
              <w:t xml:space="preserve">to </w:t>
            </w:r>
            <w:r w:rsidRPr="00554B41">
              <w:t>a top-tier issue—despite its previous marginal presence in UNFCCC discussions. The only prior mention had come in Glasgow, where coal was singled out controversially.</w:t>
            </w:r>
          </w:p>
        </w:tc>
      </w:tr>
    </w:tbl>
    <w:p w14:paraId="53F0952F" w14:textId="41086145" w:rsidR="00AF4A55" w:rsidRDefault="00AF4A55" w:rsidP="0099028A">
      <w:pPr>
        <w:pStyle w:val="Heading2"/>
      </w:pPr>
      <w:bookmarkStart w:id="38" w:name="_Toc204967855"/>
      <w:r w:rsidRPr="00554B41">
        <w:t>What were the key factors in determining the outcome</w:t>
      </w:r>
      <w:r>
        <w:t>?</w:t>
      </w:r>
      <w:bookmarkEnd w:id="38"/>
    </w:p>
    <w:tbl>
      <w:tblPr>
        <w:tblW w:w="90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42"/>
      </w:tblGrid>
      <w:tr w:rsidR="00D2369E" w:rsidRPr="00554B41" w14:paraId="0C595D6E" w14:textId="77777777" w:rsidTr="00E60342">
        <w:trPr>
          <w:trHeight w:val="300"/>
        </w:trPr>
        <w:tc>
          <w:tcPr>
            <w:tcW w:w="9042" w:type="dxa"/>
            <w:tcBorders>
              <w:top w:val="single" w:sz="6" w:space="0" w:color="303030" w:themeColor="text1"/>
              <w:left w:val="single" w:sz="6" w:space="0" w:color="303030" w:themeColor="text1"/>
              <w:bottom w:val="single" w:sz="6" w:space="0" w:color="303030" w:themeColor="text1"/>
              <w:right w:val="single" w:sz="6" w:space="0" w:color="303030" w:themeColor="text1"/>
            </w:tcBorders>
          </w:tcPr>
          <w:p w14:paraId="33838B21" w14:textId="27DC65D2" w:rsidR="00D2369E" w:rsidRPr="00554B41" w:rsidRDefault="00AB5EC1" w:rsidP="0099028A">
            <w:pPr>
              <w:spacing w:after="160" w:line="259" w:lineRule="auto"/>
              <w:jc w:val="left"/>
            </w:pPr>
            <w:r w:rsidRPr="0099028A">
              <w:rPr>
                <w:b/>
                <w:bCs/>
              </w:rPr>
              <w:t xml:space="preserve">The longstanding </w:t>
            </w:r>
            <w:r w:rsidR="00D2369E" w:rsidRPr="0099028A">
              <w:rPr>
                <w:b/>
                <w:bCs/>
              </w:rPr>
              <w:t>relationship/alliance between RMI and I</w:t>
            </w:r>
            <w:r w:rsidRPr="0099028A">
              <w:rPr>
                <w:b/>
                <w:bCs/>
              </w:rPr>
              <w:t xml:space="preserve">ndependent </w:t>
            </w:r>
            <w:r w:rsidR="00D2369E" w:rsidRPr="0099028A">
              <w:rPr>
                <w:b/>
                <w:bCs/>
              </w:rPr>
              <w:t>D</w:t>
            </w:r>
            <w:r w:rsidRPr="0099028A">
              <w:rPr>
                <w:b/>
                <w:bCs/>
              </w:rPr>
              <w:t>iplomat</w:t>
            </w:r>
            <w:r w:rsidR="00D2369E" w:rsidRPr="0099028A">
              <w:rPr>
                <w:b/>
                <w:bCs/>
              </w:rPr>
              <w:t xml:space="preserve"> was pivotal in negotiation outcomes.</w:t>
            </w:r>
            <w:r w:rsidR="0099028A">
              <w:t xml:space="preserve"> </w:t>
            </w:r>
            <w:r w:rsidR="00D2369E" w:rsidRPr="00554B41">
              <w:rPr>
                <w:bCs/>
              </w:rPr>
              <w:t>I</w:t>
            </w:r>
            <w:r w:rsidRPr="00554B41">
              <w:rPr>
                <w:bCs/>
              </w:rPr>
              <w:t xml:space="preserve">ndependent </w:t>
            </w:r>
            <w:r w:rsidR="00D2369E" w:rsidRPr="00554B41">
              <w:rPr>
                <w:bCs/>
              </w:rPr>
              <w:t>D</w:t>
            </w:r>
            <w:r w:rsidRPr="00554B41">
              <w:rPr>
                <w:bCs/>
              </w:rPr>
              <w:t>iplomat</w:t>
            </w:r>
            <w:r w:rsidR="00D2369E" w:rsidRPr="00554B41">
              <w:rPr>
                <w:bCs/>
              </w:rPr>
              <w:t xml:space="preserve"> has a longstanding relationship with </w:t>
            </w:r>
            <w:r w:rsidR="00AB7372" w:rsidRPr="00554B41">
              <w:rPr>
                <w:bCs/>
              </w:rPr>
              <w:t>RMI and</w:t>
            </w:r>
            <w:r w:rsidR="00D2369E" w:rsidRPr="00554B41">
              <w:rPr>
                <w:bCs/>
              </w:rPr>
              <w:t xml:space="preserve"> has been providing</w:t>
            </w:r>
            <w:r w:rsidR="00D2369E" w:rsidRPr="00554B41" w:rsidDel="002315C8">
              <w:rPr>
                <w:bCs/>
              </w:rPr>
              <w:t xml:space="preserve"> </w:t>
            </w:r>
            <w:r w:rsidR="00D2369E" w:rsidRPr="00554B41">
              <w:rPr>
                <w:bCs/>
              </w:rPr>
              <w:t>climate diplomacy support to RMI since 2009.</w:t>
            </w:r>
            <w:r w:rsidR="00D2369E" w:rsidRPr="00554B41">
              <w:t xml:space="preserve"> The </w:t>
            </w:r>
            <w:r w:rsidRPr="00554B41">
              <w:t>organisation</w:t>
            </w:r>
            <w:r w:rsidR="00691C05" w:rsidRPr="00554B41">
              <w:t>’</w:t>
            </w:r>
            <w:r w:rsidRPr="00554B41">
              <w:t xml:space="preserve">s </w:t>
            </w:r>
            <w:r w:rsidR="00D2369E" w:rsidRPr="00554B41">
              <w:t xml:space="preserve">leadership at the time acted as the legal </w:t>
            </w:r>
            <w:r w:rsidRPr="00554B41">
              <w:t xml:space="preserve">and </w:t>
            </w:r>
            <w:r w:rsidR="00D2369E" w:rsidRPr="00554B41">
              <w:t xml:space="preserve">international policy advisor for the RMI and AOSIS, </w:t>
            </w:r>
            <w:r w:rsidR="00691C05" w:rsidRPr="00554B41">
              <w:t xml:space="preserve">as </w:t>
            </w:r>
            <w:r w:rsidR="00D2369E" w:rsidRPr="00554B41">
              <w:t xml:space="preserve">the lead AOSIS negotiator on mitigation issues for the 2015 Paris Agreement, and </w:t>
            </w:r>
            <w:r w:rsidR="00691C05" w:rsidRPr="00554B41">
              <w:t xml:space="preserve">as </w:t>
            </w:r>
            <w:r w:rsidR="00D2369E" w:rsidRPr="00554B41">
              <w:t>Special Adviser to the (late) Foreign Minister of RMI, Tony de Brum. This support has continued through to CASA II, and the sustained support has allowed RMI to strengthen its own internal capacity. This has been evident with RMI Climate Envoy Tina Stege, who was named as one of the seven people to watch at COP28</w:t>
            </w:r>
            <w:r w:rsidR="00691C05" w:rsidRPr="00554B41">
              <w:t>,</w:t>
            </w:r>
            <w:r w:rsidR="00D2369E" w:rsidRPr="00554B41">
              <w:rPr>
                <w:rStyle w:val="FootnoteReference"/>
              </w:rPr>
              <w:footnoteReference w:id="13"/>
            </w:r>
            <w:r w:rsidR="00D2369E" w:rsidRPr="00554B41">
              <w:t xml:space="preserve"> leading to RMI negotiators being at the forefront during climate negotiations. </w:t>
            </w:r>
          </w:p>
          <w:p w14:paraId="5AAF2D0C" w14:textId="563A1BED" w:rsidR="00D2369E" w:rsidRPr="00554B41" w:rsidRDefault="00D2369E" w:rsidP="0099028A">
            <w:pPr>
              <w:spacing w:after="160" w:line="259" w:lineRule="auto"/>
              <w:jc w:val="left"/>
            </w:pPr>
            <w:r w:rsidRPr="0099028A">
              <w:rPr>
                <w:b/>
                <w:bCs/>
              </w:rPr>
              <w:t xml:space="preserve">RMI was already established as a leader and a notable actor with political resources and capacity to take forward their interests and mandate within </w:t>
            </w:r>
            <w:r w:rsidR="00DB3861" w:rsidRPr="0099028A">
              <w:rPr>
                <w:b/>
                <w:bCs/>
              </w:rPr>
              <w:t xml:space="preserve">the </w:t>
            </w:r>
            <w:r w:rsidRPr="0099028A">
              <w:rPr>
                <w:b/>
                <w:bCs/>
              </w:rPr>
              <w:t>HAC and the broader climate regime.</w:t>
            </w:r>
            <w:r w:rsidRPr="00554B41">
              <w:t xml:space="preserve"> In 2013, the RMI government placed ‘climate leadership’ at the centre of its hosting of the 44th Pacific Island Leaders Meeting. The summit brought together high-level international climate and energy experts, as well as envoys from the US, EU, China</w:t>
            </w:r>
            <w:r w:rsidR="00691C05" w:rsidRPr="00554B41">
              <w:t>,</w:t>
            </w:r>
            <w:r w:rsidRPr="00554B41">
              <w:t xml:space="preserve"> and beyond, to engage directly with Pacific Heads of State and witness firsthand the existential threats climate change poses to low-lying atoll nations. Buoyed by heightened media attention, RMI was subsequently invited to join informal climate talks with the Major Economies Forum on Energy and Climate, a space typically reserved for the world’s largest economies and emitters. </w:t>
            </w:r>
          </w:p>
          <w:p w14:paraId="38A583FE" w14:textId="2D0840DC" w:rsidR="00D2369E" w:rsidRPr="00554B41" w:rsidRDefault="00D2369E" w:rsidP="0099028A">
            <w:pPr>
              <w:spacing w:after="160" w:line="259" w:lineRule="auto"/>
              <w:jc w:val="left"/>
            </w:pPr>
            <w:r w:rsidRPr="0099028A">
              <w:rPr>
                <w:b/>
                <w:bCs/>
              </w:rPr>
              <w:t xml:space="preserve">Other actors such as Saleem Ul Huq, the LDC </w:t>
            </w:r>
            <w:r w:rsidR="00691C05" w:rsidRPr="0099028A">
              <w:rPr>
                <w:b/>
                <w:bCs/>
              </w:rPr>
              <w:t>Group</w:t>
            </w:r>
            <w:r w:rsidRPr="0099028A">
              <w:rPr>
                <w:b/>
                <w:bCs/>
              </w:rPr>
              <w:t xml:space="preserve">, </w:t>
            </w:r>
            <w:r w:rsidR="00691C05" w:rsidRPr="0099028A">
              <w:rPr>
                <w:b/>
                <w:bCs/>
              </w:rPr>
              <w:t xml:space="preserve">and </w:t>
            </w:r>
            <w:r w:rsidRPr="0099028A">
              <w:rPr>
                <w:b/>
                <w:bCs/>
              </w:rPr>
              <w:t xml:space="preserve">civil society organisations like </w:t>
            </w:r>
            <w:r w:rsidR="004F1AD0" w:rsidRPr="0099028A">
              <w:rPr>
                <w:b/>
                <w:bCs/>
              </w:rPr>
              <w:t>CAN</w:t>
            </w:r>
            <w:r w:rsidR="00691C05" w:rsidRPr="0099028A">
              <w:rPr>
                <w:b/>
                <w:bCs/>
              </w:rPr>
              <w:t xml:space="preserve"> and </w:t>
            </w:r>
            <w:r w:rsidRPr="0099028A">
              <w:rPr>
                <w:b/>
                <w:bCs/>
              </w:rPr>
              <w:t>CYNP (youth negotiator training) played a more crucial role than I</w:t>
            </w:r>
            <w:r w:rsidR="00691C05" w:rsidRPr="0099028A">
              <w:rPr>
                <w:b/>
                <w:bCs/>
              </w:rPr>
              <w:t xml:space="preserve">ndependent </w:t>
            </w:r>
            <w:r w:rsidRPr="0099028A">
              <w:rPr>
                <w:b/>
                <w:bCs/>
              </w:rPr>
              <w:t>D</w:t>
            </w:r>
            <w:r w:rsidR="00691C05" w:rsidRPr="0099028A">
              <w:rPr>
                <w:b/>
                <w:bCs/>
              </w:rPr>
              <w:t>iplomat</w:t>
            </w:r>
            <w:r w:rsidRPr="0099028A">
              <w:rPr>
                <w:b/>
                <w:bCs/>
              </w:rPr>
              <w:t>.</w:t>
            </w:r>
            <w:r w:rsidR="0099028A">
              <w:t xml:space="preserve"> </w:t>
            </w:r>
            <w:r w:rsidRPr="00554B41">
              <w:t xml:space="preserve">The late </w:t>
            </w:r>
            <w:r w:rsidR="00691C05" w:rsidRPr="00554B41">
              <w:t xml:space="preserve">Prof. </w:t>
            </w:r>
            <w:r w:rsidRPr="00554B41">
              <w:t xml:space="preserve">Saleem Ul Huq was also named as a highly influential actor in advocating for the </w:t>
            </w:r>
            <w:r w:rsidR="00691C05" w:rsidRPr="00554B41">
              <w:t>1.5°C</w:t>
            </w:r>
            <w:r w:rsidRPr="00554B41">
              <w:t xml:space="preserve"> goal, evidenced across multiple KIIs. Huq, who was the Founder and Director of the International Centre for Climate Change &amp; Development in Bangladesh at the time, was widely respected across negotiating groups and was pivotal in amplifying calls for the 1.5°C goal. As evidenced by KIIs, Prof. Huq gathered support through informal spaces prior to COP21. While the late Minister Tony de Brum and I</w:t>
            </w:r>
            <w:r w:rsidR="00691C05" w:rsidRPr="00554B41">
              <w:t xml:space="preserve">ndependent </w:t>
            </w:r>
            <w:r w:rsidRPr="00554B41">
              <w:t>D</w:t>
            </w:r>
            <w:r w:rsidR="00691C05" w:rsidRPr="00554B41">
              <w:t>iplomat</w:t>
            </w:r>
            <w:r w:rsidRPr="00554B41">
              <w:t xml:space="preserve"> played a key role in rallying support for the Paris Agreement, its adoption was shaped by a range of actors. The French COP Presidency played a central diplomatic role, with France's Climate Change Ambassador and Special Representative for the 2015 COP21 emerging as a key figure in managing the negotiations and shaping consensus. The long</w:t>
            </w:r>
            <w:r w:rsidR="000558BF">
              <w:t>standing</w:t>
            </w:r>
            <w:r w:rsidRPr="00554B41">
              <w:t xml:space="preserve"> alliance between the EU and AOSIS</w:t>
            </w:r>
            <w:r w:rsidR="00691C05" w:rsidRPr="00554B41">
              <w:t xml:space="preserve">, which was </w:t>
            </w:r>
            <w:r w:rsidRPr="00554B41">
              <w:t>solidified after the Durban COP</w:t>
            </w:r>
            <w:r w:rsidR="00691C05" w:rsidRPr="00554B41">
              <w:t xml:space="preserve">, </w:t>
            </w:r>
            <w:r w:rsidRPr="00554B41">
              <w:t xml:space="preserve">was also mentioned to be a critical factor in aligning priorities and building momentum for the support for the 1.5°C target. Civil society organisations such as CAN were also pivotal in leveraging alliances with other blocs such as the G77+China to push for ambition during COP27 and COP28. </w:t>
            </w:r>
          </w:p>
          <w:p w14:paraId="705970D9" w14:textId="6EE69C5C" w:rsidR="00D2369E" w:rsidRPr="00554B41" w:rsidRDefault="00D2369E" w:rsidP="0099028A">
            <w:pPr>
              <w:spacing w:after="160" w:line="259" w:lineRule="auto"/>
              <w:jc w:val="left"/>
            </w:pPr>
            <w:r w:rsidRPr="0099028A">
              <w:rPr>
                <w:b/>
                <w:bCs/>
              </w:rPr>
              <w:t>Others provided funding to RMI/other HAC actors.</w:t>
            </w:r>
            <w:r w:rsidR="0099028A">
              <w:t xml:space="preserve"> </w:t>
            </w:r>
            <w:r w:rsidRPr="00554B41">
              <w:t>While the UK government has provided funding to I</w:t>
            </w:r>
            <w:r w:rsidR="00691C05" w:rsidRPr="00554B41">
              <w:t xml:space="preserve">ndependent </w:t>
            </w:r>
            <w:r w:rsidRPr="00554B41">
              <w:t>D</w:t>
            </w:r>
            <w:r w:rsidR="00691C05" w:rsidRPr="00554B41">
              <w:t>iplomat</w:t>
            </w:r>
            <w:r w:rsidRPr="00554B41">
              <w:t xml:space="preserve"> and is the biggest funder of the HAC through CASA and predecessor programmes, </w:t>
            </w:r>
            <w:r w:rsidR="00691C05" w:rsidRPr="00554B41">
              <w:t xml:space="preserve">it </w:t>
            </w:r>
            <w:r w:rsidRPr="00554B41">
              <w:t>is also supported by other donors such as the EU, GIZ, and the European Climate Foundation.</w:t>
            </w:r>
            <w:r w:rsidR="009C2E09">
              <w:t xml:space="preserve"> </w:t>
            </w:r>
            <w:r w:rsidR="00456974" w:rsidRPr="008C0C28">
              <w:t>In 2024</w:t>
            </w:r>
            <w:r w:rsidR="00456974">
              <w:t>,</w:t>
            </w:r>
            <w:r w:rsidR="00456974" w:rsidRPr="008C0C28">
              <w:t xml:space="preserve"> </w:t>
            </w:r>
            <w:r w:rsidR="00D958C3">
              <w:t>Independent Diplomat received funding from CASA, as well as</w:t>
            </w:r>
            <w:r w:rsidR="008C0C28" w:rsidRPr="008C0C28">
              <w:t xml:space="preserve"> the Bill and Melinda Gates Foundation, UNDP, European Climate Foundation, Energy Transition Fund, and the New Venture Fund.</w:t>
            </w:r>
          </w:p>
          <w:p w14:paraId="07D187F4" w14:textId="1A55365D" w:rsidR="00D2369E" w:rsidRPr="00554B41" w:rsidRDefault="00691C05" w:rsidP="003517CE">
            <w:pPr>
              <w:spacing w:after="160" w:line="259" w:lineRule="auto"/>
              <w:jc w:val="left"/>
            </w:pPr>
            <w:r w:rsidRPr="003517CE">
              <w:rPr>
                <w:b/>
                <w:bCs/>
              </w:rPr>
              <w:t xml:space="preserve">The size </w:t>
            </w:r>
            <w:r w:rsidR="00D2369E" w:rsidRPr="003517CE">
              <w:rPr>
                <w:b/>
                <w:bCs/>
              </w:rPr>
              <w:t>of RMI</w:t>
            </w:r>
            <w:r w:rsidRPr="003517CE">
              <w:rPr>
                <w:rFonts w:asciiTheme="minorHAnsi" w:eastAsia="Aptos" w:hAnsiTheme="minorHAnsi" w:cstheme="minorHAnsi"/>
                <w:b/>
                <w:bCs/>
              </w:rPr>
              <w:t>—</w:t>
            </w:r>
            <w:r w:rsidRPr="003517CE">
              <w:rPr>
                <w:b/>
                <w:bCs/>
              </w:rPr>
              <w:t xml:space="preserve">a </w:t>
            </w:r>
            <w:r w:rsidR="00D2369E" w:rsidRPr="003517CE">
              <w:rPr>
                <w:b/>
                <w:bCs/>
              </w:rPr>
              <w:t>small island population</w:t>
            </w:r>
            <w:r w:rsidRPr="003517CE">
              <w:rPr>
                <w:rFonts w:asciiTheme="minorHAnsi" w:eastAsia="Aptos" w:hAnsiTheme="minorHAnsi" w:cstheme="minorHAnsi"/>
                <w:b/>
                <w:bCs/>
              </w:rPr>
              <w:t>—</w:t>
            </w:r>
            <w:r w:rsidR="00D2369E" w:rsidRPr="003517CE">
              <w:rPr>
                <w:b/>
                <w:bCs/>
              </w:rPr>
              <w:t>means sustainability is constrained.</w:t>
            </w:r>
            <w:r w:rsidR="003517CE">
              <w:t xml:space="preserve"> </w:t>
            </w:r>
            <w:r w:rsidR="00D2369E" w:rsidRPr="00554B41">
              <w:t xml:space="preserve">Despite the strong capacity within RMI and the political will behind ensuring climate issues are at the forefront, RMI is constrained by its small population size of around 40,000 people. </w:t>
            </w:r>
            <w:r w:rsidR="001D346A" w:rsidRPr="00554B41">
              <w:t>Thus,</w:t>
            </w:r>
            <w:r w:rsidR="00D2369E" w:rsidRPr="00554B41">
              <w:t xml:space="preserve"> the pool from which RMI draw</w:t>
            </w:r>
            <w:r w:rsidRPr="00554B41">
              <w:t>s</w:t>
            </w:r>
            <w:r w:rsidR="00D2369E" w:rsidRPr="00554B41">
              <w:t xml:space="preserve"> is very small and could be said to exacerbate the issue of finding individuals/building skills and maintaining position. The climate team in RMI is comprised of seven people who coordinate on both international climate negotiations and national climate matters. Without additional support from I</w:t>
            </w:r>
            <w:r w:rsidRPr="00554B41">
              <w:t xml:space="preserve">ndependent </w:t>
            </w:r>
            <w:r w:rsidR="00D2369E" w:rsidRPr="00554B41">
              <w:t>D</w:t>
            </w:r>
            <w:r w:rsidRPr="00554B41">
              <w:t>iplomat</w:t>
            </w:r>
            <w:r w:rsidR="00D2369E" w:rsidRPr="00554B41">
              <w:t>, RMI would find it difficult to operate at the same capacity</w:t>
            </w:r>
            <w:r w:rsidR="00D2369E" w:rsidRPr="00554B41">
              <w:rPr>
                <w:i/>
                <w:iCs/>
              </w:rPr>
              <w:t xml:space="preserve">. </w:t>
            </w:r>
            <w:r w:rsidR="00D2369E" w:rsidRPr="00554B41">
              <w:t>This hinders the sustainability of the programme</w:t>
            </w:r>
            <w:r w:rsidRPr="00554B41">
              <w:t>;</w:t>
            </w:r>
            <w:r w:rsidR="00D2369E" w:rsidRPr="00554B41">
              <w:t xml:space="preserve"> without sustained support, it is unclear whether RMI would have sufficient resources to replace external support with </w:t>
            </w:r>
            <w:r w:rsidRPr="00554B41">
              <w:t xml:space="preserve">an </w:t>
            </w:r>
            <w:r w:rsidR="00D2369E" w:rsidRPr="00554B41">
              <w:t xml:space="preserve">in-house logistical </w:t>
            </w:r>
            <w:r w:rsidRPr="00554B41">
              <w:t>team</w:t>
            </w:r>
            <w:r w:rsidR="00D2369E" w:rsidRPr="00554B41">
              <w:t>.</w:t>
            </w:r>
          </w:p>
        </w:tc>
      </w:tr>
    </w:tbl>
    <w:p w14:paraId="5B620ADE" w14:textId="77777777" w:rsidR="000940E0" w:rsidRPr="00554B41" w:rsidRDefault="000940E0" w:rsidP="000940E0"/>
    <w:p w14:paraId="5B47D28B" w14:textId="77777777" w:rsidR="000940E0" w:rsidRPr="00554B41" w:rsidRDefault="000940E0" w:rsidP="000940E0">
      <w:r w:rsidRPr="00554B41">
        <w:br w:type="page"/>
      </w:r>
    </w:p>
    <w:p w14:paraId="6D650DE9" w14:textId="56B469CD" w:rsidR="000940E0" w:rsidRPr="00554B41" w:rsidRDefault="00CC3D35" w:rsidP="007032D3">
      <w:r w:rsidRPr="00554B41">
        <w:rPr>
          <w:noProof/>
        </w:rPr>
        <w:drawing>
          <wp:anchor distT="0" distB="0" distL="114300" distR="114300" simplePos="0" relativeHeight="251658243" behindDoc="0" locked="0" layoutInCell="1" allowOverlap="1" wp14:anchorId="670F6A55" wp14:editId="4D299C7B">
            <wp:simplePos x="0" y="0"/>
            <wp:positionH relativeFrom="column">
              <wp:posOffset>-57150</wp:posOffset>
            </wp:positionH>
            <wp:positionV relativeFrom="paragraph">
              <wp:posOffset>-213360</wp:posOffset>
            </wp:positionV>
            <wp:extent cx="5953125" cy="8817060"/>
            <wp:effectExtent l="0" t="0" r="0" b="3175"/>
            <wp:wrapNone/>
            <wp:docPr id="1396535708" name="Picture 1" descr="A diagram of a company's company's company's company's company's company's company's company's company's company's company's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35708" name="Picture 1" descr="A diagram of a company's company's company's company's company's company's company's company's company's company's company's company'&#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5954924" cy="8819724"/>
                    </a:xfrm>
                    <a:prstGeom prst="rect">
                      <a:avLst/>
                    </a:prstGeom>
                  </pic:spPr>
                </pic:pic>
              </a:graphicData>
            </a:graphic>
            <wp14:sizeRelH relativeFrom="margin">
              <wp14:pctWidth>0</wp14:pctWidth>
            </wp14:sizeRelH>
            <wp14:sizeRelV relativeFrom="margin">
              <wp14:pctHeight>0</wp14:pctHeight>
            </wp14:sizeRelV>
          </wp:anchor>
        </w:drawing>
      </w:r>
      <w:r w:rsidR="00202F71" w:rsidRPr="00554B41">
        <w:rPr>
          <w:noProof/>
        </w:rPr>
        <mc:AlternateContent>
          <mc:Choice Requires="wps">
            <w:drawing>
              <wp:anchor distT="0" distB="0" distL="114300" distR="114300" simplePos="0" relativeHeight="251658246" behindDoc="0" locked="0" layoutInCell="1" allowOverlap="1" wp14:anchorId="744F6DD5" wp14:editId="443E8D19">
                <wp:simplePos x="0" y="0"/>
                <wp:positionH relativeFrom="column">
                  <wp:posOffset>-60325</wp:posOffset>
                </wp:positionH>
                <wp:positionV relativeFrom="paragraph">
                  <wp:posOffset>8759190</wp:posOffset>
                </wp:positionV>
                <wp:extent cx="6020435" cy="635"/>
                <wp:effectExtent l="0" t="0" r="0" b="0"/>
                <wp:wrapNone/>
                <wp:docPr id="2026857549" name="Text Box 1"/>
                <wp:cNvGraphicFramePr/>
                <a:graphic xmlns:a="http://schemas.openxmlformats.org/drawingml/2006/main">
                  <a:graphicData uri="http://schemas.microsoft.com/office/word/2010/wordprocessingShape">
                    <wps:wsp>
                      <wps:cNvSpPr txBox="1"/>
                      <wps:spPr>
                        <a:xfrm>
                          <a:off x="0" y="0"/>
                          <a:ext cx="6020435" cy="635"/>
                        </a:xfrm>
                        <a:prstGeom prst="rect">
                          <a:avLst/>
                        </a:prstGeom>
                        <a:solidFill>
                          <a:prstClr val="white"/>
                        </a:solidFill>
                        <a:ln>
                          <a:noFill/>
                        </a:ln>
                      </wps:spPr>
                      <wps:txbx>
                        <w:txbxContent>
                          <w:p w14:paraId="5E843D2D" w14:textId="7BA7BA87" w:rsidR="00202F71" w:rsidRPr="00554B41" w:rsidRDefault="00202F71" w:rsidP="00202F71">
                            <w:pPr>
                              <w:pStyle w:val="Caption"/>
                              <w:rPr>
                                <w:sz w:val="20"/>
                              </w:rPr>
                            </w:pPr>
                            <w:bookmarkStart w:id="39" w:name="_Toc204967989"/>
                            <w:bookmarkStart w:id="40" w:name="_Toc204968068"/>
                            <w:r w:rsidRPr="00554B41">
                              <w:t>Figure</w:t>
                            </w:r>
                            <w:r w:rsidR="006250B2">
                              <w:t xml:space="preserve"> 5</w:t>
                            </w:r>
                            <w:r w:rsidRPr="00554B41">
                              <w:t xml:space="preserve">. Timeline for </w:t>
                            </w:r>
                            <w:r w:rsidR="00084655" w:rsidRPr="00554B41">
                              <w:t xml:space="preserve">the </w:t>
                            </w:r>
                            <w:r w:rsidRPr="00554B41">
                              <w:t xml:space="preserve">AILAC </w:t>
                            </w:r>
                            <w:r w:rsidR="00084655" w:rsidRPr="00554B41">
                              <w:t>case study</w:t>
                            </w:r>
                            <w:bookmarkEnd w:id="39"/>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4F6DD5" id="_x0000_s1030" type="#_x0000_t202" style="position:absolute;left:0;text-align:left;margin-left:-4.75pt;margin-top:689.7pt;width:474.05pt;height:.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" stroked="f">
                <v:textbox style="mso-fit-shape-to-text:t" inset="0,0,0,0">
                  <w:txbxContent>
                    <w:p w14:paraId="5E843D2D" w14:textId="7BA7BA87" w:rsidR="00202F71" w:rsidRPr="00554B41" w:rsidRDefault="00202F71" w:rsidP="00202F71">
                      <w:pPr>
                        <w:pStyle w:val="Caption"/>
                        <w:rPr>
                          <w:sz w:val="20"/>
                        </w:rPr>
                      </w:pPr>
                      <w:bookmarkStart w:id="41" w:name="_Toc204967989"/>
                      <w:bookmarkStart w:id="42" w:name="_Toc204968068"/>
                      <w:r w:rsidRPr="00554B41">
                        <w:t>Figure</w:t>
                      </w:r>
                      <w:r w:rsidR="006250B2">
                        <w:t xml:space="preserve"> 5</w:t>
                      </w:r>
                      <w:r w:rsidRPr="00554B41">
                        <w:t xml:space="preserve">. Timeline for </w:t>
                      </w:r>
                      <w:r w:rsidR="00084655" w:rsidRPr="00554B41">
                        <w:t xml:space="preserve">the </w:t>
                      </w:r>
                      <w:r w:rsidRPr="00554B41">
                        <w:t xml:space="preserve">AILAC </w:t>
                      </w:r>
                      <w:r w:rsidR="00084655" w:rsidRPr="00554B41">
                        <w:t>case study</w:t>
                      </w:r>
                      <w:bookmarkEnd w:id="41"/>
                      <w:bookmarkEnd w:id="42"/>
                    </w:p>
                  </w:txbxContent>
                </v:textbox>
              </v:shape>
            </w:pict>
          </mc:Fallback>
        </mc:AlternateContent>
      </w:r>
      <w:r w:rsidR="000940E0" w:rsidRPr="00554B41">
        <w:br w:type="page"/>
      </w:r>
    </w:p>
    <w:p w14:paraId="20A4EE60" w14:textId="55176A6D" w:rsidR="002A3AC3" w:rsidRPr="002A3AC3" w:rsidRDefault="002A3AC3" w:rsidP="002A3AC3">
      <w:pPr>
        <w:pStyle w:val="Heading1"/>
      </w:pPr>
      <w:bookmarkStart w:id="43" w:name="_Toc204967856"/>
      <w:r w:rsidRPr="002A3AC3">
        <w:t>Case</w:t>
      </w:r>
      <w:r w:rsidRPr="002A3AC3" w:rsidDel="007D3504">
        <w:t xml:space="preserve"> </w:t>
      </w:r>
      <w:r w:rsidRPr="002A3AC3">
        <w:t>study 5: Independent Alliance of Latin America and the Caribbean</w:t>
      </w:r>
      <w:bookmarkEnd w:id="43"/>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38"/>
        <w:gridCol w:w="2126"/>
      </w:tblGrid>
      <w:tr w:rsidR="007032D3" w:rsidRPr="00554B41" w14:paraId="2014CC17" w14:textId="77777777" w:rsidTr="12014D65">
        <w:trPr>
          <w:trHeight w:val="300"/>
        </w:trPr>
        <w:tc>
          <w:tcPr>
            <w:tcW w:w="6938" w:type="dxa"/>
            <w:tcBorders>
              <w:top w:val="single" w:sz="6" w:space="0" w:color="303030" w:themeColor="text1"/>
              <w:left w:val="single" w:sz="6" w:space="0" w:color="303030" w:themeColor="text1"/>
              <w:bottom w:val="single" w:sz="6" w:space="0" w:color="303030" w:themeColor="text1"/>
              <w:right w:val="single" w:sz="6" w:space="0" w:color="303030" w:themeColor="text1"/>
            </w:tcBorders>
            <w:shd w:val="clear" w:color="auto" w:fill="CEDCDB" w:themeFill="accent2" w:themeFillTint="66"/>
          </w:tcPr>
          <w:p w14:paraId="731E1B9C" w14:textId="6816EE29" w:rsidR="007032D3" w:rsidRPr="00554B41" w:rsidRDefault="007032D3" w:rsidP="007032D3">
            <w:pPr>
              <w:jc w:val="left"/>
              <w:rPr>
                <w:b/>
                <w:bCs/>
              </w:rPr>
            </w:pPr>
            <w:r w:rsidRPr="00554B41">
              <w:rPr>
                <w:b/>
                <w:bCs/>
              </w:rPr>
              <w:t>Outcome title:</w:t>
            </w:r>
            <w:r w:rsidRPr="00E7167B">
              <w:t xml:space="preserve"> </w:t>
            </w:r>
            <w:r w:rsidR="00B55941" w:rsidRPr="00554B41">
              <w:t>Consorcio de Investigación Económica y Social (Economic and Social Research Consortium)</w:t>
            </w:r>
            <w:r w:rsidR="00B55941" w:rsidRPr="00E7167B">
              <w:t xml:space="preserve"> </w:t>
            </w:r>
            <w:r w:rsidR="00B55941" w:rsidRPr="00554B41">
              <w:t>(</w:t>
            </w:r>
            <w:r w:rsidRPr="00554B41">
              <w:t>CIES</w:t>
            </w:r>
            <w:r w:rsidR="00B55941" w:rsidRPr="00554B41">
              <w:t>)</w:t>
            </w:r>
            <w:r w:rsidRPr="00554B41">
              <w:t xml:space="preserve"> has enhanced and retained </w:t>
            </w:r>
            <w:r w:rsidR="007D3504" w:rsidRPr="00554B41">
              <w:t xml:space="preserve">the </w:t>
            </w:r>
            <w:r w:rsidRPr="00554B41">
              <w:t>capacity of negotiators, delegates</w:t>
            </w:r>
            <w:r w:rsidR="007D3504" w:rsidRPr="00554B41">
              <w:t>,</w:t>
            </w:r>
            <w:r w:rsidRPr="00554B41">
              <w:t xml:space="preserve"> and institutions within certain AILAC countries and is helping them develop their own visions for the future to confront the impacts and risks of climate change.</w:t>
            </w:r>
          </w:p>
        </w:tc>
        <w:tc>
          <w:tcPr>
            <w:tcW w:w="2126" w:type="dxa"/>
            <w:tcBorders>
              <w:top w:val="single" w:sz="6" w:space="0" w:color="303030" w:themeColor="text1"/>
              <w:left w:val="single" w:sz="6" w:space="0" w:color="303030" w:themeColor="text1"/>
              <w:bottom w:val="single" w:sz="6" w:space="0" w:color="303030" w:themeColor="text1"/>
              <w:right w:val="single" w:sz="6" w:space="0" w:color="303030" w:themeColor="text1"/>
            </w:tcBorders>
            <w:shd w:val="clear" w:color="auto" w:fill="CEDCDB" w:themeFill="accent2" w:themeFillTint="66"/>
          </w:tcPr>
          <w:p w14:paraId="2F32A9ED" w14:textId="77777777" w:rsidR="007032D3" w:rsidRPr="00554B41" w:rsidRDefault="007032D3" w:rsidP="007032D3">
            <w:pPr>
              <w:jc w:val="left"/>
              <w:rPr>
                <w:b/>
                <w:bCs/>
              </w:rPr>
            </w:pPr>
            <w:r w:rsidRPr="00554B41">
              <w:rPr>
                <w:b/>
                <w:bCs/>
              </w:rPr>
              <w:t xml:space="preserve">Strength of evidence </w:t>
            </w:r>
          </w:p>
          <w:p w14:paraId="45ADB886" w14:textId="77777777" w:rsidR="007032D3" w:rsidRPr="00554B41" w:rsidRDefault="007032D3" w:rsidP="007032D3">
            <w:pPr>
              <w:jc w:val="left"/>
            </w:pPr>
            <w:r w:rsidRPr="00554B41">
              <w:t>Weak/Insufficient</w:t>
            </w:r>
          </w:p>
          <w:p w14:paraId="651635A4" w14:textId="77777777" w:rsidR="007032D3" w:rsidRPr="00554B41" w:rsidRDefault="007032D3" w:rsidP="007032D3">
            <w:pPr>
              <w:jc w:val="left"/>
              <w:rPr>
                <w:b/>
                <w:bCs/>
              </w:rPr>
            </w:pPr>
          </w:p>
        </w:tc>
      </w:tr>
    </w:tbl>
    <w:p w14:paraId="24EE23EA" w14:textId="77777777" w:rsidR="00346EC0" w:rsidRPr="00554B41" w:rsidRDefault="00346EC0" w:rsidP="00346EC0">
      <w:pPr>
        <w:pStyle w:val="Heading2"/>
      </w:pPr>
      <w:bookmarkStart w:id="44" w:name="_Toc204967857"/>
      <w:r w:rsidRPr="00554B41">
        <w:t>Summary of CASA II contribution</w:t>
      </w:r>
      <w:bookmarkEnd w:id="44"/>
      <w:r w:rsidRPr="00554B41">
        <w:t xml:space="preserve"> </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4"/>
      </w:tblGrid>
      <w:tr w:rsidR="007032D3" w:rsidRPr="00554B41" w14:paraId="0AA588BF" w14:textId="77777777" w:rsidTr="12014D65">
        <w:trPr>
          <w:trHeight w:val="300"/>
        </w:trPr>
        <w:tc>
          <w:tcPr>
            <w:tcW w:w="9064" w:type="dxa"/>
            <w:tcBorders>
              <w:top w:val="single" w:sz="6" w:space="0" w:color="303030" w:themeColor="text1"/>
              <w:left w:val="single" w:sz="6" w:space="0" w:color="303030" w:themeColor="text1"/>
              <w:bottom w:val="single" w:sz="6" w:space="0" w:color="303030" w:themeColor="text1"/>
              <w:right w:val="single" w:sz="6" w:space="0" w:color="303030" w:themeColor="text1"/>
            </w:tcBorders>
            <w:shd w:val="clear" w:color="auto" w:fill="F2F2F2" w:themeFill="background1" w:themeFillShade="F2"/>
            <w:hideMark/>
          </w:tcPr>
          <w:p w14:paraId="75BD03DD" w14:textId="17E3F2A2" w:rsidR="007032D3" w:rsidRPr="00554B41" w:rsidRDefault="00AE1BEB" w:rsidP="00AE1BEB">
            <w:pPr>
              <w:rPr>
                <w:b/>
                <w:bCs/>
              </w:rPr>
            </w:pPr>
            <w:r w:rsidRPr="00554B41">
              <w:rPr>
                <w:b/>
                <w:bCs/>
              </w:rPr>
              <w:t>I</w:t>
            </w:r>
            <w:r w:rsidR="007032D3" w:rsidRPr="00554B41">
              <w:rPr>
                <w:b/>
                <w:bCs/>
              </w:rPr>
              <w:t>nsufficient evidence to support a contribution judgement</w:t>
            </w:r>
          </w:p>
          <w:p w14:paraId="6F4A2620" w14:textId="1D342019" w:rsidR="007032D3" w:rsidRPr="00554B41" w:rsidRDefault="007032D3" w:rsidP="007032D3">
            <w:r w:rsidRPr="00554B41">
              <w:t xml:space="preserve">CIES provided capacity building </w:t>
            </w:r>
            <w:r w:rsidR="00C24424" w:rsidRPr="00554B41">
              <w:t>for</w:t>
            </w:r>
            <w:r w:rsidRPr="00554B41">
              <w:t xml:space="preserve"> junior/younger delegates from Costa Rica to build </w:t>
            </w:r>
            <w:r w:rsidR="007D3504" w:rsidRPr="00554B41">
              <w:t>‘</w:t>
            </w:r>
            <w:r w:rsidRPr="00554B41">
              <w:t>permanent capacity</w:t>
            </w:r>
            <w:r w:rsidR="007D3504" w:rsidRPr="00554B41">
              <w:t xml:space="preserve">’ </w:t>
            </w:r>
            <w:r w:rsidRPr="00554B41">
              <w:t>at the Ministry of Environment. One directly supported negotiator from Costa Rica was reported to have taken a high-profile position on the UNFCCC Bureau through the support provided by CASA II. While the programme has strengthened individual capacity within Costa Rica and Panama, it is too early in the process to judge the contribution of CASA II to larger institutional outcomes (</w:t>
            </w:r>
            <w:r w:rsidR="007D3504" w:rsidRPr="00554B41">
              <w:t xml:space="preserve">i.e. </w:t>
            </w:r>
            <w:r w:rsidRPr="00554B41">
              <w:t>changes at the</w:t>
            </w:r>
            <w:r w:rsidRPr="00554B41" w:rsidDel="007D3504">
              <w:t xml:space="preserve"> </w:t>
            </w:r>
            <w:r w:rsidR="007D3504" w:rsidRPr="00554B41">
              <w:t xml:space="preserve">ministerial </w:t>
            </w:r>
            <w:r w:rsidRPr="00554B41">
              <w:t xml:space="preserve">level). </w:t>
            </w:r>
          </w:p>
        </w:tc>
      </w:tr>
    </w:tbl>
    <w:p w14:paraId="292E242B" w14:textId="7FC6C9E5" w:rsidR="00A34244" w:rsidRDefault="00686C16" w:rsidP="00A34244">
      <w:pPr>
        <w:pStyle w:val="Heading2"/>
      </w:pPr>
      <w:bookmarkStart w:id="45" w:name="_Toc204967858"/>
      <w:r w:rsidRPr="00990E87">
        <w:t xml:space="preserve">Summary of </w:t>
      </w:r>
      <w:r>
        <w:t xml:space="preserve">the contribution of </w:t>
      </w:r>
      <w:r w:rsidRPr="00990E87">
        <w:t>other actors and factors</w:t>
      </w:r>
      <w:bookmarkEnd w:id="45"/>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38"/>
        <w:gridCol w:w="2126"/>
      </w:tblGrid>
      <w:tr w:rsidR="007032D3" w:rsidRPr="00554B41" w14:paraId="43484EF9" w14:textId="77777777" w:rsidTr="12014D65">
        <w:trPr>
          <w:trHeight w:val="300"/>
        </w:trPr>
        <w:tc>
          <w:tcPr>
            <w:tcW w:w="6938" w:type="dxa"/>
            <w:tcBorders>
              <w:top w:val="single" w:sz="6" w:space="0" w:color="303030" w:themeColor="text1"/>
              <w:left w:val="single" w:sz="6" w:space="0" w:color="303030" w:themeColor="text1"/>
              <w:right w:val="single" w:sz="6" w:space="0" w:color="303030" w:themeColor="text1"/>
            </w:tcBorders>
          </w:tcPr>
          <w:p w14:paraId="23A1D867" w14:textId="22118663" w:rsidR="007032D3" w:rsidRPr="00554B41" w:rsidRDefault="007032D3" w:rsidP="007032D3">
            <w:pPr>
              <w:numPr>
                <w:ilvl w:val="0"/>
                <w:numId w:val="28"/>
              </w:numPr>
              <w:spacing w:after="160" w:line="259" w:lineRule="auto"/>
              <w:jc w:val="left"/>
            </w:pPr>
            <w:r w:rsidRPr="00554B41">
              <w:t>CIES has run an AILAC support unit since 2013</w:t>
            </w:r>
            <w:r w:rsidR="007D3504" w:rsidRPr="00554B41">
              <w:t>.</w:t>
            </w:r>
          </w:p>
        </w:tc>
        <w:tc>
          <w:tcPr>
            <w:tcW w:w="2126" w:type="dxa"/>
            <w:tcBorders>
              <w:top w:val="single" w:sz="6" w:space="0" w:color="303030" w:themeColor="text1"/>
              <w:left w:val="single" w:sz="6" w:space="0" w:color="303030" w:themeColor="text1"/>
              <w:bottom w:val="single" w:sz="6" w:space="0" w:color="303030" w:themeColor="text1"/>
              <w:right w:val="single" w:sz="6" w:space="0" w:color="303030" w:themeColor="text1"/>
            </w:tcBorders>
          </w:tcPr>
          <w:p w14:paraId="12F7B0DA" w14:textId="77777777" w:rsidR="007032D3" w:rsidRPr="00554B41" w:rsidRDefault="007032D3" w:rsidP="007032D3">
            <w:r w:rsidRPr="00554B41">
              <w:t>Critical contribution</w:t>
            </w:r>
          </w:p>
        </w:tc>
      </w:tr>
      <w:tr w:rsidR="007032D3" w:rsidRPr="00554B41" w14:paraId="190265C6" w14:textId="77777777" w:rsidTr="12014D65">
        <w:trPr>
          <w:trHeight w:val="300"/>
        </w:trPr>
        <w:tc>
          <w:tcPr>
            <w:tcW w:w="6938" w:type="dxa"/>
            <w:tcBorders>
              <w:top w:val="single" w:sz="6" w:space="0" w:color="303030" w:themeColor="text1"/>
              <w:left w:val="single" w:sz="6" w:space="0" w:color="303030" w:themeColor="text1"/>
              <w:right w:val="single" w:sz="6" w:space="0" w:color="303030" w:themeColor="text1"/>
            </w:tcBorders>
          </w:tcPr>
          <w:p w14:paraId="480A6DA4" w14:textId="710F7ABF" w:rsidR="007032D3" w:rsidRPr="00554B41" w:rsidRDefault="007032D3" w:rsidP="007032D3">
            <w:pPr>
              <w:numPr>
                <w:ilvl w:val="0"/>
                <w:numId w:val="28"/>
              </w:numPr>
              <w:spacing w:after="160" w:line="259" w:lineRule="auto"/>
              <w:jc w:val="left"/>
            </w:pPr>
            <w:r w:rsidRPr="00554B41">
              <w:t xml:space="preserve">Previously funded programmes, such as </w:t>
            </w:r>
            <w:r w:rsidR="007D3504" w:rsidRPr="00554B41">
              <w:t xml:space="preserve">the </w:t>
            </w:r>
            <w:r w:rsidRPr="00554B41">
              <w:t>Ambitious Leaders Programme, funded through Germany’s International Climate Initiative (IKI), and the current IKI-funded Learning by Doing Lab (LBDL)</w:t>
            </w:r>
            <w:r w:rsidR="007D3504" w:rsidRPr="00554B41">
              <w:t>,</w:t>
            </w:r>
            <w:r w:rsidRPr="00554B41">
              <w:t xml:space="preserve"> supported capacity building for many years prior to CASA II support.</w:t>
            </w:r>
          </w:p>
        </w:tc>
        <w:tc>
          <w:tcPr>
            <w:tcW w:w="2126" w:type="dxa"/>
            <w:tcBorders>
              <w:top w:val="single" w:sz="6" w:space="0" w:color="303030" w:themeColor="text1"/>
              <w:left w:val="single" w:sz="6" w:space="0" w:color="303030" w:themeColor="text1"/>
              <w:bottom w:val="single" w:sz="6" w:space="0" w:color="303030" w:themeColor="text1"/>
              <w:right w:val="single" w:sz="6" w:space="0" w:color="303030" w:themeColor="text1"/>
            </w:tcBorders>
          </w:tcPr>
          <w:p w14:paraId="531CF57C" w14:textId="77777777" w:rsidR="007032D3" w:rsidRPr="00554B41" w:rsidRDefault="007032D3" w:rsidP="007032D3">
            <w:r w:rsidRPr="00554B41">
              <w:t>Important contribution</w:t>
            </w:r>
            <w:r w:rsidRPr="00554B41">
              <w:rPr>
                <w:rFonts w:ascii="Arial" w:hAnsi="Arial" w:cs="Arial"/>
              </w:rPr>
              <w:t>​</w:t>
            </w:r>
            <w:r w:rsidRPr="00554B41">
              <w:t xml:space="preserve"> </w:t>
            </w:r>
          </w:p>
        </w:tc>
      </w:tr>
      <w:tr w:rsidR="007032D3" w:rsidRPr="00554B41" w14:paraId="597D77A9" w14:textId="77777777" w:rsidTr="12014D65">
        <w:trPr>
          <w:trHeight w:val="300"/>
        </w:trPr>
        <w:tc>
          <w:tcPr>
            <w:tcW w:w="6938" w:type="dxa"/>
            <w:tcBorders>
              <w:top w:val="single" w:sz="6" w:space="0" w:color="303030" w:themeColor="text1"/>
              <w:left w:val="single" w:sz="6" w:space="0" w:color="303030" w:themeColor="text1"/>
              <w:right w:val="single" w:sz="6" w:space="0" w:color="303030" w:themeColor="text1"/>
            </w:tcBorders>
          </w:tcPr>
          <w:p w14:paraId="0C071A99" w14:textId="79E4F27C" w:rsidR="007032D3" w:rsidRPr="00554B41" w:rsidRDefault="007032D3" w:rsidP="007032D3">
            <w:pPr>
              <w:pStyle w:val="ListParagraph"/>
              <w:numPr>
                <w:ilvl w:val="0"/>
                <w:numId w:val="28"/>
              </w:numPr>
              <w:spacing w:after="160" w:line="259" w:lineRule="auto"/>
              <w:jc w:val="left"/>
            </w:pPr>
            <w:r w:rsidRPr="00554B41">
              <w:t>Other multilateral agencies like UNDP and regional development banks, such as Corporación Andina de Fomento and IADB</w:t>
            </w:r>
            <w:r w:rsidR="007D3504" w:rsidRPr="00554B41">
              <w:t>,</w:t>
            </w:r>
            <w:r w:rsidRPr="00554B41">
              <w:t xml:space="preserve"> have funded capacity development in AILAC countries. </w:t>
            </w:r>
          </w:p>
        </w:tc>
        <w:tc>
          <w:tcPr>
            <w:tcW w:w="2126" w:type="dxa"/>
            <w:tcBorders>
              <w:top w:val="single" w:sz="6" w:space="0" w:color="303030" w:themeColor="text1"/>
              <w:left w:val="single" w:sz="6" w:space="0" w:color="303030" w:themeColor="text1"/>
              <w:bottom w:val="single" w:sz="6" w:space="0" w:color="303030" w:themeColor="text1"/>
              <w:right w:val="single" w:sz="6" w:space="0" w:color="303030" w:themeColor="text1"/>
            </w:tcBorders>
          </w:tcPr>
          <w:p w14:paraId="079425DE" w14:textId="77777777" w:rsidR="007032D3" w:rsidRPr="00554B41" w:rsidRDefault="007032D3" w:rsidP="007032D3">
            <w:r w:rsidRPr="00554B41">
              <w:t>Important contribution</w:t>
            </w:r>
            <w:r w:rsidRPr="00554B41">
              <w:rPr>
                <w:rFonts w:ascii="Arial" w:hAnsi="Arial" w:cs="Arial"/>
              </w:rPr>
              <w:t>​</w:t>
            </w:r>
          </w:p>
        </w:tc>
      </w:tr>
    </w:tbl>
    <w:p w14:paraId="209644D6" w14:textId="4796D766" w:rsidR="00A34244" w:rsidRDefault="00A34244" w:rsidP="00A34244">
      <w:pPr>
        <w:pStyle w:val="Heading2"/>
      </w:pPr>
      <w:bookmarkStart w:id="46" w:name="_Toc204967859"/>
      <w:r w:rsidRPr="00554B41">
        <w:t>Geographic and temporal context</w:t>
      </w:r>
      <w:bookmarkEnd w:id="46"/>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4"/>
      </w:tblGrid>
      <w:tr w:rsidR="007032D3" w:rsidRPr="00554B41" w14:paraId="40E87B7B" w14:textId="77777777" w:rsidTr="12014D65">
        <w:trPr>
          <w:trHeight w:val="300"/>
        </w:trPr>
        <w:tc>
          <w:tcPr>
            <w:tcW w:w="9064" w:type="dxa"/>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34F61090" w14:textId="2A1FB197" w:rsidR="007032D3" w:rsidRPr="00554B41" w:rsidRDefault="007032D3" w:rsidP="007032D3">
            <w:r w:rsidRPr="00554B41">
              <w:t xml:space="preserve">CIES </w:t>
            </w:r>
            <w:r w:rsidR="007D3504" w:rsidRPr="00554B41">
              <w:t xml:space="preserve">joined CASA </w:t>
            </w:r>
            <w:r w:rsidRPr="00554B41">
              <w:t>as a</w:t>
            </w:r>
            <w:r w:rsidR="00BA6521" w:rsidRPr="00554B41">
              <w:t xml:space="preserve"> TP</w:t>
            </w:r>
            <w:r w:rsidRPr="00554B41">
              <w:t xml:space="preserve"> in early 2024 with the aim to integrate focus and support of the programme on domestic implementation and policy within the AILAC region. </w:t>
            </w:r>
            <w:r w:rsidR="007D3504" w:rsidRPr="00554B41">
              <w:t>It</w:t>
            </w:r>
            <w:r w:rsidRPr="00554B41">
              <w:t xml:space="preserve"> has a longstanding relationship with L</w:t>
            </w:r>
            <w:r w:rsidR="000558BF">
              <w:t xml:space="preserve">atin </w:t>
            </w:r>
            <w:r w:rsidRPr="00554B41">
              <w:t>A</w:t>
            </w:r>
            <w:r w:rsidR="000558BF">
              <w:t xml:space="preserve">merican and </w:t>
            </w:r>
            <w:r w:rsidRPr="00554B41">
              <w:t>C</w:t>
            </w:r>
            <w:r w:rsidR="000558BF">
              <w:t>aribbean</w:t>
            </w:r>
            <w:r w:rsidRPr="00554B41">
              <w:t xml:space="preserve"> countries and has provided ongoing support to South</w:t>
            </w:r>
            <w:r w:rsidR="007D3504" w:rsidRPr="00554B41">
              <w:t>–</w:t>
            </w:r>
            <w:r w:rsidRPr="00554B41">
              <w:t>South coalition</w:t>
            </w:r>
            <w:r w:rsidR="007D3504" w:rsidRPr="00554B41">
              <w:t xml:space="preserve"> </w:t>
            </w:r>
            <w:r w:rsidRPr="00554B41">
              <w:t>building, with a particular focus on engaging middle income countries (MICs) in the AILAC informal negotiating group. The group is formed of Colombia, Costa Rica, Chile, Guatemala, Honduras, Panama, Paraguay</w:t>
            </w:r>
            <w:r w:rsidR="007D3504" w:rsidRPr="00554B41">
              <w:t>,</w:t>
            </w:r>
            <w:r w:rsidRPr="00554B41">
              <w:t xml:space="preserve"> and Perú. The group was prominent in developing positions that eventually became part of the Paris Agreement, including influencing the goals on </w:t>
            </w:r>
            <w:r w:rsidR="007D3504" w:rsidRPr="00554B41">
              <w:t xml:space="preserve">finance </w:t>
            </w:r>
            <w:r w:rsidRPr="00554B41">
              <w:t xml:space="preserve">and </w:t>
            </w:r>
            <w:r w:rsidR="007D3504" w:rsidRPr="00554B41">
              <w:t>adaptation</w:t>
            </w:r>
            <w:r w:rsidRPr="00554B41">
              <w:t>. AILAC has pushed for transparency in mitigation by developing countries, going beyond the G77</w:t>
            </w:r>
            <w:r w:rsidR="007D3504" w:rsidRPr="00554B41">
              <w:t>+</w:t>
            </w:r>
            <w:r w:rsidRPr="00554B41">
              <w:t xml:space="preserve">China group’s emphasis on </w:t>
            </w:r>
            <w:r w:rsidR="007D3504" w:rsidRPr="00554B41">
              <w:t xml:space="preserve">adaptation </w:t>
            </w:r>
            <w:r w:rsidRPr="00554B41">
              <w:t>and Loss and Damage.</w:t>
            </w:r>
            <w:r w:rsidRPr="00554B41">
              <w:rPr>
                <w:rStyle w:val="FootnoteReference"/>
              </w:rPr>
              <w:footnoteReference w:id="14"/>
            </w:r>
            <w:r w:rsidRPr="00554B41">
              <w:t xml:space="preserve"> </w:t>
            </w:r>
          </w:p>
          <w:p w14:paraId="5EE63768" w14:textId="43B3FD7C" w:rsidR="007032D3" w:rsidRPr="00554B41" w:rsidRDefault="007032D3" w:rsidP="007032D3">
            <w:r w:rsidRPr="00554B41">
              <w:t xml:space="preserve">In </w:t>
            </w:r>
            <w:r w:rsidR="007D3504" w:rsidRPr="00554B41">
              <w:t xml:space="preserve">regard to </w:t>
            </w:r>
            <w:r w:rsidRPr="00554B41">
              <w:t xml:space="preserve">climate adaptation and mitigation, </w:t>
            </w:r>
            <w:r w:rsidR="004A4B4C" w:rsidRPr="00554B41">
              <w:t>MICs</w:t>
            </w:r>
            <w:r w:rsidRPr="00554B41">
              <w:t xml:space="preserve"> find themselves in a </w:t>
            </w:r>
            <w:r w:rsidR="001A2C0E" w:rsidRPr="00554B41">
              <w:t xml:space="preserve">challenging </w:t>
            </w:r>
            <w:r w:rsidRPr="00554B41">
              <w:t>position</w:t>
            </w:r>
            <w:r w:rsidR="007D3504" w:rsidRPr="00554B41">
              <w:t xml:space="preserve">. </w:t>
            </w:r>
            <w:r w:rsidRPr="00554B41">
              <w:t xml:space="preserve">While LDCs </w:t>
            </w:r>
            <w:r w:rsidR="00095CA4" w:rsidRPr="00554B41">
              <w:t>are especially vulnerable to</w:t>
            </w:r>
            <w:r w:rsidRPr="00554B41">
              <w:t xml:space="preserve"> climate c</w:t>
            </w:r>
            <w:r w:rsidR="007F7DC1" w:rsidRPr="00554B41">
              <w:t>hange</w:t>
            </w:r>
            <w:r w:rsidRPr="00554B41">
              <w:t xml:space="preserve"> and cannot afford to adapt or </w:t>
            </w:r>
            <w:r w:rsidR="00773D03" w:rsidRPr="00554B41">
              <w:t>mitigate, MICs</w:t>
            </w:r>
            <w:r w:rsidRPr="00554B41">
              <w:t xml:space="preserve"> </w:t>
            </w:r>
            <w:r w:rsidR="00241036" w:rsidRPr="00554B41">
              <w:t>are</w:t>
            </w:r>
            <w:r w:rsidRPr="00554B41">
              <w:t xml:space="preserve"> economically better off </w:t>
            </w:r>
            <w:r w:rsidR="00C76758" w:rsidRPr="00554B41">
              <w:t xml:space="preserve">but </w:t>
            </w:r>
            <w:r w:rsidRPr="00554B41">
              <w:t>still have weak institutions</w:t>
            </w:r>
            <w:r w:rsidR="008F64CE">
              <w:t xml:space="preserve"> with </w:t>
            </w:r>
            <w:r w:rsidR="00FD1E66">
              <w:t xml:space="preserve">oftentimes </w:t>
            </w:r>
            <w:r w:rsidR="008F64CE">
              <w:t xml:space="preserve">limited </w:t>
            </w:r>
            <w:r w:rsidR="000804D4">
              <w:t xml:space="preserve">administrative capacity and fragmented </w:t>
            </w:r>
            <w:r w:rsidR="00FD1E66">
              <w:t xml:space="preserve">inter-ministerial </w:t>
            </w:r>
            <w:r w:rsidR="000804D4">
              <w:t>coordination</w:t>
            </w:r>
            <w:r w:rsidRPr="00554B41">
              <w:t xml:space="preserve">. Often, the size of the economy may not be a match for the mitigation or adaptation challenges facing the country. Since 2013, CIES has been staffing an AILAC </w:t>
            </w:r>
            <w:r w:rsidR="00C76758" w:rsidRPr="00554B41">
              <w:t>‘</w:t>
            </w:r>
            <w:r w:rsidRPr="00554B41">
              <w:t>support unit</w:t>
            </w:r>
            <w:r w:rsidR="00C76758" w:rsidRPr="00554B41">
              <w:t>’</w:t>
            </w:r>
            <w:r w:rsidRPr="00554B41">
              <w:t xml:space="preserve"> with experts delivering advisory, local capacity, and coordination in UNFCCC negotiations to AILAC countries and national civil servants. CIES supports multilateralism through the building of a coalition of the willing to advance negotiations on Just Transition and Article 2.1</w:t>
            </w:r>
            <w:r w:rsidRPr="00554B41">
              <w:rPr>
                <w:rFonts w:ascii="Arial" w:hAnsi="Arial" w:cs="Arial"/>
              </w:rPr>
              <w:t>​</w:t>
            </w:r>
            <w:r w:rsidRPr="00554B41">
              <w:t xml:space="preserve"> (i.e. the Paris Agreement objectives, including finance).</w:t>
            </w:r>
          </w:p>
        </w:tc>
      </w:tr>
    </w:tbl>
    <w:p w14:paraId="43144540" w14:textId="27382F8C" w:rsidR="00A34244" w:rsidRDefault="00A34244" w:rsidP="00A34244">
      <w:pPr>
        <w:pStyle w:val="Heading2"/>
      </w:pPr>
      <w:bookmarkStart w:id="47" w:name="_Toc204967860"/>
      <w:r w:rsidRPr="00554B41">
        <w:t>What did the TP do?</w:t>
      </w:r>
      <w:bookmarkEnd w:id="47"/>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4"/>
      </w:tblGrid>
      <w:tr w:rsidR="007032D3" w:rsidRPr="00554B41" w14:paraId="39F15A22" w14:textId="77777777" w:rsidTr="12014D65">
        <w:trPr>
          <w:trHeight w:val="300"/>
        </w:trPr>
        <w:tc>
          <w:tcPr>
            <w:tcW w:w="9064" w:type="dxa"/>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69230653" w14:textId="13F06DF8" w:rsidR="007032D3" w:rsidRPr="00554B41" w:rsidRDefault="007032D3" w:rsidP="007032D3">
            <w:r w:rsidRPr="00554B41">
              <w:t xml:space="preserve">CIES aims to balance negotiations and implementation by strengthening capacity in supported countries to act on the Paris Agreement, specifically Just Transition and Article 2.1. The goal is to enhance and retain </w:t>
            </w:r>
            <w:r w:rsidR="00C76758" w:rsidRPr="00554B41">
              <w:t xml:space="preserve">the </w:t>
            </w:r>
            <w:r w:rsidRPr="00554B41">
              <w:t>capacity of negotiators, delegates</w:t>
            </w:r>
            <w:r w:rsidR="00C76758" w:rsidRPr="00554B41">
              <w:t>,</w:t>
            </w:r>
            <w:r w:rsidRPr="00554B41">
              <w:t xml:space="preserve"> and institutions within AILAC countries and help them develop their own visions for the future. </w:t>
            </w:r>
          </w:p>
          <w:p w14:paraId="7FB69D9A" w14:textId="08C5B8E1" w:rsidR="007032D3" w:rsidRPr="00554B41" w:rsidRDefault="007032D3" w:rsidP="007032D3">
            <w:r w:rsidRPr="00554B41">
              <w:rPr>
                <w:b/>
                <w:bCs/>
              </w:rPr>
              <w:t xml:space="preserve">Pathway 1: Capacity and institutional strengthening. </w:t>
            </w:r>
            <w:r w:rsidRPr="00554B41">
              <w:t xml:space="preserve">CIES delivered workshops to strengthen </w:t>
            </w:r>
            <w:r w:rsidR="00C76758" w:rsidRPr="00554B41">
              <w:t xml:space="preserve">the </w:t>
            </w:r>
            <w:r w:rsidRPr="00554B41">
              <w:t>capacities of lead negotiators from AILAC member countries (predominantly Costa Rica, Guatemala, Dominican Republic,</w:t>
            </w:r>
            <w:r w:rsidRPr="00554B41">
              <w:rPr>
                <w:rStyle w:val="FootnoteReference"/>
              </w:rPr>
              <w:footnoteReference w:id="15"/>
            </w:r>
            <w:r w:rsidRPr="00554B41">
              <w:t xml:space="preserve"> Chile, Panama, and Peru) and other stakeholders (such as private sector actors and civil society leaders) engaged in UNFCCC negotiations through AILAC.</w:t>
            </w:r>
          </w:p>
          <w:p w14:paraId="1BC91C07" w14:textId="459B67DD" w:rsidR="007032D3" w:rsidRPr="00554B41" w:rsidRDefault="007032D3" w:rsidP="007032D3">
            <w:r w:rsidRPr="00554B41">
              <w:t xml:space="preserve">CIES utilises </w:t>
            </w:r>
            <w:r w:rsidR="00C76758" w:rsidRPr="00554B41">
              <w:t>‘</w:t>
            </w:r>
            <w:r w:rsidRPr="00554B41">
              <w:t>elders</w:t>
            </w:r>
            <w:r w:rsidR="00C76758" w:rsidRPr="00554B41">
              <w:t xml:space="preserve">’ </w:t>
            </w:r>
            <w:r w:rsidRPr="00554B41">
              <w:t>in the delivery of support and was using this approach already prior to receiving CASA funding. Elders (former heads of delegation, an ex-minister, ambassadors</w:t>
            </w:r>
            <w:r w:rsidR="00C76758" w:rsidRPr="00554B41">
              <w:t>, etc.</w:t>
            </w:r>
            <w:r w:rsidRPr="00554B41">
              <w:t xml:space="preserve">) provide a highly experienced advisory support </w:t>
            </w:r>
            <w:r w:rsidR="0097317A">
              <w:t xml:space="preserve">to </w:t>
            </w:r>
            <w:r w:rsidRPr="00554B41">
              <w:t>delegates before, during</w:t>
            </w:r>
            <w:r w:rsidR="00C76758" w:rsidRPr="00554B41">
              <w:t>,</w:t>
            </w:r>
            <w:r w:rsidRPr="00554B41">
              <w:t xml:space="preserve"> and after COPs</w:t>
            </w:r>
            <w:r w:rsidR="00C76758" w:rsidRPr="00554B41">
              <w:t xml:space="preserve"> and </w:t>
            </w:r>
            <w:r w:rsidR="003A1DB9" w:rsidRPr="00554B41">
              <w:t>SB</w:t>
            </w:r>
            <w:r w:rsidR="00C76758" w:rsidRPr="00554B41">
              <w:t>s</w:t>
            </w:r>
            <w:r w:rsidRPr="00554B41">
              <w:t>.</w:t>
            </w:r>
          </w:p>
          <w:p w14:paraId="0D44EE6B" w14:textId="35670187" w:rsidR="007032D3" w:rsidRPr="00554B41" w:rsidRDefault="007032D3" w:rsidP="007032D3">
            <w:r w:rsidRPr="00554B41">
              <w:t>Training has included pre-COP28 orientation and coordination in AILAC countries and real-time support and mentoring during C</w:t>
            </w:r>
            <w:r w:rsidR="00DE7FE4" w:rsidRPr="00554B41">
              <w:t>O</w:t>
            </w:r>
            <w:r w:rsidRPr="00554B41">
              <w:t>P28 in the UAE. This resulted in, among other</w:t>
            </w:r>
            <w:r w:rsidR="00C76758" w:rsidRPr="00554B41">
              <w:t xml:space="preserve"> outcome</w:t>
            </w:r>
            <w:r w:rsidRPr="00554B41">
              <w:t>s, a revised AILAC Global Stock Take position</w:t>
            </w:r>
            <w:r w:rsidR="004529F8">
              <w:t xml:space="preserve"> and</w:t>
            </w:r>
            <w:r w:rsidRPr="00554B41">
              <w:t xml:space="preserve"> </w:t>
            </w:r>
            <w:r w:rsidR="00C76758" w:rsidRPr="00554B41">
              <w:t xml:space="preserve">a </w:t>
            </w:r>
            <w:r w:rsidRPr="00554B41">
              <w:t xml:space="preserve">text agreement before </w:t>
            </w:r>
            <w:r w:rsidR="00C76758" w:rsidRPr="00554B41">
              <w:t xml:space="preserve">the </w:t>
            </w:r>
            <w:r w:rsidRPr="00554B41">
              <w:t xml:space="preserve">close of SB60. In addition, the TP provides access to innovative tools and technologies, such as Notion, an online relational database, to give insight and resources to negotiators to use during negotiations. </w:t>
            </w:r>
            <w:r w:rsidR="00C76758" w:rsidRPr="00554B41">
              <w:t>CIES</w:t>
            </w:r>
            <w:r w:rsidRPr="00554B41">
              <w:t xml:space="preserve"> also drafted memos on possible negotiation lines for intersessional meetings prior to COP28, including suggested lines to take on the NCQG and side meetings (Cartagena Dialogue), as well as draft submissions for submission to the UNFCCC. </w:t>
            </w:r>
          </w:p>
          <w:p w14:paraId="287B495A" w14:textId="631FDDA6" w:rsidR="007032D3" w:rsidRPr="00554B41" w:rsidRDefault="007032D3" w:rsidP="007032D3">
            <w:r w:rsidRPr="00E16498">
              <w:t xml:space="preserve">In </w:t>
            </w:r>
            <w:r w:rsidRPr="00554B41">
              <w:rPr>
                <w:b/>
                <w:bCs/>
              </w:rPr>
              <w:t>Costa Rica</w:t>
            </w:r>
            <w:r w:rsidRPr="00554B41">
              <w:t xml:space="preserve">, CIES helped train a new Costa Rican negotiation team of around </w:t>
            </w:r>
            <w:r w:rsidR="00C76758" w:rsidRPr="00554B41">
              <w:t xml:space="preserve">eight </w:t>
            </w:r>
            <w:r w:rsidRPr="00554B41">
              <w:t>people, prior to COP28, and 15 people prior to COP29 and SB62. The project directly supported 10 delegates to attend COPs, SBs, and AILAC meetings. </w:t>
            </w:r>
          </w:p>
          <w:p w14:paraId="1CB9CA4E" w14:textId="5AD062E3" w:rsidR="007032D3" w:rsidRPr="00554B41" w:rsidRDefault="007032D3" w:rsidP="007032D3">
            <w:r w:rsidRPr="00554B41">
              <w:t xml:space="preserve">The TP provided advance negotiation advice to the Head of Delegation (HoD), helped </w:t>
            </w:r>
            <w:r w:rsidR="00C76758" w:rsidRPr="00554B41">
              <w:t xml:space="preserve">mobilise </w:t>
            </w:r>
            <w:r w:rsidRPr="00554B41">
              <w:t xml:space="preserve">personnel to attend the COP, and provided in-situ negotiation and policy advice to the HoD and team at COP28 and COP29, the SBs, </w:t>
            </w:r>
            <w:r w:rsidR="00C76758" w:rsidRPr="00554B41">
              <w:t>the</w:t>
            </w:r>
            <w:r w:rsidRPr="00554B41">
              <w:t xml:space="preserve"> Cartagena Dialogue</w:t>
            </w:r>
            <w:r w:rsidR="00C76758" w:rsidRPr="00554B41">
              <w:t>,</w:t>
            </w:r>
            <w:r w:rsidRPr="00554B41">
              <w:t xml:space="preserve"> and AILAC coordination meetings.</w:t>
            </w:r>
          </w:p>
          <w:p w14:paraId="1E92C630" w14:textId="3AA345F6" w:rsidR="007032D3" w:rsidRPr="00554B41" w:rsidRDefault="007032D3" w:rsidP="007032D3">
            <w:r w:rsidRPr="00554B41">
              <w:t>CIES also facilitated and contributed to the coaching of the Costa Rican HoD and supported the Environment and Energy Minister to work as adaptation envoy for the COP29 presidency.</w:t>
            </w:r>
          </w:p>
          <w:p w14:paraId="7FC9ED96" w14:textId="6A3FB784" w:rsidR="007032D3" w:rsidRPr="00554B41" w:rsidRDefault="007032D3" w:rsidP="007032D3">
            <w:r w:rsidRPr="00554B41">
              <w:t>Finally, the TP delivered training to a group of Costa Rican youth and new negotiators. CIES also developed a process to exchange views with the elders.</w:t>
            </w:r>
          </w:p>
          <w:p w14:paraId="00AC7EA5" w14:textId="77777777" w:rsidR="007032D3" w:rsidRPr="00554B41" w:rsidRDefault="007032D3" w:rsidP="007032D3">
            <w:r w:rsidRPr="00554B41">
              <w:rPr>
                <w:b/>
                <w:bCs/>
              </w:rPr>
              <w:t>Pathway 3: Support to implementation and review mechanisms.</w:t>
            </w:r>
            <w:r w:rsidRPr="00554B41">
              <w:t> </w:t>
            </w:r>
          </w:p>
          <w:p w14:paraId="748329D3" w14:textId="113B367E" w:rsidR="007032D3" w:rsidRPr="00554B41" w:rsidRDefault="007032D3" w:rsidP="007032D3">
            <w:r w:rsidRPr="00554B41">
              <w:t xml:space="preserve">Since January 2025, CIES </w:t>
            </w:r>
            <w:r w:rsidR="00C76758" w:rsidRPr="00554B41">
              <w:t xml:space="preserve">has been </w:t>
            </w:r>
            <w:r w:rsidRPr="00554B41">
              <w:t xml:space="preserve">supporting </w:t>
            </w:r>
            <w:r w:rsidRPr="00554B41">
              <w:rPr>
                <w:b/>
                <w:bCs/>
              </w:rPr>
              <w:t>Panama</w:t>
            </w:r>
            <w:r w:rsidRPr="00554B41">
              <w:t xml:space="preserve"> in setting new priorities for its Ministry of Environment and supporting the drafting of climate change laws. At the ministry’s request, several initiatives have </w:t>
            </w:r>
            <w:r w:rsidR="00C76758" w:rsidRPr="00554B41">
              <w:t xml:space="preserve">already </w:t>
            </w:r>
            <w:r w:rsidRPr="00554B41">
              <w:t xml:space="preserve">been reviewed, </w:t>
            </w:r>
            <w:r w:rsidR="00C76758" w:rsidRPr="00554B41">
              <w:t xml:space="preserve">including </w:t>
            </w:r>
            <w:r w:rsidRPr="00554B41">
              <w:t xml:space="preserve">both climate change and other multilateral environmental initiatives, such as Biodiversity Beyond National Jurisdiction and Convention on Biological Diversity. Specific to climate change, CIES is supporting </w:t>
            </w:r>
            <w:r w:rsidR="00B87B98" w:rsidRPr="00554B41">
              <w:t>the</w:t>
            </w:r>
            <w:r w:rsidRPr="00554B41">
              <w:t xml:space="preserve"> review of reforestation and afforestation plans, as well as</w:t>
            </w:r>
            <w:r w:rsidRPr="00554B41" w:rsidDel="00C76758">
              <w:t xml:space="preserve"> </w:t>
            </w:r>
            <w:r w:rsidRPr="00554B41">
              <w:t>adaptation measures regarding the expansion of the Panama Canal watershed, which has been going through judicial and executive processes. Draft legislation is currently being reviewed internally, with CIES expected to provide a comparative review of legislation from the region.</w:t>
            </w:r>
          </w:p>
          <w:p w14:paraId="66E87219" w14:textId="6A12E06D" w:rsidR="007032D3" w:rsidRPr="00554B41" w:rsidRDefault="007032D3" w:rsidP="007032D3">
            <w:r w:rsidRPr="00554B41">
              <w:t xml:space="preserve">The TP’s support </w:t>
            </w:r>
            <w:r w:rsidR="00C76758" w:rsidRPr="00554B41">
              <w:t xml:space="preserve">to </w:t>
            </w:r>
            <w:r w:rsidRPr="00554B41">
              <w:rPr>
                <w:b/>
                <w:bCs/>
              </w:rPr>
              <w:t xml:space="preserve">Costa Rica </w:t>
            </w:r>
            <w:r w:rsidR="00C76758" w:rsidRPr="00554B41">
              <w:t xml:space="preserve">involves </w:t>
            </w:r>
            <w:r w:rsidRPr="00554B41">
              <w:t>negotiations support in addition to implementation. CIES is currently supporting the country with climate change policies of relevance to the negotiations, specifically: </w:t>
            </w:r>
            <w:r w:rsidR="00C76758" w:rsidRPr="00554B41">
              <w:t xml:space="preserve">supporting </w:t>
            </w:r>
            <w:r w:rsidRPr="00554B41">
              <w:t>three different NDC enhancement working groups</w:t>
            </w:r>
            <w:r w:rsidRPr="00554B41" w:rsidDel="00C76758">
              <w:t xml:space="preserve"> </w:t>
            </w:r>
            <w:r w:rsidRPr="00554B41">
              <w:t xml:space="preserve">focused on energy, transport, and adaptation; </w:t>
            </w:r>
            <w:r w:rsidR="00C76758" w:rsidRPr="00554B41">
              <w:t xml:space="preserve">supporting </w:t>
            </w:r>
            <w:r w:rsidRPr="00554B41">
              <w:t>the drafting of policy proposals for Art</w:t>
            </w:r>
            <w:r w:rsidR="00AE62BC" w:rsidRPr="00554B41">
              <w:t>icle</w:t>
            </w:r>
            <w:r w:rsidRPr="00554B41">
              <w:t xml:space="preserve"> 6 implementation; and</w:t>
            </w:r>
            <w:r w:rsidR="006131F7" w:rsidRPr="00554B41">
              <w:t xml:space="preserve"> </w:t>
            </w:r>
            <w:r w:rsidR="00C76758" w:rsidRPr="00554B41">
              <w:t>support on</w:t>
            </w:r>
            <w:r w:rsidRPr="00554B41">
              <w:t xml:space="preserve"> proposals and activities for agro-forestry landscapes, to be used to inform</w:t>
            </w:r>
            <w:r w:rsidR="00C76758" w:rsidRPr="00554B41">
              <w:t xml:space="preserve"> both</w:t>
            </w:r>
            <w:r w:rsidRPr="00554B41">
              <w:t xml:space="preserve"> UNFCCC negotiations</w:t>
            </w:r>
            <w:r w:rsidR="00C76758" w:rsidRPr="00554B41">
              <w:t xml:space="preserve"> and</w:t>
            </w:r>
            <w:r w:rsidRPr="00554B41">
              <w:t xml:space="preserve"> domestic policy.</w:t>
            </w:r>
          </w:p>
          <w:p w14:paraId="7E6E046B" w14:textId="399CA7FC" w:rsidR="007032D3" w:rsidRPr="00554B41" w:rsidRDefault="007032D3" w:rsidP="007032D3">
            <w:r w:rsidRPr="00554B41">
              <w:t xml:space="preserve">CIES has supported the development of Costa Rica's Third NDC, </w:t>
            </w:r>
            <w:r w:rsidR="00C76758" w:rsidRPr="00554B41">
              <w:t xml:space="preserve">which is </w:t>
            </w:r>
            <w:r w:rsidRPr="00554B41">
              <w:t>aligned with a new Costa Rican climate change law.</w:t>
            </w:r>
            <w:r w:rsidRPr="00554B41">
              <w:rPr>
                <w:vertAlign w:val="superscript"/>
              </w:rPr>
              <w:t>8</w:t>
            </w:r>
            <w:r w:rsidRPr="00554B41">
              <w:t> </w:t>
            </w:r>
          </w:p>
          <w:p w14:paraId="5DAC66D1" w14:textId="77777777" w:rsidR="007032D3" w:rsidRPr="00554B41" w:rsidRDefault="007032D3" w:rsidP="007032D3">
            <w:pPr>
              <w:pStyle w:val="ListBullet"/>
              <w:numPr>
                <w:ilvl w:val="0"/>
                <w:numId w:val="0"/>
              </w:numPr>
            </w:pPr>
          </w:p>
        </w:tc>
      </w:tr>
    </w:tbl>
    <w:p w14:paraId="43019C7B" w14:textId="6F45C927" w:rsidR="00A34244" w:rsidRDefault="00A34244" w:rsidP="00A34244">
      <w:pPr>
        <w:pStyle w:val="Heading2"/>
      </w:pPr>
      <w:bookmarkStart w:id="48" w:name="_Toc204967861"/>
      <w:r w:rsidRPr="00554B41">
        <w:t>Intermediate outcomes – What changed?</w:t>
      </w:r>
      <w:bookmarkEnd w:id="48"/>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4"/>
      </w:tblGrid>
      <w:tr w:rsidR="007032D3" w:rsidRPr="00554B41" w14:paraId="361BDCA8" w14:textId="77777777" w:rsidTr="12014D65">
        <w:trPr>
          <w:trHeight w:val="300"/>
        </w:trPr>
        <w:tc>
          <w:tcPr>
            <w:tcW w:w="9064" w:type="dxa"/>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4A57D419" w14:textId="3EF32FF0" w:rsidR="007032D3" w:rsidRPr="00554B41" w:rsidRDefault="007032D3" w:rsidP="007032D3">
            <w:pPr>
              <w:pStyle w:val="ListBullet"/>
              <w:numPr>
                <w:ilvl w:val="0"/>
                <w:numId w:val="0"/>
              </w:numPr>
            </w:pPr>
            <w:r w:rsidRPr="00554B41">
              <w:t xml:space="preserve">The training of civil society leaders (including youth), in addition to government delegates including by ‘elders’, expanded Costa Rica’s pool of possible negotiators ahead of COP29. Three of the trainees (the new HoD, a youth negotiator, and the </w:t>
            </w:r>
            <w:r w:rsidR="004F52BB" w:rsidRPr="00554B41">
              <w:t>Climate</w:t>
            </w:r>
            <w:r w:rsidRPr="00554B41" w:rsidDel="004F52BB">
              <w:t xml:space="preserve"> </w:t>
            </w:r>
            <w:r w:rsidR="004F52BB" w:rsidRPr="00554B41">
              <w:t xml:space="preserve">Change </w:t>
            </w:r>
            <w:r w:rsidRPr="00554B41">
              <w:t xml:space="preserve">Ambassador) were selected to be on the Costa Rican Minister’s support team, which assisted the COP </w:t>
            </w:r>
            <w:r w:rsidR="00DB4A3F">
              <w:t>P</w:t>
            </w:r>
            <w:r w:rsidRPr="00554B41">
              <w:t>residency team in coordinating</w:t>
            </w:r>
            <w:r w:rsidRPr="00554B41" w:rsidDel="004F52BB">
              <w:t xml:space="preserve"> </w:t>
            </w:r>
            <w:r w:rsidR="004F52BB" w:rsidRPr="00554B41">
              <w:t xml:space="preserve">ministerial </w:t>
            </w:r>
            <w:r w:rsidRPr="00554B41">
              <w:t xml:space="preserve">consultations on adaptation and, ultimately, helped draft the adaptation </w:t>
            </w:r>
            <w:hyperlink r:id="rId37" w:history="1">
              <w:r w:rsidRPr="00554B41">
                <w:rPr>
                  <w:rStyle w:val="Hyperlink"/>
                </w:rPr>
                <w:t>text</w:t>
              </w:r>
            </w:hyperlink>
            <w:r w:rsidRPr="00554B41">
              <w:t xml:space="preserve"> which, however, could not be adopted at COP29 due to strongly divergent views across parties. </w:t>
            </w:r>
          </w:p>
          <w:p w14:paraId="2670A311" w14:textId="77777777" w:rsidR="007032D3" w:rsidRPr="00554B41" w:rsidRDefault="007032D3" w:rsidP="007032D3">
            <w:pPr>
              <w:pStyle w:val="ListBullet"/>
              <w:numPr>
                <w:ilvl w:val="0"/>
                <w:numId w:val="0"/>
              </w:numPr>
            </w:pPr>
          </w:p>
          <w:p w14:paraId="4A2C90CD" w14:textId="6B754B32" w:rsidR="007032D3" w:rsidRPr="00554B41" w:rsidRDefault="007032D3" w:rsidP="007032D3">
            <w:pPr>
              <w:pStyle w:val="ListBullet"/>
              <w:numPr>
                <w:ilvl w:val="0"/>
                <w:numId w:val="0"/>
              </w:numPr>
            </w:pPr>
            <w:r w:rsidRPr="00554B41">
              <w:t xml:space="preserve">The three Costa Rican youth trained by CIES are now all part of Costa Rica’s delegation. One has been assigned to AILAC’s NCQG coordination, another to the adaptation coordination, and the third to the just transition team. According to CIES, these new negotiators are now capable of preparing an analysis of country submissions. </w:t>
            </w:r>
          </w:p>
          <w:p w14:paraId="2ABBE935" w14:textId="77777777" w:rsidR="007032D3" w:rsidRPr="00554B41" w:rsidRDefault="007032D3" w:rsidP="007032D3">
            <w:pPr>
              <w:pStyle w:val="ListBullet"/>
              <w:numPr>
                <w:ilvl w:val="0"/>
                <w:numId w:val="0"/>
              </w:numPr>
            </w:pPr>
          </w:p>
          <w:p w14:paraId="05EE5CD7" w14:textId="04A7F10A" w:rsidR="007032D3" w:rsidRPr="00554B41" w:rsidRDefault="007032D3" w:rsidP="007032D3">
            <w:pPr>
              <w:pStyle w:val="ListBullet"/>
              <w:numPr>
                <w:ilvl w:val="0"/>
                <w:numId w:val="0"/>
              </w:numPr>
            </w:pPr>
            <w:r w:rsidRPr="00554B41">
              <w:t xml:space="preserve">In Costa Rica, </w:t>
            </w:r>
            <w:r w:rsidR="00490974">
              <w:t xml:space="preserve">CIES </w:t>
            </w:r>
            <w:r w:rsidR="00F90A74">
              <w:t>supported</w:t>
            </w:r>
            <w:r w:rsidR="00490974">
              <w:t xml:space="preserve"> the </w:t>
            </w:r>
            <w:r w:rsidR="00490974" w:rsidRPr="00490974">
              <w:t>development process of the Nationally Determined Contribution (NDC) 2025–2035</w:t>
            </w:r>
            <w:r w:rsidR="009D5B2F">
              <w:t>. T</w:t>
            </w:r>
            <w:r w:rsidRPr="00554B41">
              <w:t xml:space="preserve">he assigned CIES </w:t>
            </w:r>
            <w:r w:rsidR="004F52BB" w:rsidRPr="00554B41">
              <w:t>‘</w:t>
            </w:r>
            <w:r w:rsidRPr="00554B41">
              <w:t>elders</w:t>
            </w:r>
            <w:r w:rsidR="004F52BB" w:rsidRPr="00554B41">
              <w:t xml:space="preserve">’ </w:t>
            </w:r>
            <w:r w:rsidRPr="00554B41">
              <w:t xml:space="preserve">advanced three NDC streams (modelling and decarbonisation plans, energy, </w:t>
            </w:r>
            <w:r w:rsidR="004F52BB" w:rsidRPr="00554B41">
              <w:t xml:space="preserve">and </w:t>
            </w:r>
            <w:r w:rsidRPr="00554B41">
              <w:t>adaptation), coordinated one of them, and provided in situ policy support for development of the climate change law. The Third NDC and accompanying law are expected to be finalised before COP30.</w:t>
            </w:r>
          </w:p>
          <w:p w14:paraId="246C5BA1" w14:textId="77777777" w:rsidR="007032D3" w:rsidRPr="00554B41" w:rsidRDefault="007032D3" w:rsidP="007032D3">
            <w:pPr>
              <w:pStyle w:val="ListBullet"/>
              <w:numPr>
                <w:ilvl w:val="0"/>
                <w:numId w:val="0"/>
              </w:numPr>
            </w:pPr>
          </w:p>
          <w:p w14:paraId="6C03F9D1" w14:textId="5B0E4677" w:rsidR="007032D3" w:rsidRPr="00554B41" w:rsidRDefault="007032D3" w:rsidP="007032D3">
            <w:pPr>
              <w:pStyle w:val="ListBullet"/>
              <w:numPr>
                <w:ilvl w:val="0"/>
                <w:numId w:val="0"/>
              </w:numPr>
            </w:pPr>
            <w:r w:rsidRPr="00554B41">
              <w:t>Building on CIES training, Costa Rican civil society prepared project proposals to Germany’s IKI fund program</w:t>
            </w:r>
            <w:r w:rsidR="004F52BB" w:rsidRPr="00554B41">
              <w:t>me</w:t>
            </w:r>
            <w:r w:rsidRPr="00554B41">
              <w:t xml:space="preserve">. Importantly, the Costa Rican government has now found other means to continue funding the negotiators trained by CIES </w:t>
            </w:r>
            <w:r w:rsidR="004F52BB" w:rsidRPr="00554B41">
              <w:t>‘</w:t>
            </w:r>
            <w:r w:rsidRPr="00554B41">
              <w:t>elders</w:t>
            </w:r>
            <w:r w:rsidR="004F52BB" w:rsidRPr="00554B41">
              <w:t>’.</w:t>
            </w:r>
          </w:p>
          <w:p w14:paraId="6F93A7F5" w14:textId="77777777" w:rsidR="007032D3" w:rsidRPr="00554B41" w:rsidRDefault="007032D3" w:rsidP="007032D3">
            <w:pPr>
              <w:pStyle w:val="ListBullet"/>
              <w:numPr>
                <w:ilvl w:val="0"/>
                <w:numId w:val="0"/>
              </w:numPr>
            </w:pPr>
          </w:p>
          <w:p w14:paraId="0E9F448A" w14:textId="2A8FF6C3" w:rsidR="007032D3" w:rsidRPr="00554B41" w:rsidRDefault="007032D3" w:rsidP="007032D3">
            <w:pPr>
              <w:pStyle w:val="ListBullet"/>
              <w:numPr>
                <w:ilvl w:val="0"/>
                <w:numId w:val="0"/>
              </w:numPr>
            </w:pPr>
            <w:r w:rsidRPr="00554B41">
              <w:t xml:space="preserve">Building on the success of the work in Costa Rica, CIES is now delivering support using a similar approach in Panama and Chile. The </w:t>
            </w:r>
            <w:r w:rsidR="004F52BB" w:rsidRPr="00554B41">
              <w:t>‘</w:t>
            </w:r>
            <w:r w:rsidRPr="00554B41">
              <w:t>elders</w:t>
            </w:r>
            <w:r w:rsidR="004F52BB" w:rsidRPr="00554B41">
              <w:t xml:space="preserve">’ </w:t>
            </w:r>
            <w:r w:rsidRPr="00554B41">
              <w:t>are now replicating the scheme with incoming HoDs for the next administration. </w:t>
            </w:r>
            <w:r w:rsidRPr="00554B41">
              <w:rPr>
                <w:rFonts w:ascii="Arial" w:hAnsi="Arial" w:cs="Arial"/>
              </w:rPr>
              <w:t>​</w:t>
            </w:r>
            <w:r w:rsidRPr="00554B41">
              <w:t>Panama’s Ministry of Environment has confirmed CIES’</w:t>
            </w:r>
            <w:r w:rsidR="004F52BB" w:rsidRPr="00554B41">
              <w:t>s</w:t>
            </w:r>
            <w:r w:rsidRPr="00554B41">
              <w:t xml:space="preserve"> support to domestic implementation through a letter of interest. </w:t>
            </w:r>
          </w:p>
          <w:p w14:paraId="0F151038" w14:textId="77777777" w:rsidR="007032D3" w:rsidRPr="00554B41" w:rsidRDefault="007032D3" w:rsidP="007032D3">
            <w:pPr>
              <w:rPr>
                <w:b/>
                <w:bCs/>
              </w:rPr>
            </w:pPr>
          </w:p>
        </w:tc>
      </w:tr>
    </w:tbl>
    <w:p w14:paraId="28ED35CA" w14:textId="0946B651" w:rsidR="00A34244" w:rsidRDefault="00A34244" w:rsidP="00A34244">
      <w:pPr>
        <w:pStyle w:val="Heading2"/>
      </w:pPr>
      <w:bookmarkStart w:id="49" w:name="_Toc204967862"/>
      <w:r w:rsidRPr="00554B41">
        <w:t>How effective were the TPs during the period?</w:t>
      </w:r>
      <w:bookmarkEnd w:id="49"/>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4"/>
      </w:tblGrid>
      <w:tr w:rsidR="007032D3" w:rsidRPr="00554B41" w14:paraId="3F04B52A" w14:textId="77777777" w:rsidTr="12014D65">
        <w:trPr>
          <w:trHeight w:val="300"/>
        </w:trPr>
        <w:tc>
          <w:tcPr>
            <w:tcW w:w="9064" w:type="dxa"/>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3080247E" w14:textId="5B4DFBE0" w:rsidR="007032D3" w:rsidRPr="00554B41" w:rsidRDefault="007032D3" w:rsidP="007032D3">
            <w:pPr>
              <w:rPr>
                <w:b/>
                <w:bCs/>
              </w:rPr>
            </w:pPr>
            <w:r w:rsidRPr="00554B41">
              <w:t>The evaluation was unable to validate the intermediate outcome</w:t>
            </w:r>
            <w:r w:rsidR="004F52BB" w:rsidRPr="00554B41">
              <w:t>-</w:t>
            </w:r>
            <w:r w:rsidRPr="00554B41">
              <w:t xml:space="preserve"> and </w:t>
            </w:r>
            <w:r w:rsidRPr="00554B41" w:rsidDel="004F52BB">
              <w:t>outcome</w:t>
            </w:r>
            <w:r w:rsidR="004F52BB" w:rsidRPr="00554B41">
              <w:t>-</w:t>
            </w:r>
            <w:r w:rsidRPr="00554B41">
              <w:t xml:space="preserve">level changes reported by CIES due to non-responses from CIES-supported negotiators and delegates. Therefore, the effectiveness of CIES TA cannot be reported. </w:t>
            </w:r>
          </w:p>
        </w:tc>
      </w:tr>
    </w:tbl>
    <w:p w14:paraId="592AD1D1" w14:textId="4A3DABFF" w:rsidR="00A34244" w:rsidRDefault="00A34244" w:rsidP="00A34244">
      <w:pPr>
        <w:pStyle w:val="Heading2"/>
      </w:pPr>
      <w:bookmarkStart w:id="50" w:name="_Toc204967863"/>
      <w:r w:rsidRPr="00554B41">
        <w:t>What were other advocates/actors doing during the same period?</w:t>
      </w:r>
      <w:bookmarkEnd w:id="50"/>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4"/>
      </w:tblGrid>
      <w:tr w:rsidR="007032D3" w:rsidRPr="00554B41" w14:paraId="7CEEE80D" w14:textId="77777777" w:rsidTr="12014D65">
        <w:trPr>
          <w:trHeight w:val="300"/>
        </w:trPr>
        <w:tc>
          <w:tcPr>
            <w:tcW w:w="9064" w:type="dxa"/>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41A45A17" w14:textId="71C1F377" w:rsidR="007032D3" w:rsidRPr="00554B41" w:rsidRDefault="007032D3" w:rsidP="007032D3">
            <w:pPr>
              <w:pStyle w:val="ListBullet"/>
              <w:numPr>
                <w:ilvl w:val="0"/>
                <w:numId w:val="0"/>
              </w:numPr>
            </w:pPr>
            <w:r w:rsidRPr="00554B41">
              <w:t xml:space="preserve">Previously funded programmes, such as the Ambitious Leaders Programme, funded through Germany’s IKI, and the current IKI-funded </w:t>
            </w:r>
            <w:r w:rsidR="004F52BB" w:rsidRPr="00554B41">
              <w:t>LBDL</w:t>
            </w:r>
            <w:r w:rsidRPr="00554B41">
              <w:t>, provided both a strong foundation on engagement and delivery of AILAC support, </w:t>
            </w:r>
            <w:r w:rsidR="004F52BB" w:rsidRPr="00554B41">
              <w:t>as well as</w:t>
            </w:r>
            <w:r w:rsidRPr="00554B41">
              <w:t xml:space="preserve"> continuity </w:t>
            </w:r>
            <w:r w:rsidR="004F52BB" w:rsidRPr="00554B41">
              <w:t xml:space="preserve">in </w:t>
            </w:r>
            <w:r w:rsidRPr="00554B41">
              <w:t>the trust and reputation built over years. The LBDL is an IKI-funded initiative that brings together multidisciplinary teams from various countries to co-develop visions and practical strategies for climate-resilient societies. The project</w:t>
            </w:r>
            <w:r w:rsidRPr="00554B41" w:rsidDel="004F52BB">
              <w:t xml:space="preserve"> </w:t>
            </w:r>
            <w:r w:rsidR="004F52BB" w:rsidRPr="00554B41">
              <w:t xml:space="preserve">emphasises </w:t>
            </w:r>
            <w:r w:rsidRPr="00554B41">
              <w:t>experiential learning and collaboration across civil society, academia, and government to address climate challenges and implement the Paris Agreement goals. The L</w:t>
            </w:r>
            <w:r w:rsidR="00BA2FA6" w:rsidRPr="00554B41">
              <w:t>B</w:t>
            </w:r>
            <w:r w:rsidRPr="00554B41">
              <w:t>D</w:t>
            </w:r>
            <w:r w:rsidR="00BA2FA6" w:rsidRPr="00554B41">
              <w:t>L</w:t>
            </w:r>
            <w:r w:rsidRPr="00554B41">
              <w:t> also provides resources to AILAC.</w:t>
            </w:r>
          </w:p>
          <w:p w14:paraId="5920FF9E" w14:textId="77777777" w:rsidR="007032D3" w:rsidRPr="00554B41" w:rsidRDefault="007032D3" w:rsidP="007032D3">
            <w:pPr>
              <w:pStyle w:val="ListBullet"/>
              <w:numPr>
                <w:ilvl w:val="0"/>
                <w:numId w:val="0"/>
              </w:numPr>
              <w:ind w:left="360"/>
            </w:pPr>
          </w:p>
          <w:p w14:paraId="61FB3361" w14:textId="4C19057F" w:rsidR="007032D3" w:rsidRPr="00554B41" w:rsidRDefault="007032D3" w:rsidP="007032D3">
            <w:pPr>
              <w:pStyle w:val="ListBullet"/>
              <w:numPr>
                <w:ilvl w:val="0"/>
                <w:numId w:val="0"/>
              </w:numPr>
            </w:pPr>
            <w:r w:rsidRPr="00554B41">
              <w:t xml:space="preserve">Other multilateral agencies provide support for implementation to countries that CIES works in. UNDP, for example, does not directly support negotiators but will fund secondments. Regional </w:t>
            </w:r>
            <w:r w:rsidR="004F52BB" w:rsidRPr="00554B41">
              <w:t>banks</w:t>
            </w:r>
            <w:r w:rsidRPr="00554B41">
              <w:t>, such as </w:t>
            </w:r>
            <w:r w:rsidR="00054E00" w:rsidRPr="00554B41">
              <w:t>Corporación Andina de Fomento</w:t>
            </w:r>
            <w:r w:rsidR="00586740" w:rsidRPr="00554B41">
              <w:t>,</w:t>
            </w:r>
            <w:r w:rsidR="00054E00" w:rsidRPr="00554B41" w:rsidDel="004F52BB">
              <w:t xml:space="preserve"> </w:t>
            </w:r>
            <w:r w:rsidRPr="00554B41">
              <w:t>are supporting the deputy director of climate change in Panama to attend UNFCCC meetings.</w:t>
            </w:r>
          </w:p>
        </w:tc>
      </w:tr>
    </w:tbl>
    <w:p w14:paraId="449B2A02" w14:textId="07893463" w:rsidR="00A34244" w:rsidRDefault="00A34244" w:rsidP="00A34244">
      <w:pPr>
        <w:pStyle w:val="Heading2"/>
      </w:pPr>
      <w:bookmarkStart w:id="51" w:name="_Toc204967864"/>
      <w:r w:rsidRPr="00554B41">
        <w:t>What were the key factors in determining the outcome?</w:t>
      </w:r>
      <w:bookmarkEnd w:id="51"/>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4"/>
      </w:tblGrid>
      <w:tr w:rsidR="007032D3" w:rsidRPr="00554B41" w14:paraId="276207D4" w14:textId="77777777" w:rsidTr="12014D65">
        <w:trPr>
          <w:trHeight w:val="694"/>
        </w:trPr>
        <w:tc>
          <w:tcPr>
            <w:tcW w:w="9064" w:type="dxa"/>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7329D875" w14:textId="224E44FD" w:rsidR="007032D3" w:rsidRPr="00554B41" w:rsidRDefault="007032D3" w:rsidP="007032D3">
            <w:r w:rsidRPr="00554B41">
              <w:t>CIES has run an AILAC support unit since 2013</w:t>
            </w:r>
            <w:r w:rsidR="00FD2744">
              <w:t xml:space="preserve"> and is based in the </w:t>
            </w:r>
            <w:r w:rsidR="00B24FD9">
              <w:t xml:space="preserve">Global South, which aids in </w:t>
            </w:r>
            <w:r w:rsidR="00430854">
              <w:t>the reach</w:t>
            </w:r>
            <w:r w:rsidR="00B24FD9">
              <w:t xml:space="preserve"> and relevance</w:t>
            </w:r>
            <w:r w:rsidR="007143F3">
              <w:t xml:space="preserve"> of their work</w:t>
            </w:r>
            <w:r w:rsidRPr="00554B41">
              <w:t xml:space="preserve">. CASA II </w:t>
            </w:r>
            <w:r w:rsidR="00B7142D" w:rsidRPr="00554B41">
              <w:t>utilised the</w:t>
            </w:r>
            <w:r w:rsidRPr="00554B41">
              <w:t xml:space="preserve"> well-established trust-based relationships </w:t>
            </w:r>
            <w:r w:rsidR="0056686C">
              <w:t xml:space="preserve">already present </w:t>
            </w:r>
            <w:r w:rsidRPr="00554B41">
              <w:t>within AILAC.</w:t>
            </w:r>
            <w:r w:rsidRPr="00554B41" w:rsidDel="00586740">
              <w:t xml:space="preserve"> </w:t>
            </w:r>
            <w:r w:rsidR="00DB1E5E">
              <w:t xml:space="preserve">In addition, the outcomes were built off the </w:t>
            </w:r>
            <w:r w:rsidR="00E37CFB">
              <w:t>success and work of p</w:t>
            </w:r>
            <w:r w:rsidRPr="00554B41">
              <w:t xml:space="preserve">reviously funded programmes, such as </w:t>
            </w:r>
            <w:r w:rsidR="00586740" w:rsidRPr="00554B41">
              <w:t xml:space="preserve">the </w:t>
            </w:r>
            <w:r w:rsidRPr="00554B41">
              <w:t>Ambitious Leaders Programme, funded through IKI, and the current IKI-funded LBDL</w:t>
            </w:r>
            <w:r w:rsidR="00586740" w:rsidRPr="00554B41">
              <w:t xml:space="preserve">, </w:t>
            </w:r>
            <w:r w:rsidRPr="00554B41">
              <w:t>supported capacity building for many years prior to CASA II support.</w:t>
            </w:r>
            <w:r w:rsidRPr="00554B41" w:rsidDel="00043B7F">
              <w:t xml:space="preserve"> </w:t>
            </w:r>
            <w:r w:rsidRPr="00554B41">
              <w:t>Finally, other multilateral agencies like UNDP and regional development banks, such as Corporación Andina de Fomento</w:t>
            </w:r>
            <w:r w:rsidRPr="00554B41" w:rsidDel="004F52BB">
              <w:t xml:space="preserve"> </w:t>
            </w:r>
            <w:r w:rsidRPr="00554B41">
              <w:t>and IADB</w:t>
            </w:r>
            <w:r w:rsidR="00586740" w:rsidRPr="00554B41">
              <w:t>,</w:t>
            </w:r>
            <w:r w:rsidRPr="00554B41">
              <w:t xml:space="preserve"> have funded capacity development in AILAC countries. </w:t>
            </w:r>
          </w:p>
        </w:tc>
      </w:tr>
    </w:tbl>
    <w:p w14:paraId="72388680" w14:textId="77777777" w:rsidR="00300CB5" w:rsidRDefault="00300CB5">
      <w:pPr>
        <w:pStyle w:val="Caption"/>
        <w:sectPr w:rsidR="00300CB5" w:rsidSect="00CC3D35">
          <w:headerReference w:type="default" r:id="rId38"/>
          <w:pgSz w:w="11906" w:h="16838" w:code="9"/>
          <w:pgMar w:top="1616" w:right="1021" w:bottom="1758" w:left="1021" w:header="709" w:footer="992" w:gutter="0"/>
          <w:cols w:space="708"/>
          <w:docGrid w:linePitch="360"/>
        </w:sectPr>
      </w:pPr>
    </w:p>
    <w:p w14:paraId="7D8CC0AD" w14:textId="4ABA423C" w:rsidR="00300CB5" w:rsidRDefault="00AF0468">
      <w:pPr>
        <w:pStyle w:val="Caption"/>
        <w:sectPr w:rsidR="00300CB5" w:rsidSect="00300CB5">
          <w:pgSz w:w="16838" w:h="11906" w:orient="landscape" w:code="9"/>
          <w:pgMar w:top="1021" w:right="1616" w:bottom="1021" w:left="1758" w:header="709" w:footer="992" w:gutter="0"/>
          <w:cols w:space="708"/>
          <w:docGrid w:linePitch="360"/>
        </w:sectPr>
      </w:pPr>
      <w:r>
        <w:rPr>
          <w:noProof/>
        </w:rPr>
        <mc:AlternateContent>
          <mc:Choice Requires="wps">
            <w:drawing>
              <wp:anchor distT="45720" distB="45720" distL="114300" distR="114300" simplePos="0" relativeHeight="251658252" behindDoc="0" locked="0" layoutInCell="1" allowOverlap="1" wp14:anchorId="28B9496F" wp14:editId="71D2A83D">
                <wp:simplePos x="0" y="0"/>
                <wp:positionH relativeFrom="column">
                  <wp:posOffset>95767</wp:posOffset>
                </wp:positionH>
                <wp:positionV relativeFrom="paragraph">
                  <wp:posOffset>5796767</wp:posOffset>
                </wp:positionV>
                <wp:extent cx="4136065" cy="308344"/>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6065" cy="308344"/>
                        </a:xfrm>
                        <a:prstGeom prst="rect">
                          <a:avLst/>
                        </a:prstGeom>
                        <a:noFill/>
                        <a:ln w="9525">
                          <a:noFill/>
                          <a:miter lim="800000"/>
                          <a:headEnd/>
                          <a:tailEnd/>
                        </a:ln>
                      </wps:spPr>
                      <wps:txbx>
                        <w:txbxContent>
                          <w:p w14:paraId="7D5D6F5A" w14:textId="1A45D608" w:rsidR="00AF0468" w:rsidRPr="00AF0468" w:rsidRDefault="00AF0468">
                            <w:pPr>
                              <w:rPr>
                                <w:i/>
                                <w:iCs/>
                              </w:rPr>
                            </w:pPr>
                            <w:r w:rsidRPr="00AF0468">
                              <w:rPr>
                                <w:i/>
                                <w:iCs/>
                              </w:rPr>
                              <w:t>Figure 6. Timeline for the Mountainous Ranges and Nepal Case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9496F" id="Text Box 2" o:spid="_x0000_s1031" type="#_x0000_t202" style="position:absolute;left:0;text-align:left;margin-left:7.55pt;margin-top:456.45pt;width:325.65pt;height:24.3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" filled="f" stroked="f">
                <v:textbox>
                  <w:txbxContent>
                    <w:p w14:paraId="7D5D6F5A" w14:textId="1A45D608" w:rsidR="00AF0468" w:rsidRPr="00AF0468" w:rsidRDefault="00AF0468">
                      <w:pPr>
                        <w:rPr>
                          <w:i/>
                          <w:iCs/>
                        </w:rPr>
                      </w:pPr>
                      <w:r w:rsidRPr="00AF0468">
                        <w:rPr>
                          <w:i/>
                          <w:iCs/>
                        </w:rPr>
                        <w:t>Figure 6. Timeline for the Mountainous Ranges and Nepal Case</w:t>
                      </w:r>
                    </w:p>
                  </w:txbxContent>
                </v:textbox>
              </v:shape>
            </w:pict>
          </mc:Fallback>
        </mc:AlternateContent>
      </w:r>
      <w:r w:rsidRPr="00300CB5">
        <w:rPr>
          <w:noProof/>
        </w:rPr>
        <w:drawing>
          <wp:anchor distT="0" distB="0" distL="114300" distR="114300" simplePos="0" relativeHeight="251658251" behindDoc="0" locked="0" layoutInCell="1" allowOverlap="1" wp14:anchorId="54E55296" wp14:editId="54EF2C29">
            <wp:simplePos x="0" y="0"/>
            <wp:positionH relativeFrom="column">
              <wp:posOffset>95250</wp:posOffset>
            </wp:positionH>
            <wp:positionV relativeFrom="paragraph">
              <wp:posOffset>-267808</wp:posOffset>
            </wp:positionV>
            <wp:extent cx="8335645" cy="6103620"/>
            <wp:effectExtent l="0" t="0" r="8255" b="0"/>
            <wp:wrapNone/>
            <wp:docPr id="2044901726" name="Picture 1" descr="A diagram of a time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01726" name="Picture 1" descr="A diagram of a timeline&#10;&#10;AI-generated content may be incorrect."/>
                    <pic:cNvPicPr/>
                  </pic:nvPicPr>
                  <pic:blipFill>
                    <a:blip r:embed="rId39"/>
                    <a:stretch>
                      <a:fillRect/>
                    </a:stretch>
                  </pic:blipFill>
                  <pic:spPr>
                    <a:xfrm>
                      <a:off x="0" y="0"/>
                      <a:ext cx="8335645" cy="6103620"/>
                    </a:xfrm>
                    <a:prstGeom prst="rect">
                      <a:avLst/>
                    </a:prstGeom>
                  </pic:spPr>
                </pic:pic>
              </a:graphicData>
            </a:graphic>
            <wp14:sizeRelH relativeFrom="margin">
              <wp14:pctWidth>0</wp14:pctWidth>
            </wp14:sizeRelH>
            <wp14:sizeRelV relativeFrom="margin">
              <wp14:pctHeight>0</wp14:pctHeight>
            </wp14:sizeRelV>
          </wp:anchor>
        </w:drawing>
      </w:r>
    </w:p>
    <w:p w14:paraId="5BB2471B" w14:textId="5D384022" w:rsidR="00A34244" w:rsidRDefault="00A34244" w:rsidP="00A34244">
      <w:pPr>
        <w:pStyle w:val="Heading1"/>
      </w:pPr>
      <w:bookmarkStart w:id="52" w:name="_Toc204967865"/>
      <w:r w:rsidRPr="00A34244">
        <w:t>Case study 6: Mountainous Ranges and Nepal</w:t>
      </w:r>
      <w:bookmarkEnd w:id="52"/>
    </w:p>
    <w:tbl>
      <w:tblPr>
        <w:tblW w:w="903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655"/>
        <w:gridCol w:w="2375"/>
      </w:tblGrid>
      <w:tr w:rsidR="00202F71" w:rsidRPr="00554B41" w14:paraId="3C287095" w14:textId="77777777" w:rsidTr="3B9AFC14">
        <w:trPr>
          <w:trHeight w:val="300"/>
        </w:trPr>
        <w:tc>
          <w:tcPr>
            <w:tcW w:w="6655" w:type="dxa"/>
            <w:tcBorders>
              <w:top w:val="single" w:sz="6" w:space="0" w:color="303030" w:themeColor="text1"/>
              <w:left w:val="single" w:sz="6" w:space="0" w:color="303030" w:themeColor="text1"/>
              <w:bottom w:val="single" w:sz="6" w:space="0" w:color="303030" w:themeColor="text1"/>
              <w:right w:val="single" w:sz="6" w:space="0" w:color="303030" w:themeColor="text1"/>
            </w:tcBorders>
            <w:shd w:val="clear" w:color="auto" w:fill="CEDCDB" w:themeFill="accent2" w:themeFillTint="66"/>
          </w:tcPr>
          <w:p w14:paraId="4A0FE83F" w14:textId="4068D10F" w:rsidR="00202F71" w:rsidRPr="00554B41" w:rsidRDefault="00202F71" w:rsidP="00202F71">
            <w:pPr>
              <w:jc w:val="left"/>
              <w:rPr>
                <w:rFonts w:eastAsia="Segoe UI" w:cs="Times New Roman"/>
                <w:b/>
                <w:bCs/>
              </w:rPr>
            </w:pPr>
            <w:r w:rsidRPr="00554B41">
              <w:rPr>
                <w:rFonts w:eastAsia="Segoe UI" w:cs="Times New Roman"/>
                <w:b/>
                <w:bCs/>
              </w:rPr>
              <w:t xml:space="preserve">Outcome title: </w:t>
            </w:r>
            <w:r w:rsidR="00DE0025" w:rsidRPr="00554B41">
              <w:rPr>
                <w:rFonts w:eastAsia="Segoe UI" w:cs="Times New Roman"/>
              </w:rPr>
              <w:t>OF</w:t>
            </w:r>
            <w:r w:rsidRPr="00554B41">
              <w:rPr>
                <w:rFonts w:eastAsia="Segoe UI" w:cs="Times New Roman"/>
              </w:rPr>
              <w:t xml:space="preserve"> grantees in Nepal strengthened government and stakeholders’ influence and engagement in UNFCCC and further enabled the country to take transformative actions to confront climate change both domestically and abroad. </w:t>
            </w:r>
          </w:p>
        </w:tc>
        <w:tc>
          <w:tcPr>
            <w:tcW w:w="2375" w:type="dxa"/>
            <w:tcBorders>
              <w:top w:val="single" w:sz="6" w:space="0" w:color="303030" w:themeColor="text1"/>
              <w:left w:val="single" w:sz="6" w:space="0" w:color="303030" w:themeColor="text1"/>
              <w:bottom w:val="single" w:sz="6" w:space="0" w:color="303030" w:themeColor="text1"/>
              <w:right w:val="single" w:sz="6" w:space="0" w:color="303030" w:themeColor="text1"/>
            </w:tcBorders>
            <w:shd w:val="clear" w:color="auto" w:fill="CEDCDB" w:themeFill="accent2" w:themeFillTint="66"/>
          </w:tcPr>
          <w:p w14:paraId="62EF7E10" w14:textId="77777777" w:rsidR="00202F71" w:rsidRPr="00554B41" w:rsidRDefault="00202F71" w:rsidP="00202F71">
            <w:pPr>
              <w:jc w:val="left"/>
              <w:rPr>
                <w:rFonts w:eastAsia="Segoe UI" w:cs="Times New Roman"/>
                <w:b/>
                <w:bCs/>
              </w:rPr>
            </w:pPr>
            <w:r w:rsidRPr="00554B41">
              <w:rPr>
                <w:rFonts w:eastAsia="Segoe UI" w:cs="Times New Roman"/>
                <w:b/>
                <w:bCs/>
              </w:rPr>
              <w:t xml:space="preserve">Strength of evidence </w:t>
            </w:r>
          </w:p>
          <w:p w14:paraId="5F4D865C" w14:textId="18C4170A" w:rsidR="00202F71" w:rsidRPr="00554B41" w:rsidRDefault="00202F71" w:rsidP="00202F71">
            <w:pPr>
              <w:jc w:val="left"/>
              <w:rPr>
                <w:rFonts w:eastAsia="Segoe UI" w:cs="Times New Roman"/>
                <w:b/>
                <w:bCs/>
              </w:rPr>
            </w:pPr>
            <w:r w:rsidRPr="00554B41">
              <w:rPr>
                <w:rFonts w:eastAsia="Segoe UI" w:cs="Times New Roman"/>
              </w:rPr>
              <w:t>Strong</w:t>
            </w:r>
          </w:p>
        </w:tc>
      </w:tr>
    </w:tbl>
    <w:p w14:paraId="5470B7C1" w14:textId="77777777" w:rsidR="002D515F" w:rsidRPr="00554B41" w:rsidRDefault="002D515F" w:rsidP="002D515F">
      <w:pPr>
        <w:pStyle w:val="Heading2"/>
      </w:pPr>
      <w:bookmarkStart w:id="53" w:name="_Toc204967866"/>
      <w:r w:rsidRPr="00554B41">
        <w:t xml:space="preserve">Summary of </w:t>
      </w:r>
      <w:r w:rsidRPr="002D515F">
        <w:t>CASA</w:t>
      </w:r>
      <w:r w:rsidRPr="00554B41">
        <w:t xml:space="preserve"> II contribution</w:t>
      </w:r>
      <w:bookmarkEnd w:id="53"/>
      <w:r w:rsidRPr="00554B41">
        <w:t xml:space="preserve"> </w:t>
      </w:r>
    </w:p>
    <w:tbl>
      <w:tblPr>
        <w:tblW w:w="903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030"/>
      </w:tblGrid>
      <w:tr w:rsidR="00202F71" w:rsidRPr="00554B41" w14:paraId="011C3A13" w14:textId="77777777" w:rsidTr="3B9AFC14">
        <w:trPr>
          <w:trHeight w:val="300"/>
        </w:trPr>
        <w:tc>
          <w:tcPr>
            <w:tcW w:w="9030" w:type="dxa"/>
            <w:tcBorders>
              <w:top w:val="single" w:sz="6" w:space="0" w:color="303030" w:themeColor="text1"/>
              <w:left w:val="single" w:sz="6" w:space="0" w:color="303030" w:themeColor="text1"/>
              <w:bottom w:val="single" w:sz="6" w:space="0" w:color="303030" w:themeColor="text1"/>
              <w:right w:val="single" w:sz="6" w:space="0" w:color="303030" w:themeColor="text1"/>
            </w:tcBorders>
            <w:shd w:val="clear" w:color="auto" w:fill="F2F2F2" w:themeFill="background1" w:themeFillShade="F2"/>
            <w:hideMark/>
          </w:tcPr>
          <w:p w14:paraId="6B5F691D" w14:textId="38E25BEC" w:rsidR="00202F71" w:rsidRPr="00554B41" w:rsidRDefault="00202F71" w:rsidP="00202F71">
            <w:pPr>
              <w:rPr>
                <w:rFonts w:eastAsia="Segoe UI" w:cs="Times New Roman"/>
              </w:rPr>
            </w:pPr>
            <w:r w:rsidRPr="00554B41">
              <w:rPr>
                <w:rFonts w:eastAsia="Segoe UI" w:cs="Times New Roman"/>
                <w:b/>
                <w:bCs/>
              </w:rPr>
              <w:t>More confident than not that CASA II made some contribution</w:t>
            </w:r>
          </w:p>
          <w:p w14:paraId="46507ABE" w14:textId="38BEF453" w:rsidR="00202F71" w:rsidRPr="00554B41" w:rsidRDefault="00202F71" w:rsidP="00202F71">
            <w:pPr>
              <w:rPr>
                <w:rFonts w:eastAsia="Segoe UI" w:cs="Times New Roman"/>
              </w:rPr>
            </w:pPr>
            <w:r w:rsidRPr="00554B41">
              <w:rPr>
                <w:rFonts w:eastAsia="Segoe UI" w:cs="Times New Roman"/>
              </w:rPr>
              <w:t xml:space="preserve">Nepali leadership has visibly committed to steering the global mountain agenda. It has also worked to tackle the climate crisis through a variety of national policy measures, including the Framework on Local Adaptation Plans of Action (2019) and the Disaster Risk Reduction National Strategic Plan of Action 2018–2030. </w:t>
            </w:r>
          </w:p>
          <w:p w14:paraId="18819295" w14:textId="04B6544C" w:rsidR="00202F71" w:rsidRPr="00554B41" w:rsidRDefault="00202F71" w:rsidP="00202F71">
            <w:pPr>
              <w:rPr>
                <w:rFonts w:eastAsia="Segoe UI" w:cs="Times New Roman"/>
              </w:rPr>
            </w:pPr>
            <w:r w:rsidRPr="00554B41">
              <w:rPr>
                <w:rFonts w:eastAsia="Segoe UI" w:cs="Times New Roman"/>
              </w:rPr>
              <w:t>Providing technical expertise and capacity support is key to continuing momentum within Nepal: CASA funding (between late 2023 and May 2025) was cited as instrumental in allowing the OF grantees to continue providing their enabling and strengthening support to the government, who called for more capacity support to operationalise their climate change ambitions.</w:t>
            </w:r>
            <w:r w:rsidRPr="00554B41">
              <w:rPr>
                <w:rFonts w:ascii="Arial" w:eastAsia="Segoe UI" w:hAnsi="Arial" w:cs="Arial"/>
              </w:rPr>
              <w:t>​</w:t>
            </w:r>
          </w:p>
          <w:p w14:paraId="3DE12383" w14:textId="17B5D051" w:rsidR="00202F71" w:rsidRPr="00554B41" w:rsidRDefault="00202F71" w:rsidP="00202F71">
            <w:pPr>
              <w:rPr>
                <w:rFonts w:eastAsia="Segoe UI" w:cs="Times New Roman"/>
                <w:bCs/>
              </w:rPr>
            </w:pPr>
            <w:r w:rsidRPr="00554B41">
              <w:rPr>
                <w:rFonts w:eastAsia="Segoe UI" w:cs="Times New Roman"/>
                <w:bCs/>
              </w:rPr>
              <w:t>Grantees trained negotiators (including younger delegates</w:t>
            </w:r>
            <w:r w:rsidR="00F1170E" w:rsidRPr="00554B41">
              <w:rPr>
                <w:rFonts w:eastAsia="Segoe UI" w:cs="Times New Roman"/>
                <w:bCs/>
              </w:rPr>
              <w:t xml:space="preserve">) and </w:t>
            </w:r>
            <w:r w:rsidRPr="00554B41">
              <w:rPr>
                <w:rFonts w:eastAsia="Segoe UI" w:cs="Times New Roman"/>
                <w:bCs/>
              </w:rPr>
              <w:t xml:space="preserve">provided strategy and technical assistance, specifically for high-level dialogues on the Mountainous Ranges </w:t>
            </w:r>
            <w:r w:rsidR="00DB4A3F">
              <w:rPr>
                <w:rFonts w:eastAsia="Segoe UI" w:cs="Times New Roman"/>
                <w:bCs/>
              </w:rPr>
              <w:t>Agenda</w:t>
            </w:r>
            <w:r w:rsidRPr="00554B41">
              <w:rPr>
                <w:rFonts w:eastAsia="Segoe UI" w:cs="Times New Roman"/>
                <w:bCs/>
              </w:rPr>
              <w:t xml:space="preserve">. All four grantees fostered an inclusive presence of diverse stakeholder voices, either by engaging them locally (development of Local Adaptation Plans of Action (LAPA)) and/or by enabling them to be present at UNFCCC through NDC 3.0 development consultations. </w:t>
            </w:r>
          </w:p>
        </w:tc>
      </w:tr>
    </w:tbl>
    <w:p w14:paraId="353A5FB9" w14:textId="1E7259C3" w:rsidR="002D515F" w:rsidRDefault="00686C16" w:rsidP="002D515F">
      <w:pPr>
        <w:pStyle w:val="Heading2"/>
      </w:pPr>
      <w:bookmarkStart w:id="54" w:name="_Toc204967867"/>
      <w:r w:rsidRPr="00990E87">
        <w:t xml:space="preserve">Summary of </w:t>
      </w:r>
      <w:r>
        <w:t xml:space="preserve">the contribution of </w:t>
      </w:r>
      <w:r w:rsidRPr="00990E87">
        <w:t>other actors and factors</w:t>
      </w:r>
      <w:bookmarkEnd w:id="54"/>
    </w:p>
    <w:tbl>
      <w:tblPr>
        <w:tblW w:w="903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655"/>
        <w:gridCol w:w="2375"/>
      </w:tblGrid>
      <w:tr w:rsidR="00202F71" w:rsidRPr="00554B41" w14:paraId="46392394" w14:textId="77777777" w:rsidTr="3B9AFC14">
        <w:trPr>
          <w:trHeight w:val="300"/>
        </w:trPr>
        <w:tc>
          <w:tcPr>
            <w:tcW w:w="6655" w:type="dxa"/>
            <w:tcBorders>
              <w:top w:val="single" w:sz="6" w:space="0" w:color="303030" w:themeColor="text1"/>
              <w:left w:val="single" w:sz="6" w:space="0" w:color="303030" w:themeColor="text1"/>
              <w:right w:val="single" w:sz="6" w:space="0" w:color="303030" w:themeColor="text1"/>
            </w:tcBorders>
          </w:tcPr>
          <w:p w14:paraId="6C3227EE" w14:textId="7CD3F62E" w:rsidR="00202F71" w:rsidRPr="00554B41" w:rsidRDefault="00202F71" w:rsidP="00202F71">
            <w:pPr>
              <w:numPr>
                <w:ilvl w:val="0"/>
                <w:numId w:val="29"/>
              </w:numPr>
              <w:spacing w:after="160" w:line="259" w:lineRule="auto"/>
              <w:jc w:val="left"/>
              <w:rPr>
                <w:rFonts w:eastAsia="Segoe UI" w:cs="Times New Roman"/>
              </w:rPr>
            </w:pPr>
            <w:r w:rsidRPr="00554B41">
              <w:rPr>
                <w:rFonts w:eastAsia="Segoe UI" w:cs="Times New Roman"/>
              </w:rPr>
              <w:t>Pre-existing long</w:t>
            </w:r>
            <w:r w:rsidR="000558BF">
              <w:rPr>
                <w:rFonts w:eastAsia="Segoe UI" w:cs="Times New Roman"/>
              </w:rPr>
              <w:t>-</w:t>
            </w:r>
            <w:r w:rsidRPr="00554B41">
              <w:rPr>
                <w:rFonts w:eastAsia="Segoe UI" w:cs="Times New Roman"/>
              </w:rPr>
              <w:t xml:space="preserve">term support to the Government of Nepal (GoN) by the UK Government in climate change and development. </w:t>
            </w:r>
          </w:p>
        </w:tc>
        <w:tc>
          <w:tcPr>
            <w:tcW w:w="2375" w:type="dxa"/>
            <w:tcBorders>
              <w:top w:val="single" w:sz="6" w:space="0" w:color="303030" w:themeColor="text1"/>
              <w:left w:val="single" w:sz="6" w:space="0" w:color="303030" w:themeColor="text1"/>
              <w:bottom w:val="single" w:sz="6" w:space="0" w:color="303030" w:themeColor="text1"/>
              <w:right w:val="single" w:sz="6" w:space="0" w:color="303030" w:themeColor="text1"/>
            </w:tcBorders>
          </w:tcPr>
          <w:p w14:paraId="5B32C840" w14:textId="77777777" w:rsidR="00202F71" w:rsidRPr="00554B41" w:rsidRDefault="00202F71" w:rsidP="00202F71">
            <w:pPr>
              <w:rPr>
                <w:rFonts w:eastAsia="Segoe UI" w:cs="Times New Roman"/>
              </w:rPr>
            </w:pPr>
            <w:r w:rsidRPr="00554B41">
              <w:rPr>
                <w:rFonts w:eastAsia="Segoe UI" w:cs="Times New Roman"/>
              </w:rPr>
              <w:t>Important contribution</w:t>
            </w:r>
            <w:r w:rsidRPr="00554B41">
              <w:rPr>
                <w:rFonts w:ascii="Arial" w:eastAsia="Segoe UI" w:hAnsi="Arial" w:cs="Arial"/>
              </w:rPr>
              <w:t>​</w:t>
            </w:r>
            <w:r w:rsidRPr="00554B41">
              <w:rPr>
                <w:rFonts w:eastAsia="Segoe UI" w:cs="Times New Roman"/>
              </w:rPr>
              <w:t xml:space="preserve"> </w:t>
            </w:r>
          </w:p>
        </w:tc>
      </w:tr>
      <w:tr w:rsidR="00202F71" w:rsidRPr="00554B41" w14:paraId="60958D6F" w14:textId="77777777" w:rsidTr="3B9AFC14">
        <w:trPr>
          <w:trHeight w:val="300"/>
        </w:trPr>
        <w:tc>
          <w:tcPr>
            <w:tcW w:w="6655" w:type="dxa"/>
            <w:tcBorders>
              <w:top w:val="single" w:sz="6" w:space="0" w:color="303030" w:themeColor="text1"/>
              <w:left w:val="single" w:sz="6" w:space="0" w:color="303030" w:themeColor="text1"/>
              <w:right w:val="single" w:sz="6" w:space="0" w:color="303030" w:themeColor="text1"/>
            </w:tcBorders>
          </w:tcPr>
          <w:p w14:paraId="1916C6ED" w14:textId="004CFC18" w:rsidR="00202F71" w:rsidRPr="00554B41" w:rsidRDefault="00202F71" w:rsidP="00202F71">
            <w:pPr>
              <w:numPr>
                <w:ilvl w:val="0"/>
                <w:numId w:val="29"/>
              </w:numPr>
              <w:spacing w:after="160" w:line="259" w:lineRule="auto"/>
              <w:jc w:val="left"/>
              <w:rPr>
                <w:rFonts w:eastAsia="Segoe UI" w:cs="Times New Roman"/>
              </w:rPr>
            </w:pPr>
            <w:r w:rsidRPr="00554B41">
              <w:rPr>
                <w:rFonts w:eastAsia="Segoe UI" w:cs="Times New Roman"/>
              </w:rPr>
              <w:t xml:space="preserve">Funding came at the right time, </w:t>
            </w:r>
            <w:r w:rsidR="00F1170E" w:rsidRPr="00554B41">
              <w:rPr>
                <w:rFonts w:eastAsia="Segoe UI" w:cs="Times New Roman"/>
              </w:rPr>
              <w:t xml:space="preserve">with </w:t>
            </w:r>
            <w:r w:rsidRPr="00554B41">
              <w:rPr>
                <w:rFonts w:eastAsia="Segoe UI" w:cs="Times New Roman"/>
              </w:rPr>
              <w:t>strong demand from GoN for targeted support.</w:t>
            </w:r>
          </w:p>
        </w:tc>
        <w:tc>
          <w:tcPr>
            <w:tcW w:w="2375" w:type="dxa"/>
            <w:tcBorders>
              <w:top w:val="single" w:sz="6" w:space="0" w:color="303030" w:themeColor="text1"/>
              <w:left w:val="single" w:sz="6" w:space="0" w:color="303030" w:themeColor="text1"/>
              <w:bottom w:val="single" w:sz="6" w:space="0" w:color="303030" w:themeColor="text1"/>
              <w:right w:val="single" w:sz="6" w:space="0" w:color="303030" w:themeColor="text1"/>
            </w:tcBorders>
          </w:tcPr>
          <w:p w14:paraId="19DA23A1" w14:textId="77777777" w:rsidR="00202F71" w:rsidRPr="00554B41" w:rsidRDefault="00202F71" w:rsidP="00202F71">
            <w:pPr>
              <w:rPr>
                <w:rFonts w:eastAsia="Segoe UI" w:cs="Times New Roman"/>
              </w:rPr>
            </w:pPr>
            <w:r w:rsidRPr="00554B41">
              <w:rPr>
                <w:rFonts w:eastAsia="Segoe UI" w:cs="Times New Roman"/>
              </w:rPr>
              <w:t>Important contribution</w:t>
            </w:r>
            <w:r w:rsidRPr="00554B41">
              <w:rPr>
                <w:rFonts w:ascii="Arial" w:eastAsia="Segoe UI" w:hAnsi="Arial" w:cs="Arial"/>
              </w:rPr>
              <w:t>​</w:t>
            </w:r>
          </w:p>
        </w:tc>
      </w:tr>
      <w:tr w:rsidR="00202F71" w:rsidRPr="00554B41" w14:paraId="1815411E" w14:textId="77777777" w:rsidTr="3B9AFC14">
        <w:trPr>
          <w:trHeight w:val="300"/>
        </w:trPr>
        <w:tc>
          <w:tcPr>
            <w:tcW w:w="6655" w:type="dxa"/>
            <w:tcBorders>
              <w:top w:val="single" w:sz="6" w:space="0" w:color="303030" w:themeColor="text1"/>
              <w:left w:val="single" w:sz="6" w:space="0" w:color="303030" w:themeColor="text1"/>
              <w:right w:val="single" w:sz="6" w:space="0" w:color="303030" w:themeColor="text1"/>
            </w:tcBorders>
          </w:tcPr>
          <w:p w14:paraId="645FD322" w14:textId="71A213FB" w:rsidR="00202F71" w:rsidRPr="00554B41" w:rsidRDefault="00202F71" w:rsidP="00202F71">
            <w:pPr>
              <w:numPr>
                <w:ilvl w:val="0"/>
                <w:numId w:val="29"/>
              </w:numPr>
              <w:spacing w:after="160" w:line="259" w:lineRule="auto"/>
              <w:jc w:val="left"/>
              <w:rPr>
                <w:rFonts w:eastAsia="Segoe UI" w:cs="Times New Roman"/>
              </w:rPr>
            </w:pPr>
            <w:r w:rsidRPr="00554B41">
              <w:rPr>
                <w:rFonts w:eastAsia="Segoe UI" w:cs="Times New Roman"/>
              </w:rPr>
              <w:t>Several other (multilateral) stakeholders contribute to the Mountainous Ranges agenda setting and Nepal’s NDC development process</w:t>
            </w:r>
          </w:p>
        </w:tc>
        <w:tc>
          <w:tcPr>
            <w:tcW w:w="2375" w:type="dxa"/>
            <w:tcBorders>
              <w:top w:val="single" w:sz="6" w:space="0" w:color="303030" w:themeColor="text1"/>
              <w:left w:val="single" w:sz="6" w:space="0" w:color="303030" w:themeColor="text1"/>
              <w:bottom w:val="single" w:sz="6" w:space="0" w:color="303030" w:themeColor="text1"/>
              <w:right w:val="single" w:sz="6" w:space="0" w:color="303030" w:themeColor="text1"/>
            </w:tcBorders>
          </w:tcPr>
          <w:p w14:paraId="4B33AA33" w14:textId="77777777" w:rsidR="00202F71" w:rsidRPr="00554B41" w:rsidRDefault="00202F71" w:rsidP="00202F71">
            <w:pPr>
              <w:rPr>
                <w:rFonts w:eastAsia="Segoe UI" w:cs="Times New Roman"/>
              </w:rPr>
            </w:pPr>
            <w:r w:rsidRPr="00554B41">
              <w:rPr>
                <w:rFonts w:eastAsia="Segoe UI" w:cs="Times New Roman"/>
              </w:rPr>
              <w:t>Important contribution</w:t>
            </w:r>
          </w:p>
        </w:tc>
      </w:tr>
    </w:tbl>
    <w:p w14:paraId="2FDABE1D" w14:textId="29568A86" w:rsidR="002D515F" w:rsidRDefault="002D515F" w:rsidP="002D515F">
      <w:pPr>
        <w:pStyle w:val="Heading2"/>
      </w:pPr>
      <w:bookmarkStart w:id="55" w:name="_Toc204967868"/>
      <w:r w:rsidRPr="00554B41">
        <w:t>Geographic and temporal context</w:t>
      </w:r>
      <w:bookmarkEnd w:id="55"/>
    </w:p>
    <w:tbl>
      <w:tblPr>
        <w:tblW w:w="903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030"/>
      </w:tblGrid>
      <w:tr w:rsidR="00202F71" w:rsidRPr="00554B41" w14:paraId="30492F68" w14:textId="77777777" w:rsidTr="3B9AFC14">
        <w:trPr>
          <w:trHeight w:val="300"/>
        </w:trPr>
        <w:tc>
          <w:tcPr>
            <w:tcW w:w="9030" w:type="dxa"/>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7F560F76" w14:textId="4709470D" w:rsidR="00202F71" w:rsidRPr="00554B41" w:rsidRDefault="00202F71" w:rsidP="00202F71">
            <w:pPr>
              <w:rPr>
                <w:rFonts w:eastAsia="Segoe UI" w:cs="Times New Roman"/>
              </w:rPr>
            </w:pPr>
            <w:r w:rsidRPr="00554B41">
              <w:rPr>
                <w:rFonts w:eastAsia="Segoe UI" w:cs="Times New Roman"/>
              </w:rPr>
              <w:t>Nepal is a</w:t>
            </w:r>
            <w:r w:rsidR="00F1170E" w:rsidRPr="00554B41">
              <w:rPr>
                <w:rFonts w:eastAsia="Segoe UI" w:cs="Times New Roman"/>
              </w:rPr>
              <w:t>n</w:t>
            </w:r>
            <w:r w:rsidRPr="00554B41">
              <w:rPr>
                <w:rFonts w:eastAsia="Segoe UI" w:cs="Times New Roman"/>
              </w:rPr>
              <w:t xml:space="preserve"> LDC at high climatic risk due to the country’s fragile topography, the climate-sensitive livelihoods of </w:t>
            </w:r>
            <w:r w:rsidR="00F1170E" w:rsidRPr="00554B41">
              <w:rPr>
                <w:rFonts w:eastAsia="Segoe UI" w:cs="Times New Roman"/>
              </w:rPr>
              <w:t xml:space="preserve">its </w:t>
            </w:r>
            <w:r w:rsidRPr="00554B41">
              <w:rPr>
                <w:rFonts w:eastAsia="Segoe UI" w:cs="Times New Roman"/>
              </w:rPr>
              <w:t>people</w:t>
            </w:r>
            <w:r w:rsidR="00F1170E" w:rsidRPr="00554B41">
              <w:rPr>
                <w:rFonts w:eastAsia="Segoe UI" w:cs="Times New Roman"/>
              </w:rPr>
              <w:t>,</w:t>
            </w:r>
            <w:r w:rsidRPr="00554B41">
              <w:rPr>
                <w:rFonts w:eastAsia="Segoe UI" w:cs="Times New Roman"/>
              </w:rPr>
              <w:t xml:space="preserve"> and their limited adaptive capacity.</w:t>
            </w:r>
            <w:r w:rsidRPr="00554B41">
              <w:rPr>
                <w:rFonts w:eastAsia="Segoe UI" w:cs="Times New Roman"/>
                <w:vertAlign w:val="superscript"/>
              </w:rPr>
              <w:footnoteReference w:id="16"/>
            </w:r>
            <w:r w:rsidRPr="00554B41">
              <w:rPr>
                <w:rFonts w:eastAsia="Segoe UI" w:cs="Times New Roman"/>
              </w:rPr>
              <w:t xml:space="preserve"> The increasing frequency of climate change-induced events has led to the idea of seeking recognition of the cryosphere (e.g. those regions covered by ice or snow) as being particularly fragile. Mountainous countries, like other vulnerable countries</w:t>
            </w:r>
            <w:r w:rsidR="00D305DF" w:rsidRPr="00554B41">
              <w:rPr>
                <w:rFonts w:eastAsia="Segoe UI" w:cs="Times New Roman"/>
              </w:rPr>
              <w:t>,</w:t>
            </w:r>
            <w:r w:rsidRPr="00554B41">
              <w:rPr>
                <w:rFonts w:eastAsia="Segoe UI" w:cs="Times New Roman"/>
              </w:rPr>
              <w:t xml:space="preserve"> could organise and be recognised as such under the UNFCCC, as is the case with SIDS.</w:t>
            </w:r>
            <w:r w:rsidRPr="00554B41" w:rsidDel="00F1170E">
              <w:rPr>
                <w:rFonts w:eastAsia="Segoe UI" w:cs="Times New Roman"/>
              </w:rPr>
              <w:t xml:space="preserve"> </w:t>
            </w:r>
            <w:r w:rsidR="00F1170E" w:rsidRPr="00554B41">
              <w:rPr>
                <w:rFonts w:eastAsia="Segoe UI" w:cs="Times New Roman"/>
              </w:rPr>
              <w:t xml:space="preserve">However, unlike </w:t>
            </w:r>
            <w:r w:rsidRPr="00554B41">
              <w:rPr>
                <w:rFonts w:eastAsia="Segoe UI" w:cs="Times New Roman"/>
              </w:rPr>
              <w:t>the SIDS, who have an established caucus, there is currently no coordination or representation of the unique interests of mountain</w:t>
            </w:r>
            <w:r w:rsidR="00F1170E" w:rsidRPr="00554B41">
              <w:rPr>
                <w:rFonts w:eastAsia="Segoe UI" w:cs="Times New Roman"/>
              </w:rPr>
              <w:t>ous</w:t>
            </w:r>
            <w:r w:rsidRPr="00554B41">
              <w:rPr>
                <w:rFonts w:eastAsia="Segoe UI" w:cs="Times New Roman"/>
              </w:rPr>
              <w:t xml:space="preserve"> countries in the UNFCCC process. In this context, it is worth mentioning that Nepal</w:t>
            </w:r>
            <w:r w:rsidR="00F1170E" w:rsidRPr="00554B41">
              <w:rPr>
                <w:rFonts w:eastAsia="Segoe UI" w:cs="Times New Roman"/>
              </w:rPr>
              <w:t>,</w:t>
            </w:r>
            <w:r w:rsidRPr="00554B41">
              <w:rPr>
                <w:rFonts w:eastAsia="Segoe UI" w:cs="Times New Roman"/>
              </w:rPr>
              <w:t xml:space="preserve"> while currently a member of the LDC negotiating group, is scheduled to graduate from that group in 2026.</w:t>
            </w:r>
          </w:p>
          <w:p w14:paraId="239C2E23" w14:textId="01701957" w:rsidR="00202F71" w:rsidRPr="00554B41" w:rsidRDefault="00202F71" w:rsidP="00202F71">
            <w:pPr>
              <w:rPr>
                <w:rFonts w:eastAsia="Segoe UI" w:cs="Times New Roman"/>
              </w:rPr>
            </w:pPr>
            <w:r w:rsidRPr="00554B41">
              <w:rPr>
                <w:rFonts w:eastAsia="Segoe UI" w:cs="Times New Roman"/>
              </w:rPr>
              <w:t xml:space="preserve">Nepal submitted its Second NDC to </w:t>
            </w:r>
            <w:r w:rsidR="00F54BA0" w:rsidRPr="00554B41">
              <w:rPr>
                <w:rFonts w:eastAsia="Segoe UI" w:cs="Times New Roman"/>
              </w:rPr>
              <w:t>the</w:t>
            </w:r>
            <w:r w:rsidRPr="00554B41">
              <w:rPr>
                <w:rFonts w:eastAsia="Segoe UI" w:cs="Times New Roman"/>
              </w:rPr>
              <w:t xml:space="preserve"> UNFCCC in December 2020. It also prepared an Adaptation Communication, </w:t>
            </w:r>
            <w:r w:rsidR="00F1170E" w:rsidRPr="00554B41">
              <w:rPr>
                <w:rFonts w:eastAsia="Segoe UI" w:cs="Times New Roman"/>
              </w:rPr>
              <w:t xml:space="preserve">which </w:t>
            </w:r>
            <w:r w:rsidRPr="00554B41">
              <w:rPr>
                <w:rFonts w:eastAsia="Segoe UI" w:cs="Times New Roman"/>
              </w:rPr>
              <w:t>includes its priorities, implementation and support needs, plans</w:t>
            </w:r>
            <w:r w:rsidR="00F1170E" w:rsidRPr="00554B41">
              <w:rPr>
                <w:rFonts w:eastAsia="Segoe UI" w:cs="Times New Roman"/>
              </w:rPr>
              <w:t>,</w:t>
            </w:r>
            <w:r w:rsidRPr="00554B41">
              <w:rPr>
                <w:rFonts w:eastAsia="Segoe UI" w:cs="Times New Roman"/>
              </w:rPr>
              <w:t xml:space="preserve"> and actions through </w:t>
            </w:r>
            <w:r w:rsidR="00F1170E" w:rsidRPr="00554B41">
              <w:rPr>
                <w:rFonts w:eastAsia="Segoe UI" w:cs="Times New Roman"/>
              </w:rPr>
              <w:t xml:space="preserve">a </w:t>
            </w:r>
            <w:r w:rsidRPr="00554B41">
              <w:rPr>
                <w:rFonts w:eastAsia="Segoe UI" w:cs="Times New Roman"/>
              </w:rPr>
              <w:t>NAP. Nepal’s climate change experts noted that for adaptation strategies, a focus on locally led principles and boosting local capacities is key, along with a “nuanced and skilled negotiation team, well-versed in Nepal’s sectoral priorities.”</w:t>
            </w:r>
            <w:r w:rsidRPr="00554B41">
              <w:rPr>
                <w:rFonts w:eastAsia="Segoe UI" w:cs="Times New Roman"/>
                <w:vertAlign w:val="superscript"/>
              </w:rPr>
              <w:footnoteReference w:id="17"/>
            </w:r>
            <w:r w:rsidRPr="00554B41">
              <w:rPr>
                <w:rFonts w:eastAsia="Segoe UI" w:cs="Times New Roman"/>
              </w:rPr>
              <w:t xml:space="preserve"> However, despite Nepal’s policy to allocate significant adaptation resources at the local level, institutional mechanisms and capacities currently fall short.</w:t>
            </w:r>
            <w:r w:rsidRPr="00554B41">
              <w:rPr>
                <w:rFonts w:eastAsia="Segoe UI" w:cs="Times New Roman"/>
                <w:vertAlign w:val="superscript"/>
              </w:rPr>
              <w:footnoteReference w:id="18"/>
            </w:r>
            <w:r w:rsidRPr="00554B41">
              <w:rPr>
                <w:rFonts w:eastAsia="Segoe UI" w:cs="Times New Roman"/>
              </w:rPr>
              <w:t xml:space="preserve"> A Third NDC that better aligns Nepal’s ambitions and needs will be prepared ahead of COP30 in 2025.</w:t>
            </w:r>
          </w:p>
          <w:p w14:paraId="39A2A964" w14:textId="5777BD9E" w:rsidR="00202F71" w:rsidRPr="00554B41" w:rsidRDefault="00202F71" w:rsidP="00202F71">
            <w:pPr>
              <w:rPr>
                <w:rFonts w:eastAsia="Segoe UI" w:cs="Times New Roman"/>
              </w:rPr>
            </w:pPr>
            <w:r w:rsidRPr="00554B41">
              <w:rPr>
                <w:rFonts w:eastAsia="Segoe UI" w:cs="Times New Roman"/>
              </w:rPr>
              <w:t xml:space="preserve">Since before Copenhagen (2009), there has been recognition of the need for a negotiating group of mountainous countries. In Cancun </w:t>
            </w:r>
            <w:r w:rsidR="00F1170E" w:rsidRPr="00554B41">
              <w:rPr>
                <w:rFonts w:eastAsia="Segoe UI" w:cs="Times New Roman"/>
              </w:rPr>
              <w:t xml:space="preserve">in </w:t>
            </w:r>
            <w:r w:rsidRPr="00554B41">
              <w:rPr>
                <w:rFonts w:eastAsia="Segoe UI" w:cs="Times New Roman"/>
              </w:rPr>
              <w:t>2011</w:t>
            </w:r>
            <w:r w:rsidR="00F1170E" w:rsidRPr="00554B41">
              <w:rPr>
                <w:rFonts w:eastAsia="Segoe UI" w:cs="Times New Roman"/>
              </w:rPr>
              <w:t>,</w:t>
            </w:r>
            <w:r w:rsidRPr="00554B41">
              <w:rPr>
                <w:rFonts w:eastAsia="Segoe UI" w:cs="Times New Roman"/>
              </w:rPr>
              <w:t xml:space="preserve"> a proposal was floated to establish an Alliance of Development Mountainous States. This did not receive traction. All the involved countries</w:t>
            </w:r>
            <w:r w:rsidR="00F1170E" w:rsidRPr="00554B41">
              <w:rPr>
                <w:rFonts w:eastAsia="Segoe UI" w:cs="Times New Roman"/>
              </w:rPr>
              <w:t>,</w:t>
            </w:r>
            <w:r w:rsidRPr="00554B41">
              <w:rPr>
                <w:rFonts w:eastAsia="Segoe UI" w:cs="Times New Roman"/>
              </w:rPr>
              <w:t xml:space="preserve"> while having mountainous ranges, are spread across all continents and have very diverse socioeconomic profiles (e.g. the Andes, Himalayas, other Central Asian Mountain ranges and the Alps</w:t>
            </w:r>
            <w:r w:rsidR="00F1170E" w:rsidRPr="00554B41">
              <w:rPr>
                <w:rFonts w:eastAsia="Segoe UI" w:cs="Times New Roman"/>
              </w:rPr>
              <w:t>,</w:t>
            </w:r>
            <w:r w:rsidRPr="00554B41">
              <w:rPr>
                <w:rFonts w:eastAsia="Segoe UI" w:cs="Times New Roman"/>
              </w:rPr>
              <w:t xml:space="preserve"> etc.)</w:t>
            </w:r>
            <w:r w:rsidR="00F1170E" w:rsidRPr="00554B41">
              <w:rPr>
                <w:rFonts w:eastAsia="Segoe UI" w:cs="Times New Roman"/>
              </w:rPr>
              <w:t>.</w:t>
            </w:r>
            <w:r w:rsidRPr="00554B41">
              <w:rPr>
                <w:rFonts w:eastAsia="Segoe UI" w:cs="Times New Roman"/>
              </w:rPr>
              <w:t xml:space="preserve"> At COP28 (2023), </w:t>
            </w:r>
            <w:r w:rsidR="00F1170E" w:rsidRPr="00554B41">
              <w:rPr>
                <w:rFonts w:eastAsia="Segoe UI" w:cs="Times New Roman"/>
              </w:rPr>
              <w:t xml:space="preserve">the Kyrgyz Republic </w:t>
            </w:r>
            <w:r w:rsidRPr="00554B41">
              <w:rPr>
                <w:rFonts w:eastAsia="Segoe UI" w:cs="Times New Roman"/>
              </w:rPr>
              <w:t xml:space="preserve">proposed the creation of a permanent negotiating group </w:t>
            </w:r>
            <w:r w:rsidR="00F1170E" w:rsidRPr="00554B41">
              <w:rPr>
                <w:rFonts w:eastAsia="Segoe UI" w:cs="Times New Roman"/>
              </w:rPr>
              <w:t xml:space="preserve">called the </w:t>
            </w:r>
            <w:r w:rsidRPr="00554B41">
              <w:rPr>
                <w:rFonts w:eastAsia="Segoe UI" w:cs="Times New Roman"/>
              </w:rPr>
              <w:t>Group of Mountain Partnership</w:t>
            </w:r>
            <w:r w:rsidR="00F1170E" w:rsidRPr="00554B41">
              <w:rPr>
                <w:rFonts w:eastAsia="Segoe UI" w:cs="Times New Roman"/>
              </w:rPr>
              <w:t xml:space="preserve"> </w:t>
            </w:r>
            <w:r w:rsidRPr="00554B41">
              <w:rPr>
                <w:rFonts w:eastAsia="Segoe UI" w:cs="Times New Roman"/>
              </w:rPr>
              <w:t>within the framework of the UNFCCC.</w:t>
            </w:r>
            <w:r w:rsidRPr="00554B41">
              <w:rPr>
                <w:rFonts w:eastAsia="Segoe UI" w:cs="Times New Roman"/>
                <w:vertAlign w:val="superscript"/>
              </w:rPr>
              <w:footnoteReference w:id="19"/>
            </w:r>
            <w:r w:rsidRPr="00554B41" w:rsidDel="00043B7F">
              <w:rPr>
                <w:rFonts w:eastAsia="Times New Roman" w:cs="Segoe UI"/>
                <w:sz w:val="18"/>
                <w:szCs w:val="18"/>
                <w:lang w:eastAsia="en-GB"/>
              </w:rPr>
              <w:t xml:space="preserve"> </w:t>
            </w:r>
            <w:r w:rsidRPr="00554B41">
              <w:rPr>
                <w:rFonts w:eastAsia="Segoe UI" w:cs="Times New Roman"/>
              </w:rPr>
              <w:t>This involved</w:t>
            </w:r>
            <w:r w:rsidRPr="00554B41">
              <w:rPr>
                <w:rFonts w:eastAsia="Times New Roman" w:cs="Segoe UI"/>
                <w:sz w:val="18"/>
                <w:szCs w:val="18"/>
                <w:lang w:eastAsia="en-GB"/>
              </w:rPr>
              <w:t xml:space="preserve"> </w:t>
            </w:r>
            <w:r w:rsidRPr="00554B41">
              <w:rPr>
                <w:rFonts w:eastAsia="Segoe UI" w:cs="Times New Roman"/>
              </w:rPr>
              <w:t>Tajikistan, Nepal, Bhutan, Andorra, Armenia, Zimbabwe</w:t>
            </w:r>
            <w:r w:rsidR="00F1170E" w:rsidRPr="00554B41">
              <w:rPr>
                <w:rFonts w:eastAsia="Segoe UI" w:cs="Times New Roman"/>
              </w:rPr>
              <w:t>,</w:t>
            </w:r>
            <w:r w:rsidRPr="00554B41">
              <w:rPr>
                <w:rFonts w:eastAsia="Segoe UI" w:cs="Times New Roman"/>
              </w:rPr>
              <w:t xml:space="preserve"> and representatives of the International Centre for Integrated Mountain Development (ICIMOD). The members of ICIMOD are Afghanistan, Bangladesh, Bhutan, China, India, Myanmar, Nepal, and Pakistan. </w:t>
            </w:r>
            <w:r w:rsidR="00F1170E" w:rsidRPr="00554B41">
              <w:rPr>
                <w:rFonts w:eastAsia="Segoe UI" w:cs="Times New Roman"/>
              </w:rPr>
              <w:t>The</w:t>
            </w:r>
            <w:r w:rsidRPr="00554B41">
              <w:rPr>
                <w:rFonts w:eastAsia="Segoe UI" w:cs="Times New Roman"/>
              </w:rPr>
              <w:t xml:space="preserve"> </w:t>
            </w:r>
            <w:r w:rsidR="00F1170E" w:rsidRPr="00554B41">
              <w:rPr>
                <w:rFonts w:eastAsia="Segoe UI" w:cs="Times New Roman"/>
              </w:rPr>
              <w:t>Kyrgyz Republic</w:t>
            </w:r>
            <w:r w:rsidRPr="00554B41">
              <w:rPr>
                <w:rFonts w:eastAsia="Segoe UI" w:cs="Times New Roman"/>
              </w:rPr>
              <w:t>, Andorra, Bhutan, Nepal, and Bangladesh were among the countries that aligned themselves with this proposal. A COP decision was taken to conduct an expert dialogue.</w:t>
            </w:r>
          </w:p>
        </w:tc>
      </w:tr>
    </w:tbl>
    <w:p w14:paraId="4648AE91" w14:textId="5B49F877" w:rsidR="002D515F" w:rsidRDefault="002D515F" w:rsidP="002D515F">
      <w:pPr>
        <w:pStyle w:val="Heading2"/>
      </w:pPr>
      <w:bookmarkStart w:id="56" w:name="_Toc204967869"/>
      <w:r w:rsidRPr="00554B41">
        <w:t>What did the OF grantees do?</w:t>
      </w:r>
      <w:bookmarkEnd w:id="56"/>
    </w:p>
    <w:tbl>
      <w:tblPr>
        <w:tblW w:w="903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030"/>
      </w:tblGrid>
      <w:tr w:rsidR="00202F71" w:rsidRPr="00554B41" w14:paraId="2951D03A" w14:textId="77777777" w:rsidTr="3B9AFC14">
        <w:trPr>
          <w:trHeight w:val="300"/>
        </w:trPr>
        <w:tc>
          <w:tcPr>
            <w:tcW w:w="9030" w:type="dxa"/>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4078CB9C" w14:textId="3A513EC5" w:rsidR="00202F71" w:rsidRPr="00554B41" w:rsidRDefault="00202F71" w:rsidP="00202F71">
            <w:pPr>
              <w:rPr>
                <w:rFonts w:eastAsia="Segoe UI" w:cs="Times New Roman"/>
              </w:rPr>
            </w:pPr>
            <w:r w:rsidRPr="00554B41">
              <w:rPr>
                <w:rFonts w:eastAsia="Segoe UI" w:cs="Times New Roman"/>
              </w:rPr>
              <w:t xml:space="preserve">There are four OF grantees that delivered interventions supporting </w:t>
            </w:r>
            <w:r w:rsidR="00F1170E" w:rsidRPr="00554B41">
              <w:rPr>
                <w:rFonts w:eastAsia="Segoe UI" w:cs="Times New Roman"/>
              </w:rPr>
              <w:t>the GoN</w:t>
            </w:r>
            <w:r w:rsidRPr="00554B41">
              <w:rPr>
                <w:rFonts w:eastAsia="Segoe UI" w:cs="Times New Roman"/>
              </w:rPr>
              <w:t xml:space="preserve"> and other stakeholders from Nepal active in the UNFCCC across all major agenda items (mitigation, adaptation, and </w:t>
            </w:r>
            <w:r w:rsidR="00F1170E" w:rsidRPr="00554B41">
              <w:rPr>
                <w:rFonts w:eastAsia="Segoe UI" w:cs="Times New Roman"/>
              </w:rPr>
              <w:t xml:space="preserve">Loss </w:t>
            </w:r>
            <w:r w:rsidRPr="00554B41">
              <w:rPr>
                <w:rFonts w:eastAsia="Segoe UI" w:cs="Times New Roman"/>
              </w:rPr>
              <w:t xml:space="preserve">and </w:t>
            </w:r>
            <w:r w:rsidR="00F1170E" w:rsidRPr="00554B41">
              <w:rPr>
                <w:rFonts w:eastAsia="Segoe UI" w:cs="Times New Roman"/>
              </w:rPr>
              <w:t>Damage</w:t>
            </w:r>
            <w:r w:rsidRPr="00554B41">
              <w:rPr>
                <w:rFonts w:eastAsia="Segoe UI" w:cs="Times New Roman"/>
              </w:rPr>
              <w:t xml:space="preserve">): Oxford Policy Management (OPM), Practical Action, </w:t>
            </w:r>
            <w:r w:rsidR="00F1170E" w:rsidRPr="00554B41">
              <w:rPr>
                <w:rFonts w:eastAsia="Segoe UI" w:cs="Times New Roman"/>
              </w:rPr>
              <w:t xml:space="preserve">the </w:t>
            </w:r>
            <w:r w:rsidRPr="00554B41">
              <w:rPr>
                <w:rFonts w:eastAsia="Segoe UI" w:cs="Times New Roman"/>
              </w:rPr>
              <w:t xml:space="preserve">Environment, Culture, Agriculture, Research and Development Society (ECARDS), and </w:t>
            </w:r>
            <w:r w:rsidR="00F1170E" w:rsidRPr="00554B41">
              <w:rPr>
                <w:rFonts w:eastAsia="Segoe UI" w:cs="Times New Roman"/>
              </w:rPr>
              <w:t xml:space="preserve">the </w:t>
            </w:r>
            <w:r w:rsidRPr="00554B41">
              <w:rPr>
                <w:rFonts w:eastAsia="Segoe UI" w:cs="Times New Roman"/>
              </w:rPr>
              <w:t>Prakriti Resources Institute (PRI).</w:t>
            </w:r>
            <w:r w:rsidRPr="00554B41">
              <w:rPr>
                <w:rFonts w:eastAsia="Segoe UI" w:cs="Times New Roman"/>
                <w:vertAlign w:val="superscript"/>
              </w:rPr>
              <w:footnoteReference w:id="20"/>
            </w:r>
            <w:r w:rsidRPr="00554B41">
              <w:rPr>
                <w:rFonts w:eastAsia="Segoe UI" w:cs="Times New Roman"/>
              </w:rPr>
              <w:t xml:space="preserve"> Some of the grantee support overlaps. Both OPM and Practical Action, for example, were supporting M</w:t>
            </w:r>
            <w:r w:rsidR="00F1170E" w:rsidRPr="00554B41">
              <w:rPr>
                <w:rFonts w:eastAsia="Segoe UI" w:cs="Times New Roman"/>
              </w:rPr>
              <w:t xml:space="preserve">ountainous </w:t>
            </w:r>
            <w:r w:rsidRPr="00554B41">
              <w:rPr>
                <w:rFonts w:eastAsia="Segoe UI" w:cs="Times New Roman"/>
              </w:rPr>
              <w:t>R</w:t>
            </w:r>
            <w:r w:rsidR="00F1170E" w:rsidRPr="00554B41">
              <w:rPr>
                <w:rFonts w:eastAsia="Segoe UI" w:cs="Times New Roman"/>
              </w:rPr>
              <w:t>anges</w:t>
            </w:r>
            <w:r w:rsidRPr="00554B41">
              <w:rPr>
                <w:rFonts w:eastAsia="Segoe UI" w:cs="Times New Roman"/>
              </w:rPr>
              <w:t xml:space="preserve"> </w:t>
            </w:r>
            <w:r w:rsidR="00DB4A3F">
              <w:rPr>
                <w:rFonts w:eastAsia="Segoe UI" w:cs="Times New Roman"/>
              </w:rPr>
              <w:t>Agenda</w:t>
            </w:r>
            <w:r w:rsidRPr="00554B41">
              <w:rPr>
                <w:rFonts w:eastAsia="Segoe UI" w:cs="Times New Roman"/>
              </w:rPr>
              <w:t xml:space="preserve"> development at varying degrees </w:t>
            </w:r>
            <w:r w:rsidR="00F1170E" w:rsidRPr="00554B41">
              <w:rPr>
                <w:rFonts w:eastAsia="Segoe UI" w:cs="Times New Roman"/>
              </w:rPr>
              <w:t xml:space="preserve">and </w:t>
            </w:r>
            <w:r w:rsidRPr="00554B41">
              <w:rPr>
                <w:rFonts w:eastAsia="Segoe UI" w:cs="Times New Roman"/>
              </w:rPr>
              <w:t>with</w:t>
            </w:r>
            <w:r w:rsidRPr="00554B41" w:rsidDel="00F1170E">
              <w:rPr>
                <w:rFonts w:eastAsia="Segoe UI" w:cs="Times New Roman"/>
              </w:rPr>
              <w:t xml:space="preserve"> </w:t>
            </w:r>
            <w:r w:rsidRPr="00554B41">
              <w:rPr>
                <w:rFonts w:eastAsia="Segoe UI" w:cs="Times New Roman"/>
              </w:rPr>
              <w:t>different scope</w:t>
            </w:r>
            <w:r w:rsidR="00F1170E" w:rsidRPr="00554B41">
              <w:rPr>
                <w:rFonts w:eastAsia="Segoe UI" w:cs="Times New Roman"/>
              </w:rPr>
              <w:t>s</w:t>
            </w:r>
            <w:r w:rsidRPr="00554B41">
              <w:rPr>
                <w:rFonts w:eastAsia="Segoe UI" w:cs="Times New Roman"/>
              </w:rPr>
              <w:t xml:space="preserve">. Likewise, both Practical Action and ECARDS provided facilitation services and other support to local government consultations, again </w:t>
            </w:r>
            <w:r w:rsidR="00F1170E" w:rsidRPr="00554B41">
              <w:rPr>
                <w:rFonts w:eastAsia="Segoe UI" w:cs="Times New Roman"/>
              </w:rPr>
              <w:t>al</w:t>
            </w:r>
            <w:r w:rsidRPr="00554B41">
              <w:rPr>
                <w:rFonts w:eastAsia="Segoe UI" w:cs="Times New Roman"/>
              </w:rPr>
              <w:t>beit for different purposes. Practical Action and PRI delivered training in negotiations to different types of stakeholders. This intervention support is specified in the table below.</w:t>
            </w:r>
          </w:p>
          <w:tbl>
            <w:tblPr>
              <w:tblStyle w:val="GridTable5Dark-Accent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8"/>
              <w:gridCol w:w="1843"/>
              <w:gridCol w:w="1842"/>
              <w:gridCol w:w="1843"/>
              <w:gridCol w:w="2079"/>
            </w:tblGrid>
            <w:tr w:rsidR="00E3567C" w:rsidRPr="00554B41" w14:paraId="0FF09650" w14:textId="77777777" w:rsidTr="00584B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8" w:type="dxa"/>
                  <w:tcBorders>
                    <w:top w:val="none" w:sz="0" w:space="0" w:color="auto"/>
                    <w:left w:val="none" w:sz="0" w:space="0" w:color="auto"/>
                    <w:right w:val="none" w:sz="0" w:space="0" w:color="auto"/>
                  </w:tcBorders>
                </w:tcPr>
                <w:p w14:paraId="7527EBDF" w14:textId="4AC8B157" w:rsidR="00202F71" w:rsidRPr="00554B41" w:rsidRDefault="00202F71" w:rsidP="00DF1B04">
                  <w:pPr>
                    <w:spacing w:after="0"/>
                    <w:jc w:val="left"/>
                    <w:rPr>
                      <w:rFonts w:ascii="Segoe UI" w:eastAsia="Segoe UI" w:hAnsi="Segoe UI" w:cs="Times New Roman"/>
                      <w:color w:val="303030" w:themeColor="text1"/>
                      <w:sz w:val="20"/>
                      <w:szCs w:val="20"/>
                    </w:rPr>
                  </w:pPr>
                  <w:r w:rsidRPr="00554B41">
                    <w:rPr>
                      <w:rFonts w:ascii="Segoe UI" w:eastAsia="Segoe UI" w:hAnsi="Segoe UI" w:cs="Times New Roman"/>
                      <w:color w:val="303030" w:themeColor="text1"/>
                      <w:sz w:val="20"/>
                      <w:szCs w:val="20"/>
                    </w:rPr>
                    <w:t>T</w:t>
                  </w:r>
                  <w:r w:rsidR="00F1170E" w:rsidRPr="00554B41">
                    <w:rPr>
                      <w:rFonts w:ascii="Segoe UI" w:eastAsia="Segoe UI" w:hAnsi="Segoe UI" w:cs="Times New Roman"/>
                      <w:color w:val="303030" w:themeColor="text1"/>
                      <w:sz w:val="20"/>
                      <w:szCs w:val="20"/>
                    </w:rPr>
                    <w:t>heory of change</w:t>
                  </w:r>
                  <w:r w:rsidRPr="00554B41">
                    <w:rPr>
                      <w:rFonts w:ascii="Segoe UI" w:eastAsia="Segoe UI" w:hAnsi="Segoe UI" w:cs="Times New Roman"/>
                      <w:color w:val="303030" w:themeColor="text1"/>
                      <w:sz w:val="20"/>
                      <w:szCs w:val="20"/>
                    </w:rPr>
                    <w:t xml:space="preserve"> causal pathway</w:t>
                  </w:r>
                  <w:r w:rsidR="00F1170E" w:rsidRPr="00554B41">
                    <w:rPr>
                      <w:rFonts w:ascii="Segoe UI" w:eastAsia="Segoe UI" w:hAnsi="Segoe UI" w:cs="Times New Roman"/>
                      <w:color w:val="303030" w:themeColor="text1"/>
                      <w:sz w:val="20"/>
                      <w:szCs w:val="20"/>
                    </w:rPr>
                    <w:t xml:space="preserve">, </w:t>
                  </w:r>
                  <w:r w:rsidRPr="00554B41">
                    <w:rPr>
                      <w:rFonts w:ascii="Segoe UI" w:eastAsia="Segoe UI" w:hAnsi="Segoe UI" w:cs="Times New Roman"/>
                      <w:color w:val="303030" w:themeColor="text1"/>
                      <w:sz w:val="20"/>
                      <w:szCs w:val="20"/>
                    </w:rPr>
                    <w:t xml:space="preserve">e.g. mechanisms of change </w:t>
                  </w:r>
                </w:p>
              </w:tc>
              <w:tc>
                <w:tcPr>
                  <w:tcW w:w="1843" w:type="dxa"/>
                  <w:tcBorders>
                    <w:top w:val="none" w:sz="0" w:space="0" w:color="auto"/>
                    <w:left w:val="none" w:sz="0" w:space="0" w:color="auto"/>
                    <w:right w:val="none" w:sz="0" w:space="0" w:color="auto"/>
                  </w:tcBorders>
                </w:tcPr>
                <w:p w14:paraId="1790BFCD" w14:textId="77777777" w:rsidR="00202F71" w:rsidRPr="00554B41" w:rsidRDefault="00202F71" w:rsidP="00202F71">
                  <w:pPr>
                    <w:spacing w:after="0"/>
                    <w:jc w:val="center"/>
                    <w:cnfStyle w:val="100000000000" w:firstRow="1"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r w:rsidRPr="00554B41">
                    <w:rPr>
                      <w:rFonts w:ascii="Segoe UI" w:eastAsia="Segoe UI" w:hAnsi="Segoe UI" w:cs="Times New Roman"/>
                      <w:color w:val="303030" w:themeColor="text1"/>
                      <w:sz w:val="20"/>
                      <w:szCs w:val="20"/>
                    </w:rPr>
                    <w:t>OPM</w:t>
                  </w:r>
                </w:p>
              </w:tc>
              <w:tc>
                <w:tcPr>
                  <w:tcW w:w="1842" w:type="dxa"/>
                  <w:tcBorders>
                    <w:top w:val="none" w:sz="0" w:space="0" w:color="auto"/>
                    <w:left w:val="none" w:sz="0" w:space="0" w:color="auto"/>
                    <w:right w:val="none" w:sz="0" w:space="0" w:color="auto"/>
                  </w:tcBorders>
                </w:tcPr>
                <w:p w14:paraId="271AE3A1" w14:textId="77777777" w:rsidR="00202F71" w:rsidRPr="00554B41" w:rsidRDefault="00202F71" w:rsidP="00202F71">
                  <w:pPr>
                    <w:spacing w:after="0"/>
                    <w:jc w:val="center"/>
                    <w:cnfStyle w:val="100000000000" w:firstRow="1"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r w:rsidRPr="00554B41">
                    <w:rPr>
                      <w:rFonts w:ascii="Segoe UI" w:eastAsia="Segoe UI" w:hAnsi="Segoe UI" w:cs="Times New Roman"/>
                      <w:color w:val="303030" w:themeColor="text1"/>
                      <w:sz w:val="20"/>
                      <w:szCs w:val="20"/>
                    </w:rPr>
                    <w:t>Practical Action</w:t>
                  </w:r>
                </w:p>
              </w:tc>
              <w:tc>
                <w:tcPr>
                  <w:tcW w:w="1843" w:type="dxa"/>
                  <w:tcBorders>
                    <w:top w:val="none" w:sz="0" w:space="0" w:color="auto"/>
                    <w:left w:val="none" w:sz="0" w:space="0" w:color="auto"/>
                    <w:right w:val="none" w:sz="0" w:space="0" w:color="auto"/>
                  </w:tcBorders>
                </w:tcPr>
                <w:p w14:paraId="4D9B6E41" w14:textId="77777777" w:rsidR="00202F71" w:rsidRPr="00554B41" w:rsidRDefault="00202F71" w:rsidP="00202F71">
                  <w:pPr>
                    <w:spacing w:after="0"/>
                    <w:jc w:val="center"/>
                    <w:cnfStyle w:val="100000000000" w:firstRow="1"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r w:rsidRPr="00554B41">
                    <w:rPr>
                      <w:rFonts w:ascii="Segoe UI" w:eastAsia="Segoe UI" w:hAnsi="Segoe UI" w:cs="Times New Roman"/>
                      <w:color w:val="303030" w:themeColor="text1"/>
                      <w:sz w:val="20"/>
                      <w:szCs w:val="20"/>
                    </w:rPr>
                    <w:t>ECARDS</w:t>
                  </w:r>
                </w:p>
              </w:tc>
              <w:tc>
                <w:tcPr>
                  <w:tcW w:w="2079" w:type="dxa"/>
                  <w:tcBorders>
                    <w:top w:val="none" w:sz="0" w:space="0" w:color="auto"/>
                    <w:left w:val="none" w:sz="0" w:space="0" w:color="auto"/>
                    <w:right w:val="none" w:sz="0" w:space="0" w:color="auto"/>
                  </w:tcBorders>
                </w:tcPr>
                <w:p w14:paraId="5EE19A7D" w14:textId="10483385" w:rsidR="00202F71" w:rsidRPr="00554B41" w:rsidRDefault="00202F71" w:rsidP="00202F71">
                  <w:pPr>
                    <w:spacing w:after="0"/>
                    <w:jc w:val="center"/>
                    <w:cnfStyle w:val="100000000000" w:firstRow="1"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r w:rsidRPr="00554B41">
                    <w:rPr>
                      <w:rFonts w:ascii="Segoe UI" w:eastAsia="Segoe UI" w:hAnsi="Segoe UI" w:cs="Times New Roman"/>
                      <w:color w:val="303030" w:themeColor="text1"/>
                      <w:sz w:val="20"/>
                      <w:szCs w:val="20"/>
                    </w:rPr>
                    <w:t>P</w:t>
                  </w:r>
                  <w:r w:rsidR="00F1170E" w:rsidRPr="00554B41">
                    <w:rPr>
                      <w:rFonts w:ascii="Segoe UI" w:eastAsia="Segoe UI" w:hAnsi="Segoe UI" w:cs="Times New Roman"/>
                      <w:color w:val="303030" w:themeColor="text1"/>
                      <w:sz w:val="20"/>
                      <w:szCs w:val="20"/>
                    </w:rPr>
                    <w:t xml:space="preserve">RI </w:t>
                  </w:r>
                  <w:r w:rsidRPr="00554B41">
                    <w:rPr>
                      <w:rFonts w:ascii="Segoe UI" w:eastAsia="Segoe UI" w:hAnsi="Segoe UI" w:cs="Times New Roman"/>
                      <w:color w:val="303030" w:themeColor="text1"/>
                      <w:sz w:val="20"/>
                      <w:szCs w:val="20"/>
                    </w:rPr>
                    <w:t>(sub</w:t>
                  </w:r>
                  <w:r w:rsidR="00F1170E" w:rsidRPr="00554B41">
                    <w:rPr>
                      <w:rFonts w:ascii="Segoe UI" w:eastAsia="Segoe UI" w:hAnsi="Segoe UI" w:cs="Times New Roman"/>
                      <w:color w:val="303030" w:themeColor="text1"/>
                      <w:sz w:val="20"/>
                      <w:szCs w:val="20"/>
                    </w:rPr>
                    <w:t>contracted</w:t>
                  </w:r>
                  <w:r w:rsidRPr="00554B41">
                    <w:rPr>
                      <w:rFonts w:ascii="Segoe UI" w:eastAsia="Segoe UI" w:hAnsi="Segoe UI" w:cs="Times New Roman"/>
                      <w:color w:val="303030" w:themeColor="text1"/>
                      <w:sz w:val="20"/>
                      <w:szCs w:val="20"/>
                    </w:rPr>
                    <w:t xml:space="preserve"> to IIED)</w:t>
                  </w:r>
                </w:p>
              </w:tc>
            </w:tr>
            <w:tr w:rsidR="001A5D04" w:rsidRPr="00554B41" w14:paraId="2B922226" w14:textId="77777777" w:rsidTr="00584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5" w:type="dxa"/>
                  <w:gridSpan w:val="5"/>
                  <w:tcBorders>
                    <w:left w:val="none" w:sz="0" w:space="0" w:color="auto"/>
                  </w:tcBorders>
                </w:tcPr>
                <w:p w14:paraId="1BC339EE" w14:textId="77777777" w:rsidR="00202F71" w:rsidRPr="00554B41" w:rsidRDefault="00202F71" w:rsidP="00202F71">
                  <w:pPr>
                    <w:spacing w:after="0"/>
                    <w:jc w:val="center"/>
                    <w:rPr>
                      <w:rFonts w:ascii="Segoe UI" w:eastAsia="Segoe UI" w:hAnsi="Segoe UI" w:cs="Times New Roman"/>
                      <w:color w:val="303030" w:themeColor="text1"/>
                      <w:sz w:val="20"/>
                      <w:szCs w:val="20"/>
                    </w:rPr>
                  </w:pPr>
                  <w:r w:rsidRPr="00554B41">
                    <w:rPr>
                      <w:rFonts w:ascii="Segoe UI" w:eastAsia="Segoe UI" w:hAnsi="Segoe UI" w:cs="Times New Roman"/>
                      <w:color w:val="303030" w:themeColor="text1"/>
                      <w:sz w:val="20"/>
                      <w:szCs w:val="20"/>
                    </w:rPr>
                    <w:t>Capacity and institutional strengthening</w:t>
                  </w:r>
                </w:p>
              </w:tc>
            </w:tr>
            <w:tr w:rsidR="00E3567C" w:rsidRPr="00554B41" w14:paraId="201D0017" w14:textId="77777777" w:rsidTr="00584BF4">
              <w:tc>
                <w:tcPr>
                  <w:cnfStyle w:val="001000000000" w:firstRow="0" w:lastRow="0" w:firstColumn="1" w:lastColumn="0" w:oddVBand="0" w:evenVBand="0" w:oddHBand="0" w:evenHBand="0" w:firstRowFirstColumn="0" w:firstRowLastColumn="0" w:lastRowFirstColumn="0" w:lastRowLastColumn="0"/>
                  <w:tcW w:w="1398" w:type="dxa"/>
                  <w:tcBorders>
                    <w:left w:val="none" w:sz="0" w:space="0" w:color="auto"/>
                  </w:tcBorders>
                </w:tcPr>
                <w:p w14:paraId="2034D89C" w14:textId="77777777" w:rsidR="00202F71" w:rsidRPr="00554B41" w:rsidRDefault="00202F71" w:rsidP="00202F71">
                  <w:pPr>
                    <w:spacing w:after="0"/>
                    <w:rPr>
                      <w:rFonts w:ascii="Segoe UI" w:eastAsia="Segoe UI" w:hAnsi="Segoe UI" w:cs="Times New Roman"/>
                      <w:i/>
                      <w:iCs/>
                      <w:color w:val="303030" w:themeColor="text1"/>
                      <w:sz w:val="20"/>
                      <w:szCs w:val="20"/>
                    </w:rPr>
                  </w:pPr>
                  <w:r w:rsidRPr="00554B41">
                    <w:rPr>
                      <w:rFonts w:ascii="Segoe UI" w:eastAsia="Segoe UI" w:hAnsi="Segoe UI" w:cs="Times New Roman"/>
                      <w:i/>
                      <w:iCs/>
                      <w:color w:val="303030" w:themeColor="text1"/>
                      <w:sz w:val="20"/>
                      <w:szCs w:val="20"/>
                    </w:rPr>
                    <w:t>Training of negotiators</w:t>
                  </w:r>
                </w:p>
              </w:tc>
              <w:tc>
                <w:tcPr>
                  <w:tcW w:w="1843" w:type="dxa"/>
                </w:tcPr>
                <w:p w14:paraId="2666931E" w14:textId="2EB1AC5D"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r w:rsidRPr="00554B41">
                    <w:rPr>
                      <w:rFonts w:ascii="Segoe UI" w:eastAsia="Segoe UI" w:hAnsi="Segoe UI" w:cs="Times New Roman"/>
                      <w:color w:val="303030" w:themeColor="text1"/>
                      <w:sz w:val="20"/>
                      <w:szCs w:val="20"/>
                    </w:rPr>
                    <w:t xml:space="preserve">Provides day-to-day support and strategic advice on Nepal’s position on </w:t>
                  </w:r>
                  <w:r w:rsidR="00F1170E" w:rsidRPr="00554B41">
                    <w:rPr>
                      <w:rFonts w:ascii="Segoe UI" w:eastAsia="Segoe UI" w:hAnsi="Segoe UI" w:cs="Times New Roman"/>
                      <w:color w:val="303030" w:themeColor="text1"/>
                      <w:sz w:val="20"/>
                      <w:szCs w:val="20"/>
                    </w:rPr>
                    <w:t xml:space="preserve">the </w:t>
                  </w:r>
                  <w:r w:rsidRPr="00554B41">
                    <w:rPr>
                      <w:rFonts w:ascii="Segoe UI" w:eastAsia="Segoe UI" w:hAnsi="Segoe UI" w:cs="Times New Roman"/>
                      <w:color w:val="303030" w:themeColor="text1"/>
                      <w:sz w:val="20"/>
                      <w:szCs w:val="20"/>
                    </w:rPr>
                    <w:t>mountain and climate change agenda.</w:t>
                  </w:r>
                </w:p>
                <w:p w14:paraId="4826B373" w14:textId="77777777"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p>
                <w:p w14:paraId="0FBF1C8B" w14:textId="77777777"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r w:rsidRPr="00554B41">
                    <w:rPr>
                      <w:rFonts w:ascii="Segoe UI" w:eastAsia="Segoe UI" w:hAnsi="Segoe UI" w:cs="Times New Roman"/>
                      <w:color w:val="303030" w:themeColor="text1"/>
                      <w:sz w:val="20"/>
                      <w:szCs w:val="20"/>
                    </w:rPr>
                    <w:t>Trained junior/ youth negotiators in May 2024 on Loss and Damage.</w:t>
                  </w:r>
                </w:p>
                <w:p w14:paraId="31B6CB33" w14:textId="77777777"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p>
              </w:tc>
              <w:tc>
                <w:tcPr>
                  <w:tcW w:w="1842" w:type="dxa"/>
                </w:tcPr>
                <w:p w14:paraId="4C9E410A" w14:textId="582845EC"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r w:rsidRPr="00554B41">
                    <w:rPr>
                      <w:rFonts w:ascii="Segoe UI" w:eastAsia="Segoe UI" w:hAnsi="Segoe UI" w:cs="Times New Roman"/>
                      <w:color w:val="303030" w:themeColor="text1"/>
                      <w:sz w:val="20"/>
                      <w:szCs w:val="20"/>
                    </w:rPr>
                    <w:t xml:space="preserve">Provided training to government </w:t>
                  </w:r>
                  <w:r w:rsidR="00F1170E" w:rsidRPr="00554B41">
                    <w:rPr>
                      <w:rFonts w:ascii="Segoe UI" w:eastAsia="Segoe UI" w:hAnsi="Segoe UI" w:cs="Times New Roman"/>
                      <w:color w:val="303030" w:themeColor="text1"/>
                      <w:sz w:val="20"/>
                      <w:szCs w:val="20"/>
                    </w:rPr>
                    <w:t xml:space="preserve">on Loss </w:t>
                  </w:r>
                  <w:r w:rsidRPr="00554B41">
                    <w:rPr>
                      <w:rFonts w:ascii="Segoe UI" w:eastAsia="Segoe UI" w:hAnsi="Segoe UI" w:cs="Times New Roman"/>
                      <w:color w:val="303030" w:themeColor="text1"/>
                      <w:sz w:val="20"/>
                      <w:szCs w:val="20"/>
                    </w:rPr>
                    <w:t xml:space="preserve">and </w:t>
                  </w:r>
                  <w:r w:rsidR="00F1170E" w:rsidRPr="00554B41">
                    <w:rPr>
                      <w:rFonts w:ascii="Segoe UI" w:eastAsia="Segoe UI" w:hAnsi="Segoe UI" w:cs="Times New Roman"/>
                      <w:color w:val="303030" w:themeColor="text1"/>
                      <w:sz w:val="20"/>
                      <w:szCs w:val="20"/>
                    </w:rPr>
                    <w:t>Damage</w:t>
                  </w:r>
                  <w:r w:rsidRPr="00554B41">
                    <w:rPr>
                      <w:rFonts w:ascii="Segoe UI" w:eastAsia="Segoe UI" w:hAnsi="Segoe UI" w:cs="Times New Roman"/>
                      <w:color w:val="303030" w:themeColor="text1"/>
                      <w:sz w:val="20"/>
                      <w:szCs w:val="20"/>
                    </w:rPr>
                    <w:t>; held mock negotiations ahead of COP29 to practice procedures.</w:t>
                  </w:r>
                </w:p>
                <w:p w14:paraId="6E31EA7B" w14:textId="77777777"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p>
                <w:p w14:paraId="0BFD6653" w14:textId="77777777"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r w:rsidRPr="00554B41">
                    <w:rPr>
                      <w:rFonts w:ascii="Segoe UI" w:eastAsia="Segoe UI" w:hAnsi="Segoe UI" w:cs="Times New Roman"/>
                      <w:color w:val="303030" w:themeColor="text1"/>
                      <w:sz w:val="20"/>
                      <w:szCs w:val="20"/>
                    </w:rPr>
                    <w:t>Delivered the negotiation training for around 50 Nepalese participants who work to formalise the agenda.</w:t>
                  </w:r>
                </w:p>
                <w:p w14:paraId="134B3886" w14:textId="77777777"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p>
              </w:tc>
              <w:tc>
                <w:tcPr>
                  <w:tcW w:w="1843" w:type="dxa"/>
                </w:tcPr>
                <w:p w14:paraId="47C43343" w14:textId="586D7002"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r w:rsidRPr="00554B41">
                    <w:rPr>
                      <w:rFonts w:ascii="Segoe UI" w:eastAsia="Segoe UI" w:hAnsi="Segoe UI" w:cs="Times New Roman"/>
                      <w:color w:val="303030" w:themeColor="text1"/>
                      <w:sz w:val="20"/>
                      <w:szCs w:val="20"/>
                    </w:rPr>
                    <w:t>Capacity building of government officials for climate adaptation negotiations. A total of 164 people were trained in climate change and LAPA process</w:t>
                  </w:r>
                  <w:r w:rsidR="00F1170E" w:rsidRPr="00554B41">
                    <w:rPr>
                      <w:rFonts w:ascii="Segoe UI" w:eastAsia="Segoe UI" w:hAnsi="Segoe UI" w:cs="Times New Roman"/>
                      <w:color w:val="303030" w:themeColor="text1"/>
                      <w:sz w:val="20"/>
                      <w:szCs w:val="20"/>
                    </w:rPr>
                    <w:t>es</w:t>
                  </w:r>
                  <w:r w:rsidRPr="00554B41">
                    <w:rPr>
                      <w:rFonts w:ascii="Segoe UI" w:eastAsia="Segoe UI" w:hAnsi="Segoe UI" w:cs="Times New Roman"/>
                      <w:color w:val="303030" w:themeColor="text1"/>
                      <w:sz w:val="20"/>
                      <w:szCs w:val="20"/>
                    </w:rPr>
                    <w:t>.</w:t>
                  </w:r>
                </w:p>
              </w:tc>
              <w:tc>
                <w:tcPr>
                  <w:tcW w:w="2079" w:type="dxa"/>
                </w:tcPr>
                <w:p w14:paraId="4CEF6F39" w14:textId="77777777"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r w:rsidRPr="00554B41">
                    <w:rPr>
                      <w:rFonts w:ascii="Segoe UI" w:eastAsia="Segoe UI" w:hAnsi="Segoe UI" w:cs="Times New Roman"/>
                      <w:color w:val="303030" w:themeColor="text1"/>
                      <w:sz w:val="20"/>
                      <w:szCs w:val="20"/>
                    </w:rPr>
                    <w:t>Trained LDC junior negotiators (both those new to negotiations and youth) within the government nominated by their national focal points. Most come from Nepal, but they do train other LDC junior negotiators in the Asia Pacific region as well.</w:t>
                  </w:r>
                </w:p>
                <w:p w14:paraId="188ACE67" w14:textId="77777777"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p>
              </w:tc>
            </w:tr>
            <w:tr w:rsidR="001A5D04" w:rsidRPr="00554B41" w14:paraId="7697BF2D" w14:textId="77777777" w:rsidTr="00584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5" w:type="dxa"/>
                  <w:gridSpan w:val="5"/>
                  <w:tcBorders>
                    <w:left w:val="none" w:sz="0" w:space="0" w:color="auto"/>
                  </w:tcBorders>
                </w:tcPr>
                <w:p w14:paraId="13992E73" w14:textId="77777777" w:rsidR="00202F71" w:rsidRPr="00554B41" w:rsidRDefault="00202F71" w:rsidP="00202F71">
                  <w:pPr>
                    <w:spacing w:after="0"/>
                    <w:jc w:val="center"/>
                    <w:rPr>
                      <w:rFonts w:ascii="Segoe UI" w:eastAsia="Segoe UI" w:hAnsi="Segoe UI" w:cs="Times New Roman"/>
                      <w:color w:val="303030" w:themeColor="text1"/>
                      <w:sz w:val="20"/>
                      <w:szCs w:val="20"/>
                    </w:rPr>
                  </w:pPr>
                  <w:r w:rsidRPr="00554B41">
                    <w:rPr>
                      <w:rFonts w:ascii="Segoe UI" w:eastAsia="Segoe UI" w:hAnsi="Segoe UI" w:cs="Times New Roman"/>
                      <w:color w:val="303030" w:themeColor="text1"/>
                      <w:sz w:val="20"/>
                      <w:szCs w:val="20"/>
                    </w:rPr>
                    <w:t>Access to and engagement in negotiations</w:t>
                  </w:r>
                </w:p>
              </w:tc>
            </w:tr>
            <w:tr w:rsidR="00E3567C" w:rsidRPr="00554B41" w14:paraId="6B1B177F" w14:textId="77777777" w:rsidTr="00584BF4">
              <w:tc>
                <w:tcPr>
                  <w:cnfStyle w:val="001000000000" w:firstRow="0" w:lastRow="0" w:firstColumn="1" w:lastColumn="0" w:oddVBand="0" w:evenVBand="0" w:oddHBand="0" w:evenHBand="0" w:firstRowFirstColumn="0" w:firstRowLastColumn="0" w:lastRowFirstColumn="0" w:lastRowLastColumn="0"/>
                  <w:tcW w:w="1398" w:type="dxa"/>
                  <w:tcBorders>
                    <w:left w:val="none" w:sz="0" w:space="0" w:color="auto"/>
                  </w:tcBorders>
                </w:tcPr>
                <w:p w14:paraId="368E138A" w14:textId="77777777" w:rsidR="00202F71" w:rsidRPr="00554B41" w:rsidRDefault="00202F71" w:rsidP="00202F71">
                  <w:pPr>
                    <w:spacing w:after="0"/>
                    <w:rPr>
                      <w:rFonts w:ascii="Segoe UI" w:eastAsia="Segoe UI" w:hAnsi="Segoe UI" w:cs="Times New Roman"/>
                      <w:i/>
                      <w:iCs/>
                      <w:color w:val="303030" w:themeColor="text1"/>
                      <w:sz w:val="20"/>
                      <w:szCs w:val="20"/>
                    </w:rPr>
                  </w:pPr>
                  <w:r w:rsidRPr="00554B41">
                    <w:rPr>
                      <w:rFonts w:ascii="Segoe UI" w:eastAsia="Segoe UI" w:hAnsi="Segoe UI" w:cs="Times New Roman"/>
                      <w:i/>
                      <w:iCs/>
                      <w:color w:val="303030" w:themeColor="text1"/>
                      <w:sz w:val="20"/>
                      <w:szCs w:val="20"/>
                    </w:rPr>
                    <w:t>Facilitation and support during negotiations</w:t>
                  </w:r>
                </w:p>
              </w:tc>
              <w:tc>
                <w:tcPr>
                  <w:tcW w:w="1843" w:type="dxa"/>
                </w:tcPr>
                <w:p w14:paraId="03906815" w14:textId="1C0F595C"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r w:rsidRPr="00554B41">
                    <w:rPr>
                      <w:rFonts w:ascii="Segoe UI" w:eastAsia="Segoe UI" w:hAnsi="Segoe UI" w:cs="Times New Roman"/>
                      <w:color w:val="303030" w:themeColor="text1"/>
                      <w:sz w:val="20"/>
                      <w:szCs w:val="20"/>
                    </w:rPr>
                    <w:t xml:space="preserve">Requested by the </w:t>
                  </w:r>
                  <w:r w:rsidR="00F1170E" w:rsidRPr="00554B41">
                    <w:rPr>
                      <w:rFonts w:ascii="Segoe UI" w:eastAsia="Segoe UI" w:hAnsi="Segoe UI" w:cs="Times New Roman"/>
                      <w:color w:val="303030" w:themeColor="text1"/>
                      <w:sz w:val="20"/>
                      <w:szCs w:val="20"/>
                    </w:rPr>
                    <w:t xml:space="preserve">GoN </w:t>
                  </w:r>
                  <w:r w:rsidRPr="00554B41">
                    <w:rPr>
                      <w:rFonts w:ascii="Segoe UI" w:eastAsia="Segoe UI" w:hAnsi="Segoe UI" w:cs="Times New Roman"/>
                      <w:color w:val="303030" w:themeColor="text1"/>
                      <w:sz w:val="20"/>
                      <w:szCs w:val="20"/>
                    </w:rPr>
                    <w:t>to support in the facilitation of an International Expert Dialogue on Mountains, People, and Climate Change in May 2024.</w:t>
                  </w:r>
                </w:p>
                <w:p w14:paraId="55F5A407" w14:textId="77777777"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p>
                <w:p w14:paraId="4BA27570" w14:textId="28B2B6CD"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r w:rsidRPr="00554B41">
                    <w:rPr>
                      <w:rFonts w:ascii="Segoe UI" w:eastAsia="Segoe UI" w:hAnsi="Segoe UI" w:cs="Times New Roman"/>
                      <w:color w:val="303030" w:themeColor="text1"/>
                      <w:sz w:val="20"/>
                      <w:szCs w:val="20"/>
                    </w:rPr>
                    <w:t xml:space="preserve">Established the Secretariat in </w:t>
                  </w:r>
                  <w:r w:rsidR="00F1170E" w:rsidRPr="00554B41">
                    <w:rPr>
                      <w:rFonts w:ascii="Segoe UI" w:eastAsia="Segoe UI" w:hAnsi="Segoe UI" w:cs="Times New Roman"/>
                      <w:color w:val="303030" w:themeColor="text1"/>
                      <w:sz w:val="20"/>
                      <w:szCs w:val="20"/>
                    </w:rPr>
                    <w:t xml:space="preserve">the GoN </w:t>
                  </w:r>
                  <w:r w:rsidRPr="00554B41">
                    <w:rPr>
                      <w:rFonts w:ascii="Segoe UI" w:eastAsia="Segoe UI" w:hAnsi="Segoe UI" w:cs="Times New Roman"/>
                      <w:color w:val="303030" w:themeColor="text1"/>
                      <w:sz w:val="20"/>
                      <w:szCs w:val="20"/>
                    </w:rPr>
                    <w:t xml:space="preserve">for the </w:t>
                  </w:r>
                  <w:r w:rsidR="00F1170E" w:rsidRPr="00554B41">
                    <w:rPr>
                      <w:rFonts w:ascii="Segoe UI" w:eastAsia="Segoe UI" w:hAnsi="Segoe UI" w:cs="Times New Roman"/>
                      <w:color w:val="303030" w:themeColor="text1"/>
                      <w:sz w:val="20"/>
                      <w:szCs w:val="20"/>
                    </w:rPr>
                    <w:t xml:space="preserve">Mountainous </w:t>
                  </w:r>
                  <w:r w:rsidRPr="00554B41">
                    <w:rPr>
                      <w:rFonts w:ascii="Segoe UI" w:eastAsia="Segoe UI" w:hAnsi="Segoe UI" w:cs="Times New Roman"/>
                      <w:color w:val="303030" w:themeColor="text1"/>
                      <w:sz w:val="20"/>
                      <w:szCs w:val="20"/>
                    </w:rPr>
                    <w:t>R</w:t>
                  </w:r>
                  <w:r w:rsidR="00F1170E" w:rsidRPr="00554B41">
                    <w:rPr>
                      <w:rFonts w:ascii="Segoe UI" w:eastAsia="Segoe UI" w:hAnsi="Segoe UI" w:cs="Times New Roman"/>
                      <w:color w:val="303030" w:themeColor="text1"/>
                      <w:sz w:val="20"/>
                      <w:szCs w:val="20"/>
                    </w:rPr>
                    <w:t>anges</w:t>
                  </w:r>
                  <w:r w:rsidRPr="00554B41">
                    <w:rPr>
                      <w:rFonts w:ascii="Segoe UI" w:eastAsia="Segoe UI" w:hAnsi="Segoe UI" w:cs="Times New Roman"/>
                      <w:color w:val="303030" w:themeColor="text1"/>
                      <w:sz w:val="20"/>
                      <w:szCs w:val="20"/>
                    </w:rPr>
                    <w:t xml:space="preserve"> Agenda.</w:t>
                  </w:r>
                  <w:r w:rsidRPr="00554B41">
                    <w:rPr>
                      <w:rFonts w:ascii="Segoe UI" w:eastAsia="Segoe UI" w:hAnsi="Segoe UI" w:cs="Times New Roman"/>
                      <w:color w:val="303030" w:themeColor="text1"/>
                      <w:sz w:val="20"/>
                      <w:szCs w:val="20"/>
                      <w:vertAlign w:val="superscript"/>
                    </w:rPr>
                    <w:footnoteReference w:id="21"/>
                  </w:r>
                </w:p>
                <w:p w14:paraId="32801BCF" w14:textId="77777777"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p>
                <w:p w14:paraId="77B7B108" w14:textId="1F9E265E"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r w:rsidRPr="00554B41">
                    <w:rPr>
                      <w:rFonts w:ascii="Segoe UI" w:eastAsia="Segoe UI" w:hAnsi="Segoe UI" w:cs="Times New Roman"/>
                      <w:color w:val="303030" w:themeColor="text1"/>
                      <w:sz w:val="20"/>
                      <w:szCs w:val="20"/>
                    </w:rPr>
                    <w:t xml:space="preserve">Hosted </w:t>
                  </w:r>
                  <w:r w:rsidR="00F1170E" w:rsidRPr="00554B41">
                    <w:rPr>
                      <w:rFonts w:ascii="Segoe UI" w:eastAsia="Segoe UI" w:hAnsi="Segoe UI" w:cs="Times New Roman"/>
                      <w:color w:val="303030" w:themeColor="text1"/>
                      <w:sz w:val="20"/>
                      <w:szCs w:val="20"/>
                    </w:rPr>
                    <w:t xml:space="preserve">the </w:t>
                  </w:r>
                  <w:r w:rsidRPr="00554B41">
                    <w:rPr>
                      <w:rFonts w:ascii="Segoe UI" w:eastAsia="Segoe UI" w:hAnsi="Segoe UI" w:cs="Times New Roman"/>
                      <w:color w:val="303030" w:themeColor="text1"/>
                      <w:sz w:val="20"/>
                      <w:szCs w:val="20"/>
                    </w:rPr>
                    <w:t xml:space="preserve">first expert dialogue on Mountains and Climate Change at SB60, </w:t>
                  </w:r>
                  <w:r w:rsidR="00F1170E" w:rsidRPr="00554B41">
                    <w:rPr>
                      <w:rFonts w:ascii="Segoe UI" w:eastAsia="Segoe UI" w:hAnsi="Segoe UI" w:cs="Times New Roman"/>
                      <w:color w:val="303030" w:themeColor="text1"/>
                      <w:sz w:val="20"/>
                      <w:szCs w:val="20"/>
                    </w:rPr>
                    <w:t xml:space="preserve">including </w:t>
                  </w:r>
                  <w:r w:rsidRPr="00554B41">
                    <w:rPr>
                      <w:rFonts w:ascii="Segoe UI" w:eastAsia="Segoe UI" w:hAnsi="Segoe UI" w:cs="Times New Roman"/>
                      <w:color w:val="303030" w:themeColor="text1"/>
                      <w:sz w:val="20"/>
                      <w:szCs w:val="20"/>
                    </w:rPr>
                    <w:t>representatives from all mountain countries' parties.</w:t>
                  </w:r>
                </w:p>
                <w:p w14:paraId="5D0F8221" w14:textId="77777777"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p>
                <w:p w14:paraId="37002081" w14:textId="1132A437"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r w:rsidRPr="00554B41">
                    <w:rPr>
                      <w:rFonts w:ascii="Segoe UI" w:eastAsia="Segoe UI" w:hAnsi="Segoe UI" w:cs="Times New Roman"/>
                      <w:color w:val="303030" w:themeColor="text1"/>
                      <w:sz w:val="20"/>
                      <w:szCs w:val="20"/>
                    </w:rPr>
                    <w:t xml:space="preserve">Supported a main event at COP29 with the </w:t>
                  </w:r>
                  <w:r w:rsidR="00F1170E" w:rsidRPr="00554B41">
                    <w:rPr>
                      <w:rFonts w:ascii="Segoe UI" w:eastAsia="Segoe UI" w:hAnsi="Segoe UI" w:cs="Times New Roman"/>
                      <w:color w:val="303030" w:themeColor="text1"/>
                      <w:sz w:val="20"/>
                      <w:szCs w:val="20"/>
                    </w:rPr>
                    <w:t>GoN</w:t>
                  </w:r>
                  <w:r w:rsidRPr="00554B41">
                    <w:rPr>
                      <w:rFonts w:ascii="Segoe UI" w:eastAsia="Segoe UI" w:hAnsi="Segoe UI" w:cs="Times New Roman"/>
                      <w:color w:val="303030" w:themeColor="text1"/>
                      <w:sz w:val="20"/>
                      <w:szCs w:val="20"/>
                    </w:rPr>
                    <w:t xml:space="preserve"> focused on the M</w:t>
                  </w:r>
                  <w:r w:rsidR="00F1170E" w:rsidRPr="00554B41">
                    <w:rPr>
                      <w:rFonts w:ascii="Segoe UI" w:eastAsia="Segoe UI" w:hAnsi="Segoe UI" w:cs="Times New Roman"/>
                      <w:color w:val="303030" w:themeColor="text1"/>
                      <w:sz w:val="20"/>
                      <w:szCs w:val="20"/>
                    </w:rPr>
                    <w:t xml:space="preserve">ountainous </w:t>
                  </w:r>
                  <w:r w:rsidRPr="00554B41">
                    <w:rPr>
                      <w:rFonts w:ascii="Segoe UI" w:eastAsia="Segoe UI" w:hAnsi="Segoe UI" w:cs="Times New Roman"/>
                      <w:color w:val="303030" w:themeColor="text1"/>
                      <w:sz w:val="20"/>
                      <w:szCs w:val="20"/>
                    </w:rPr>
                    <w:t>R</w:t>
                  </w:r>
                  <w:r w:rsidR="00F1170E" w:rsidRPr="00554B41">
                    <w:rPr>
                      <w:rFonts w:ascii="Segoe UI" w:eastAsia="Segoe UI" w:hAnsi="Segoe UI" w:cs="Times New Roman"/>
                      <w:color w:val="303030" w:themeColor="text1"/>
                      <w:sz w:val="20"/>
                      <w:szCs w:val="20"/>
                    </w:rPr>
                    <w:t>anges</w:t>
                  </w:r>
                  <w:r w:rsidRPr="00554B41">
                    <w:rPr>
                      <w:rFonts w:ascii="Segoe UI" w:eastAsia="Segoe UI" w:hAnsi="Segoe UI" w:cs="Times New Roman"/>
                      <w:color w:val="303030" w:themeColor="text1"/>
                      <w:sz w:val="20"/>
                      <w:szCs w:val="20"/>
                    </w:rPr>
                    <w:t xml:space="preserve"> Agenda and provided support for government officials to attend a series of side events related to their positions.</w:t>
                  </w:r>
                </w:p>
                <w:p w14:paraId="1AEBB9A6" w14:textId="77777777"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p>
                <w:p w14:paraId="603DE567" w14:textId="4F143721"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r w:rsidRPr="00554B41">
                    <w:rPr>
                      <w:rFonts w:ascii="Segoe UI" w:eastAsia="Segoe UI" w:hAnsi="Segoe UI" w:cs="Times New Roman"/>
                      <w:color w:val="303030" w:themeColor="text1"/>
                      <w:sz w:val="20"/>
                      <w:szCs w:val="20"/>
                    </w:rPr>
                    <w:t xml:space="preserve">Key supporter </w:t>
                  </w:r>
                  <w:r w:rsidR="00F1170E" w:rsidRPr="00554B41">
                    <w:rPr>
                      <w:rFonts w:ascii="Segoe UI" w:eastAsia="Segoe UI" w:hAnsi="Segoe UI" w:cs="Times New Roman"/>
                      <w:color w:val="303030" w:themeColor="text1"/>
                      <w:sz w:val="20"/>
                      <w:szCs w:val="20"/>
                    </w:rPr>
                    <w:t>of the GoN in</w:t>
                  </w:r>
                  <w:r w:rsidRPr="00554B41">
                    <w:rPr>
                      <w:rFonts w:ascii="Segoe UI" w:eastAsia="Segoe UI" w:hAnsi="Segoe UI" w:cs="Times New Roman"/>
                      <w:color w:val="303030" w:themeColor="text1"/>
                      <w:sz w:val="20"/>
                      <w:szCs w:val="20"/>
                    </w:rPr>
                    <w:t xml:space="preserve"> help</w:t>
                  </w:r>
                  <w:r w:rsidR="00F1170E" w:rsidRPr="00554B41">
                    <w:rPr>
                      <w:rFonts w:ascii="Segoe UI" w:eastAsia="Segoe UI" w:hAnsi="Segoe UI" w:cs="Times New Roman"/>
                      <w:color w:val="303030" w:themeColor="text1"/>
                      <w:sz w:val="20"/>
                      <w:szCs w:val="20"/>
                    </w:rPr>
                    <w:t>ing</w:t>
                  </w:r>
                  <w:r w:rsidRPr="00554B41">
                    <w:rPr>
                      <w:rFonts w:ascii="Segoe UI" w:eastAsia="Segoe UI" w:hAnsi="Segoe UI" w:cs="Times New Roman"/>
                      <w:color w:val="303030" w:themeColor="text1"/>
                      <w:sz w:val="20"/>
                      <w:szCs w:val="20"/>
                    </w:rPr>
                    <w:t xml:space="preserve"> </w:t>
                  </w:r>
                  <w:r w:rsidR="00F1170E" w:rsidRPr="00554B41">
                    <w:rPr>
                      <w:rFonts w:ascii="Segoe UI" w:eastAsia="Segoe UI" w:hAnsi="Segoe UI" w:cs="Times New Roman"/>
                      <w:color w:val="303030" w:themeColor="text1"/>
                      <w:sz w:val="20"/>
                      <w:szCs w:val="20"/>
                    </w:rPr>
                    <w:t xml:space="preserve">it </w:t>
                  </w:r>
                  <w:r w:rsidRPr="00554B41">
                    <w:rPr>
                      <w:rFonts w:ascii="Segoe UI" w:eastAsia="Segoe UI" w:hAnsi="Segoe UI" w:cs="Times New Roman"/>
                      <w:color w:val="303030" w:themeColor="text1"/>
                      <w:sz w:val="20"/>
                      <w:szCs w:val="20"/>
                    </w:rPr>
                    <w:t>organise the Sagarmatha Sambaad Dialogue in May 2025.</w:t>
                  </w:r>
                </w:p>
              </w:tc>
              <w:tc>
                <w:tcPr>
                  <w:tcW w:w="1842" w:type="dxa"/>
                </w:tcPr>
                <w:p w14:paraId="419680ED" w14:textId="2267BC6A"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r w:rsidRPr="00554B41">
                    <w:rPr>
                      <w:rFonts w:ascii="Segoe UI" w:eastAsia="Segoe UI" w:hAnsi="Segoe UI" w:cs="Times New Roman"/>
                      <w:color w:val="303030" w:themeColor="text1"/>
                      <w:sz w:val="20"/>
                      <w:szCs w:val="20"/>
                    </w:rPr>
                    <w:t xml:space="preserve">Helped prepare </w:t>
                  </w:r>
                  <w:r w:rsidR="00F1170E" w:rsidRPr="00554B41">
                    <w:rPr>
                      <w:rFonts w:ascii="Segoe UI" w:eastAsia="Segoe UI" w:hAnsi="Segoe UI" w:cs="Times New Roman"/>
                      <w:color w:val="303030" w:themeColor="text1"/>
                      <w:sz w:val="20"/>
                      <w:szCs w:val="20"/>
                    </w:rPr>
                    <w:t xml:space="preserve">the GoN </w:t>
                  </w:r>
                  <w:r w:rsidRPr="00554B41">
                    <w:rPr>
                      <w:rFonts w:ascii="Segoe UI" w:eastAsia="Segoe UI" w:hAnsi="Segoe UI" w:cs="Times New Roman"/>
                      <w:color w:val="303030" w:themeColor="text1"/>
                      <w:sz w:val="20"/>
                      <w:szCs w:val="20"/>
                    </w:rPr>
                    <w:t xml:space="preserve">ahead of COP29 by helping </w:t>
                  </w:r>
                  <w:r w:rsidR="003F73BE" w:rsidRPr="00554B41">
                    <w:rPr>
                      <w:rFonts w:ascii="Segoe UI" w:eastAsia="Segoe UI" w:hAnsi="Segoe UI" w:cs="Times New Roman"/>
                      <w:color w:val="303030" w:themeColor="text1"/>
                      <w:sz w:val="20"/>
                      <w:szCs w:val="20"/>
                    </w:rPr>
                    <w:t xml:space="preserve">it </w:t>
                  </w:r>
                  <w:r w:rsidRPr="00554B41">
                    <w:rPr>
                      <w:rFonts w:ascii="Segoe UI" w:eastAsia="Segoe UI" w:hAnsi="Segoe UI" w:cs="Times New Roman"/>
                      <w:color w:val="303030" w:themeColor="text1"/>
                      <w:sz w:val="20"/>
                      <w:szCs w:val="20"/>
                    </w:rPr>
                    <w:t xml:space="preserve">prioritise key positions. </w:t>
                  </w:r>
                </w:p>
                <w:p w14:paraId="45DCDC23" w14:textId="77777777"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p>
                <w:p w14:paraId="44F614F7" w14:textId="00B3F0D3"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r w:rsidRPr="00554B41">
                    <w:rPr>
                      <w:rFonts w:ascii="Segoe UI" w:eastAsia="Segoe UI" w:hAnsi="Segoe UI" w:cs="Times New Roman"/>
                      <w:color w:val="303030" w:themeColor="text1"/>
                      <w:sz w:val="20"/>
                      <w:szCs w:val="20"/>
                    </w:rPr>
                    <w:t xml:space="preserve">Provided in-situ support during COP29 to the </w:t>
                  </w:r>
                  <w:r w:rsidR="003F73BE" w:rsidRPr="00554B41">
                    <w:rPr>
                      <w:rFonts w:ascii="Segoe UI" w:eastAsia="Segoe UI" w:hAnsi="Segoe UI" w:cs="Times New Roman"/>
                      <w:color w:val="303030" w:themeColor="text1"/>
                      <w:sz w:val="20"/>
                      <w:szCs w:val="20"/>
                    </w:rPr>
                    <w:t>GoN</w:t>
                  </w:r>
                  <w:r w:rsidRPr="00554B41">
                    <w:rPr>
                      <w:rFonts w:ascii="Segoe UI" w:eastAsia="Segoe UI" w:hAnsi="Segoe UI" w:cs="Times New Roman"/>
                      <w:color w:val="303030" w:themeColor="text1"/>
                      <w:sz w:val="20"/>
                      <w:szCs w:val="20"/>
                    </w:rPr>
                    <w:t>.</w:t>
                  </w:r>
                </w:p>
                <w:p w14:paraId="2F8F10F0" w14:textId="77777777"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p>
                <w:p w14:paraId="1E898C6C" w14:textId="122A789E"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r w:rsidRPr="00554B41">
                    <w:rPr>
                      <w:rFonts w:ascii="Segoe UI" w:eastAsia="Segoe UI" w:hAnsi="Segoe UI" w:cs="Times New Roman"/>
                      <w:color w:val="303030" w:themeColor="text1"/>
                      <w:sz w:val="20"/>
                      <w:szCs w:val="20"/>
                    </w:rPr>
                    <w:t xml:space="preserve">Held consultative workshops on NDCs to prepare the </w:t>
                  </w:r>
                  <w:r w:rsidR="003F73BE" w:rsidRPr="00554B41">
                    <w:rPr>
                      <w:rFonts w:ascii="Segoe UI" w:eastAsia="Segoe UI" w:hAnsi="Segoe UI" w:cs="Times New Roman"/>
                      <w:color w:val="303030" w:themeColor="text1"/>
                      <w:sz w:val="20"/>
                      <w:szCs w:val="20"/>
                    </w:rPr>
                    <w:t xml:space="preserve">GoN </w:t>
                  </w:r>
                  <w:r w:rsidRPr="00554B41">
                    <w:rPr>
                      <w:rFonts w:ascii="Segoe UI" w:eastAsia="Segoe UI" w:hAnsi="Segoe UI" w:cs="Times New Roman"/>
                      <w:color w:val="303030" w:themeColor="text1"/>
                      <w:sz w:val="20"/>
                      <w:szCs w:val="20"/>
                    </w:rPr>
                    <w:t xml:space="preserve">team ahead </w:t>
                  </w:r>
                  <w:r w:rsidR="003F73BE" w:rsidRPr="00554B41">
                    <w:rPr>
                      <w:rFonts w:ascii="Segoe UI" w:eastAsia="Segoe UI" w:hAnsi="Segoe UI" w:cs="Times New Roman"/>
                      <w:color w:val="303030" w:themeColor="text1"/>
                      <w:sz w:val="20"/>
                      <w:szCs w:val="20"/>
                    </w:rPr>
                    <w:t xml:space="preserve">of </w:t>
                  </w:r>
                  <w:r w:rsidRPr="00554B41">
                    <w:rPr>
                      <w:rFonts w:ascii="Segoe UI" w:eastAsia="Segoe UI" w:hAnsi="Segoe UI" w:cs="Times New Roman"/>
                      <w:color w:val="303030" w:themeColor="text1"/>
                      <w:sz w:val="20"/>
                      <w:szCs w:val="20"/>
                    </w:rPr>
                    <w:t>and at COP29.</w:t>
                  </w:r>
                </w:p>
                <w:p w14:paraId="1DDCDEC8" w14:textId="77777777"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p>
                <w:p w14:paraId="3D5B6670" w14:textId="01F7992D"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r w:rsidRPr="00554B41">
                    <w:rPr>
                      <w:rFonts w:ascii="Segoe UI" w:eastAsia="Segoe UI" w:hAnsi="Segoe UI" w:cs="Times New Roman"/>
                      <w:color w:val="303030" w:themeColor="text1"/>
                      <w:sz w:val="20"/>
                      <w:szCs w:val="20"/>
                    </w:rPr>
                    <w:t xml:space="preserve">One of the supporters to the </w:t>
                  </w:r>
                  <w:r w:rsidR="003F73BE" w:rsidRPr="00554B41">
                    <w:rPr>
                      <w:rFonts w:ascii="Segoe UI" w:eastAsia="Segoe UI" w:hAnsi="Segoe UI" w:cs="Times New Roman"/>
                      <w:color w:val="303030" w:themeColor="text1"/>
                      <w:sz w:val="20"/>
                      <w:szCs w:val="20"/>
                    </w:rPr>
                    <w:t xml:space="preserve">GoN </w:t>
                  </w:r>
                  <w:r w:rsidRPr="00554B41">
                    <w:rPr>
                      <w:rFonts w:ascii="Segoe UI" w:eastAsia="Segoe UI" w:hAnsi="Segoe UI" w:cs="Times New Roman"/>
                      <w:color w:val="303030" w:themeColor="text1"/>
                      <w:sz w:val="20"/>
                      <w:szCs w:val="20"/>
                    </w:rPr>
                    <w:t>help</w:t>
                  </w:r>
                  <w:r w:rsidR="003F73BE" w:rsidRPr="00554B41">
                    <w:rPr>
                      <w:rFonts w:ascii="Segoe UI" w:eastAsia="Segoe UI" w:hAnsi="Segoe UI" w:cs="Times New Roman"/>
                      <w:color w:val="303030" w:themeColor="text1"/>
                      <w:sz w:val="20"/>
                      <w:szCs w:val="20"/>
                    </w:rPr>
                    <w:t>ing</w:t>
                  </w:r>
                  <w:r w:rsidRPr="00554B41">
                    <w:rPr>
                      <w:rFonts w:ascii="Segoe UI" w:eastAsia="Segoe UI" w:hAnsi="Segoe UI" w:cs="Times New Roman"/>
                      <w:color w:val="303030" w:themeColor="text1"/>
                      <w:sz w:val="20"/>
                      <w:szCs w:val="20"/>
                    </w:rPr>
                    <w:t xml:space="preserve"> </w:t>
                  </w:r>
                  <w:r w:rsidR="003F73BE" w:rsidRPr="00554B41">
                    <w:rPr>
                      <w:rFonts w:ascii="Segoe UI" w:eastAsia="Segoe UI" w:hAnsi="Segoe UI" w:cs="Times New Roman"/>
                      <w:color w:val="303030" w:themeColor="text1"/>
                      <w:sz w:val="20"/>
                      <w:szCs w:val="20"/>
                    </w:rPr>
                    <w:t xml:space="preserve">it </w:t>
                  </w:r>
                  <w:r w:rsidRPr="00554B41">
                    <w:rPr>
                      <w:rFonts w:ascii="Segoe UI" w:eastAsia="Segoe UI" w:hAnsi="Segoe UI" w:cs="Times New Roman"/>
                      <w:color w:val="303030" w:themeColor="text1"/>
                      <w:sz w:val="20"/>
                      <w:szCs w:val="20"/>
                    </w:rPr>
                    <w:t>organise the Sagarmatha Sambaad Dialogue in May 2025.</w:t>
                  </w:r>
                </w:p>
              </w:tc>
              <w:tc>
                <w:tcPr>
                  <w:tcW w:w="1843" w:type="dxa"/>
                </w:tcPr>
                <w:p w14:paraId="7675B0F9" w14:textId="12BC00A6"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r w:rsidRPr="00554B41">
                    <w:rPr>
                      <w:rFonts w:ascii="Segoe UI" w:eastAsia="Segoe UI" w:hAnsi="Segoe UI" w:cs="Times New Roman"/>
                      <w:color w:val="303030" w:themeColor="text1"/>
                      <w:sz w:val="20"/>
                      <w:szCs w:val="20"/>
                    </w:rPr>
                    <w:t xml:space="preserve">From the LAPA preparation, supported </w:t>
                  </w:r>
                  <w:r w:rsidR="003F73BE" w:rsidRPr="00554B41">
                    <w:rPr>
                      <w:rFonts w:ascii="Segoe UI" w:eastAsia="Segoe UI" w:hAnsi="Segoe UI" w:cs="Times New Roman"/>
                      <w:color w:val="303030" w:themeColor="text1"/>
                      <w:sz w:val="20"/>
                      <w:szCs w:val="20"/>
                    </w:rPr>
                    <w:t>three GoN</w:t>
                  </w:r>
                  <w:r w:rsidRPr="00554B41">
                    <w:rPr>
                      <w:rFonts w:ascii="Segoe UI" w:eastAsia="Segoe UI" w:hAnsi="Segoe UI" w:cs="Times New Roman"/>
                      <w:color w:val="303030" w:themeColor="text1"/>
                      <w:sz w:val="20"/>
                      <w:szCs w:val="20"/>
                    </w:rPr>
                    <w:t xml:space="preserve"> officials working on adaptation at COP29 in Baku.</w:t>
                  </w:r>
                </w:p>
                <w:p w14:paraId="1C133BF1" w14:textId="77777777"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p>
                <w:p w14:paraId="28EF4D37" w14:textId="51718FFE"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r w:rsidRPr="00554B41">
                    <w:rPr>
                      <w:rFonts w:ascii="Segoe UI" w:eastAsia="Segoe UI" w:hAnsi="Segoe UI" w:cs="Times New Roman"/>
                      <w:color w:val="303030" w:themeColor="text1"/>
                      <w:sz w:val="20"/>
                      <w:szCs w:val="20"/>
                    </w:rPr>
                    <w:t xml:space="preserve">Conducted consultations at each municipality where </w:t>
                  </w:r>
                  <w:r w:rsidR="003F73BE" w:rsidRPr="00554B41">
                    <w:rPr>
                      <w:rFonts w:ascii="Segoe UI" w:eastAsia="Segoe UI" w:hAnsi="Segoe UI" w:cs="Times New Roman"/>
                      <w:color w:val="303030" w:themeColor="text1"/>
                      <w:sz w:val="20"/>
                      <w:szCs w:val="20"/>
                    </w:rPr>
                    <w:t xml:space="preserve">marginalised </w:t>
                  </w:r>
                  <w:r w:rsidRPr="00554B41">
                    <w:rPr>
                      <w:rFonts w:ascii="Segoe UI" w:eastAsia="Segoe UI" w:hAnsi="Segoe UI" w:cs="Times New Roman"/>
                      <w:color w:val="303030" w:themeColor="text1"/>
                      <w:sz w:val="20"/>
                      <w:szCs w:val="20"/>
                    </w:rPr>
                    <w:t xml:space="preserve">people shared their unique challenges. This information was provided to federal representatives, aiding climate negotiators in targeting support and resources for specific ward levels and groups. </w:t>
                  </w:r>
                </w:p>
                <w:p w14:paraId="7F720773" w14:textId="77777777"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p>
              </w:tc>
              <w:tc>
                <w:tcPr>
                  <w:tcW w:w="2079" w:type="dxa"/>
                </w:tcPr>
                <w:p w14:paraId="5494CA20" w14:textId="77777777" w:rsidR="00202F71" w:rsidRPr="00554B41" w:rsidRDefault="00202F71" w:rsidP="00202F71">
                  <w:pPr>
                    <w:spacing w:after="0"/>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r w:rsidRPr="00554B41">
                    <w:rPr>
                      <w:rFonts w:ascii="Segoe UI" w:eastAsia="Segoe UI" w:hAnsi="Segoe UI" w:cs="Times New Roman"/>
                      <w:color w:val="303030" w:themeColor="text1"/>
                      <w:sz w:val="20"/>
                      <w:szCs w:val="20"/>
                    </w:rPr>
                    <w:t>Provided in-situ support to the junior negotiators at Bonn/SB60 and SB61.</w:t>
                  </w:r>
                </w:p>
              </w:tc>
            </w:tr>
            <w:tr w:rsidR="001A5D04" w:rsidRPr="00554B41" w14:paraId="7635C8E8" w14:textId="77777777" w:rsidTr="00584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5" w:type="dxa"/>
                  <w:gridSpan w:val="5"/>
                  <w:tcBorders>
                    <w:left w:val="none" w:sz="0" w:space="0" w:color="auto"/>
                  </w:tcBorders>
                </w:tcPr>
                <w:p w14:paraId="0961563B" w14:textId="77777777" w:rsidR="00202F71" w:rsidRPr="00554B41" w:rsidRDefault="00202F71" w:rsidP="00DF1B04">
                  <w:pPr>
                    <w:spacing w:after="0"/>
                    <w:jc w:val="left"/>
                    <w:rPr>
                      <w:rFonts w:ascii="Segoe UI" w:eastAsia="Segoe UI" w:hAnsi="Segoe UI" w:cs="Times New Roman"/>
                      <w:color w:val="303030" w:themeColor="text1"/>
                      <w:sz w:val="20"/>
                      <w:szCs w:val="20"/>
                    </w:rPr>
                  </w:pPr>
                  <w:r w:rsidRPr="00554B41">
                    <w:rPr>
                      <w:rFonts w:ascii="Segoe UI" w:eastAsia="Segoe UI" w:hAnsi="Segoe UI" w:cs="Times New Roman"/>
                      <w:color w:val="303030" w:themeColor="text1"/>
                      <w:sz w:val="20"/>
                      <w:szCs w:val="20"/>
                    </w:rPr>
                    <w:t>Domestic implementation support</w:t>
                  </w:r>
                </w:p>
              </w:tc>
            </w:tr>
            <w:tr w:rsidR="00E3567C" w:rsidRPr="00554B41" w14:paraId="707C88DE" w14:textId="77777777" w:rsidTr="00584BF4">
              <w:tc>
                <w:tcPr>
                  <w:cnfStyle w:val="001000000000" w:firstRow="0" w:lastRow="0" w:firstColumn="1" w:lastColumn="0" w:oddVBand="0" w:evenVBand="0" w:oddHBand="0" w:evenHBand="0" w:firstRowFirstColumn="0" w:firstRowLastColumn="0" w:lastRowFirstColumn="0" w:lastRowLastColumn="0"/>
                  <w:tcW w:w="1398" w:type="dxa"/>
                  <w:tcBorders>
                    <w:left w:val="none" w:sz="0" w:space="0" w:color="auto"/>
                    <w:bottom w:val="none" w:sz="0" w:space="0" w:color="auto"/>
                  </w:tcBorders>
                </w:tcPr>
                <w:p w14:paraId="08696452" w14:textId="77777777" w:rsidR="00202F71" w:rsidRPr="00554B41" w:rsidRDefault="00202F71" w:rsidP="00202F71">
                  <w:pPr>
                    <w:spacing w:after="0"/>
                    <w:rPr>
                      <w:rFonts w:ascii="Segoe UI" w:eastAsia="Segoe UI" w:hAnsi="Segoe UI" w:cs="Times New Roman"/>
                      <w:i/>
                      <w:iCs/>
                      <w:color w:val="303030" w:themeColor="text1"/>
                      <w:sz w:val="20"/>
                      <w:szCs w:val="20"/>
                    </w:rPr>
                  </w:pPr>
                  <w:r w:rsidRPr="00554B41">
                    <w:rPr>
                      <w:rFonts w:ascii="Segoe UI" w:eastAsia="Segoe UI" w:hAnsi="Segoe UI" w:cs="Times New Roman"/>
                      <w:i/>
                      <w:iCs/>
                      <w:color w:val="303030" w:themeColor="text1"/>
                      <w:sz w:val="20"/>
                      <w:szCs w:val="20"/>
                    </w:rPr>
                    <w:t>Support/</w:t>
                  </w:r>
                </w:p>
                <w:p w14:paraId="4E3A50F7" w14:textId="77777777" w:rsidR="00202F71" w:rsidRPr="00554B41" w:rsidRDefault="00202F71" w:rsidP="00202F71">
                  <w:pPr>
                    <w:spacing w:after="0"/>
                    <w:rPr>
                      <w:rFonts w:ascii="Segoe UI" w:eastAsia="Segoe UI" w:hAnsi="Segoe UI" w:cs="Times New Roman"/>
                      <w:i/>
                      <w:iCs/>
                      <w:color w:val="303030" w:themeColor="text1"/>
                      <w:sz w:val="20"/>
                      <w:szCs w:val="20"/>
                    </w:rPr>
                  </w:pPr>
                  <w:r w:rsidRPr="00554B41">
                    <w:rPr>
                      <w:rFonts w:ascii="Segoe UI" w:eastAsia="Segoe UI" w:hAnsi="Segoe UI" w:cs="Times New Roman"/>
                      <w:i/>
                      <w:iCs/>
                      <w:color w:val="303030" w:themeColor="text1"/>
                      <w:sz w:val="20"/>
                      <w:szCs w:val="20"/>
                    </w:rPr>
                    <w:t>facilitation/ delivery of implementation mechanisms</w:t>
                  </w:r>
                </w:p>
              </w:tc>
              <w:tc>
                <w:tcPr>
                  <w:tcW w:w="1843" w:type="dxa"/>
                </w:tcPr>
                <w:p w14:paraId="2E40EFE5" w14:textId="0ED3E5D8"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r w:rsidRPr="00554B41">
                    <w:rPr>
                      <w:rFonts w:ascii="Segoe UI" w:eastAsia="Segoe UI" w:hAnsi="Segoe UI" w:cs="Times New Roman"/>
                      <w:color w:val="303030" w:themeColor="text1"/>
                      <w:sz w:val="20"/>
                      <w:szCs w:val="20"/>
                    </w:rPr>
                    <w:t>Organised a series of dialogues and consultations with various groups of stakeholders, including youth and women from affected communities</w:t>
                  </w:r>
                  <w:r w:rsidR="003F73BE" w:rsidRPr="00554B41">
                    <w:rPr>
                      <w:rFonts w:ascii="Segoe UI" w:eastAsia="Segoe UI" w:hAnsi="Segoe UI" w:cs="Times New Roman"/>
                      <w:color w:val="303030" w:themeColor="text1"/>
                      <w:sz w:val="20"/>
                      <w:szCs w:val="20"/>
                    </w:rPr>
                    <w:t>,</w:t>
                  </w:r>
                  <w:r w:rsidRPr="00554B41">
                    <w:rPr>
                      <w:rFonts w:ascii="Segoe UI" w:eastAsia="Segoe UI" w:hAnsi="Segoe UI" w:cs="Times New Roman"/>
                      <w:color w:val="303030" w:themeColor="text1"/>
                      <w:sz w:val="20"/>
                      <w:szCs w:val="20"/>
                    </w:rPr>
                    <w:t xml:space="preserve"> to bring their voices and input into the M</w:t>
                  </w:r>
                  <w:r w:rsidR="003F73BE" w:rsidRPr="00554B41">
                    <w:rPr>
                      <w:rFonts w:ascii="Segoe UI" w:eastAsia="Segoe UI" w:hAnsi="Segoe UI" w:cs="Times New Roman"/>
                      <w:color w:val="303030" w:themeColor="text1"/>
                      <w:sz w:val="20"/>
                      <w:szCs w:val="20"/>
                    </w:rPr>
                    <w:t xml:space="preserve">ountainous </w:t>
                  </w:r>
                  <w:r w:rsidRPr="00554B41">
                    <w:rPr>
                      <w:rFonts w:ascii="Segoe UI" w:eastAsia="Segoe UI" w:hAnsi="Segoe UI" w:cs="Times New Roman"/>
                      <w:color w:val="303030" w:themeColor="text1"/>
                      <w:sz w:val="20"/>
                      <w:szCs w:val="20"/>
                    </w:rPr>
                    <w:t>R</w:t>
                  </w:r>
                  <w:r w:rsidR="003F73BE" w:rsidRPr="00554B41">
                    <w:rPr>
                      <w:rFonts w:ascii="Segoe UI" w:eastAsia="Segoe UI" w:hAnsi="Segoe UI" w:cs="Times New Roman"/>
                      <w:color w:val="303030" w:themeColor="text1"/>
                      <w:sz w:val="20"/>
                      <w:szCs w:val="20"/>
                    </w:rPr>
                    <w:t>anges</w:t>
                  </w:r>
                  <w:r w:rsidRPr="00554B41">
                    <w:rPr>
                      <w:rFonts w:ascii="Segoe UI" w:eastAsia="Segoe UI" w:hAnsi="Segoe UI" w:cs="Times New Roman"/>
                      <w:color w:val="303030" w:themeColor="text1"/>
                      <w:sz w:val="20"/>
                      <w:szCs w:val="20"/>
                    </w:rPr>
                    <w:t xml:space="preserve"> </w:t>
                  </w:r>
                  <w:r w:rsidR="00DB4A3F">
                    <w:rPr>
                      <w:rFonts w:ascii="Segoe UI" w:eastAsia="Segoe UI" w:hAnsi="Segoe UI" w:cs="Times New Roman"/>
                      <w:color w:val="303030" w:themeColor="text1"/>
                      <w:sz w:val="20"/>
                      <w:szCs w:val="20"/>
                    </w:rPr>
                    <w:t>Agenda</w:t>
                  </w:r>
                  <w:r w:rsidRPr="00554B41">
                    <w:rPr>
                      <w:rFonts w:ascii="Segoe UI" w:eastAsia="Segoe UI" w:hAnsi="Segoe UI" w:cs="Times New Roman"/>
                      <w:color w:val="303030" w:themeColor="text1"/>
                      <w:sz w:val="20"/>
                      <w:szCs w:val="20"/>
                    </w:rPr>
                    <w:t>.</w:t>
                  </w:r>
                </w:p>
              </w:tc>
              <w:tc>
                <w:tcPr>
                  <w:tcW w:w="1842" w:type="dxa"/>
                </w:tcPr>
                <w:p w14:paraId="0C3FE7B5" w14:textId="77777777"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r w:rsidRPr="00554B41">
                    <w:rPr>
                      <w:rFonts w:ascii="Segoe UI" w:eastAsia="Segoe UI" w:hAnsi="Segoe UI" w:cs="Times New Roman"/>
                      <w:color w:val="303030" w:themeColor="text1"/>
                      <w:sz w:val="20"/>
                      <w:szCs w:val="20"/>
                    </w:rPr>
                    <w:t>Highlighted the importance of adaptation plans and implementation for mountain communities and downstream linkages.</w:t>
                  </w:r>
                </w:p>
                <w:p w14:paraId="0AA8B11F" w14:textId="77777777"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p>
                <w:p w14:paraId="049FA5BE" w14:textId="1A832FB8"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r w:rsidRPr="00554B41">
                    <w:rPr>
                      <w:rFonts w:ascii="Segoe UI" w:eastAsia="Segoe UI" w:hAnsi="Segoe UI" w:cs="Times New Roman"/>
                      <w:color w:val="303030" w:themeColor="text1"/>
                      <w:sz w:val="20"/>
                      <w:szCs w:val="20"/>
                    </w:rPr>
                    <w:t xml:space="preserve">Worked with </w:t>
                  </w:r>
                  <w:r w:rsidR="003F73BE" w:rsidRPr="00554B41">
                    <w:rPr>
                      <w:rFonts w:ascii="Segoe UI" w:eastAsia="Segoe UI" w:hAnsi="Segoe UI" w:cs="Times New Roman"/>
                      <w:color w:val="303030" w:themeColor="text1"/>
                      <w:sz w:val="20"/>
                      <w:szCs w:val="20"/>
                    </w:rPr>
                    <w:t xml:space="preserve">GoN </w:t>
                  </w:r>
                  <w:r w:rsidRPr="00554B41">
                    <w:rPr>
                      <w:rFonts w:ascii="Segoe UI" w:eastAsia="Segoe UI" w:hAnsi="Segoe UI" w:cs="Times New Roman"/>
                      <w:color w:val="303030" w:themeColor="text1"/>
                      <w:sz w:val="20"/>
                      <w:szCs w:val="20"/>
                    </w:rPr>
                    <w:t>stakeholders to finalise and submit the NDC 3.0 for COP30 in Bel</w:t>
                  </w:r>
                  <w:r w:rsidR="000558BF">
                    <w:rPr>
                      <w:rFonts w:ascii="Segoe UI" w:eastAsia="Segoe UI" w:hAnsi="Segoe UI" w:cs="Times New Roman"/>
                      <w:color w:val="303030" w:themeColor="text1"/>
                      <w:sz w:val="20"/>
                      <w:szCs w:val="20"/>
                    </w:rPr>
                    <w:t>é</w:t>
                  </w:r>
                  <w:r w:rsidRPr="00554B41">
                    <w:rPr>
                      <w:rFonts w:ascii="Segoe UI" w:eastAsia="Segoe UI" w:hAnsi="Segoe UI" w:cs="Times New Roman"/>
                      <w:color w:val="303030" w:themeColor="text1"/>
                      <w:sz w:val="20"/>
                      <w:szCs w:val="20"/>
                    </w:rPr>
                    <w:t>m.</w:t>
                  </w:r>
                </w:p>
                <w:p w14:paraId="7BA61554" w14:textId="77777777"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p>
              </w:tc>
              <w:tc>
                <w:tcPr>
                  <w:tcW w:w="1843" w:type="dxa"/>
                </w:tcPr>
                <w:p w14:paraId="2D8D3745" w14:textId="1466B458" w:rsidR="00202F71" w:rsidRPr="00554B41" w:rsidRDefault="00202F71" w:rsidP="00DF1B04">
                  <w:pPr>
                    <w:spacing w:after="0"/>
                    <w:jc w:val="left"/>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r w:rsidRPr="00554B41">
                    <w:rPr>
                      <w:rFonts w:ascii="Segoe UI" w:eastAsia="Segoe UI" w:hAnsi="Segoe UI" w:cs="Times New Roman"/>
                      <w:color w:val="303030" w:themeColor="text1"/>
                      <w:sz w:val="20"/>
                      <w:szCs w:val="20"/>
                    </w:rPr>
                    <w:t>Delivered GIS-based biophysical analysis</w:t>
                  </w:r>
                  <w:r w:rsidR="003F73BE" w:rsidRPr="00554B41">
                    <w:rPr>
                      <w:rFonts w:ascii="Segoe UI" w:eastAsia="Segoe UI" w:hAnsi="Segoe UI" w:cs="Times New Roman"/>
                      <w:color w:val="303030" w:themeColor="text1"/>
                      <w:sz w:val="20"/>
                      <w:szCs w:val="20"/>
                    </w:rPr>
                    <w:t xml:space="preserve">, </w:t>
                  </w:r>
                  <w:r w:rsidRPr="00554B41">
                    <w:rPr>
                      <w:rFonts w:ascii="Segoe UI" w:eastAsia="Segoe UI" w:hAnsi="Segoe UI" w:cs="Times New Roman"/>
                      <w:color w:val="303030" w:themeColor="text1"/>
                      <w:sz w:val="20"/>
                      <w:szCs w:val="20"/>
                    </w:rPr>
                    <w:t>climate trends analysis</w:t>
                  </w:r>
                  <w:r w:rsidR="003F73BE" w:rsidRPr="00554B41">
                    <w:rPr>
                      <w:rFonts w:ascii="Segoe UI" w:eastAsia="Segoe UI" w:hAnsi="Segoe UI" w:cs="Times New Roman"/>
                      <w:color w:val="303030" w:themeColor="text1"/>
                      <w:sz w:val="20"/>
                      <w:szCs w:val="20"/>
                    </w:rPr>
                    <w:t xml:space="preserve">, </w:t>
                  </w:r>
                  <w:r w:rsidRPr="00554B41">
                    <w:rPr>
                      <w:rFonts w:ascii="Segoe UI" w:eastAsia="Segoe UI" w:hAnsi="Segoe UI" w:cs="Times New Roman"/>
                      <w:color w:val="303030" w:themeColor="text1"/>
                      <w:sz w:val="20"/>
                      <w:szCs w:val="20"/>
                    </w:rPr>
                    <w:t>and a variety of training and consultative workshops within three municipalities</w:t>
                  </w:r>
                  <w:r w:rsidRPr="00554B41">
                    <w:rPr>
                      <w:rFonts w:ascii="Segoe UI" w:eastAsia="Segoe UI" w:hAnsi="Segoe UI" w:cs="Times New Roman"/>
                      <w:color w:val="303030" w:themeColor="text1"/>
                      <w:sz w:val="20"/>
                      <w:szCs w:val="20"/>
                      <w:vertAlign w:val="superscript"/>
                    </w:rPr>
                    <w:footnoteReference w:id="22"/>
                  </w:r>
                  <w:r w:rsidRPr="00554B41">
                    <w:rPr>
                      <w:rFonts w:ascii="Segoe UI" w:eastAsia="Segoe UI" w:hAnsi="Segoe UI" w:cs="Times New Roman"/>
                      <w:color w:val="303030" w:themeColor="text1"/>
                      <w:sz w:val="20"/>
                      <w:szCs w:val="20"/>
                    </w:rPr>
                    <w:t xml:space="preserve"> to assist the </w:t>
                  </w:r>
                  <w:r w:rsidR="003F73BE" w:rsidRPr="00554B41">
                    <w:rPr>
                      <w:rFonts w:ascii="Segoe UI" w:eastAsia="Segoe UI" w:hAnsi="Segoe UI" w:cs="Times New Roman"/>
                      <w:color w:val="303030" w:themeColor="text1"/>
                      <w:sz w:val="20"/>
                      <w:szCs w:val="20"/>
                    </w:rPr>
                    <w:t>GoN</w:t>
                  </w:r>
                  <w:r w:rsidRPr="00554B41">
                    <w:rPr>
                      <w:rFonts w:ascii="Segoe UI" w:eastAsia="Segoe UI" w:hAnsi="Segoe UI" w:cs="Times New Roman"/>
                      <w:color w:val="303030" w:themeColor="text1"/>
                      <w:sz w:val="20"/>
                      <w:szCs w:val="20"/>
                    </w:rPr>
                    <w:t xml:space="preserve"> in preparing LAPAs using a Vulnerability Risk Assessment approach.</w:t>
                  </w:r>
                </w:p>
              </w:tc>
              <w:tc>
                <w:tcPr>
                  <w:tcW w:w="2079" w:type="dxa"/>
                </w:tcPr>
                <w:p w14:paraId="1D8E205E" w14:textId="77777777" w:rsidR="00202F71" w:rsidRPr="00554B41" w:rsidRDefault="00202F71" w:rsidP="00202F71">
                  <w:pPr>
                    <w:spacing w:after="0"/>
                    <w:cnfStyle w:val="000000000000" w:firstRow="0" w:lastRow="0" w:firstColumn="0" w:lastColumn="0" w:oddVBand="0" w:evenVBand="0" w:oddHBand="0" w:evenHBand="0" w:firstRowFirstColumn="0" w:firstRowLastColumn="0" w:lastRowFirstColumn="0" w:lastRowLastColumn="0"/>
                    <w:rPr>
                      <w:rFonts w:ascii="Segoe UI" w:eastAsia="Segoe UI" w:hAnsi="Segoe UI" w:cs="Times New Roman"/>
                      <w:color w:val="303030" w:themeColor="text1"/>
                      <w:sz w:val="20"/>
                      <w:szCs w:val="20"/>
                    </w:rPr>
                  </w:pPr>
                </w:p>
              </w:tc>
            </w:tr>
          </w:tbl>
          <w:p w14:paraId="109117FC" w14:textId="77777777" w:rsidR="00202F71" w:rsidRPr="00554B41" w:rsidRDefault="00202F71" w:rsidP="00202F71">
            <w:pPr>
              <w:contextualSpacing/>
              <w:rPr>
                <w:rFonts w:eastAsia="Segoe UI" w:cs="Times New Roman"/>
              </w:rPr>
            </w:pPr>
          </w:p>
        </w:tc>
      </w:tr>
    </w:tbl>
    <w:p w14:paraId="3335C2F5" w14:textId="29D883D7" w:rsidR="008C3759" w:rsidRDefault="008C3759" w:rsidP="008C3759">
      <w:pPr>
        <w:pStyle w:val="Heading2"/>
      </w:pPr>
      <w:bookmarkStart w:id="57" w:name="_Toc204967870"/>
      <w:r w:rsidRPr="00554B41">
        <w:t>Intermediate outcomes – What changed?</w:t>
      </w:r>
      <w:bookmarkEnd w:id="57"/>
    </w:p>
    <w:tbl>
      <w:tblPr>
        <w:tblW w:w="903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030"/>
      </w:tblGrid>
      <w:tr w:rsidR="00202F71" w:rsidRPr="00554B41" w14:paraId="45A232D5" w14:textId="77777777" w:rsidTr="2D721347">
        <w:trPr>
          <w:trHeight w:val="300"/>
        </w:trPr>
        <w:tc>
          <w:tcPr>
            <w:tcW w:w="9030" w:type="dxa"/>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24A580DA" w14:textId="3B53E2C2" w:rsidR="00202F71" w:rsidRPr="00554B41" w:rsidRDefault="00202F71" w:rsidP="00202F71">
            <w:pPr>
              <w:rPr>
                <w:rFonts w:eastAsia="Segoe UI" w:cs="Times New Roman"/>
              </w:rPr>
            </w:pPr>
            <w:r w:rsidRPr="00554B41">
              <w:rPr>
                <w:rFonts w:eastAsia="Segoe UI" w:cs="Times New Roman"/>
                <w:b/>
                <w:bCs/>
              </w:rPr>
              <w:t xml:space="preserve">ECARDS prepared three LAPAs that were endorsed by the respective municipalities with plans and activities to enhance the climate resilience capacity of vulnerable communities. </w:t>
            </w:r>
            <w:r w:rsidRPr="00554B41">
              <w:rPr>
                <w:rFonts w:eastAsia="Segoe UI" w:cs="Segoe UI"/>
              </w:rPr>
              <w:t xml:space="preserve">LAPAs are community-driven plans that aim to help local governments and communities build resilience to the impacts of climate change. </w:t>
            </w:r>
            <w:r w:rsidRPr="00554B41">
              <w:rPr>
                <w:rFonts w:eastAsia="Segoe UI" w:cs="Times New Roman"/>
              </w:rPr>
              <w:t xml:space="preserve">The LAPAs were presented at the federal level, and the information was used by Nepali negotiators at COP29 to bring the voices of communities to the negotiating table. This representation allowed for greater inclusion and equity of local groups and communities, who cannot attend negotiations in person. The LAPAs are now in the implementation phase with local governments, </w:t>
            </w:r>
            <w:r w:rsidR="003F73BE" w:rsidRPr="00554B41">
              <w:rPr>
                <w:rFonts w:eastAsia="Segoe UI" w:cs="Times New Roman"/>
              </w:rPr>
              <w:t xml:space="preserve">which </w:t>
            </w:r>
            <w:r w:rsidRPr="00554B41">
              <w:rPr>
                <w:rFonts w:eastAsia="Segoe UI" w:cs="Times New Roman"/>
              </w:rPr>
              <w:t>have allocated some of their budgets to them, but will need to secure additional funding to implement the activities within municipalities.</w:t>
            </w:r>
          </w:p>
          <w:p w14:paraId="7C4CFEBD" w14:textId="512839F4" w:rsidR="00202F71" w:rsidRPr="00554B41" w:rsidRDefault="00202F71" w:rsidP="00202F71">
            <w:pPr>
              <w:rPr>
                <w:rFonts w:eastAsia="Segoe UI" w:cs="Times New Roman"/>
                <w:b/>
                <w:bCs/>
              </w:rPr>
            </w:pPr>
            <w:r w:rsidRPr="00554B41">
              <w:rPr>
                <w:rFonts w:eastAsia="Segoe UI" w:cs="Times New Roman"/>
                <w:b/>
                <w:bCs/>
              </w:rPr>
              <w:t xml:space="preserve">Building on Practical Action’s training and capacity strengthening, Nepali negotiators were able to engage effectively and raise their voice at COP29 on Loss and Damage, </w:t>
            </w:r>
            <w:r w:rsidR="003F73BE" w:rsidRPr="00554B41">
              <w:rPr>
                <w:rFonts w:eastAsia="Segoe UI" w:cs="Times New Roman"/>
                <w:b/>
                <w:bCs/>
              </w:rPr>
              <w:t>finance</w:t>
            </w:r>
            <w:r w:rsidRPr="00554B41">
              <w:rPr>
                <w:rFonts w:eastAsia="Segoe UI" w:cs="Times New Roman"/>
                <w:b/>
                <w:bCs/>
              </w:rPr>
              <w:t xml:space="preserve">, and the NDCs, where they advocated for a position that was informed by consultations undertaken in country prior to COP. </w:t>
            </w:r>
            <w:r w:rsidRPr="00554B41">
              <w:rPr>
                <w:rFonts w:eastAsia="Segoe UI" w:cs="Times New Roman"/>
              </w:rPr>
              <w:t xml:space="preserve">CASA support enabled Nepal to enhance its NDCs to be aligned with country needs and ambitions on Loss and Damage and supported the </w:t>
            </w:r>
            <w:r w:rsidR="003F73BE" w:rsidRPr="00554B41">
              <w:rPr>
                <w:rFonts w:eastAsia="Segoe UI" w:cs="Times New Roman"/>
              </w:rPr>
              <w:t>GoN</w:t>
            </w:r>
            <w:r w:rsidRPr="00554B41" w:rsidDel="003F73BE">
              <w:rPr>
                <w:rFonts w:eastAsia="Segoe UI" w:cs="Times New Roman"/>
              </w:rPr>
              <w:t xml:space="preserve"> </w:t>
            </w:r>
            <w:r w:rsidR="003F73BE" w:rsidRPr="00554B41">
              <w:rPr>
                <w:rFonts w:eastAsia="Segoe UI" w:cs="Times New Roman"/>
              </w:rPr>
              <w:t xml:space="preserve">in </w:t>
            </w:r>
            <w:r w:rsidRPr="00554B41">
              <w:rPr>
                <w:rFonts w:eastAsia="Segoe UI" w:cs="Times New Roman"/>
              </w:rPr>
              <w:t>submit</w:t>
            </w:r>
            <w:r w:rsidR="003F73BE" w:rsidRPr="00554B41">
              <w:rPr>
                <w:rFonts w:eastAsia="Segoe UI" w:cs="Times New Roman"/>
              </w:rPr>
              <w:t>ting</w:t>
            </w:r>
            <w:r w:rsidRPr="00554B41">
              <w:rPr>
                <w:rFonts w:eastAsia="Segoe UI" w:cs="Times New Roman"/>
              </w:rPr>
              <w:t xml:space="preserve"> the draft version ahead of their release in April 2025.</w:t>
            </w:r>
            <w:r w:rsidRPr="00554B41">
              <w:rPr>
                <w:rFonts w:eastAsia="Segoe UI" w:cs="Times New Roman"/>
                <w:b/>
                <w:bCs/>
              </w:rPr>
              <w:t xml:space="preserve"> </w:t>
            </w:r>
            <w:r w:rsidRPr="00554B41">
              <w:rPr>
                <w:rFonts w:eastAsia="Segoe UI" w:cs="Times New Roman"/>
              </w:rPr>
              <w:t xml:space="preserve">The inclusion of provisions on </w:t>
            </w:r>
            <w:r w:rsidR="003F73BE" w:rsidRPr="00554B41">
              <w:rPr>
                <w:rFonts w:eastAsia="Segoe UI" w:cs="Times New Roman"/>
              </w:rPr>
              <w:t xml:space="preserve">Loss </w:t>
            </w:r>
            <w:r w:rsidRPr="00554B41">
              <w:rPr>
                <w:rFonts w:eastAsia="Segoe UI" w:cs="Times New Roman"/>
              </w:rPr>
              <w:t xml:space="preserve">and </w:t>
            </w:r>
            <w:r w:rsidR="003F73BE" w:rsidRPr="00554B41">
              <w:rPr>
                <w:rFonts w:eastAsia="Segoe UI" w:cs="Times New Roman"/>
              </w:rPr>
              <w:t xml:space="preserve">Damage </w:t>
            </w:r>
            <w:r w:rsidRPr="00554B41">
              <w:rPr>
                <w:rFonts w:eastAsia="Segoe UI" w:cs="Times New Roman"/>
              </w:rPr>
              <w:t xml:space="preserve">is an area that only a few countries have addressed in their NDCs. Practical Action supported the integration of this component, highlighting the irreversible impacts of climate change, especially on high mountain ecosystems. </w:t>
            </w:r>
          </w:p>
          <w:p w14:paraId="30D586CE" w14:textId="41981993" w:rsidR="00202F71" w:rsidRPr="00554B41" w:rsidRDefault="00202F71" w:rsidP="00202F71">
            <w:pPr>
              <w:rPr>
                <w:rFonts w:eastAsia="Segoe UI" w:cs="Times New Roman"/>
                <w:b/>
                <w:bCs/>
              </w:rPr>
            </w:pPr>
            <w:r w:rsidRPr="00554B41">
              <w:rPr>
                <w:rFonts w:eastAsia="Segoe UI" w:cs="Times New Roman"/>
                <w:b/>
                <w:bCs/>
              </w:rPr>
              <w:t>Practical Action was part of supporting greater Nepali government stakeholder engagement on NDCs</w:t>
            </w:r>
            <w:r w:rsidR="003F73BE" w:rsidRPr="00554B41">
              <w:rPr>
                <w:rFonts w:eastAsia="Segoe UI" w:cs="Times New Roman"/>
                <w:b/>
                <w:bCs/>
              </w:rPr>
              <w:t>.</w:t>
            </w:r>
            <w:r w:rsidRPr="00554B41">
              <w:rPr>
                <w:rFonts w:eastAsia="Segoe UI" w:cs="Times New Roman"/>
                <w:b/>
                <w:bCs/>
              </w:rPr>
              <w:t xml:space="preserve"> </w:t>
            </w:r>
            <w:r w:rsidRPr="00554B41">
              <w:rPr>
                <w:rFonts w:eastAsia="Segoe UI" w:cs="Times New Roman"/>
              </w:rPr>
              <w:t>The NDCs provide the government with a bigger lever on the international stage. The</w:t>
            </w:r>
            <w:r w:rsidR="003F73BE" w:rsidRPr="00554B41">
              <w:rPr>
                <w:rFonts w:eastAsia="Segoe UI" w:cs="Times New Roman"/>
              </w:rPr>
              <w:t>y</w:t>
            </w:r>
            <w:r w:rsidRPr="00554B41">
              <w:rPr>
                <w:rFonts w:eastAsia="Segoe UI" w:cs="Times New Roman"/>
              </w:rPr>
              <w:t xml:space="preserve"> detail where other countries can step in and provide the country with means of implementation, including climate finance and capacity support. At a post-COP29 meeting in Kathmandu, Practical Action presented the </w:t>
            </w:r>
            <w:r w:rsidR="003F73BE" w:rsidRPr="00554B41">
              <w:rPr>
                <w:rFonts w:eastAsia="Segoe UI" w:cs="Times New Roman"/>
              </w:rPr>
              <w:t xml:space="preserve">GoN </w:t>
            </w:r>
            <w:r w:rsidRPr="00554B41">
              <w:rPr>
                <w:rFonts w:eastAsia="Segoe UI" w:cs="Times New Roman"/>
              </w:rPr>
              <w:t>with the outcomes and discussed its relevance to the draft Third NDC with the Prime Minister, Foreign Minister</w:t>
            </w:r>
            <w:r w:rsidR="003F73BE" w:rsidRPr="00554B41">
              <w:rPr>
                <w:rFonts w:eastAsia="Segoe UI" w:cs="Times New Roman"/>
              </w:rPr>
              <w:t>,</w:t>
            </w:r>
            <w:r w:rsidRPr="00554B41">
              <w:rPr>
                <w:rFonts w:eastAsia="Segoe UI" w:cs="Times New Roman"/>
              </w:rPr>
              <w:t xml:space="preserve"> and</w:t>
            </w:r>
            <w:r w:rsidRPr="00554B41" w:rsidDel="00043B7F">
              <w:rPr>
                <w:rFonts w:eastAsia="Segoe UI" w:cs="Times New Roman"/>
              </w:rPr>
              <w:t xml:space="preserve"> </w:t>
            </w:r>
            <w:r w:rsidRPr="00554B41">
              <w:rPr>
                <w:rFonts w:eastAsia="Segoe UI" w:cs="Times New Roman"/>
              </w:rPr>
              <w:t>other high-level dignitaries. According to Practical Action, this type of engagement on NDCs had never happened before.</w:t>
            </w:r>
          </w:p>
          <w:p w14:paraId="6D03CB7C" w14:textId="587A091B" w:rsidR="00202F71" w:rsidRPr="00554B41" w:rsidRDefault="356133EC" w:rsidP="00202F71">
            <w:pPr>
              <w:rPr>
                <w:rFonts w:eastAsia="Segoe UI" w:cs="Times New Roman"/>
                <w:b/>
                <w:bCs/>
              </w:rPr>
            </w:pPr>
            <w:r w:rsidRPr="00554B41">
              <w:rPr>
                <w:rFonts w:eastAsia="Segoe UI" w:cs="Times New Roman"/>
                <w:b/>
                <w:bCs/>
              </w:rPr>
              <w:t xml:space="preserve">OPM strengthened the momentum and formulation of a dialogue by the </w:t>
            </w:r>
            <w:r w:rsidR="65F4F932" w:rsidRPr="00554B41">
              <w:rPr>
                <w:rFonts w:eastAsia="Segoe UI" w:cs="Times New Roman"/>
                <w:b/>
                <w:bCs/>
              </w:rPr>
              <w:t>GoN</w:t>
            </w:r>
            <w:r w:rsidRPr="00554B41">
              <w:rPr>
                <w:rFonts w:eastAsia="Segoe UI" w:cs="Times New Roman"/>
                <w:b/>
                <w:bCs/>
              </w:rPr>
              <w:t xml:space="preserve"> on Mountainous Ranges. </w:t>
            </w:r>
            <w:r w:rsidRPr="00554B41">
              <w:rPr>
                <w:rFonts w:eastAsia="Segoe UI" w:cs="Times New Roman"/>
              </w:rPr>
              <w:t>CASA II</w:t>
            </w:r>
            <w:r w:rsidR="65F4F932" w:rsidRPr="00554B41">
              <w:rPr>
                <w:rFonts w:eastAsia="Segoe UI" w:cs="Times New Roman"/>
              </w:rPr>
              <w:t>’s</w:t>
            </w:r>
            <w:r w:rsidRPr="00554B41">
              <w:rPr>
                <w:rFonts w:eastAsia="Segoe UI" w:cs="Times New Roman"/>
              </w:rPr>
              <w:t xml:space="preserve"> OF, through OPM, supported the Nepali government to convene and bring together various stakeholders essential to the </w:t>
            </w:r>
            <w:r w:rsidR="65F4F932" w:rsidRPr="00554B41">
              <w:rPr>
                <w:rFonts w:eastAsia="Segoe UI" w:cs="Times New Roman"/>
              </w:rPr>
              <w:t xml:space="preserve">Mountainous </w:t>
            </w:r>
            <w:r w:rsidRPr="00554B41">
              <w:rPr>
                <w:rFonts w:eastAsia="Segoe UI" w:cs="Times New Roman"/>
              </w:rPr>
              <w:t>R</w:t>
            </w:r>
            <w:r w:rsidR="65F4F932" w:rsidRPr="00554B41">
              <w:rPr>
                <w:rFonts w:eastAsia="Segoe UI" w:cs="Times New Roman"/>
              </w:rPr>
              <w:t>anges</w:t>
            </w:r>
            <w:r w:rsidRPr="00554B41">
              <w:rPr>
                <w:rFonts w:eastAsia="Segoe UI" w:cs="Times New Roman"/>
              </w:rPr>
              <w:t xml:space="preserve"> Agenda through workshops and dialogues before, during</w:t>
            </w:r>
            <w:r w:rsidR="65F4F932" w:rsidRPr="00554B41">
              <w:rPr>
                <w:rFonts w:eastAsia="Segoe UI" w:cs="Times New Roman"/>
              </w:rPr>
              <w:t>,</w:t>
            </w:r>
            <w:r w:rsidRPr="00554B41">
              <w:rPr>
                <w:rFonts w:eastAsia="Segoe UI" w:cs="Times New Roman"/>
              </w:rPr>
              <w:t xml:space="preserve"> and after COP28</w:t>
            </w:r>
            <w:r w:rsidR="65F4F932" w:rsidRPr="00554B41">
              <w:rPr>
                <w:rFonts w:eastAsia="Segoe UI" w:cs="Times New Roman"/>
              </w:rPr>
              <w:t>,</w:t>
            </w:r>
            <w:r w:rsidRPr="00554B41" w:rsidDel="003F73BE">
              <w:rPr>
                <w:rFonts w:eastAsia="Segoe UI" w:cs="Times New Roman"/>
              </w:rPr>
              <w:t xml:space="preserve"> </w:t>
            </w:r>
            <w:r w:rsidR="65F4F932" w:rsidRPr="00554B41">
              <w:rPr>
                <w:rFonts w:eastAsia="Segoe UI" w:cs="Times New Roman"/>
              </w:rPr>
              <w:t>COP</w:t>
            </w:r>
            <w:r w:rsidRPr="00554B41">
              <w:rPr>
                <w:rFonts w:eastAsia="Segoe UI" w:cs="Times New Roman"/>
              </w:rPr>
              <w:t>29</w:t>
            </w:r>
            <w:r w:rsidR="65F4F932" w:rsidRPr="00554B41">
              <w:rPr>
                <w:rFonts w:eastAsia="Segoe UI" w:cs="Times New Roman"/>
              </w:rPr>
              <w:t>,</w:t>
            </w:r>
            <w:r w:rsidRPr="00554B41">
              <w:rPr>
                <w:rFonts w:eastAsia="Segoe UI" w:cs="Times New Roman"/>
              </w:rPr>
              <w:t xml:space="preserve"> and SBB60.</w:t>
            </w:r>
            <w:r w:rsidRPr="00554B41">
              <w:rPr>
                <w:rFonts w:eastAsia="Segoe UI" w:cs="Times New Roman"/>
                <w:b/>
                <w:bCs/>
              </w:rPr>
              <w:t xml:space="preserve"> </w:t>
            </w:r>
            <w:r w:rsidRPr="00554B41">
              <w:rPr>
                <w:rFonts w:eastAsia="Segoe UI" w:cs="Times New Roman"/>
              </w:rPr>
              <w:t xml:space="preserve">The </w:t>
            </w:r>
            <w:r w:rsidR="65F4F932" w:rsidRPr="00554B41">
              <w:rPr>
                <w:rFonts w:eastAsia="Segoe UI" w:cs="Times New Roman"/>
              </w:rPr>
              <w:t>GoN</w:t>
            </w:r>
            <w:r w:rsidRPr="00554B41">
              <w:rPr>
                <w:rFonts w:eastAsia="Segoe UI" w:cs="Times New Roman"/>
              </w:rPr>
              <w:t xml:space="preserve"> initiated and has now </w:t>
            </w:r>
            <w:r w:rsidR="65F4F932" w:rsidRPr="00554B41">
              <w:rPr>
                <w:rFonts w:eastAsia="Segoe UI" w:cs="Times New Roman"/>
              </w:rPr>
              <w:t xml:space="preserve">formalised </w:t>
            </w:r>
            <w:r w:rsidRPr="00554B41">
              <w:rPr>
                <w:rFonts w:eastAsia="Segoe UI" w:cs="Times New Roman"/>
              </w:rPr>
              <w:t xml:space="preserve">the Sagarmatha Sambaad </w:t>
            </w:r>
            <w:r w:rsidR="52295D2E" w:rsidRPr="00554B41">
              <w:rPr>
                <w:rFonts w:eastAsia="Segoe UI" w:cs="Times New Roman"/>
              </w:rPr>
              <w:t>Dialogues</w:t>
            </w:r>
            <w:r w:rsidR="52295D2E">
              <w:rPr>
                <w:rFonts w:eastAsia="Segoe UI" w:cs="Times New Roman"/>
              </w:rPr>
              <w:t>,</w:t>
            </w:r>
            <w:r w:rsidRPr="00554B41">
              <w:rPr>
                <w:rFonts w:eastAsia="Segoe UI" w:cs="Times New Roman"/>
              </w:rPr>
              <w:t xml:space="preserve"> a biennial multi-stakeholder permanent global dialogue forum. The first ever Sambaad was held in Kathmandu </w:t>
            </w:r>
            <w:r w:rsidR="65F4F932" w:rsidRPr="00554B41">
              <w:rPr>
                <w:rFonts w:eastAsia="Segoe UI" w:cs="Times New Roman"/>
              </w:rPr>
              <w:t xml:space="preserve">on </w:t>
            </w:r>
            <w:r w:rsidRPr="00554B41">
              <w:rPr>
                <w:rFonts w:eastAsia="Segoe UI" w:cs="Times New Roman"/>
              </w:rPr>
              <w:t xml:space="preserve">16–18 May 2025 (after the postponement in 2020 due to the COVID-19 pandemic). Both OPM and Practical Action, through CASA OF funds, supported the </w:t>
            </w:r>
            <w:r w:rsidR="65F4F932" w:rsidRPr="00554B41">
              <w:rPr>
                <w:rFonts w:eastAsia="Segoe UI" w:cs="Times New Roman"/>
              </w:rPr>
              <w:t xml:space="preserve">GoN </w:t>
            </w:r>
            <w:r w:rsidRPr="00554B41">
              <w:rPr>
                <w:rFonts w:eastAsia="Segoe UI" w:cs="Times New Roman"/>
              </w:rPr>
              <w:t xml:space="preserve">in the preparation of this first Dialogue. The government has allocated money to hold a Dialogue every two years. A lack of clarity as to the </w:t>
            </w:r>
            <w:r w:rsidR="65F4F932" w:rsidRPr="00554B41">
              <w:rPr>
                <w:rFonts w:eastAsia="Segoe UI" w:cs="Times New Roman"/>
              </w:rPr>
              <w:t xml:space="preserve">Mountainous </w:t>
            </w:r>
            <w:r w:rsidRPr="00554B41">
              <w:rPr>
                <w:rFonts w:eastAsia="Segoe UI" w:cs="Times New Roman"/>
              </w:rPr>
              <w:t>R</w:t>
            </w:r>
            <w:r w:rsidR="65F4F932" w:rsidRPr="00554B41">
              <w:rPr>
                <w:rFonts w:eastAsia="Segoe UI" w:cs="Times New Roman"/>
              </w:rPr>
              <w:t>anges</w:t>
            </w:r>
            <w:r w:rsidRPr="00554B41">
              <w:rPr>
                <w:rFonts w:eastAsia="Segoe UI" w:cs="Times New Roman"/>
              </w:rPr>
              <w:t xml:space="preserve"> Agenda remains and this first Dialogue received mixed reviews. Some commentators expressing concern </w:t>
            </w:r>
            <w:r w:rsidR="65F4F932" w:rsidRPr="00554B41">
              <w:rPr>
                <w:rFonts w:eastAsia="Segoe UI" w:cs="Times New Roman"/>
              </w:rPr>
              <w:t xml:space="preserve">about </w:t>
            </w:r>
            <w:r w:rsidRPr="00554B41">
              <w:rPr>
                <w:rFonts w:eastAsia="Segoe UI" w:cs="Times New Roman"/>
              </w:rPr>
              <w:t>it being “yet another talk-shop” that missed the opportunity for Nepal to push strongly on key climate change issues.</w:t>
            </w:r>
            <w:r w:rsidR="00202F71" w:rsidRPr="00554B41">
              <w:rPr>
                <w:rFonts w:eastAsia="Segoe UI" w:cs="Times New Roman"/>
                <w:vertAlign w:val="superscript"/>
              </w:rPr>
              <w:footnoteReference w:id="23"/>
            </w:r>
            <w:r w:rsidRPr="00554B41">
              <w:rPr>
                <w:rFonts w:eastAsia="Segoe UI" w:cs="Times New Roman"/>
              </w:rPr>
              <w:t xml:space="preserve"> Despite this, a </w:t>
            </w:r>
            <w:r w:rsidR="0F17DE96" w:rsidRPr="00554B41">
              <w:rPr>
                <w:rFonts w:eastAsia="Segoe UI" w:cs="Times New Roman"/>
              </w:rPr>
              <w:t xml:space="preserve">government </w:t>
            </w:r>
            <w:r w:rsidRPr="00554B41">
              <w:rPr>
                <w:rFonts w:eastAsia="Segoe UI" w:cs="Times New Roman"/>
              </w:rPr>
              <w:t xml:space="preserve">stakeholder noted that events such as this were important for Nepal to help advance </w:t>
            </w:r>
            <w:r w:rsidR="65F4F932" w:rsidRPr="00554B41">
              <w:rPr>
                <w:rFonts w:eastAsia="Segoe UI" w:cs="Times New Roman"/>
              </w:rPr>
              <w:t xml:space="preserve">its </w:t>
            </w:r>
            <w:r w:rsidRPr="00554B41">
              <w:rPr>
                <w:rFonts w:eastAsia="Segoe UI" w:cs="Times New Roman"/>
              </w:rPr>
              <w:t xml:space="preserve">position on climate change issues. </w:t>
            </w:r>
          </w:p>
        </w:tc>
      </w:tr>
    </w:tbl>
    <w:p w14:paraId="018AAC93" w14:textId="58490329" w:rsidR="00373197" w:rsidRDefault="00373197" w:rsidP="00373197">
      <w:pPr>
        <w:pStyle w:val="Heading2"/>
      </w:pPr>
      <w:bookmarkStart w:id="58" w:name="_Toc204967871"/>
      <w:r w:rsidRPr="00554B41">
        <w:t>How effective were the TPs during the period?</w:t>
      </w:r>
      <w:bookmarkEnd w:id="58"/>
    </w:p>
    <w:tbl>
      <w:tblPr>
        <w:tblW w:w="903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030"/>
      </w:tblGrid>
      <w:tr w:rsidR="00202F71" w:rsidRPr="00554B41" w14:paraId="3E990190" w14:textId="77777777" w:rsidTr="79BE7E96">
        <w:trPr>
          <w:trHeight w:val="300"/>
        </w:trPr>
        <w:tc>
          <w:tcPr>
            <w:tcW w:w="9030" w:type="dxa"/>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243D904F" w14:textId="04E53CEE" w:rsidR="00202F71" w:rsidRPr="00554B41" w:rsidRDefault="00202F71" w:rsidP="00202F71">
            <w:pPr>
              <w:rPr>
                <w:rFonts w:eastAsia="Segoe UI" w:cs="Times New Roman"/>
              </w:rPr>
            </w:pPr>
            <w:r w:rsidRPr="00554B41">
              <w:rPr>
                <w:rFonts w:eastAsia="Segoe UI" w:cs="Times New Roman"/>
                <w:b/>
                <w:bCs/>
              </w:rPr>
              <w:t xml:space="preserve">Practical Action has been highly effective in facilitating and providing strategic input into Nepal’s Third NDC. </w:t>
            </w:r>
            <w:r w:rsidRPr="00554B41">
              <w:rPr>
                <w:rFonts w:eastAsia="Segoe UI" w:cs="Times New Roman"/>
              </w:rPr>
              <w:t>This support was part of a much larger package of work delivered by Practical Action in Nepal for over a decade.</w:t>
            </w:r>
            <w:r w:rsidRPr="00554B41">
              <w:rPr>
                <w:rFonts w:eastAsia="Segoe UI" w:cs="Times New Roman"/>
                <w:vertAlign w:val="superscript"/>
              </w:rPr>
              <w:footnoteReference w:id="24"/>
            </w:r>
            <w:r w:rsidRPr="00554B41">
              <w:rPr>
                <w:rFonts w:eastAsia="Segoe UI" w:cs="Times New Roman"/>
              </w:rPr>
              <w:t xml:space="preserve"> For the Third NDC, the</w:t>
            </w:r>
            <w:r w:rsidRPr="00554B41" w:rsidDel="003F73BE">
              <w:rPr>
                <w:rFonts w:eastAsia="Segoe UI" w:cs="Times New Roman"/>
              </w:rPr>
              <w:t xml:space="preserve"> </w:t>
            </w:r>
            <w:r w:rsidR="003F73BE" w:rsidRPr="00554B41">
              <w:rPr>
                <w:rFonts w:eastAsia="Segoe UI" w:cs="Times New Roman"/>
              </w:rPr>
              <w:t xml:space="preserve">organisation </w:t>
            </w:r>
            <w:r w:rsidRPr="00554B41">
              <w:rPr>
                <w:rFonts w:eastAsia="Segoe UI" w:cs="Times New Roman"/>
              </w:rPr>
              <w:t xml:space="preserve">facilitated cross-sectoral collaboration, including engagement with the relevant sectors, and supported the </w:t>
            </w:r>
            <w:r w:rsidR="003F73BE" w:rsidRPr="00554B41">
              <w:rPr>
                <w:rFonts w:eastAsia="Segoe UI" w:cs="Times New Roman"/>
              </w:rPr>
              <w:t xml:space="preserve">GoN’s </w:t>
            </w:r>
            <w:r w:rsidRPr="00554B41">
              <w:rPr>
                <w:rFonts w:eastAsia="Segoe UI" w:cs="Times New Roman"/>
              </w:rPr>
              <w:t>climate policy processes. This proactive involvement fostered strong governmental buy-in and reinforced Practical Action’s credibility and influence on climate governance. Through effective training and capacity strengthening, P</w:t>
            </w:r>
            <w:r w:rsidR="003F73BE" w:rsidRPr="00554B41">
              <w:rPr>
                <w:rFonts w:eastAsia="Segoe UI" w:cs="Times New Roman"/>
              </w:rPr>
              <w:t xml:space="preserve">ractical </w:t>
            </w:r>
            <w:r w:rsidRPr="00554B41">
              <w:rPr>
                <w:rFonts w:eastAsia="Segoe UI" w:cs="Times New Roman"/>
              </w:rPr>
              <w:t>A</w:t>
            </w:r>
            <w:r w:rsidR="003F73BE" w:rsidRPr="00554B41">
              <w:rPr>
                <w:rFonts w:eastAsia="Segoe UI" w:cs="Times New Roman"/>
              </w:rPr>
              <w:t>ction</w:t>
            </w:r>
            <w:r w:rsidRPr="00554B41">
              <w:rPr>
                <w:rFonts w:eastAsia="Segoe UI" w:cs="Times New Roman"/>
              </w:rPr>
              <w:t xml:space="preserve"> was able to support the </w:t>
            </w:r>
            <w:r w:rsidR="003F73BE" w:rsidRPr="00554B41">
              <w:rPr>
                <w:rFonts w:eastAsia="Segoe UI" w:cs="Times New Roman"/>
              </w:rPr>
              <w:t xml:space="preserve">GoN </w:t>
            </w:r>
            <w:r w:rsidRPr="00554B41">
              <w:rPr>
                <w:rFonts w:eastAsia="Segoe UI" w:cs="Times New Roman"/>
              </w:rPr>
              <w:t>in</w:t>
            </w:r>
            <w:r w:rsidRPr="00554B41" w:rsidDel="003F73BE">
              <w:rPr>
                <w:rFonts w:eastAsia="Segoe UI" w:cs="Times New Roman"/>
              </w:rPr>
              <w:t xml:space="preserve"> </w:t>
            </w:r>
            <w:r w:rsidR="003F73BE" w:rsidRPr="00554B41">
              <w:rPr>
                <w:rFonts w:eastAsia="Segoe UI" w:cs="Times New Roman"/>
              </w:rPr>
              <w:t xml:space="preserve">synthesising </w:t>
            </w:r>
            <w:r w:rsidRPr="00554B41">
              <w:rPr>
                <w:rFonts w:eastAsia="Segoe UI" w:cs="Times New Roman"/>
              </w:rPr>
              <w:t>already</w:t>
            </w:r>
            <w:r w:rsidR="003F73BE" w:rsidRPr="00554B41">
              <w:rPr>
                <w:rFonts w:eastAsia="Segoe UI" w:cs="Times New Roman"/>
              </w:rPr>
              <w:t>-</w:t>
            </w:r>
            <w:r w:rsidRPr="00554B41">
              <w:rPr>
                <w:rFonts w:eastAsia="Segoe UI" w:cs="Times New Roman"/>
              </w:rPr>
              <w:t xml:space="preserve">recorded climate impacts and measurements and aligning them to their negotiating positions, setting them up for future reporting on climate change impacts. </w:t>
            </w:r>
          </w:p>
          <w:p w14:paraId="68D5F094" w14:textId="0026CCE7" w:rsidR="00202F71" w:rsidRPr="00554B41" w:rsidRDefault="00202F71" w:rsidP="00202F71">
            <w:pPr>
              <w:rPr>
                <w:rFonts w:eastAsia="Segoe UI" w:cs="Times New Roman"/>
              </w:rPr>
            </w:pPr>
            <w:r w:rsidRPr="00554B41">
              <w:rPr>
                <w:rFonts w:eastAsia="Segoe UI" w:cs="Times New Roman"/>
              </w:rPr>
              <w:t>A</w:t>
            </w:r>
            <w:r w:rsidRPr="00554B41" w:rsidDel="003F73BE">
              <w:rPr>
                <w:rFonts w:eastAsia="Segoe UI" w:cs="Times New Roman"/>
              </w:rPr>
              <w:t xml:space="preserve"> </w:t>
            </w:r>
            <w:r w:rsidR="003F73BE" w:rsidRPr="00554B41">
              <w:rPr>
                <w:rFonts w:eastAsia="Segoe UI" w:cs="Times New Roman"/>
              </w:rPr>
              <w:t xml:space="preserve">GoN </w:t>
            </w:r>
            <w:r w:rsidRPr="00554B41">
              <w:rPr>
                <w:rFonts w:eastAsia="Segoe UI" w:cs="Times New Roman"/>
              </w:rPr>
              <w:t>official within the Ministry of Environment stated that Practical Action’s involvement was “very collaborative…</w:t>
            </w:r>
            <w:r w:rsidR="003F73BE" w:rsidRPr="00554B41">
              <w:rPr>
                <w:rFonts w:eastAsia="Segoe UI" w:cs="Times New Roman"/>
              </w:rPr>
              <w:t xml:space="preserve"> </w:t>
            </w:r>
            <w:r w:rsidRPr="00554B41">
              <w:rPr>
                <w:rFonts w:eastAsia="Segoe UI" w:cs="Times New Roman"/>
              </w:rPr>
              <w:t xml:space="preserve">We’ve had support from Practical Action and other actors for a long time, and they helped us formulate and prepare the documents for submission. This would not have been possible without Practical Action and the other organisations like Youth Alliance for the Environment.” In addition, the official noted that the expertise and members of Practical Action were: </w:t>
            </w:r>
          </w:p>
          <w:p w14:paraId="727B3B59" w14:textId="6B8F648D" w:rsidR="00202F71" w:rsidRPr="00554B41" w:rsidRDefault="00202F71" w:rsidP="00373197">
            <w:pPr>
              <w:rPr>
                <w:rFonts w:eastAsia="Segoe UI" w:cs="Times New Roman"/>
                <w:i/>
                <w:iCs/>
              </w:rPr>
            </w:pPr>
            <w:r w:rsidRPr="00554B41">
              <w:rPr>
                <w:rFonts w:eastAsia="Segoe UI" w:cs="Times New Roman"/>
                <w:i/>
                <w:iCs/>
              </w:rPr>
              <w:t xml:space="preserve">“…very capable and experienced professionals </w:t>
            </w:r>
            <w:r w:rsidR="003F73BE" w:rsidRPr="00554B41">
              <w:rPr>
                <w:rFonts w:eastAsia="Segoe UI" w:cs="Times New Roman"/>
                <w:i/>
                <w:iCs/>
              </w:rPr>
              <w:t xml:space="preserve">who </w:t>
            </w:r>
            <w:r w:rsidRPr="00554B41">
              <w:rPr>
                <w:rFonts w:eastAsia="Segoe UI" w:cs="Times New Roman"/>
                <w:i/>
                <w:iCs/>
              </w:rPr>
              <w:t xml:space="preserve">provide support as and when </w:t>
            </w:r>
            <w:r w:rsidR="003F73BE" w:rsidRPr="00554B41">
              <w:rPr>
                <w:rFonts w:eastAsia="Segoe UI" w:cs="Times New Roman"/>
                <w:i/>
                <w:iCs/>
              </w:rPr>
              <w:t xml:space="preserve">the </w:t>
            </w:r>
            <w:r w:rsidRPr="00554B41">
              <w:rPr>
                <w:rFonts w:eastAsia="Segoe UI" w:cs="Times New Roman"/>
                <w:i/>
                <w:iCs/>
              </w:rPr>
              <w:t>government need</w:t>
            </w:r>
            <w:r w:rsidR="003F73BE" w:rsidRPr="00554B41">
              <w:rPr>
                <w:rFonts w:eastAsia="Segoe UI" w:cs="Times New Roman"/>
                <w:i/>
                <w:iCs/>
              </w:rPr>
              <w:t>s</w:t>
            </w:r>
            <w:r w:rsidRPr="00554B41">
              <w:rPr>
                <w:rFonts w:eastAsia="Segoe UI" w:cs="Times New Roman"/>
                <w:i/>
                <w:iCs/>
              </w:rPr>
              <w:t xml:space="preserve"> it. The support is very necessary for the government to participate in the UNFCCC process. It also helps the government at the community level with the adaptation work for the poor and vulnerable people. They help harness the voice of the local communities to ensure the government can bring these to UNFCCC.”</w:t>
            </w:r>
          </w:p>
          <w:p w14:paraId="7CA0C083" w14:textId="1AE27F2B" w:rsidR="00202F71" w:rsidRPr="00554B41" w:rsidRDefault="00202F71" w:rsidP="00202F71">
            <w:pPr>
              <w:rPr>
                <w:rFonts w:eastAsia="Segoe UI" w:cs="Times New Roman"/>
              </w:rPr>
            </w:pPr>
            <w:r w:rsidRPr="00554B41">
              <w:rPr>
                <w:rFonts w:eastAsia="Segoe UI" w:cs="Times New Roman"/>
              </w:rPr>
              <w:t xml:space="preserve">The official also remarked that the mock negotiations training Practical Action held before COP29 </w:t>
            </w:r>
            <w:r w:rsidR="003F73BE" w:rsidRPr="00554B41">
              <w:rPr>
                <w:rFonts w:eastAsia="Segoe UI" w:cs="Times New Roman"/>
              </w:rPr>
              <w:t xml:space="preserve">was </w:t>
            </w:r>
            <w:r w:rsidRPr="00554B41">
              <w:rPr>
                <w:rFonts w:eastAsia="Segoe UI" w:cs="Times New Roman"/>
              </w:rPr>
              <w:t>very helpful and informed their UNFCCC strategy at COP29.</w:t>
            </w:r>
          </w:p>
          <w:p w14:paraId="3E06531B" w14:textId="36E90DC9" w:rsidR="00202F71" w:rsidRPr="00600282" w:rsidRDefault="00202F71" w:rsidP="79BE7E96">
            <w:pPr>
              <w:rPr>
                <w:rFonts w:eastAsia="Segoe UI" w:cs="Times New Roman"/>
                <w:i/>
                <w:iCs/>
              </w:rPr>
            </w:pPr>
            <w:r w:rsidRPr="79BE7E96">
              <w:rPr>
                <w:rFonts w:eastAsia="Segoe UI" w:cs="Times New Roman"/>
                <w:b/>
                <w:bCs/>
              </w:rPr>
              <w:t xml:space="preserve">OPM acted as the key coordinator for the </w:t>
            </w:r>
            <w:r w:rsidR="003F73BE" w:rsidRPr="79BE7E96">
              <w:rPr>
                <w:rFonts w:eastAsia="Segoe UI" w:cs="Times New Roman"/>
                <w:b/>
                <w:bCs/>
              </w:rPr>
              <w:t>GoN</w:t>
            </w:r>
            <w:r w:rsidRPr="79BE7E96">
              <w:rPr>
                <w:rFonts w:eastAsia="Segoe UI" w:cs="Times New Roman"/>
                <w:b/>
                <w:bCs/>
              </w:rPr>
              <w:t xml:space="preserve"> involved in the M</w:t>
            </w:r>
            <w:r w:rsidR="003F73BE" w:rsidRPr="79BE7E96">
              <w:rPr>
                <w:rFonts w:eastAsia="Segoe UI" w:cs="Times New Roman"/>
                <w:b/>
                <w:bCs/>
              </w:rPr>
              <w:t xml:space="preserve">ountainous </w:t>
            </w:r>
            <w:r w:rsidRPr="79BE7E96">
              <w:rPr>
                <w:rFonts w:eastAsia="Segoe UI" w:cs="Times New Roman"/>
                <w:b/>
                <w:bCs/>
              </w:rPr>
              <w:t>R</w:t>
            </w:r>
            <w:r w:rsidR="003F73BE" w:rsidRPr="79BE7E96">
              <w:rPr>
                <w:rFonts w:eastAsia="Segoe UI" w:cs="Times New Roman"/>
                <w:b/>
                <w:bCs/>
              </w:rPr>
              <w:t>anges</w:t>
            </w:r>
            <w:r w:rsidRPr="79BE7E96">
              <w:rPr>
                <w:rFonts w:eastAsia="Segoe UI" w:cs="Times New Roman"/>
                <w:b/>
                <w:bCs/>
              </w:rPr>
              <w:t xml:space="preserve"> </w:t>
            </w:r>
            <w:r w:rsidR="00DB4A3F" w:rsidRPr="79BE7E96">
              <w:rPr>
                <w:rFonts w:eastAsia="Segoe UI" w:cs="Times New Roman"/>
                <w:b/>
                <w:bCs/>
              </w:rPr>
              <w:t>Group</w:t>
            </w:r>
            <w:r w:rsidRPr="79BE7E96">
              <w:rPr>
                <w:rFonts w:eastAsia="Segoe UI" w:cs="Times New Roman"/>
                <w:b/>
                <w:bCs/>
              </w:rPr>
              <w:t xml:space="preserve"> agenda setting</w:t>
            </w:r>
            <w:r w:rsidRPr="79BE7E96">
              <w:rPr>
                <w:rFonts w:eastAsia="Segoe UI" w:cs="Times New Roman"/>
              </w:rPr>
              <w:t xml:space="preserve"> at various junctions before, between</w:t>
            </w:r>
            <w:r w:rsidR="003F73BE" w:rsidRPr="79BE7E96">
              <w:rPr>
                <w:rFonts w:eastAsia="Segoe UI" w:cs="Times New Roman"/>
              </w:rPr>
              <w:t>,</w:t>
            </w:r>
            <w:r w:rsidRPr="79BE7E96">
              <w:rPr>
                <w:rFonts w:eastAsia="Segoe UI" w:cs="Times New Roman"/>
              </w:rPr>
              <w:t xml:space="preserve"> and after COP28 </w:t>
            </w:r>
            <w:r w:rsidR="003F73BE" w:rsidRPr="79BE7E96">
              <w:rPr>
                <w:rFonts w:eastAsia="Segoe UI" w:cs="Times New Roman"/>
              </w:rPr>
              <w:t>and</w:t>
            </w:r>
            <w:r w:rsidRPr="79BE7E96">
              <w:rPr>
                <w:rFonts w:eastAsia="Segoe UI" w:cs="Times New Roman"/>
              </w:rPr>
              <w:t xml:space="preserve"> COP29 and into 2025. </w:t>
            </w:r>
            <w:r w:rsidR="003F73BE" w:rsidRPr="79BE7E96">
              <w:rPr>
                <w:rFonts w:eastAsia="Segoe UI" w:cs="Times New Roman"/>
              </w:rPr>
              <w:t xml:space="preserve">Its </w:t>
            </w:r>
            <w:r w:rsidRPr="79BE7E96">
              <w:rPr>
                <w:rFonts w:eastAsia="Segoe UI" w:cs="Times New Roman"/>
              </w:rPr>
              <w:t xml:space="preserve">facilitation and involvement was crucial as it filled key gaps in capacity within the </w:t>
            </w:r>
            <w:r w:rsidR="003F73BE" w:rsidRPr="79BE7E96">
              <w:rPr>
                <w:rFonts w:eastAsia="Segoe UI" w:cs="Times New Roman"/>
              </w:rPr>
              <w:t xml:space="preserve">GoN </w:t>
            </w:r>
            <w:r w:rsidRPr="79BE7E96">
              <w:rPr>
                <w:rFonts w:eastAsia="Segoe UI" w:cs="Times New Roman"/>
              </w:rPr>
              <w:t>and allowed for greater depth and elevation of issues that otherwise would not have been present. Like Practical Action, OPM has a long history of working with Nepali stakeholders on climate change initiatives. The specific OPM team who received the grant was also the team that managed FCDO’s P</w:t>
            </w:r>
            <w:r w:rsidR="000246FF" w:rsidRPr="79BE7E96">
              <w:rPr>
                <w:rFonts w:eastAsia="Segoe UI" w:cs="Times New Roman"/>
              </w:rPr>
              <w:t xml:space="preserve">olicy and </w:t>
            </w:r>
            <w:r w:rsidRPr="79BE7E96">
              <w:rPr>
                <w:rFonts w:eastAsia="Segoe UI" w:cs="Times New Roman"/>
              </w:rPr>
              <w:t>I</w:t>
            </w:r>
            <w:r w:rsidR="000246FF" w:rsidRPr="79BE7E96">
              <w:rPr>
                <w:rFonts w:eastAsia="Segoe UI" w:cs="Times New Roman"/>
              </w:rPr>
              <w:t xml:space="preserve">nnovation </w:t>
            </w:r>
            <w:r w:rsidRPr="79BE7E96">
              <w:rPr>
                <w:rFonts w:eastAsia="Segoe UI" w:cs="Times New Roman"/>
              </w:rPr>
              <w:t>F</w:t>
            </w:r>
            <w:r w:rsidR="000246FF" w:rsidRPr="79BE7E96">
              <w:rPr>
                <w:rFonts w:eastAsia="Segoe UI" w:cs="Times New Roman"/>
              </w:rPr>
              <w:t>acility</w:t>
            </w:r>
            <w:r w:rsidRPr="79BE7E96">
              <w:rPr>
                <w:rFonts w:eastAsia="Segoe UI" w:cs="Times New Roman"/>
              </w:rPr>
              <w:t xml:space="preserve"> programme from 2017</w:t>
            </w:r>
            <w:r w:rsidR="000246FF" w:rsidRPr="79BE7E96">
              <w:rPr>
                <w:rFonts w:eastAsia="Segoe UI" w:cs="Times New Roman"/>
              </w:rPr>
              <w:t xml:space="preserve"> to </w:t>
            </w:r>
            <w:r w:rsidRPr="79BE7E96">
              <w:rPr>
                <w:rFonts w:eastAsia="Segoe UI" w:cs="Times New Roman"/>
              </w:rPr>
              <w:t xml:space="preserve">2023. They have well-established relationships with the </w:t>
            </w:r>
            <w:r w:rsidR="000246FF" w:rsidRPr="79BE7E96">
              <w:rPr>
                <w:rFonts w:eastAsia="Segoe UI" w:cs="Times New Roman"/>
              </w:rPr>
              <w:t>GoN that</w:t>
            </w:r>
            <w:r w:rsidRPr="79BE7E96">
              <w:rPr>
                <w:rFonts w:eastAsia="Segoe UI" w:cs="Times New Roman"/>
              </w:rPr>
              <w:t xml:space="preserve"> allowed them to work very efficiently: as one OPM stakeholder reflected, </w:t>
            </w:r>
            <w:r w:rsidRPr="79BE7E96">
              <w:rPr>
                <w:rFonts w:eastAsia="Segoe UI" w:cs="Times New Roman"/>
                <w:i/>
                <w:iCs/>
              </w:rPr>
              <w:t>“otherwise, government will not trust and engage in strategy on this piece of work. It really requires institutional memory and history of collaboration with the government.”</w:t>
            </w:r>
            <w:r w:rsidRPr="79BE7E96">
              <w:rPr>
                <w:rFonts w:eastAsia="Segoe UI" w:cs="Times New Roman"/>
              </w:rPr>
              <w:t xml:space="preserve"> An FCDO stakeholder also reflected that OPM served a “</w:t>
            </w:r>
            <w:r w:rsidRPr="79BE7E96">
              <w:rPr>
                <w:rFonts w:eastAsia="Segoe UI" w:cs="Times New Roman"/>
                <w:i/>
                <w:iCs/>
              </w:rPr>
              <w:t xml:space="preserve">brokering role between the UK </w:t>
            </w:r>
            <w:r w:rsidR="000246FF" w:rsidRPr="79BE7E96">
              <w:rPr>
                <w:rFonts w:eastAsia="Segoe UI" w:cs="Times New Roman"/>
                <w:i/>
                <w:iCs/>
              </w:rPr>
              <w:t>Government </w:t>
            </w:r>
            <w:r w:rsidRPr="79BE7E96">
              <w:rPr>
                <w:rFonts w:eastAsia="Segoe UI" w:cs="Times New Roman"/>
                <w:i/>
                <w:iCs/>
              </w:rPr>
              <w:t>and the Government of Nepal, facilitating dialogue and collaboration to strengthen Nepal’s climate advocacy efforts.”</w:t>
            </w:r>
          </w:p>
          <w:p w14:paraId="13AF13D8" w14:textId="6D96BE73" w:rsidR="00202F71" w:rsidRPr="00554B41" w:rsidRDefault="00202F71" w:rsidP="00202F71">
            <w:pPr>
              <w:rPr>
                <w:rFonts w:eastAsia="Segoe UI" w:cs="Times New Roman"/>
                <w:b/>
                <w:bCs/>
              </w:rPr>
            </w:pPr>
            <w:r w:rsidRPr="00554B41">
              <w:rPr>
                <w:rFonts w:eastAsia="Segoe UI" w:cs="Times New Roman"/>
                <w:b/>
                <w:bCs/>
              </w:rPr>
              <w:t xml:space="preserve">ECARDS worked highly effectively at the local, regional, and national levels in domestic implementation. </w:t>
            </w:r>
            <w:r w:rsidRPr="00554B41">
              <w:rPr>
                <w:rFonts w:eastAsia="Segoe UI" w:cs="Times New Roman"/>
              </w:rPr>
              <w:t xml:space="preserve">The organisation works through three mechanisms to produce a finalised LAPA with the </w:t>
            </w:r>
            <w:r w:rsidR="000246FF" w:rsidRPr="00554B41">
              <w:rPr>
                <w:rFonts w:eastAsia="Segoe UI" w:cs="Times New Roman"/>
              </w:rPr>
              <w:t>GoN: i</w:t>
            </w:r>
            <w:r w:rsidRPr="00554B41">
              <w:rPr>
                <w:rFonts w:eastAsia="Segoe UI" w:cs="Times New Roman"/>
              </w:rPr>
              <w:t xml:space="preserve">t establishes an Executive Committee to monitor field and data collection activities; it has a nominated focal person responsible for coordination and monitoring at the federal level within the Ministry of Forest and Environment; and each LAPA provisions for local area monitoring and reporting. According to </w:t>
            </w:r>
            <w:r w:rsidR="000246FF" w:rsidRPr="00554B41">
              <w:rPr>
                <w:rFonts w:eastAsia="Segoe UI" w:cs="Times New Roman"/>
              </w:rPr>
              <w:t xml:space="preserve">representatives of </w:t>
            </w:r>
            <w:r w:rsidRPr="00554B41">
              <w:rPr>
                <w:rFonts w:eastAsia="Segoe UI" w:cs="Times New Roman"/>
              </w:rPr>
              <w:t xml:space="preserve">ECARDS, they consulted and engaged nearly 800 community members in preparing the plans and sensitising them to climate change. </w:t>
            </w:r>
          </w:p>
        </w:tc>
      </w:tr>
    </w:tbl>
    <w:p w14:paraId="41D5AE50" w14:textId="6DE89FC6" w:rsidR="00DF1B04" w:rsidRDefault="00DF1B04" w:rsidP="00DF1B04">
      <w:pPr>
        <w:pStyle w:val="Heading2"/>
      </w:pPr>
      <w:bookmarkStart w:id="59" w:name="_Toc204967872"/>
      <w:r w:rsidRPr="00554B41">
        <w:t>What were other advocates/actors doing during the same period?</w:t>
      </w:r>
      <w:bookmarkEnd w:id="59"/>
    </w:p>
    <w:tbl>
      <w:tblPr>
        <w:tblW w:w="903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030"/>
      </w:tblGrid>
      <w:tr w:rsidR="00202F71" w:rsidRPr="00554B41" w14:paraId="5D5D98BC" w14:textId="77777777" w:rsidTr="3B9AFC14">
        <w:trPr>
          <w:trHeight w:val="300"/>
        </w:trPr>
        <w:tc>
          <w:tcPr>
            <w:tcW w:w="9030" w:type="dxa"/>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14652FA6" w14:textId="093E057A" w:rsidR="00202F71" w:rsidRPr="00554B41" w:rsidRDefault="00202F71" w:rsidP="00202F71">
            <w:pPr>
              <w:rPr>
                <w:rFonts w:eastAsia="Segoe UI" w:cs="Times New Roman"/>
                <w:b/>
              </w:rPr>
            </w:pPr>
            <w:r w:rsidRPr="00554B41">
              <w:rPr>
                <w:rFonts w:eastAsia="Segoe UI" w:cs="Times New Roman"/>
                <w:b/>
              </w:rPr>
              <w:t xml:space="preserve">Many other actors contributed to the observed outcomes. </w:t>
            </w:r>
            <w:r w:rsidRPr="00554B41">
              <w:rPr>
                <w:rFonts w:eastAsia="Segoe UI" w:cs="Times New Roman"/>
              </w:rPr>
              <w:t xml:space="preserve">The </w:t>
            </w:r>
            <w:r w:rsidR="000246FF" w:rsidRPr="00554B41">
              <w:rPr>
                <w:rFonts w:eastAsia="Segoe UI" w:cs="Times New Roman"/>
              </w:rPr>
              <w:t>GoN</w:t>
            </w:r>
            <w:r w:rsidRPr="00554B41">
              <w:rPr>
                <w:rFonts w:eastAsia="Segoe UI" w:cs="Times New Roman"/>
                <w:bCs/>
              </w:rPr>
              <w:t xml:space="preserve"> itself is a crucial actor in achieving this outcome: the OF projects all stand on the shoulders of Nepal’s leadership and the existing momentum already embedded within leadership and policies.</w:t>
            </w:r>
          </w:p>
          <w:p w14:paraId="543B1327" w14:textId="4A882945" w:rsidR="00202F71" w:rsidRPr="00554B41" w:rsidRDefault="00202F71" w:rsidP="00572834">
            <w:pPr>
              <w:rPr>
                <w:rFonts w:eastAsia="Segoe UI" w:cs="Times New Roman"/>
                <w:b/>
              </w:rPr>
            </w:pPr>
            <w:r w:rsidRPr="00554B41">
              <w:rPr>
                <w:rFonts w:eastAsia="Segoe UI" w:cs="Times New Roman"/>
                <w:b/>
                <w:bCs/>
              </w:rPr>
              <w:t>M</w:t>
            </w:r>
            <w:r w:rsidR="000246FF" w:rsidRPr="00554B41">
              <w:rPr>
                <w:rFonts w:eastAsia="Segoe UI" w:cs="Times New Roman"/>
                <w:b/>
                <w:bCs/>
              </w:rPr>
              <w:t xml:space="preserve">ountainous </w:t>
            </w:r>
            <w:r w:rsidRPr="00554B41">
              <w:rPr>
                <w:rFonts w:eastAsia="Segoe UI" w:cs="Times New Roman"/>
                <w:b/>
                <w:bCs/>
              </w:rPr>
              <w:t>R</w:t>
            </w:r>
            <w:r w:rsidR="000246FF" w:rsidRPr="00554B41">
              <w:rPr>
                <w:rFonts w:eastAsia="Segoe UI" w:cs="Times New Roman"/>
                <w:b/>
                <w:bCs/>
              </w:rPr>
              <w:t>anges A</w:t>
            </w:r>
            <w:r w:rsidRPr="00554B41">
              <w:rPr>
                <w:rFonts w:eastAsia="Segoe UI" w:cs="Times New Roman"/>
                <w:b/>
                <w:bCs/>
              </w:rPr>
              <w:t>genda setting</w:t>
            </w:r>
            <w:r w:rsidR="00572834" w:rsidRPr="00554B41">
              <w:rPr>
                <w:rFonts w:eastAsia="Segoe UI" w:cs="Times New Roman"/>
                <w:b/>
                <w:bCs/>
              </w:rPr>
              <w:t xml:space="preserve">. </w:t>
            </w:r>
            <w:r w:rsidRPr="00554B41">
              <w:rPr>
                <w:rFonts w:eastAsia="Segoe UI" w:cs="Times New Roman"/>
              </w:rPr>
              <w:t xml:space="preserve">Other multilateral actors support </w:t>
            </w:r>
            <w:r w:rsidR="000246FF" w:rsidRPr="00554B41">
              <w:rPr>
                <w:rFonts w:eastAsia="Segoe UI" w:cs="Times New Roman"/>
              </w:rPr>
              <w:t>GoN</w:t>
            </w:r>
            <w:r w:rsidRPr="00554B41">
              <w:rPr>
                <w:rFonts w:eastAsia="Segoe UI" w:cs="Times New Roman"/>
              </w:rPr>
              <w:t xml:space="preserve"> stakeholders in </w:t>
            </w:r>
            <w:r w:rsidR="000246FF" w:rsidRPr="00554B41">
              <w:rPr>
                <w:rFonts w:eastAsia="Segoe UI" w:cs="Times New Roman"/>
              </w:rPr>
              <w:t>this a</w:t>
            </w:r>
            <w:r w:rsidRPr="00554B41">
              <w:rPr>
                <w:rFonts w:eastAsia="Segoe UI" w:cs="Times New Roman"/>
              </w:rPr>
              <w:t>genda setting</w:t>
            </w:r>
            <w:r w:rsidR="000246FF" w:rsidRPr="00554B41">
              <w:rPr>
                <w:rFonts w:eastAsia="Segoe UI" w:cs="Times New Roman"/>
              </w:rPr>
              <w:t>, including</w:t>
            </w:r>
            <w:r w:rsidRPr="00554B41">
              <w:rPr>
                <w:rFonts w:eastAsia="Segoe UI" w:cs="Times New Roman"/>
              </w:rPr>
              <w:t xml:space="preserve"> the FAO Mountain Partnership</w:t>
            </w:r>
            <w:r w:rsidRPr="00554B41">
              <w:rPr>
                <w:rFonts w:eastAsia="Segoe UI" w:cs="Times New Roman"/>
                <w:vertAlign w:val="superscript"/>
              </w:rPr>
              <w:footnoteReference w:id="25"/>
            </w:r>
            <w:r w:rsidRPr="00554B41">
              <w:rPr>
                <w:rFonts w:eastAsia="Segoe UI" w:cs="Times New Roman"/>
              </w:rPr>
              <w:t xml:space="preserve"> and ICIMOD. UNDP was also cited as being instrumental in supporting the agenda. There are bi</w:t>
            </w:r>
            <w:r w:rsidR="000246FF" w:rsidRPr="00554B41">
              <w:rPr>
                <w:rFonts w:eastAsia="Segoe UI" w:cs="Times New Roman"/>
              </w:rPr>
              <w:t>lateral</w:t>
            </w:r>
            <w:r w:rsidRPr="00554B41">
              <w:rPr>
                <w:rFonts w:eastAsia="Segoe UI" w:cs="Times New Roman"/>
              </w:rPr>
              <w:t xml:space="preserve"> and multilateral agencies that contribute as well, including FCDO, </w:t>
            </w:r>
            <w:r w:rsidR="000246FF" w:rsidRPr="00554B41">
              <w:rPr>
                <w:rFonts w:eastAsia="Segoe UI" w:cs="Times New Roman"/>
              </w:rPr>
              <w:t xml:space="preserve">the </w:t>
            </w:r>
            <w:r w:rsidRPr="00554B41">
              <w:rPr>
                <w:rFonts w:eastAsia="Segoe UI" w:cs="Times New Roman"/>
              </w:rPr>
              <w:t xml:space="preserve">EU, and the </w:t>
            </w:r>
            <w:r w:rsidR="000246FF" w:rsidRPr="00554B41">
              <w:rPr>
                <w:rFonts w:eastAsia="Segoe UI" w:cs="Times New Roman"/>
              </w:rPr>
              <w:t>ADB</w:t>
            </w:r>
            <w:r w:rsidRPr="00554B41">
              <w:rPr>
                <w:rFonts w:eastAsia="Segoe UI" w:cs="Times New Roman"/>
              </w:rPr>
              <w:t>.</w:t>
            </w:r>
          </w:p>
          <w:p w14:paraId="795AB387" w14:textId="1F700BFE" w:rsidR="00202F71" w:rsidRPr="00554B41" w:rsidRDefault="00202F71" w:rsidP="00572834">
            <w:pPr>
              <w:rPr>
                <w:rFonts w:eastAsia="Segoe UI" w:cs="Times New Roman"/>
              </w:rPr>
            </w:pPr>
            <w:r w:rsidRPr="00554B41">
              <w:rPr>
                <w:rFonts w:eastAsia="Segoe UI" w:cs="Times New Roman"/>
              </w:rPr>
              <w:t xml:space="preserve">Nepal’s political will to tackle climate change has been steadily increasing since 2009, when the country for the first time publicly voiced how </w:t>
            </w:r>
            <w:r w:rsidR="000246FF" w:rsidRPr="00554B41">
              <w:rPr>
                <w:rFonts w:eastAsia="Segoe UI" w:cs="Times New Roman"/>
              </w:rPr>
              <w:t>it was</w:t>
            </w:r>
            <w:r w:rsidRPr="00554B41">
              <w:rPr>
                <w:rFonts w:eastAsia="Segoe UI" w:cs="Times New Roman"/>
              </w:rPr>
              <w:t xml:space="preserve"> facing </w:t>
            </w:r>
            <w:r w:rsidR="000246FF" w:rsidRPr="00554B41">
              <w:rPr>
                <w:rFonts w:eastAsia="Segoe UI" w:cs="Times New Roman"/>
              </w:rPr>
              <w:t xml:space="preserve">an </w:t>
            </w:r>
            <w:r w:rsidRPr="00554B41">
              <w:rPr>
                <w:rFonts w:eastAsia="Segoe UI" w:cs="Times New Roman"/>
              </w:rPr>
              <w:t xml:space="preserve">unavoidable crisis </w:t>
            </w:r>
            <w:r w:rsidR="000246FF" w:rsidRPr="00554B41">
              <w:rPr>
                <w:rFonts w:eastAsia="Segoe UI" w:cs="Times New Roman"/>
              </w:rPr>
              <w:t xml:space="preserve">due to the changing </w:t>
            </w:r>
            <w:r w:rsidRPr="00554B41">
              <w:rPr>
                <w:rFonts w:eastAsia="Segoe UI" w:cs="Times New Roman"/>
              </w:rPr>
              <w:t>climate.</w:t>
            </w:r>
          </w:p>
          <w:p w14:paraId="30C996BD" w14:textId="10361E32" w:rsidR="00202F71" w:rsidRPr="00554B41" w:rsidRDefault="00202F71" w:rsidP="00E16498">
            <w:pPr>
              <w:rPr>
                <w:rFonts w:eastAsia="Segoe UI" w:cs="Times New Roman"/>
              </w:rPr>
            </w:pPr>
            <w:r w:rsidRPr="00554B41">
              <w:rPr>
                <w:rFonts w:eastAsia="Segoe UI" w:cs="Times New Roman"/>
              </w:rPr>
              <w:t xml:space="preserve">Other actors who influence the </w:t>
            </w:r>
            <w:r w:rsidR="000246FF" w:rsidRPr="00554B41">
              <w:rPr>
                <w:rFonts w:eastAsia="Segoe UI" w:cs="Times New Roman"/>
              </w:rPr>
              <w:t xml:space="preserve">Mountainous </w:t>
            </w:r>
            <w:r w:rsidRPr="00554B41">
              <w:rPr>
                <w:rFonts w:eastAsia="Segoe UI" w:cs="Times New Roman"/>
              </w:rPr>
              <w:t>R</w:t>
            </w:r>
            <w:r w:rsidR="000246FF" w:rsidRPr="00554B41">
              <w:rPr>
                <w:rFonts w:eastAsia="Segoe UI" w:cs="Times New Roman"/>
              </w:rPr>
              <w:t>anges</w:t>
            </w:r>
            <w:r w:rsidRPr="00554B41">
              <w:rPr>
                <w:rFonts w:eastAsia="Segoe UI" w:cs="Times New Roman"/>
              </w:rPr>
              <w:t xml:space="preserve"> Group include the UN Secretary General and other countries involved in the Sagarmatha Sambaad</w:t>
            </w:r>
            <w:r w:rsidR="000246FF" w:rsidRPr="00554B41">
              <w:rPr>
                <w:rFonts w:eastAsia="Segoe UI" w:cs="Times New Roman"/>
              </w:rPr>
              <w:t xml:space="preserve"> Dialogue</w:t>
            </w:r>
            <w:r w:rsidRPr="00554B41">
              <w:rPr>
                <w:rFonts w:eastAsia="Segoe UI" w:cs="Times New Roman"/>
              </w:rPr>
              <w:t>.</w:t>
            </w:r>
            <w:r w:rsidRPr="00554B41">
              <w:rPr>
                <w:rFonts w:eastAsia="Segoe UI" w:cs="Times New Roman"/>
                <w:vertAlign w:val="superscript"/>
              </w:rPr>
              <w:footnoteReference w:id="26"/>
            </w:r>
          </w:p>
          <w:p w14:paraId="2284D7F5" w14:textId="073128BA" w:rsidR="00202F71" w:rsidRPr="00554B41" w:rsidRDefault="00202F71" w:rsidP="00572834">
            <w:pPr>
              <w:rPr>
                <w:rFonts w:eastAsia="Segoe UI" w:cs="Times New Roman"/>
              </w:rPr>
            </w:pPr>
            <w:r w:rsidRPr="00554B41">
              <w:rPr>
                <w:rFonts w:eastAsia="Segoe UI" w:cs="Times New Roman"/>
                <w:b/>
                <w:bCs/>
              </w:rPr>
              <w:t>NDC development</w:t>
            </w:r>
            <w:r w:rsidR="00572834" w:rsidRPr="00554B41">
              <w:t xml:space="preserve">. </w:t>
            </w:r>
            <w:r w:rsidRPr="00554B41">
              <w:rPr>
                <w:rFonts w:eastAsia="Segoe UI" w:cs="Times New Roman"/>
              </w:rPr>
              <w:t>The Ministry of Environment acknowledged the following other organisations as having supported NDC development: WWF, UNDP, UNICEF, UN Women, FAO, AEPC, Climate Analytics</w:t>
            </w:r>
            <w:r w:rsidR="000246FF" w:rsidRPr="00554B41">
              <w:rPr>
                <w:rFonts w:eastAsia="Segoe UI" w:cs="Times New Roman"/>
              </w:rPr>
              <w:t xml:space="preserve"> (a CASA </w:t>
            </w:r>
            <w:r w:rsidR="00BA6521" w:rsidRPr="00554B41">
              <w:rPr>
                <w:rFonts w:eastAsia="Segoe UI" w:cs="Times New Roman"/>
              </w:rPr>
              <w:t>TP</w:t>
            </w:r>
            <w:r w:rsidR="000246FF" w:rsidRPr="00554B41">
              <w:rPr>
                <w:rFonts w:eastAsia="Segoe UI" w:cs="Times New Roman"/>
              </w:rPr>
              <w:t>)</w:t>
            </w:r>
            <w:r w:rsidRPr="00554B41">
              <w:rPr>
                <w:rFonts w:eastAsia="Segoe UI" w:cs="Times New Roman"/>
              </w:rPr>
              <w:t xml:space="preserve">, and </w:t>
            </w:r>
            <w:r w:rsidR="000246FF" w:rsidRPr="00554B41">
              <w:rPr>
                <w:rFonts w:eastAsia="Segoe UI" w:cs="Times New Roman"/>
              </w:rPr>
              <w:t>the Youth Alliance for Environment</w:t>
            </w:r>
            <w:r w:rsidRPr="00554B41">
              <w:rPr>
                <w:rFonts w:eastAsia="Segoe UI" w:cs="Times New Roman"/>
              </w:rPr>
              <w:t>.</w:t>
            </w:r>
          </w:p>
        </w:tc>
      </w:tr>
    </w:tbl>
    <w:p w14:paraId="28C21F4F" w14:textId="50391C8A" w:rsidR="00DF1B04" w:rsidRDefault="00DF1B04" w:rsidP="00DF1B04">
      <w:pPr>
        <w:pStyle w:val="Heading2"/>
      </w:pPr>
      <w:bookmarkStart w:id="60" w:name="_Toc204967873"/>
      <w:r w:rsidRPr="00554B41">
        <w:t>What were the key factors in determining the outcome?</w:t>
      </w:r>
      <w:bookmarkEnd w:id="60"/>
    </w:p>
    <w:tbl>
      <w:tblPr>
        <w:tblW w:w="903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030"/>
      </w:tblGrid>
      <w:tr w:rsidR="00202F71" w:rsidRPr="00554B41" w14:paraId="2A09AEBC" w14:textId="77777777" w:rsidTr="3B9AFC14">
        <w:trPr>
          <w:trHeight w:val="694"/>
        </w:trPr>
        <w:tc>
          <w:tcPr>
            <w:tcW w:w="9030" w:type="dxa"/>
            <w:tcBorders>
              <w:top w:val="single" w:sz="6" w:space="0" w:color="303030" w:themeColor="text1"/>
              <w:left w:val="single" w:sz="6" w:space="0" w:color="303030" w:themeColor="text1"/>
              <w:bottom w:val="single" w:sz="6" w:space="0" w:color="303030" w:themeColor="text1"/>
              <w:right w:val="single" w:sz="6" w:space="0" w:color="303030" w:themeColor="text1"/>
            </w:tcBorders>
            <w:hideMark/>
          </w:tcPr>
          <w:p w14:paraId="5146731D" w14:textId="29E9FCAD" w:rsidR="00202F71" w:rsidRPr="00554B41" w:rsidRDefault="00202F71" w:rsidP="00202F71">
            <w:pPr>
              <w:jc w:val="left"/>
              <w:rPr>
                <w:rFonts w:eastAsia="Segoe UI" w:cs="Times New Roman"/>
              </w:rPr>
            </w:pPr>
            <w:r w:rsidRPr="00554B41">
              <w:rPr>
                <w:rFonts w:eastAsia="Segoe UI" w:cs="Times New Roman"/>
                <w:b/>
                <w:bCs/>
              </w:rPr>
              <w:t>Pre-existing long</w:t>
            </w:r>
            <w:r w:rsidR="000558BF">
              <w:rPr>
                <w:rFonts w:eastAsia="Segoe UI" w:cs="Times New Roman"/>
                <w:b/>
                <w:bCs/>
              </w:rPr>
              <w:t>-</w:t>
            </w:r>
            <w:r w:rsidRPr="00554B41">
              <w:rPr>
                <w:rFonts w:eastAsia="Segoe UI" w:cs="Times New Roman"/>
                <w:b/>
                <w:bCs/>
              </w:rPr>
              <w:t xml:space="preserve">term support to the </w:t>
            </w:r>
            <w:r w:rsidR="000246FF" w:rsidRPr="00554B41">
              <w:rPr>
                <w:rFonts w:eastAsia="Segoe UI" w:cs="Times New Roman"/>
                <w:b/>
                <w:bCs/>
              </w:rPr>
              <w:t>GoN</w:t>
            </w:r>
            <w:r w:rsidRPr="00554B41">
              <w:rPr>
                <w:rFonts w:eastAsia="Segoe UI" w:cs="Times New Roman"/>
                <w:b/>
                <w:bCs/>
              </w:rPr>
              <w:t xml:space="preserve"> by the UK Government over many years in climate change and development. </w:t>
            </w:r>
            <w:r w:rsidRPr="00554B41">
              <w:rPr>
                <w:rFonts w:eastAsia="Segoe UI" w:cs="Times New Roman"/>
              </w:rPr>
              <w:t>This support laid the foundation for relationships and built trust with the Nepali government. OPM was uniquely positioned (given its experience and history in Nepal) to deliver (cost</w:t>
            </w:r>
            <w:r w:rsidR="000246FF" w:rsidRPr="00554B41">
              <w:rPr>
                <w:rFonts w:eastAsia="Segoe UI" w:cs="Times New Roman"/>
              </w:rPr>
              <w:t>-</w:t>
            </w:r>
            <w:r w:rsidRPr="00554B41">
              <w:rPr>
                <w:rFonts w:eastAsia="Segoe UI" w:cs="Times New Roman"/>
              </w:rPr>
              <w:t>) effective technical assistance</w:t>
            </w:r>
            <w:r w:rsidR="000246FF" w:rsidRPr="00554B41">
              <w:rPr>
                <w:rFonts w:eastAsia="Segoe UI" w:cs="Times New Roman"/>
              </w:rPr>
              <w:t>, having acted as</w:t>
            </w:r>
            <w:r w:rsidRPr="00554B41" w:rsidDel="000246FF">
              <w:rPr>
                <w:rFonts w:eastAsia="Segoe UI" w:cs="Times New Roman"/>
              </w:rPr>
              <w:t xml:space="preserve"> </w:t>
            </w:r>
            <w:r w:rsidRPr="00554B41">
              <w:rPr>
                <w:rFonts w:eastAsia="Segoe UI" w:cs="Times New Roman"/>
              </w:rPr>
              <w:t xml:space="preserve">the manager of the climate change development programme Policy and </w:t>
            </w:r>
            <w:r w:rsidR="000246FF" w:rsidRPr="00554B41">
              <w:rPr>
                <w:rFonts w:eastAsia="Segoe UI" w:cs="Times New Roman"/>
              </w:rPr>
              <w:t xml:space="preserve">Innovation </w:t>
            </w:r>
            <w:r w:rsidRPr="00554B41">
              <w:rPr>
                <w:rFonts w:eastAsia="Segoe UI" w:cs="Times New Roman"/>
              </w:rPr>
              <w:t xml:space="preserve">Facility </w:t>
            </w:r>
            <w:r w:rsidR="000246FF" w:rsidRPr="00554B41">
              <w:rPr>
                <w:rFonts w:eastAsia="Segoe UI" w:cs="Times New Roman"/>
              </w:rPr>
              <w:t xml:space="preserve">in the years </w:t>
            </w:r>
            <w:r w:rsidRPr="00554B41">
              <w:rPr>
                <w:rFonts w:eastAsia="Segoe UI" w:cs="Times New Roman"/>
              </w:rPr>
              <w:t>2017</w:t>
            </w:r>
            <w:r w:rsidR="000246FF" w:rsidRPr="00554B41">
              <w:rPr>
                <w:rFonts w:eastAsia="Segoe UI" w:cs="Times New Roman"/>
              </w:rPr>
              <w:t>–</w:t>
            </w:r>
            <w:r w:rsidRPr="00554B41">
              <w:rPr>
                <w:rFonts w:eastAsia="Segoe UI" w:cs="Times New Roman"/>
              </w:rPr>
              <w:t>2023.</w:t>
            </w:r>
          </w:p>
          <w:p w14:paraId="16BAFAF3" w14:textId="4A3B98C0" w:rsidR="00202F71" w:rsidRPr="00554B41" w:rsidRDefault="00202F71" w:rsidP="00202F71">
            <w:pPr>
              <w:jc w:val="left"/>
              <w:rPr>
                <w:rFonts w:eastAsia="Segoe UI" w:cs="Times New Roman"/>
                <w:b/>
                <w:bCs/>
              </w:rPr>
            </w:pPr>
            <w:r w:rsidRPr="00554B41">
              <w:rPr>
                <w:rFonts w:eastAsia="Segoe UI" w:cs="Times New Roman"/>
                <w:b/>
                <w:bCs/>
              </w:rPr>
              <w:t xml:space="preserve">Several other (multilateral) stakeholders contributed to the </w:t>
            </w:r>
            <w:r w:rsidR="000246FF" w:rsidRPr="00554B41">
              <w:rPr>
                <w:rFonts w:eastAsia="Segoe UI" w:cs="Times New Roman"/>
                <w:b/>
                <w:bCs/>
              </w:rPr>
              <w:t xml:space="preserve">Mountainous </w:t>
            </w:r>
            <w:r w:rsidRPr="00554B41">
              <w:rPr>
                <w:rFonts w:eastAsia="Segoe UI" w:cs="Times New Roman"/>
                <w:b/>
                <w:bCs/>
              </w:rPr>
              <w:t>R</w:t>
            </w:r>
            <w:r w:rsidR="000246FF" w:rsidRPr="00554B41">
              <w:rPr>
                <w:rFonts w:eastAsia="Segoe UI" w:cs="Times New Roman"/>
                <w:b/>
                <w:bCs/>
              </w:rPr>
              <w:t>anges</w:t>
            </w:r>
            <w:r w:rsidRPr="00554B41">
              <w:rPr>
                <w:rFonts w:eastAsia="Segoe UI" w:cs="Times New Roman"/>
                <w:b/>
                <w:bCs/>
              </w:rPr>
              <w:t xml:space="preserve"> </w:t>
            </w:r>
            <w:r w:rsidR="000246FF" w:rsidRPr="00554B41">
              <w:rPr>
                <w:rFonts w:eastAsia="Segoe UI" w:cs="Times New Roman"/>
                <w:b/>
                <w:bCs/>
              </w:rPr>
              <w:t>A</w:t>
            </w:r>
            <w:r w:rsidRPr="00554B41">
              <w:rPr>
                <w:rFonts w:eastAsia="Segoe UI" w:cs="Times New Roman"/>
                <w:b/>
                <w:bCs/>
              </w:rPr>
              <w:t>genda setting and Nepal’s NDC development process</w:t>
            </w:r>
            <w:r w:rsidRPr="00554B41">
              <w:rPr>
                <w:rFonts w:eastAsia="Segoe UI" w:cs="Times New Roman"/>
              </w:rPr>
              <w:t xml:space="preserve">. For the agenda, these include: the </w:t>
            </w:r>
            <w:hyperlink r:id="rId40" w:tgtFrame="_self" w:history="1">
              <w:r w:rsidRPr="00554B41">
                <w:rPr>
                  <w:rFonts w:eastAsia="Segoe UI" w:cs="Times New Roman"/>
                  <w:b/>
                  <w:bCs/>
                  <w:color w:val="1B10F8"/>
                  <w:u w:val="single"/>
                </w:rPr>
                <w:t>FAO</w:t>
              </w:r>
            </w:hyperlink>
            <w:r w:rsidRPr="00554B41">
              <w:rPr>
                <w:rFonts w:eastAsia="Segoe UI" w:cs="Times New Roman"/>
              </w:rPr>
              <w:t xml:space="preserve">, </w:t>
            </w:r>
            <w:hyperlink r:id="rId41" w:tgtFrame="_self" w:history="1">
              <w:r w:rsidRPr="00554B41">
                <w:rPr>
                  <w:rFonts w:eastAsia="Segoe UI" w:cs="Times New Roman"/>
                  <w:b/>
                  <w:bCs/>
                  <w:color w:val="1B10F8"/>
                  <w:u w:val="single"/>
                </w:rPr>
                <w:t>Karnali Integrated Rural Development &amp; Research Center</w:t>
              </w:r>
            </w:hyperlink>
            <w:r w:rsidR="000246FF" w:rsidRPr="00554B41">
              <w:rPr>
                <w:rFonts w:eastAsia="Segoe UI" w:cs="Times New Roman"/>
              </w:rPr>
              <w:t xml:space="preserve">, </w:t>
            </w:r>
            <w:hyperlink r:id="rId42" w:history="1">
              <w:r w:rsidRPr="00554B41">
                <w:rPr>
                  <w:rFonts w:eastAsia="Segoe UI" w:cs="Times New Roman"/>
                  <w:b/>
                  <w:bCs/>
                  <w:color w:val="1B10F8"/>
                  <w:u w:val="single"/>
                </w:rPr>
                <w:t>UNDP Nepal</w:t>
              </w:r>
            </w:hyperlink>
            <w:r w:rsidRPr="00554B41">
              <w:rPr>
                <w:rFonts w:eastAsia="Segoe UI" w:cs="Times New Roman"/>
              </w:rPr>
              <w:t xml:space="preserve">, </w:t>
            </w:r>
            <w:hyperlink r:id="rId43" w:tgtFrame="_self" w:history="1">
              <w:r w:rsidRPr="00554B41">
                <w:rPr>
                  <w:rFonts w:eastAsia="Segoe UI" w:cs="Times New Roman"/>
                  <w:b/>
                  <w:bCs/>
                  <w:color w:val="1B10F8"/>
                  <w:u w:val="single"/>
                </w:rPr>
                <w:t>Mission East</w:t>
              </w:r>
            </w:hyperlink>
            <w:r w:rsidRPr="00554B41">
              <w:rPr>
                <w:rFonts w:eastAsia="Segoe UI" w:cs="Times New Roman"/>
              </w:rPr>
              <w:t xml:space="preserve">, and </w:t>
            </w:r>
            <w:hyperlink r:id="rId44" w:tgtFrame="_self" w:history="1">
              <w:r w:rsidRPr="00554B41">
                <w:rPr>
                  <w:rFonts w:eastAsia="Segoe UI" w:cs="Times New Roman"/>
                  <w:b/>
                  <w:bCs/>
                  <w:color w:val="1B10F8"/>
                  <w:u w:val="single"/>
                </w:rPr>
                <w:t>ICIMOD</w:t>
              </w:r>
            </w:hyperlink>
            <w:r w:rsidR="000246FF" w:rsidRPr="00554B41">
              <w:t>.</w:t>
            </w:r>
            <w:r w:rsidRPr="00554B41">
              <w:rPr>
                <w:rFonts w:eastAsia="Segoe UI" w:cs="Times New Roman"/>
                <w:vertAlign w:val="superscript"/>
              </w:rPr>
              <w:footnoteReference w:id="27"/>
            </w:r>
            <w:r w:rsidRPr="00554B41" w:rsidDel="000246FF">
              <w:rPr>
                <w:rFonts w:eastAsia="Segoe UI" w:cs="Times New Roman"/>
              </w:rPr>
              <w:t xml:space="preserve"> </w:t>
            </w:r>
            <w:r w:rsidRPr="00554B41">
              <w:rPr>
                <w:rFonts w:eastAsia="Segoe UI" w:cs="Times New Roman"/>
              </w:rPr>
              <w:t xml:space="preserve">Other countries within the </w:t>
            </w:r>
            <w:r w:rsidR="000246FF" w:rsidRPr="00554B41">
              <w:rPr>
                <w:rFonts w:eastAsia="Segoe UI" w:cs="Times New Roman"/>
              </w:rPr>
              <w:t xml:space="preserve">Mountainous </w:t>
            </w:r>
            <w:r w:rsidRPr="00554B41">
              <w:rPr>
                <w:rFonts w:eastAsia="Segoe UI" w:cs="Times New Roman"/>
              </w:rPr>
              <w:t>R</w:t>
            </w:r>
            <w:r w:rsidR="000246FF" w:rsidRPr="00554B41">
              <w:rPr>
                <w:rFonts w:eastAsia="Segoe UI" w:cs="Times New Roman"/>
              </w:rPr>
              <w:t>anges</w:t>
            </w:r>
            <w:r w:rsidRPr="00554B41">
              <w:rPr>
                <w:rFonts w:eastAsia="Segoe UI" w:cs="Times New Roman"/>
              </w:rPr>
              <w:t xml:space="preserve"> Group </w:t>
            </w:r>
            <w:r w:rsidR="000246FF" w:rsidRPr="00554B41">
              <w:rPr>
                <w:rFonts w:eastAsia="Segoe UI" w:cs="Times New Roman"/>
              </w:rPr>
              <w:t>(i.e. the Kyrgyz Republic</w:t>
            </w:r>
            <w:r w:rsidRPr="00554B41">
              <w:rPr>
                <w:rFonts w:eastAsia="Segoe UI" w:cs="Times New Roman"/>
              </w:rPr>
              <w:t>, Andorra, Bhutan, and Bangladesh</w:t>
            </w:r>
            <w:r w:rsidR="000246FF" w:rsidRPr="00554B41">
              <w:rPr>
                <w:rFonts w:eastAsia="Segoe UI" w:cs="Times New Roman"/>
              </w:rPr>
              <w:t>) have also been important</w:t>
            </w:r>
            <w:r w:rsidRPr="00554B41">
              <w:rPr>
                <w:rFonts w:eastAsia="Segoe UI" w:cs="Times New Roman"/>
              </w:rPr>
              <w:t xml:space="preserve">. </w:t>
            </w:r>
            <w:r w:rsidR="000246FF" w:rsidRPr="00554B41">
              <w:rPr>
                <w:rFonts w:eastAsia="Segoe UI" w:cs="Times New Roman"/>
              </w:rPr>
              <w:t xml:space="preserve">Similarly, the </w:t>
            </w:r>
            <w:r w:rsidRPr="00554B41">
              <w:rPr>
                <w:rFonts w:eastAsia="Segoe UI" w:cs="Times New Roman"/>
              </w:rPr>
              <w:t xml:space="preserve">NDC enhancement process was supported by multiple organisations alongside the CASA OF TPs, including: WWF, UNDP, UNICEF, UN Women, FAO, AEPC, Climate Analytics, and the Youth Alliance for Environment. </w:t>
            </w:r>
          </w:p>
          <w:p w14:paraId="1E3A06D5" w14:textId="68112B50" w:rsidR="00202F71" w:rsidRPr="00554B41" w:rsidRDefault="00202F71" w:rsidP="00202F71">
            <w:pPr>
              <w:jc w:val="left"/>
              <w:rPr>
                <w:rFonts w:eastAsia="Segoe UI" w:cs="Times New Roman"/>
              </w:rPr>
            </w:pPr>
            <w:r w:rsidRPr="00554B41">
              <w:rPr>
                <w:rFonts w:eastAsia="Segoe UI" w:cs="Times New Roman"/>
              </w:rPr>
              <w:t>The OF grants are timely interventions that build on past success and relationships.</w:t>
            </w:r>
            <w:r w:rsidRPr="00554B41">
              <w:rPr>
                <w:rFonts w:eastAsia="Segoe UI" w:cs="Times New Roman"/>
                <w:b/>
                <w:bCs/>
              </w:rPr>
              <w:t> </w:t>
            </w:r>
            <w:r w:rsidRPr="00554B41">
              <w:rPr>
                <w:rFonts w:eastAsia="Segoe UI" w:cs="Times New Roman"/>
              </w:rPr>
              <w:t>The grantees</w:t>
            </w:r>
            <w:r w:rsidRPr="00554B41" w:rsidDel="000246FF">
              <w:rPr>
                <w:rFonts w:eastAsia="Segoe UI" w:cs="Times New Roman"/>
              </w:rPr>
              <w:t xml:space="preserve"> </w:t>
            </w:r>
            <w:r w:rsidRPr="00554B41">
              <w:rPr>
                <w:rFonts w:eastAsia="Segoe UI" w:cs="Times New Roman"/>
              </w:rPr>
              <w:t>(OPM Nepal</w:t>
            </w:r>
            <w:r w:rsidR="000246FF" w:rsidRPr="00554B41">
              <w:rPr>
                <w:rFonts w:eastAsia="Segoe UI" w:cs="Times New Roman"/>
              </w:rPr>
              <w:t xml:space="preserve">, </w:t>
            </w:r>
            <w:r w:rsidRPr="00554B41">
              <w:rPr>
                <w:rFonts w:eastAsia="Segoe UI" w:cs="Times New Roman"/>
              </w:rPr>
              <w:t>P</w:t>
            </w:r>
            <w:r w:rsidR="000246FF" w:rsidRPr="00554B41">
              <w:rPr>
                <w:rFonts w:eastAsia="Segoe UI" w:cs="Times New Roman"/>
              </w:rPr>
              <w:t xml:space="preserve">ractical </w:t>
            </w:r>
            <w:r w:rsidRPr="00554B41">
              <w:rPr>
                <w:rFonts w:eastAsia="Segoe UI" w:cs="Times New Roman"/>
              </w:rPr>
              <w:t>A</w:t>
            </w:r>
            <w:r w:rsidR="000246FF" w:rsidRPr="00554B41">
              <w:rPr>
                <w:rFonts w:eastAsia="Segoe UI" w:cs="Times New Roman"/>
              </w:rPr>
              <w:t>ction</w:t>
            </w:r>
            <w:r w:rsidRPr="00554B41">
              <w:rPr>
                <w:rFonts w:eastAsia="Segoe UI" w:cs="Times New Roman"/>
              </w:rPr>
              <w:t>, ECARDS, and PRI) have well-established climate change experts within the country (and internationally) that have built trust, reputations</w:t>
            </w:r>
            <w:r w:rsidR="000246FF" w:rsidRPr="00554B41">
              <w:rPr>
                <w:rFonts w:eastAsia="Segoe UI" w:cs="Times New Roman"/>
              </w:rPr>
              <w:t>,</w:t>
            </w:r>
            <w:r w:rsidRPr="00554B41">
              <w:rPr>
                <w:rFonts w:eastAsia="Segoe UI" w:cs="Times New Roman"/>
              </w:rPr>
              <w:t xml:space="preserve"> and institutional memory with the </w:t>
            </w:r>
            <w:r w:rsidR="000246FF" w:rsidRPr="00554B41">
              <w:rPr>
                <w:rFonts w:eastAsia="Segoe UI" w:cs="Times New Roman"/>
              </w:rPr>
              <w:t xml:space="preserve">GoN </w:t>
            </w:r>
            <w:r w:rsidRPr="00554B41">
              <w:rPr>
                <w:rFonts w:eastAsia="Segoe UI" w:cs="Times New Roman"/>
              </w:rPr>
              <w:t xml:space="preserve">domestically and within UNFCCC negotiations. Previous UK-funded climate change development programmes allowed OPM to ‘springboard’ and further </w:t>
            </w:r>
            <w:r w:rsidR="000246FF" w:rsidRPr="00554B41">
              <w:rPr>
                <w:rFonts w:eastAsia="Segoe UI" w:cs="Times New Roman"/>
              </w:rPr>
              <w:t xml:space="preserve">its </w:t>
            </w:r>
            <w:r w:rsidRPr="00554B41">
              <w:rPr>
                <w:rFonts w:eastAsia="Segoe UI" w:cs="Times New Roman"/>
              </w:rPr>
              <w:t>support to the Ministry of Environment. P</w:t>
            </w:r>
            <w:r w:rsidR="000246FF" w:rsidRPr="00554B41">
              <w:rPr>
                <w:rFonts w:eastAsia="Segoe UI" w:cs="Times New Roman"/>
              </w:rPr>
              <w:t xml:space="preserve">ractical </w:t>
            </w:r>
            <w:r w:rsidRPr="00554B41">
              <w:rPr>
                <w:rFonts w:eastAsia="Segoe UI" w:cs="Times New Roman"/>
              </w:rPr>
              <w:t>A</w:t>
            </w:r>
            <w:r w:rsidR="000246FF" w:rsidRPr="00554B41">
              <w:rPr>
                <w:rFonts w:eastAsia="Segoe UI" w:cs="Times New Roman"/>
              </w:rPr>
              <w:t>ction</w:t>
            </w:r>
            <w:r w:rsidRPr="00554B41">
              <w:rPr>
                <w:rFonts w:eastAsia="Segoe UI" w:cs="Times New Roman"/>
              </w:rPr>
              <w:t xml:space="preserve"> has worked with </w:t>
            </w:r>
            <w:r w:rsidR="00EB3647" w:rsidRPr="00554B41">
              <w:rPr>
                <w:rFonts w:eastAsia="Segoe UI" w:cs="Times New Roman"/>
              </w:rPr>
              <w:t>the ministry </w:t>
            </w:r>
            <w:r w:rsidRPr="00554B41">
              <w:rPr>
                <w:rFonts w:eastAsia="Segoe UI" w:cs="Times New Roman"/>
              </w:rPr>
              <w:t xml:space="preserve">for several years. The OF projects also aligned with growing political ambitions and opportunities at the UNFCCC, where Nepal needed extra capacity and support. </w:t>
            </w:r>
          </w:p>
          <w:p w14:paraId="3324E8F4" w14:textId="13C4FEC1" w:rsidR="00202F71" w:rsidRPr="00554B41" w:rsidRDefault="00202F71" w:rsidP="00202F71">
            <w:pPr>
              <w:jc w:val="left"/>
              <w:rPr>
                <w:rFonts w:eastAsia="Segoe UI" w:cs="Times New Roman"/>
              </w:rPr>
            </w:pPr>
            <w:r w:rsidRPr="00554B41">
              <w:rPr>
                <w:rFonts w:eastAsia="Segoe UI" w:cs="Times New Roman"/>
                <w:b/>
                <w:bCs/>
              </w:rPr>
              <w:t xml:space="preserve">Funding came at the right time, </w:t>
            </w:r>
            <w:r w:rsidR="00EB3647" w:rsidRPr="00554B41">
              <w:rPr>
                <w:rFonts w:eastAsia="Segoe UI" w:cs="Times New Roman"/>
                <w:b/>
                <w:bCs/>
              </w:rPr>
              <w:t xml:space="preserve">when there was </w:t>
            </w:r>
            <w:r w:rsidRPr="00554B41">
              <w:rPr>
                <w:rFonts w:eastAsia="Segoe UI" w:cs="Times New Roman"/>
                <w:b/>
                <w:bCs/>
              </w:rPr>
              <w:t>strong demand from</w:t>
            </w:r>
            <w:r w:rsidR="00EB3647" w:rsidRPr="00554B41">
              <w:rPr>
                <w:rFonts w:eastAsia="Segoe UI" w:cs="Times New Roman"/>
                <w:b/>
                <w:bCs/>
              </w:rPr>
              <w:t xml:space="preserve"> the</w:t>
            </w:r>
            <w:r w:rsidRPr="00554B41">
              <w:rPr>
                <w:rFonts w:eastAsia="Segoe UI" w:cs="Times New Roman"/>
                <w:b/>
                <w:bCs/>
              </w:rPr>
              <w:t xml:space="preserve"> GoN for targeted support. </w:t>
            </w:r>
            <w:r w:rsidRPr="00554B41">
              <w:rPr>
                <w:rFonts w:eastAsia="Segoe UI" w:cs="Times New Roman"/>
              </w:rPr>
              <w:t xml:space="preserve">Other multilateral actors, such as ICIMOD, FAO and UNDP, contributed to a high degree to the </w:t>
            </w:r>
            <w:r w:rsidR="00EB3647" w:rsidRPr="00554B41">
              <w:rPr>
                <w:rFonts w:eastAsia="Segoe UI" w:cs="Times New Roman"/>
              </w:rPr>
              <w:t xml:space="preserve">Mountains </w:t>
            </w:r>
            <w:r w:rsidRPr="00554B41">
              <w:rPr>
                <w:rFonts w:eastAsia="Segoe UI" w:cs="Times New Roman"/>
              </w:rPr>
              <w:t>R</w:t>
            </w:r>
            <w:r w:rsidR="00EB3647" w:rsidRPr="00554B41">
              <w:rPr>
                <w:rFonts w:eastAsia="Segoe UI" w:cs="Times New Roman"/>
              </w:rPr>
              <w:t>anges</w:t>
            </w:r>
            <w:r w:rsidRPr="00554B41">
              <w:rPr>
                <w:rFonts w:eastAsia="Segoe UI" w:cs="Times New Roman"/>
              </w:rPr>
              <w:t xml:space="preserve"> </w:t>
            </w:r>
            <w:r w:rsidR="00EB3647" w:rsidRPr="00554B41">
              <w:rPr>
                <w:rFonts w:eastAsia="Segoe UI" w:cs="Times New Roman"/>
              </w:rPr>
              <w:t xml:space="preserve">Agenda </w:t>
            </w:r>
            <w:r w:rsidRPr="00554B41">
              <w:rPr>
                <w:rFonts w:eastAsia="Segoe UI" w:cs="Times New Roman"/>
              </w:rPr>
              <w:t xml:space="preserve">setting and NAP/LAPA work alongside the grantees. </w:t>
            </w:r>
          </w:p>
        </w:tc>
      </w:tr>
    </w:tbl>
    <w:p w14:paraId="692E3488" w14:textId="77777777" w:rsidR="00E40435" w:rsidRPr="00554B41" w:rsidRDefault="00E40435" w:rsidP="00DF1B04">
      <w:pPr>
        <w:spacing w:after="0"/>
        <w:rPr>
          <w:rFonts w:eastAsiaTheme="majorEastAsia" w:cs="Arial"/>
          <w:b/>
          <w:sz w:val="28"/>
          <w:szCs w:val="32"/>
        </w:rPr>
      </w:pPr>
    </w:p>
    <w:sectPr w:rsidR="00E40435" w:rsidRPr="00554B41" w:rsidSect="00CC3D35">
      <w:pgSz w:w="11906" w:h="16838" w:code="9"/>
      <w:pgMar w:top="1616" w:right="1021" w:bottom="1758" w:left="1021" w:header="709" w:footer="9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7A3C05" w14:textId="77777777" w:rsidR="00940FBE" w:rsidRPr="00554B41" w:rsidRDefault="00940FBE" w:rsidP="00C17A1E">
      <w:pPr>
        <w:spacing w:line="240" w:lineRule="auto"/>
      </w:pPr>
      <w:r w:rsidRPr="00554B41">
        <w:separator/>
      </w:r>
    </w:p>
  </w:endnote>
  <w:endnote w:type="continuationSeparator" w:id="0">
    <w:p w14:paraId="724BDB27" w14:textId="77777777" w:rsidR="00940FBE" w:rsidRPr="00554B41" w:rsidRDefault="00940FBE" w:rsidP="00C17A1E">
      <w:pPr>
        <w:spacing w:line="240" w:lineRule="auto"/>
      </w:pPr>
      <w:r w:rsidRPr="00554B41">
        <w:continuationSeparator/>
      </w:r>
    </w:p>
  </w:endnote>
  <w:endnote w:type="continuationNotice" w:id="1">
    <w:p w14:paraId="60BA33D3" w14:textId="77777777" w:rsidR="00940FBE" w:rsidRPr="00554B41" w:rsidRDefault="00940F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Segoe UI Black">
    <w:panose1 w:val="020B0A02040204020203"/>
    <w:charset w:val="00"/>
    <w:family w:val="swiss"/>
    <w:pitch w:val="variable"/>
    <w:sig w:usb0="E00002FF" w:usb1="4000E47F" w:usb2="00000021" w:usb3="00000000" w:csb0="0000019F" w:csb1="00000000"/>
  </w:font>
  <w:font w:name="Apto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87893" w14:textId="1412D85D" w:rsidR="00AF75F9" w:rsidRPr="00554B41" w:rsidRDefault="00AF75F9">
    <w:pPr>
      <w:pStyle w:val="Footer"/>
    </w:pPr>
    <w:r w:rsidRPr="00554B41">
      <w:rPr>
        <w:noProof/>
      </w:rPr>
      <mc:AlternateContent>
        <mc:Choice Requires="wps">
          <w:drawing>
            <wp:anchor distT="0" distB="0" distL="0" distR="0" simplePos="0" relativeHeight="251658247" behindDoc="0" locked="0" layoutInCell="1" allowOverlap="1" wp14:anchorId="32032AFF" wp14:editId="7C557F4C">
              <wp:simplePos x="635" y="635"/>
              <wp:positionH relativeFrom="page">
                <wp:align>center</wp:align>
              </wp:positionH>
              <wp:positionV relativeFrom="page">
                <wp:align>bottom</wp:align>
              </wp:positionV>
              <wp:extent cx="459740" cy="368300"/>
              <wp:effectExtent l="0" t="0" r="16510" b="0"/>
              <wp:wrapNone/>
              <wp:docPr id="649384960"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300"/>
                      </a:xfrm>
                      <a:prstGeom prst="rect">
                        <a:avLst/>
                      </a:prstGeom>
                      <a:noFill/>
                      <a:ln>
                        <a:noFill/>
                      </a:ln>
                    </wps:spPr>
                    <wps:txbx>
                      <w:txbxContent>
                        <w:p w14:paraId="0E5BE67E" w14:textId="76A630E2" w:rsidR="00AF75F9" w:rsidRPr="00554B41" w:rsidRDefault="00AF75F9" w:rsidP="00AF75F9">
                          <w:pPr>
                            <w:spacing w:after="0"/>
                            <w:rPr>
                              <w:rFonts w:ascii="Calibri" w:eastAsia="Calibri" w:hAnsi="Calibri" w:cs="Calibri"/>
                              <w:color w:val="000000"/>
                            </w:rPr>
                          </w:pPr>
                          <w:r w:rsidRPr="00554B41">
                            <w:rPr>
                              <w:rFonts w:ascii="Calibri" w:eastAsia="Calibri" w:hAnsi="Calibri" w:cs="Calibri"/>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032AFF" id="_x0000_t202" coordsize="21600,21600" o:spt="202" path="m,l,21600r21600,l21600,xe">
              <v:stroke joinstyle="miter"/>
              <v:path gradientshapeok="t" o:connecttype="rect"/>
            </v:shapetype>
            <v:shape id="Text Box 15" o:spid="_x0000_s1034" type="#_x0000_t202" alt="OFFICIAL" style="position:absolute;left:0;text-align:left;margin-left:0;margin-top:0;width:36.2pt;height:29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" filled="f" stroked="f">
              <v:textbox style="mso-fit-shape-to-text:t" inset="0,0,0,15pt">
                <w:txbxContent>
                  <w:p w14:paraId="0E5BE67E" w14:textId="76A630E2" w:rsidR="00AF75F9" w:rsidRPr="00554B41" w:rsidRDefault="00AF75F9" w:rsidP="00AF75F9">
                    <w:pPr>
                      <w:spacing w:after="0"/>
                      <w:rPr>
                        <w:rFonts w:ascii="Calibri" w:eastAsia="Calibri" w:hAnsi="Calibri" w:cs="Calibri"/>
                        <w:color w:val="000000"/>
                      </w:rPr>
                    </w:pPr>
                    <w:r w:rsidRPr="00554B41">
                      <w:rPr>
                        <w:rFonts w:ascii="Calibri" w:eastAsia="Calibri" w:hAnsi="Calibri" w:cs="Calibri"/>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633C2" w14:textId="104D2EEF" w:rsidR="000940E0" w:rsidRPr="00554B41" w:rsidRDefault="00AF75F9">
    <w:pPr>
      <w:pStyle w:val="Footer"/>
      <w:jc w:val="right"/>
    </w:pPr>
    <w:r w:rsidRPr="00554B41">
      <w:rPr>
        <w:noProof/>
      </w:rPr>
      <mc:AlternateContent>
        <mc:Choice Requires="wps">
          <w:drawing>
            <wp:anchor distT="0" distB="0" distL="0" distR="0" simplePos="0" relativeHeight="251658248" behindDoc="0" locked="0" layoutInCell="1" allowOverlap="1" wp14:anchorId="7C0E4131" wp14:editId="2FB8F374">
              <wp:simplePos x="635" y="635"/>
              <wp:positionH relativeFrom="page">
                <wp:align>center</wp:align>
              </wp:positionH>
              <wp:positionV relativeFrom="page">
                <wp:align>bottom</wp:align>
              </wp:positionV>
              <wp:extent cx="459740" cy="368300"/>
              <wp:effectExtent l="0" t="0" r="16510" b="0"/>
              <wp:wrapNone/>
              <wp:docPr id="1387078159"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300"/>
                      </a:xfrm>
                      <a:prstGeom prst="rect">
                        <a:avLst/>
                      </a:prstGeom>
                      <a:noFill/>
                      <a:ln>
                        <a:noFill/>
                      </a:ln>
                    </wps:spPr>
                    <wps:txbx>
                      <w:txbxContent>
                        <w:p w14:paraId="38EA1980" w14:textId="07E11C4B" w:rsidR="00AF75F9" w:rsidRPr="00554B41" w:rsidRDefault="00AF75F9" w:rsidP="00AF75F9">
                          <w:pPr>
                            <w:spacing w:after="0"/>
                            <w:rPr>
                              <w:rFonts w:ascii="Calibri" w:eastAsia="Calibri" w:hAnsi="Calibri" w:cs="Calibri"/>
                              <w:color w:val="000000"/>
                            </w:rPr>
                          </w:pPr>
                          <w:r w:rsidRPr="00554B41">
                            <w:rPr>
                              <w:rFonts w:ascii="Calibri" w:eastAsia="Calibri" w:hAnsi="Calibri" w:cs="Calibri"/>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0E4131" id="_x0000_t202" coordsize="21600,21600" o:spt="202" path="m,l,21600r21600,l21600,xe">
              <v:stroke joinstyle="miter"/>
              <v:path gradientshapeok="t" o:connecttype="rect"/>
            </v:shapetype>
            <v:shape id="Text Box 16" o:spid="_x0000_s1035" type="#_x0000_t202" alt="OFFICIAL" style="position:absolute;left:0;text-align:left;margin-left:0;margin-top:0;width:36.2pt;height:29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" filled="f" stroked="f">
              <v:textbox style="mso-fit-shape-to-text:t" inset="0,0,0,15pt">
                <w:txbxContent>
                  <w:p w14:paraId="38EA1980" w14:textId="07E11C4B" w:rsidR="00AF75F9" w:rsidRPr="00554B41" w:rsidRDefault="00AF75F9" w:rsidP="00AF75F9">
                    <w:pPr>
                      <w:spacing w:after="0"/>
                      <w:rPr>
                        <w:rFonts w:ascii="Calibri" w:eastAsia="Calibri" w:hAnsi="Calibri" w:cs="Calibri"/>
                        <w:color w:val="000000"/>
                      </w:rPr>
                    </w:pPr>
                    <w:r w:rsidRPr="00554B41">
                      <w:rPr>
                        <w:rFonts w:ascii="Calibri" w:eastAsia="Calibri" w:hAnsi="Calibri" w:cs="Calibri"/>
                        <w:color w:val="000000"/>
                      </w:rPr>
                      <w:t>OFFICIAL</w:t>
                    </w:r>
                  </w:p>
                </w:txbxContent>
              </v:textbox>
              <w10:wrap anchorx="page" anchory="page"/>
            </v:shape>
          </w:pict>
        </mc:Fallback>
      </mc:AlternateContent>
    </w:r>
    <w:sdt>
      <w:sdtPr>
        <w:id w:val="-405930179"/>
        <w:docPartObj>
          <w:docPartGallery w:val="Page Numbers (Bottom of Page)"/>
          <w:docPartUnique/>
        </w:docPartObj>
      </w:sdtPr>
      <w:sdtContent>
        <w:r w:rsidR="000940E0" w:rsidRPr="00554B41">
          <w:fldChar w:fldCharType="begin"/>
        </w:r>
        <w:r w:rsidR="000940E0" w:rsidRPr="00554B41">
          <w:instrText xml:space="preserve"> PAGE   \* MERGEFORMAT </w:instrText>
        </w:r>
        <w:r w:rsidR="000940E0" w:rsidRPr="00554B41">
          <w:fldChar w:fldCharType="separate"/>
        </w:r>
        <w:r w:rsidR="000940E0" w:rsidRPr="00554B41">
          <w:t>2</w:t>
        </w:r>
        <w:r w:rsidR="000940E0" w:rsidRPr="00554B41">
          <w:fldChar w:fldCharType="end"/>
        </w:r>
      </w:sdtContent>
    </w:sdt>
  </w:p>
  <w:p w14:paraId="30DC557F" w14:textId="77777777" w:rsidR="000940E0" w:rsidRPr="00554B41" w:rsidRDefault="000940E0" w:rsidP="00B40AC8">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7EFFB" w14:textId="5D6A4B3F" w:rsidR="00AF75F9" w:rsidRPr="00554B41" w:rsidRDefault="00AF75F9">
    <w:pPr>
      <w:pStyle w:val="Footer"/>
    </w:pPr>
    <w:r w:rsidRPr="00554B41">
      <w:rPr>
        <w:noProof/>
      </w:rPr>
      <mc:AlternateContent>
        <mc:Choice Requires="wps">
          <w:drawing>
            <wp:anchor distT="0" distB="0" distL="0" distR="0" simplePos="0" relativeHeight="251658246" behindDoc="0" locked="0" layoutInCell="1" allowOverlap="1" wp14:anchorId="51D58B86" wp14:editId="720330CA">
              <wp:simplePos x="635" y="635"/>
              <wp:positionH relativeFrom="page">
                <wp:align>center</wp:align>
              </wp:positionH>
              <wp:positionV relativeFrom="page">
                <wp:align>bottom</wp:align>
              </wp:positionV>
              <wp:extent cx="459740" cy="368300"/>
              <wp:effectExtent l="0" t="0" r="16510" b="0"/>
              <wp:wrapNone/>
              <wp:docPr id="2058314543"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9740" cy="368300"/>
                      </a:xfrm>
                      <a:prstGeom prst="rect">
                        <a:avLst/>
                      </a:prstGeom>
                      <a:noFill/>
                      <a:ln>
                        <a:noFill/>
                      </a:ln>
                    </wps:spPr>
                    <wps:txbx>
                      <w:txbxContent>
                        <w:p w14:paraId="4E67C119" w14:textId="7D67C667" w:rsidR="00AF75F9" w:rsidRPr="00554B41" w:rsidRDefault="00AF75F9" w:rsidP="00AF75F9">
                          <w:pPr>
                            <w:spacing w:after="0"/>
                            <w:rPr>
                              <w:rFonts w:ascii="Calibri" w:eastAsia="Calibri" w:hAnsi="Calibri" w:cs="Calibri"/>
                              <w:color w:val="000000"/>
                            </w:rPr>
                          </w:pPr>
                          <w:r w:rsidRPr="00554B41">
                            <w:rPr>
                              <w:rFonts w:ascii="Calibri" w:eastAsia="Calibri" w:hAnsi="Calibri" w:cs="Calibri"/>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D58B86" id="_x0000_t202" coordsize="21600,21600" o:spt="202" path="m,l,21600r21600,l21600,xe">
              <v:stroke joinstyle="miter"/>
              <v:path gradientshapeok="t" o:connecttype="rect"/>
            </v:shapetype>
            <v:shape id="Text Box 14" o:spid="_x0000_s1037" type="#_x0000_t202" alt="OFFICIAL" style="position:absolute;left:0;text-align:left;margin-left:0;margin-top:0;width:36.2pt;height:29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" filled="f" stroked="f">
              <v:textbox style="mso-fit-shape-to-text:t" inset="0,0,0,15pt">
                <w:txbxContent>
                  <w:p w14:paraId="4E67C119" w14:textId="7D67C667" w:rsidR="00AF75F9" w:rsidRPr="00554B41" w:rsidRDefault="00AF75F9" w:rsidP="00AF75F9">
                    <w:pPr>
                      <w:spacing w:after="0"/>
                      <w:rPr>
                        <w:rFonts w:ascii="Calibri" w:eastAsia="Calibri" w:hAnsi="Calibri" w:cs="Calibri"/>
                        <w:color w:val="000000"/>
                      </w:rPr>
                    </w:pPr>
                    <w:r w:rsidRPr="00554B41">
                      <w:rPr>
                        <w:rFonts w:ascii="Calibri" w:eastAsia="Calibri" w:hAnsi="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8ED3F" w14:textId="77777777" w:rsidR="00940FBE" w:rsidRPr="00554B41" w:rsidRDefault="00940FBE" w:rsidP="00C17A1E">
      <w:pPr>
        <w:spacing w:line="240" w:lineRule="auto"/>
      </w:pPr>
      <w:r w:rsidRPr="00554B41">
        <w:separator/>
      </w:r>
    </w:p>
  </w:footnote>
  <w:footnote w:type="continuationSeparator" w:id="0">
    <w:p w14:paraId="2182E440" w14:textId="77777777" w:rsidR="00940FBE" w:rsidRPr="00554B41" w:rsidRDefault="00940FBE" w:rsidP="00C17A1E">
      <w:pPr>
        <w:spacing w:line="240" w:lineRule="auto"/>
      </w:pPr>
      <w:r w:rsidRPr="00554B41">
        <w:continuationSeparator/>
      </w:r>
    </w:p>
  </w:footnote>
  <w:footnote w:type="continuationNotice" w:id="1">
    <w:p w14:paraId="5424DFE4" w14:textId="77777777" w:rsidR="00940FBE" w:rsidRPr="00554B41" w:rsidRDefault="00940FBE">
      <w:pPr>
        <w:spacing w:after="0" w:line="240" w:lineRule="auto"/>
      </w:pPr>
    </w:p>
  </w:footnote>
  <w:footnote w:id="2">
    <w:p w14:paraId="2551BEC0" w14:textId="280ECF89" w:rsidR="3B9AFC14" w:rsidRPr="00554B41" w:rsidRDefault="3B9AFC14" w:rsidP="3B9AFC14">
      <w:pPr>
        <w:pStyle w:val="FootnoteText"/>
      </w:pPr>
      <w:r w:rsidRPr="00554B41">
        <w:rPr>
          <w:rStyle w:val="FootnoteReference"/>
        </w:rPr>
        <w:footnoteRef/>
      </w:r>
      <w:r w:rsidRPr="00554B41">
        <w:t xml:space="preserve"> For example, the International Climate Initiative-funded IMPACT project (2016</w:t>
      </w:r>
      <w:r w:rsidR="00856BF9" w:rsidRPr="00554B41">
        <w:t>–</w:t>
      </w:r>
      <w:r w:rsidRPr="00554B41">
        <w:t xml:space="preserve">2022) and the </w:t>
      </w:r>
      <w:hyperlink r:id="rId1">
        <w:r w:rsidRPr="00554B41">
          <w:rPr>
            <w:rStyle w:val="Hyperlink"/>
          </w:rPr>
          <w:t xml:space="preserve">Gates Foundation’s </w:t>
        </w:r>
        <w:r w:rsidR="00856BF9" w:rsidRPr="00554B41">
          <w:rPr>
            <w:rStyle w:val="Hyperlink"/>
          </w:rPr>
          <w:t xml:space="preserve">US$ </w:t>
        </w:r>
        <w:r w:rsidRPr="00554B41">
          <w:rPr>
            <w:rStyle w:val="Hyperlink"/>
          </w:rPr>
          <w:t>200,000 grant to support LDC Group engagement at COP28 (2023).</w:t>
        </w:r>
      </w:hyperlink>
      <w:r w:rsidRPr="00554B41">
        <w:t>The L</w:t>
      </w:r>
      <w:r w:rsidR="003A1DB9" w:rsidRPr="00554B41">
        <w:t xml:space="preserve">earning and </w:t>
      </w:r>
      <w:r w:rsidRPr="00554B41">
        <w:t>E</w:t>
      </w:r>
      <w:r w:rsidR="003A1DB9" w:rsidRPr="00554B41">
        <w:t xml:space="preserve">valuation </w:t>
      </w:r>
      <w:r w:rsidRPr="00554B41">
        <w:t>P</w:t>
      </w:r>
      <w:r w:rsidR="003A1DB9" w:rsidRPr="00554B41">
        <w:t>artner</w:t>
      </w:r>
      <w:r w:rsidRPr="00554B41">
        <w:t xml:space="preserve"> team did not have access to further information relating to the proportion of budget that CASA represents for C</w:t>
      </w:r>
      <w:r w:rsidR="00856BF9" w:rsidRPr="00554B41">
        <w:t xml:space="preserve">limate </w:t>
      </w:r>
      <w:r w:rsidRPr="00554B41">
        <w:t>A</w:t>
      </w:r>
      <w:r w:rsidR="00856BF9" w:rsidRPr="00554B41">
        <w:t>nalytics</w:t>
      </w:r>
      <w:r w:rsidRPr="00554B41">
        <w:t xml:space="preserve">. </w:t>
      </w:r>
    </w:p>
  </w:footnote>
  <w:footnote w:id="3">
    <w:p w14:paraId="76982EE3" w14:textId="5BD8B860" w:rsidR="00771999" w:rsidRPr="00554B41" w:rsidRDefault="00771999" w:rsidP="000940E0">
      <w:pPr>
        <w:pStyle w:val="FootnoteText"/>
      </w:pPr>
      <w:r w:rsidRPr="00554B41">
        <w:rPr>
          <w:rStyle w:val="FootnoteReference"/>
        </w:rPr>
        <w:footnoteRef/>
      </w:r>
      <w:r w:rsidRPr="00554B41">
        <w:t xml:space="preserve"> Reportedly, the LDC Charter has been used as a benchmark by other negotiating groups such as the </w:t>
      </w:r>
      <w:r w:rsidR="001358C8" w:rsidRPr="00554B41">
        <w:t>AGN</w:t>
      </w:r>
      <w:r w:rsidRPr="00554B41">
        <w:t xml:space="preserve"> and AILAC, who “sought informal advice to create similar documents” (Interview with Manjeet Dhakal, April 2025). </w:t>
      </w:r>
    </w:p>
  </w:footnote>
  <w:footnote w:id="4">
    <w:p w14:paraId="3CC120D6" w14:textId="095B932E" w:rsidR="00C25263" w:rsidRDefault="005279C3" w:rsidP="000940E0">
      <w:pPr>
        <w:pStyle w:val="FootnoteText"/>
      </w:pPr>
      <w:r>
        <w:rPr>
          <w:rStyle w:val="FootnoteReference"/>
        </w:rPr>
        <w:footnoteRef/>
      </w:r>
    </w:p>
    <w:p w14:paraId="509124BC" w14:textId="54BD6F2D" w:rsidR="005279C3" w:rsidRDefault="005279C3">
      <w:pPr>
        <w:pStyle w:val="FootnoteText"/>
      </w:pPr>
      <w:r>
        <w:t xml:space="preserve"> </w:t>
      </w:r>
      <w:r w:rsidRPr="005279C3">
        <w:t>Further, LRI was invited to validation sessions for the Bill with other ministries, such as the Ministry of Finance, and stakeholder civil society, so LRI could hear their concerns and use that as a basis for recommendations. LRI’s role is also expected to extend beyond the Bill’s adoption, as it has been asked to support the development of delegated legislation to implement the framework. The process of incorporating feedback from the validation workshop into the draft is currently ongoing.</w:t>
      </w:r>
    </w:p>
  </w:footnote>
  <w:footnote w:id="5">
    <w:p w14:paraId="5815947F" w14:textId="77777777" w:rsidR="00D2369E" w:rsidRPr="00554B41" w:rsidRDefault="00D2369E" w:rsidP="000940E0">
      <w:pPr>
        <w:pStyle w:val="FootnoteText"/>
      </w:pPr>
      <w:r w:rsidRPr="00554B41">
        <w:rPr>
          <w:rStyle w:val="FootnoteReference"/>
        </w:rPr>
        <w:footnoteRef/>
      </w:r>
      <w:r w:rsidRPr="00554B41">
        <w:t xml:space="preserve"> </w:t>
      </w:r>
      <w:hyperlink r:id="rId2" w:history="1">
        <w:r w:rsidRPr="00554B41">
          <w:rPr>
            <w:rStyle w:val="Hyperlink"/>
          </w:rPr>
          <w:t>https://www.highambitioncoalition.org/statements/cp26-leaders-statement</w:t>
        </w:r>
      </w:hyperlink>
      <w:r w:rsidRPr="00554B41">
        <w:t xml:space="preserve"> </w:t>
      </w:r>
    </w:p>
  </w:footnote>
  <w:footnote w:id="6">
    <w:p w14:paraId="4EEEB569" w14:textId="77777777" w:rsidR="00D2369E" w:rsidRPr="00554B41" w:rsidRDefault="00D2369E" w:rsidP="000940E0">
      <w:pPr>
        <w:pStyle w:val="FootnoteText"/>
      </w:pPr>
      <w:r w:rsidRPr="00554B41">
        <w:rPr>
          <w:rStyle w:val="FootnoteReference"/>
        </w:rPr>
        <w:footnoteRef/>
      </w:r>
      <w:r w:rsidRPr="00554B41">
        <w:t xml:space="preserve"> </w:t>
      </w:r>
      <w:hyperlink r:id="rId3" w:history="1">
        <w:r w:rsidRPr="00554B41">
          <w:rPr>
            <w:rStyle w:val="Hyperlink"/>
          </w:rPr>
          <w:t>https://casaclimate.org/news/our-fragile-planet-is-hanging-by-a-thread-guterres/</w:t>
        </w:r>
      </w:hyperlink>
      <w:r w:rsidRPr="00554B41">
        <w:t xml:space="preserve"> </w:t>
      </w:r>
    </w:p>
  </w:footnote>
  <w:footnote w:id="7">
    <w:p w14:paraId="73EDA5A3" w14:textId="3CED215E" w:rsidR="00D2369E" w:rsidRPr="00554B41" w:rsidRDefault="00D2369E" w:rsidP="00936838">
      <w:pPr>
        <w:pStyle w:val="FootnoteText"/>
      </w:pPr>
      <w:r w:rsidRPr="00554B41">
        <w:rPr>
          <w:rStyle w:val="FootnoteReference"/>
        </w:rPr>
        <w:footnoteRef/>
      </w:r>
      <w:hyperlink r:id="rId4" w:anchor=":~:text=This%20updated%20NDC%20reaffirms%20RMI's,the%20impacts%20of%20climate%20change" w:history="1">
        <w:r w:rsidR="00936838" w:rsidRPr="00476AA9">
          <w:rPr>
            <w:rStyle w:val="Hyperlink"/>
          </w:rPr>
          <w:t>https://rmigov.com/?p=1927#:~:text=This%20updated%20NDC%20reaffirms%20RMI's,the%20impacts%20of%20climate%20change</w:t>
        </w:r>
      </w:hyperlink>
      <w:r w:rsidRPr="00554B41">
        <w:t>.</w:t>
      </w:r>
      <w:r w:rsidR="00936838">
        <w:t xml:space="preserve"> </w:t>
      </w:r>
    </w:p>
  </w:footnote>
  <w:footnote w:id="8">
    <w:p w14:paraId="7EF85340" w14:textId="6E90210C" w:rsidR="00D2369E" w:rsidRPr="00554B41" w:rsidRDefault="00D2369E" w:rsidP="000940E0">
      <w:pPr>
        <w:pStyle w:val="FootnoteText"/>
      </w:pPr>
      <w:r w:rsidRPr="00554B41">
        <w:rPr>
          <w:rStyle w:val="FootnoteReference"/>
        </w:rPr>
        <w:footnoteRef/>
      </w:r>
      <w:r w:rsidRPr="00554B41">
        <w:t xml:space="preserve"> </w:t>
      </w:r>
      <w:hyperlink r:id="rId5" w:history="1">
        <w:r w:rsidR="00E57326" w:rsidRPr="00476AA9">
          <w:rPr>
            <w:rStyle w:val="Hyperlink"/>
          </w:rPr>
          <w:t>https://www.climatechangenews.com/2014/05/05/marshall-islands-primed-for-climate-fight-for-survival/</w:t>
        </w:r>
      </w:hyperlink>
      <w:r w:rsidR="00E57326">
        <w:t xml:space="preserve"> </w:t>
      </w:r>
    </w:p>
  </w:footnote>
  <w:footnote w:id="9">
    <w:p w14:paraId="179EB3F7" w14:textId="09F19468" w:rsidR="00D2369E" w:rsidRPr="00554B41" w:rsidRDefault="00D2369E" w:rsidP="000940E0">
      <w:pPr>
        <w:pStyle w:val="FootnoteText"/>
      </w:pPr>
      <w:r w:rsidRPr="00554B41">
        <w:rPr>
          <w:rStyle w:val="FootnoteReference"/>
        </w:rPr>
        <w:footnoteRef/>
      </w:r>
      <w:hyperlink r:id="rId6" w:anchor=":~:text=%E2%80%9CThe%20Pacific%20nation%20is%20punching,Net%2C%20Kelvin%20Anthony%2C%20said" w:history="1">
        <w:r w:rsidR="00E57326" w:rsidRPr="00476AA9">
          <w:rPr>
            <w:rStyle w:val="Hyperlink"/>
          </w:rPr>
          <w:t>https://www.fijitimes.com.fj/marshall-islands-deliver-a-moral-call-to-arms-to-high-polluting-nations-greenpeace/#:~:text=%E2%80%9CThe%20Pacific%20nation%20is%20punching,Net%2C%20Kelvin%20Anthony%2C%20said</w:t>
        </w:r>
      </w:hyperlink>
      <w:r w:rsidR="00E57326">
        <w:t xml:space="preserve"> </w:t>
      </w:r>
      <w:r w:rsidRPr="00554B41">
        <w:t>.</w:t>
      </w:r>
    </w:p>
  </w:footnote>
  <w:footnote w:id="10">
    <w:p w14:paraId="3E6ACBFE" w14:textId="1671413C" w:rsidR="00D2369E" w:rsidRPr="00554B41" w:rsidRDefault="00D2369E" w:rsidP="000940E0">
      <w:pPr>
        <w:pStyle w:val="FootnoteText"/>
      </w:pPr>
      <w:r w:rsidRPr="00554B41">
        <w:rPr>
          <w:rStyle w:val="FootnoteReference"/>
        </w:rPr>
        <w:footnoteRef/>
      </w:r>
      <w:r w:rsidRPr="00554B41">
        <w:t xml:space="preserve"> </w:t>
      </w:r>
      <w:hyperlink r:id="rId7" w:history="1">
        <w:r w:rsidR="00E57326" w:rsidRPr="00476AA9">
          <w:rPr>
            <w:rStyle w:val="Hyperlink"/>
          </w:rPr>
          <w:t>https://islandsbusiness.com/news-break/punching-above-its-weight-pacific-pushes-for-ship-polluters-to-pay/</w:t>
        </w:r>
      </w:hyperlink>
      <w:r w:rsidR="00E57326">
        <w:t xml:space="preserve"> </w:t>
      </w:r>
    </w:p>
  </w:footnote>
  <w:footnote w:id="11">
    <w:p w14:paraId="5B38215E" w14:textId="1B12630D" w:rsidR="00D2369E" w:rsidRPr="00554B41" w:rsidRDefault="00D2369E" w:rsidP="000940E0">
      <w:pPr>
        <w:pStyle w:val="FootnoteText"/>
      </w:pPr>
      <w:r w:rsidRPr="00554B41">
        <w:rPr>
          <w:rStyle w:val="FootnoteReference"/>
        </w:rPr>
        <w:footnoteRef/>
      </w:r>
      <w:r w:rsidRPr="00554B41">
        <w:t xml:space="preserve"> </w:t>
      </w:r>
      <w:hyperlink r:id="rId8" w:history="1">
        <w:r w:rsidR="009346F1" w:rsidRPr="00476AA9">
          <w:rPr>
            <w:rStyle w:val="Hyperlink"/>
          </w:rPr>
          <w:t>https://www.highambitioncoalition.org/statements/hac2023-leaders-meeting</w:t>
        </w:r>
      </w:hyperlink>
      <w:r w:rsidR="009346F1">
        <w:t xml:space="preserve"> </w:t>
      </w:r>
    </w:p>
  </w:footnote>
  <w:footnote w:id="12">
    <w:p w14:paraId="7A46AC0A" w14:textId="2CCB2F68" w:rsidR="00936838" w:rsidRDefault="00936838">
      <w:pPr>
        <w:pStyle w:val="FootnoteText"/>
      </w:pPr>
      <w:r>
        <w:rPr>
          <w:rStyle w:val="FootnoteReference"/>
        </w:rPr>
        <w:footnoteRef/>
      </w:r>
      <w:r>
        <w:t xml:space="preserve"> </w:t>
      </w:r>
      <w:hyperlink r:id="rId9" w:history="1">
        <w:r w:rsidR="00E57326" w:rsidRPr="00476AA9">
          <w:rPr>
            <w:rStyle w:val="Hyperlink"/>
          </w:rPr>
          <w:t>https://www.climateforesight.eu/articles/we-will-not-go-silently-to-our-watery-graves-how-to-save-a-nation-from-drowning/</w:t>
        </w:r>
      </w:hyperlink>
      <w:r w:rsidR="00E57326">
        <w:t xml:space="preserve"> </w:t>
      </w:r>
    </w:p>
  </w:footnote>
  <w:footnote w:id="13">
    <w:p w14:paraId="1364FFF3" w14:textId="5E5462E3" w:rsidR="00D2369E" w:rsidRPr="00554B41" w:rsidRDefault="00D2369E" w:rsidP="000940E0">
      <w:pPr>
        <w:pStyle w:val="FootnoteText"/>
      </w:pPr>
      <w:r w:rsidRPr="00554B41">
        <w:rPr>
          <w:rStyle w:val="FootnoteReference"/>
        </w:rPr>
        <w:footnoteRef/>
      </w:r>
      <w:r w:rsidRPr="00554B41">
        <w:t xml:space="preserve"> </w:t>
      </w:r>
      <w:hyperlink r:id="rId10" w:history="1">
        <w:r w:rsidR="00936838" w:rsidRPr="00476AA9">
          <w:rPr>
            <w:rStyle w:val="Hyperlink"/>
          </w:rPr>
          <w:t>https://www.washingtonpost.com/politics/2023/11/29/seven-people-watch-cop28-climate-talks-dubai/</w:t>
        </w:r>
      </w:hyperlink>
      <w:r w:rsidR="00936838">
        <w:t xml:space="preserve"> </w:t>
      </w:r>
    </w:p>
  </w:footnote>
  <w:footnote w:id="14">
    <w:p w14:paraId="50630EDB" w14:textId="2DE7D4C0" w:rsidR="007032D3" w:rsidRPr="00554B41" w:rsidRDefault="007032D3" w:rsidP="000940E0">
      <w:pPr>
        <w:pStyle w:val="FootnoteText"/>
      </w:pPr>
      <w:r w:rsidRPr="00554B41">
        <w:rPr>
          <w:rStyle w:val="FootnoteReference"/>
        </w:rPr>
        <w:footnoteRef/>
      </w:r>
      <w:r w:rsidRPr="00554B41">
        <w:t xml:space="preserve"> CIES’</w:t>
      </w:r>
      <w:r w:rsidR="007D3504" w:rsidRPr="00554B41">
        <w:t>s</w:t>
      </w:r>
      <w:r w:rsidRPr="00554B41">
        <w:t xml:space="preserve"> 2024 amended workplan.</w:t>
      </w:r>
    </w:p>
  </w:footnote>
  <w:footnote w:id="15">
    <w:p w14:paraId="033DC7D8" w14:textId="77777777" w:rsidR="007032D3" w:rsidRPr="00554B41" w:rsidRDefault="007032D3" w:rsidP="000940E0">
      <w:pPr>
        <w:pStyle w:val="FootnoteText"/>
      </w:pPr>
      <w:r w:rsidRPr="00554B41">
        <w:rPr>
          <w:rStyle w:val="FootnoteReference"/>
        </w:rPr>
        <w:footnoteRef/>
      </w:r>
      <w:r w:rsidRPr="00554B41">
        <w:t xml:space="preserve"> The Dominican Republic is not formally a member of AILAC but has been associated with AILAC positions. </w:t>
      </w:r>
    </w:p>
  </w:footnote>
  <w:footnote w:id="16">
    <w:p w14:paraId="74286C9A" w14:textId="77777777" w:rsidR="00202F71" w:rsidRPr="00554B41" w:rsidRDefault="00202F71" w:rsidP="000940E0">
      <w:pPr>
        <w:pStyle w:val="FootnoteText"/>
      </w:pPr>
      <w:r w:rsidRPr="00554B41">
        <w:rPr>
          <w:rStyle w:val="FootnoteReference"/>
        </w:rPr>
        <w:footnoteRef/>
      </w:r>
      <w:r w:rsidRPr="00554B41">
        <w:t xml:space="preserve"> </w:t>
      </w:r>
      <w:hyperlink r:id="rId11" w:history="1">
        <w:r w:rsidRPr="00554B41">
          <w:rPr>
            <w:rStyle w:val="Hyperlink"/>
          </w:rPr>
          <w:t>Mountain Journey Nepal</w:t>
        </w:r>
      </w:hyperlink>
    </w:p>
  </w:footnote>
  <w:footnote w:id="17">
    <w:p w14:paraId="4DDB468F" w14:textId="77777777" w:rsidR="00202F71" w:rsidRPr="00554B41" w:rsidRDefault="00202F71" w:rsidP="000940E0">
      <w:pPr>
        <w:pStyle w:val="FootnoteText"/>
      </w:pPr>
      <w:r w:rsidRPr="00554B41">
        <w:rPr>
          <w:rStyle w:val="FootnoteReference"/>
        </w:rPr>
        <w:footnoteRef/>
      </w:r>
      <w:r w:rsidRPr="00554B41">
        <w:t xml:space="preserve"> Dr. Popular Gentle, “Ways forward for Nepal,” </w:t>
      </w:r>
      <w:r w:rsidRPr="00554B41">
        <w:rPr>
          <w:i/>
          <w:iCs/>
        </w:rPr>
        <w:t xml:space="preserve">The Rising Nepal, </w:t>
      </w:r>
      <w:r w:rsidRPr="00554B41">
        <w:t xml:space="preserve">11 January 2024. </w:t>
      </w:r>
      <w:hyperlink r:id="rId12" w:history="1">
        <w:r w:rsidRPr="00554B41">
          <w:rPr>
            <w:rStyle w:val="Hyperlink"/>
          </w:rPr>
          <w:t>Ways Forward For Nepal</w:t>
        </w:r>
      </w:hyperlink>
    </w:p>
  </w:footnote>
  <w:footnote w:id="18">
    <w:p w14:paraId="702EBB08" w14:textId="77777777" w:rsidR="00202F71" w:rsidRPr="00554B41" w:rsidRDefault="00202F71" w:rsidP="000940E0">
      <w:pPr>
        <w:pStyle w:val="FootnoteText"/>
      </w:pPr>
      <w:r w:rsidRPr="00554B41">
        <w:rPr>
          <w:rStyle w:val="FootnoteReference"/>
        </w:rPr>
        <w:footnoteRef/>
      </w:r>
      <w:r w:rsidRPr="00554B41">
        <w:t xml:space="preserve"> Ibid.</w:t>
      </w:r>
    </w:p>
  </w:footnote>
  <w:footnote w:id="19">
    <w:p w14:paraId="4BCA0F00" w14:textId="64A3EA70" w:rsidR="00202F71" w:rsidRPr="00554B41" w:rsidRDefault="00202F71" w:rsidP="000940E0">
      <w:pPr>
        <w:pStyle w:val="FootnoteText"/>
        <w:rPr>
          <w:szCs w:val="16"/>
        </w:rPr>
      </w:pPr>
      <w:r w:rsidRPr="00554B41">
        <w:rPr>
          <w:rStyle w:val="FootnoteReference"/>
        </w:rPr>
        <w:footnoteRef/>
      </w:r>
      <w:r w:rsidRPr="00554B41">
        <w:rPr>
          <w:szCs w:val="16"/>
        </w:rPr>
        <w:t xml:space="preserve"> </w:t>
      </w:r>
      <w:hyperlink r:id="rId13" w:history="1">
        <w:r w:rsidR="00600282" w:rsidRPr="00476AA9">
          <w:rPr>
            <w:rStyle w:val="Hyperlink"/>
          </w:rPr>
          <w:t>https://centralasiaclimateportal.org/unfccc-cop28-kyrgyzstan-initiative-to-establish-a-negotiating-group-on-mountain-partnership-supported/</w:t>
        </w:r>
      </w:hyperlink>
      <w:r w:rsidR="00600282">
        <w:t xml:space="preserve"> </w:t>
      </w:r>
    </w:p>
  </w:footnote>
  <w:footnote w:id="20">
    <w:p w14:paraId="21AE5ED3" w14:textId="4B6BBB48" w:rsidR="00202F71" w:rsidRPr="00554B41" w:rsidRDefault="00202F71" w:rsidP="000940E0">
      <w:pPr>
        <w:pStyle w:val="FootnoteText"/>
      </w:pPr>
      <w:r w:rsidRPr="00554B41">
        <w:rPr>
          <w:rStyle w:val="FootnoteReference"/>
        </w:rPr>
        <w:footnoteRef/>
      </w:r>
      <w:r w:rsidRPr="00554B41">
        <w:t xml:space="preserve"> Prakriti Resources Institute received their grant as a sub-contractor to IIED due the Institute not being able to meet CASA’s compliance requirement</w:t>
      </w:r>
      <w:r w:rsidR="00F1170E" w:rsidRPr="00554B41">
        <w:t xml:space="preserve"> </w:t>
      </w:r>
      <w:r w:rsidR="00600282" w:rsidRPr="00554B41">
        <w:t>of holding</w:t>
      </w:r>
      <w:r w:rsidRPr="00554B41">
        <w:t xml:space="preserve"> a foreign currency account.</w:t>
      </w:r>
    </w:p>
  </w:footnote>
  <w:footnote w:id="21">
    <w:p w14:paraId="397886BD" w14:textId="77777777" w:rsidR="00202F71" w:rsidRPr="00554B41" w:rsidRDefault="00202F71" w:rsidP="000940E0">
      <w:pPr>
        <w:pStyle w:val="FootnoteText"/>
      </w:pPr>
      <w:r w:rsidRPr="00554B41">
        <w:rPr>
          <w:rStyle w:val="FootnoteReference"/>
        </w:rPr>
        <w:footnoteRef/>
      </w:r>
      <w:r w:rsidRPr="00554B41">
        <w:t xml:space="preserve"> </w:t>
      </w:r>
      <w:hyperlink r:id="rId14" w:history="1">
        <w:r w:rsidRPr="00554B41">
          <w:rPr>
            <w:rStyle w:val="Hyperlink"/>
          </w:rPr>
          <w:t>https://mountain.mofe.gov.np/</w:t>
        </w:r>
      </w:hyperlink>
      <w:r w:rsidRPr="00554B41">
        <w:t xml:space="preserve"> </w:t>
      </w:r>
    </w:p>
  </w:footnote>
  <w:footnote w:id="22">
    <w:p w14:paraId="5FD5E271" w14:textId="77777777" w:rsidR="00202F71" w:rsidRPr="00554B41" w:rsidRDefault="00202F71" w:rsidP="000940E0">
      <w:pPr>
        <w:pStyle w:val="FootnoteText"/>
      </w:pPr>
      <w:r w:rsidRPr="00554B41">
        <w:rPr>
          <w:rStyle w:val="FootnoteReference"/>
        </w:rPr>
        <w:footnoteRef/>
      </w:r>
      <w:r w:rsidRPr="00554B41">
        <w:t xml:space="preserve"> Dhnagadimai Municipality of Siraha district 2. Gokulganga Rural Municipality of Ramechhap district 3. Barpak Sulikot Rural Municipality of Gorkha district (CASA2 Final Report, ECARDS Nepal, 2025, p. 3)</w:t>
      </w:r>
    </w:p>
  </w:footnote>
  <w:footnote w:id="23">
    <w:p w14:paraId="2B5CE477" w14:textId="77777777" w:rsidR="00202F71" w:rsidRPr="00554B41" w:rsidRDefault="00202F71" w:rsidP="000940E0">
      <w:pPr>
        <w:pStyle w:val="FootnoteText"/>
        <w:rPr>
          <w:szCs w:val="16"/>
        </w:rPr>
      </w:pPr>
      <w:r w:rsidRPr="00554B41">
        <w:rPr>
          <w:rStyle w:val="FootnoteReference"/>
        </w:rPr>
        <w:footnoteRef/>
      </w:r>
      <w:r w:rsidRPr="00554B41">
        <w:t xml:space="preserve"> </w:t>
      </w:r>
      <w:hyperlink r:id="rId15" w:history="1">
        <w:r w:rsidRPr="00554B41">
          <w:rPr>
            <w:rStyle w:val="Hyperlink"/>
            <w:szCs w:val="16"/>
          </w:rPr>
          <w:t>Himalayan meltdown | Nepali Times</w:t>
        </w:r>
      </w:hyperlink>
    </w:p>
  </w:footnote>
  <w:footnote w:id="24">
    <w:p w14:paraId="25B573C9" w14:textId="56000C92" w:rsidR="00202F71" w:rsidRPr="00554B41" w:rsidRDefault="00202F71" w:rsidP="000940E0">
      <w:pPr>
        <w:pStyle w:val="FootnoteText"/>
      </w:pPr>
      <w:r w:rsidRPr="00554B41">
        <w:rPr>
          <w:rStyle w:val="FootnoteReference"/>
        </w:rPr>
        <w:footnoteRef/>
      </w:r>
      <w:r w:rsidRPr="00554B41">
        <w:t xml:space="preserve"> </w:t>
      </w:r>
      <w:r w:rsidRPr="00554B41">
        <w:rPr>
          <w:szCs w:val="16"/>
        </w:rPr>
        <w:t xml:space="preserve">Other support Practical Action has provided includes: formulation of Nepal’s </w:t>
      </w:r>
      <w:r w:rsidR="003F73BE" w:rsidRPr="00554B41">
        <w:rPr>
          <w:szCs w:val="16"/>
        </w:rPr>
        <w:t xml:space="preserve">NAP, </w:t>
      </w:r>
      <w:r w:rsidRPr="00554B41">
        <w:rPr>
          <w:szCs w:val="16"/>
        </w:rPr>
        <w:t>Nepal’s Climate Policy 2019, NDC 2021, NAP 2021, and the Strategic Action Plan for Early Warning Systems 2022</w:t>
      </w:r>
      <w:r w:rsidR="003F73BE" w:rsidRPr="00554B41">
        <w:rPr>
          <w:szCs w:val="16"/>
        </w:rPr>
        <w:t>–</w:t>
      </w:r>
      <w:r w:rsidRPr="00554B41">
        <w:rPr>
          <w:szCs w:val="16"/>
        </w:rPr>
        <w:t>2024. CASA funding was delivered for activities starting from 1 April 2024, which includes primarily the NDC development and support to the M</w:t>
      </w:r>
      <w:r w:rsidR="003F73BE" w:rsidRPr="00554B41">
        <w:rPr>
          <w:szCs w:val="16"/>
        </w:rPr>
        <w:t xml:space="preserve">ountainous </w:t>
      </w:r>
      <w:r w:rsidRPr="00554B41">
        <w:rPr>
          <w:szCs w:val="16"/>
        </w:rPr>
        <w:t>R</w:t>
      </w:r>
      <w:r w:rsidR="003F73BE" w:rsidRPr="00554B41">
        <w:rPr>
          <w:szCs w:val="16"/>
        </w:rPr>
        <w:t>anges</w:t>
      </w:r>
      <w:r w:rsidRPr="00554B41">
        <w:rPr>
          <w:szCs w:val="16"/>
        </w:rPr>
        <w:t xml:space="preserve"> </w:t>
      </w:r>
      <w:r w:rsidR="003F73BE" w:rsidRPr="00554B41">
        <w:rPr>
          <w:szCs w:val="16"/>
        </w:rPr>
        <w:t xml:space="preserve">Agenda </w:t>
      </w:r>
      <w:r w:rsidRPr="00554B41">
        <w:rPr>
          <w:szCs w:val="16"/>
        </w:rPr>
        <w:t>setting.</w:t>
      </w:r>
    </w:p>
    <w:p w14:paraId="3D27B598" w14:textId="77777777" w:rsidR="00202F71" w:rsidRPr="00554B41" w:rsidRDefault="00202F71" w:rsidP="000940E0">
      <w:pPr>
        <w:pStyle w:val="FootnoteText"/>
      </w:pPr>
    </w:p>
  </w:footnote>
  <w:footnote w:id="25">
    <w:p w14:paraId="376E5E50" w14:textId="77777777" w:rsidR="00202F71" w:rsidRPr="00554B41" w:rsidRDefault="00202F71" w:rsidP="000940E0">
      <w:pPr>
        <w:pStyle w:val="FootnoteText"/>
      </w:pPr>
      <w:r w:rsidRPr="00554B41">
        <w:rPr>
          <w:rStyle w:val="FootnoteReference"/>
        </w:rPr>
        <w:footnoteRef/>
      </w:r>
      <w:r w:rsidRPr="00554B41">
        <w:t xml:space="preserve"> </w:t>
      </w:r>
      <w:hyperlink r:id="rId16" w:history="1">
        <w:r w:rsidRPr="00554B41">
          <w:rPr>
            <w:rStyle w:val="Hyperlink"/>
            <w:szCs w:val="16"/>
          </w:rPr>
          <w:t>Home | Mountain Partnership | Food and Agriculture Organization of the United Nations</w:t>
        </w:r>
      </w:hyperlink>
    </w:p>
  </w:footnote>
  <w:footnote w:id="26">
    <w:p w14:paraId="2024F197" w14:textId="77777777" w:rsidR="00202F71" w:rsidRPr="00554B41" w:rsidRDefault="00202F71" w:rsidP="000940E0">
      <w:pPr>
        <w:pStyle w:val="FootnoteText"/>
      </w:pPr>
      <w:r w:rsidRPr="00554B41">
        <w:rPr>
          <w:rStyle w:val="FootnoteReference"/>
        </w:rPr>
        <w:footnoteRef/>
      </w:r>
      <w:r w:rsidRPr="00554B41">
        <w:t xml:space="preserve"> </w:t>
      </w:r>
      <w:hyperlink r:id="rId17" w:history="1">
        <w:r w:rsidRPr="00554B41">
          <w:rPr>
            <w:rStyle w:val="Hyperlink"/>
            <w:szCs w:val="16"/>
          </w:rPr>
          <w:t>Secretary-General's video message to the "Sagarmatha Sambaad" - Everest Dialogue | United Nations Secretary-General</w:t>
        </w:r>
      </w:hyperlink>
    </w:p>
  </w:footnote>
  <w:footnote w:id="27">
    <w:p w14:paraId="4454EF1E" w14:textId="1C62B29E" w:rsidR="00202F71" w:rsidRDefault="00202F71" w:rsidP="000940E0">
      <w:pPr>
        <w:pStyle w:val="FootnoteText"/>
      </w:pPr>
      <w:r w:rsidRPr="00554B41">
        <w:rPr>
          <w:rStyle w:val="FootnoteReference"/>
        </w:rPr>
        <w:footnoteRef/>
      </w:r>
      <w:r w:rsidRPr="00554B41">
        <w:t xml:space="preserve"> </w:t>
      </w:r>
      <w:hyperlink r:id="rId18" w:history="1">
        <w:r w:rsidRPr="00554B41">
          <w:rPr>
            <w:rStyle w:val="Hyperlink"/>
          </w:rPr>
          <w:t>(32) Post | LinkedIn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6ABF0" w14:textId="56AA1051" w:rsidR="00AF75F9" w:rsidRPr="00554B41" w:rsidRDefault="00AF75F9">
    <w:pPr>
      <w:pStyle w:val="Header"/>
    </w:pPr>
    <w:r w:rsidRPr="00554B41">
      <w:rPr>
        <w:noProof/>
      </w:rPr>
      <mc:AlternateContent>
        <mc:Choice Requires="wps">
          <w:drawing>
            <wp:anchor distT="0" distB="0" distL="0" distR="0" simplePos="0" relativeHeight="251658245" behindDoc="0" locked="0" layoutInCell="1" allowOverlap="1" wp14:anchorId="5540D98D" wp14:editId="7056ECAD">
              <wp:simplePos x="635" y="635"/>
              <wp:positionH relativeFrom="page">
                <wp:align>center</wp:align>
              </wp:positionH>
              <wp:positionV relativeFrom="page">
                <wp:align>top</wp:align>
              </wp:positionV>
              <wp:extent cx="459740" cy="368300"/>
              <wp:effectExtent l="0" t="0" r="16510" b="12700"/>
              <wp:wrapNone/>
              <wp:docPr id="47046385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300"/>
                      </a:xfrm>
                      <a:prstGeom prst="rect">
                        <a:avLst/>
                      </a:prstGeom>
                      <a:noFill/>
                      <a:ln>
                        <a:noFill/>
                      </a:ln>
                    </wps:spPr>
                    <wps:txbx>
                      <w:txbxContent>
                        <w:p w14:paraId="1CBDBF2F" w14:textId="365C37BB" w:rsidR="00AF75F9" w:rsidRPr="00554B41" w:rsidRDefault="00AF75F9" w:rsidP="00AF75F9">
                          <w:pPr>
                            <w:spacing w:after="0"/>
                            <w:rPr>
                              <w:rFonts w:ascii="Calibri" w:eastAsia="Calibri" w:hAnsi="Calibri" w:cs="Calibri"/>
                              <w:color w:val="000000"/>
                            </w:rPr>
                          </w:pPr>
                          <w:r w:rsidRPr="00554B41">
                            <w:rPr>
                              <w:rFonts w:ascii="Calibri" w:eastAsia="Calibri" w:hAnsi="Calibri" w:cs="Calibri"/>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40D98D" id="_x0000_t202" coordsize="21600,21600" o:spt="202" path="m,l,21600r21600,l21600,xe">
              <v:stroke joinstyle="miter"/>
              <v:path gradientshapeok="t" o:connecttype="rect"/>
            </v:shapetype>
            <v:shape id="Text Box 11" o:spid="_x0000_s1032" type="#_x0000_t202" alt="OFFICIAL" style="position:absolute;left:0;text-align:left;margin-left:0;margin-top:0;width:36.2pt;height:29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" filled="f" stroked="f">
              <v:textbox style="mso-fit-shape-to-text:t" inset="0,15pt,0,0">
                <w:txbxContent>
                  <w:p w14:paraId="1CBDBF2F" w14:textId="365C37BB" w:rsidR="00AF75F9" w:rsidRPr="00554B41" w:rsidRDefault="00AF75F9" w:rsidP="00AF75F9">
                    <w:pPr>
                      <w:spacing w:after="0"/>
                      <w:rPr>
                        <w:rFonts w:ascii="Calibri" w:eastAsia="Calibri" w:hAnsi="Calibri" w:cs="Calibri"/>
                        <w:color w:val="000000"/>
                      </w:rPr>
                    </w:pPr>
                    <w:r w:rsidRPr="00554B41">
                      <w:rPr>
                        <w:rFonts w:ascii="Calibri" w:eastAsia="Calibri" w:hAnsi="Calibri" w:cs="Calibri"/>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17AC9" w14:textId="344C4480" w:rsidR="00470388" w:rsidRPr="00554B41" w:rsidRDefault="00AF75F9" w:rsidP="00470388">
    <w:pPr>
      <w:pStyle w:val="Header"/>
    </w:pPr>
    <w:r w:rsidRPr="00554B41">
      <w:rPr>
        <w:noProof/>
      </w:rPr>
      <mc:AlternateContent>
        <mc:Choice Requires="wps">
          <w:drawing>
            <wp:anchor distT="0" distB="0" distL="0" distR="0" simplePos="0" relativeHeight="251658242" behindDoc="0" locked="0" layoutInCell="1" allowOverlap="1" wp14:anchorId="6CECC28E" wp14:editId="132DE0D5">
              <wp:simplePos x="635" y="635"/>
              <wp:positionH relativeFrom="page">
                <wp:align>center</wp:align>
              </wp:positionH>
              <wp:positionV relativeFrom="page">
                <wp:align>top</wp:align>
              </wp:positionV>
              <wp:extent cx="459740" cy="368300"/>
              <wp:effectExtent l="0" t="0" r="16510" b="12700"/>
              <wp:wrapNone/>
              <wp:docPr id="1999871935"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300"/>
                      </a:xfrm>
                      <a:prstGeom prst="rect">
                        <a:avLst/>
                      </a:prstGeom>
                      <a:noFill/>
                      <a:ln>
                        <a:noFill/>
                      </a:ln>
                    </wps:spPr>
                    <wps:txbx>
                      <w:txbxContent>
                        <w:p w14:paraId="4B66C200" w14:textId="402D503E" w:rsidR="00AF75F9" w:rsidRPr="00554B41" w:rsidRDefault="00AF75F9" w:rsidP="00AF75F9">
                          <w:pPr>
                            <w:spacing w:after="0"/>
                            <w:rPr>
                              <w:rFonts w:ascii="Calibri" w:eastAsia="Calibri" w:hAnsi="Calibri" w:cs="Calibri"/>
                              <w:color w:val="000000"/>
                            </w:rPr>
                          </w:pPr>
                          <w:r w:rsidRPr="00554B41">
                            <w:rPr>
                              <w:rFonts w:ascii="Calibri" w:eastAsia="Calibri" w:hAnsi="Calibri" w:cs="Calibri"/>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ECC28E" id="_x0000_t202" coordsize="21600,21600" o:spt="202" path="m,l,21600r21600,l21600,xe">
              <v:stroke joinstyle="miter"/>
              <v:path gradientshapeok="t" o:connecttype="rect"/>
            </v:shapetype>
            <v:shape id="Text Box 12" o:spid="_x0000_s1033" type="#_x0000_t202" alt="OFFICIAL" style="position:absolute;left:0;text-align:left;margin-left:0;margin-top:0;width:36.2pt;height:29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" filled="f" stroked="f">
              <v:textbox style="mso-fit-shape-to-text:t" inset="0,15pt,0,0">
                <w:txbxContent>
                  <w:p w14:paraId="4B66C200" w14:textId="402D503E" w:rsidR="00AF75F9" w:rsidRPr="00554B41" w:rsidRDefault="00AF75F9" w:rsidP="00AF75F9">
                    <w:pPr>
                      <w:spacing w:after="0"/>
                      <w:rPr>
                        <w:rFonts w:ascii="Calibri" w:eastAsia="Calibri" w:hAnsi="Calibri" w:cs="Calibri"/>
                        <w:color w:val="000000"/>
                      </w:rPr>
                    </w:pPr>
                    <w:r w:rsidRPr="00554B41">
                      <w:rPr>
                        <w:rFonts w:ascii="Calibri" w:eastAsia="Calibri" w:hAnsi="Calibri" w:cs="Calibri"/>
                        <w:color w:val="000000"/>
                      </w:rPr>
                      <w:t>OFFICIAL</w:t>
                    </w:r>
                  </w:p>
                </w:txbxContent>
              </v:textbox>
              <w10:wrap anchorx="page" anchory="page"/>
            </v:shape>
          </w:pict>
        </mc:Fallback>
      </mc:AlternateContent>
    </w:r>
    <w:r w:rsidR="00470388" w:rsidRPr="00554B41">
      <w:rPr>
        <w:noProof/>
      </w:rPr>
      <mc:AlternateContent>
        <mc:Choice Requires="wps">
          <w:drawing>
            <wp:anchor distT="0" distB="0" distL="114300" distR="114300" simplePos="0" relativeHeight="251658241" behindDoc="1" locked="1" layoutInCell="1" allowOverlap="1" wp14:anchorId="31236C9E" wp14:editId="370AAF4F">
              <wp:simplePos x="0" y="0"/>
              <wp:positionH relativeFrom="page">
                <wp:align>right</wp:align>
              </wp:positionH>
              <wp:positionV relativeFrom="page">
                <wp:posOffset>737870</wp:posOffset>
              </wp:positionV>
              <wp:extent cx="10692000" cy="0"/>
              <wp:effectExtent l="0" t="0" r="0" b="0"/>
              <wp:wrapNone/>
              <wp:docPr id="576864740" name="Straight Connector 5768647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692000" cy="0"/>
                      </a:xfrm>
                      <a:prstGeom prst="line">
                        <a:avLst/>
                      </a:prstGeom>
                      <a:ln>
                        <a:solidFill>
                          <a:srgbClr val="4040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pic="http://schemas.openxmlformats.org/drawingml/2006/picture" xmlns:adec="http://schemas.microsoft.com/office/drawing/2017/decorative" xmlns:aclsh="http://schemas.microsoft.com/office/drawing/2020/classificationShape" xmlns:a="http://schemas.openxmlformats.org/drawingml/2006/main">
          <w:pict w14:anchorId="3114AA6E">
            <v:line id="Straight Connector 576864740" style="position:absolute;z-index:-251658239;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 alt="&quot;&quot;" o:spid="_x0000_s1026" strokecolor="#404040" strokeweight=".5pt" from="790.7pt,58.1pt" to="1632.6pt,58.1pt" w14:anchorId="3CD3B5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">
              <v:stroke joinstyle="miter"/>
              <w10:wrap anchorx="page" anchory="page"/>
              <w10:anchorlock/>
            </v:line>
          </w:pict>
        </mc:Fallback>
      </mc:AlternateContent>
    </w:r>
  </w:p>
  <w:tbl>
    <w:tblPr>
      <w:tblStyle w:val="TableGrid"/>
      <w:tblpPr w:leftFromText="142" w:rightFromText="142" w:vertAnchor="page" w:horzAnchor="page"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CellMar>
        <w:left w:w="0" w:type="dxa"/>
        <w:right w:w="0" w:type="dxa"/>
      </w:tblCellMar>
      <w:tblLook w:val="04A0" w:firstRow="1" w:lastRow="0" w:firstColumn="1" w:lastColumn="0" w:noHBand="0" w:noVBand="1"/>
      <w:tblDescription w:val="#LayoutTable"/>
    </w:tblPr>
    <w:tblGrid>
      <w:gridCol w:w="227"/>
      <w:gridCol w:w="1985"/>
      <w:gridCol w:w="567"/>
    </w:tblGrid>
    <w:tr w:rsidR="00470388" w:rsidRPr="00554B41" w14:paraId="1322E96C" w14:textId="77777777">
      <w:trPr>
        <w:trHeight w:hRule="exact" w:val="312"/>
      </w:trPr>
      <w:tc>
        <w:tcPr>
          <w:tcW w:w="227" w:type="dxa"/>
          <w:shd w:val="clear" w:color="auto" w:fill="FFFFFF"/>
          <w:vAlign w:val="bottom"/>
        </w:tcPr>
        <w:p w14:paraId="3350538D" w14:textId="77777777" w:rsidR="00470388" w:rsidRPr="00554B41" w:rsidRDefault="00470388" w:rsidP="00470388">
          <w:pPr>
            <w:pStyle w:val="Header"/>
          </w:pPr>
        </w:p>
      </w:tc>
      <w:tc>
        <w:tcPr>
          <w:tcW w:w="1985" w:type="dxa"/>
          <w:shd w:val="clear" w:color="auto" w:fill="FFFFFF"/>
          <w:vAlign w:val="bottom"/>
        </w:tcPr>
        <w:p w14:paraId="2BA21C98" w14:textId="77777777" w:rsidR="00470388" w:rsidRPr="00554B41" w:rsidRDefault="00470388" w:rsidP="00470388">
          <w:pPr>
            <w:pStyle w:val="Header"/>
          </w:pPr>
        </w:p>
      </w:tc>
      <w:tc>
        <w:tcPr>
          <w:tcW w:w="567" w:type="dxa"/>
          <w:shd w:val="clear" w:color="auto" w:fill="FFFFFF"/>
          <w:vAlign w:val="bottom"/>
        </w:tcPr>
        <w:p w14:paraId="052FBAEE" w14:textId="77777777" w:rsidR="00470388" w:rsidRPr="00554B41" w:rsidRDefault="00470388" w:rsidP="00470388">
          <w:pPr>
            <w:pStyle w:val="Header"/>
          </w:pPr>
        </w:p>
      </w:tc>
    </w:tr>
    <w:tr w:rsidR="00470388" w:rsidRPr="00554B41" w14:paraId="03BA9089" w14:textId="77777777">
      <w:trPr>
        <w:trHeight w:hRule="exact" w:val="851"/>
      </w:trPr>
      <w:tc>
        <w:tcPr>
          <w:tcW w:w="227" w:type="dxa"/>
          <w:shd w:val="clear" w:color="auto" w:fill="FFFFFF"/>
          <w:vAlign w:val="bottom"/>
        </w:tcPr>
        <w:p w14:paraId="3D61871C" w14:textId="77777777" w:rsidR="00470388" w:rsidRPr="00554B41" w:rsidRDefault="00470388" w:rsidP="00470388">
          <w:pPr>
            <w:pStyle w:val="Header"/>
          </w:pPr>
        </w:p>
      </w:tc>
      <w:tc>
        <w:tcPr>
          <w:tcW w:w="1985" w:type="dxa"/>
          <w:shd w:val="clear" w:color="auto" w:fill="FFFFFF"/>
          <w:vAlign w:val="bottom"/>
        </w:tcPr>
        <w:p w14:paraId="618923D2" w14:textId="77777777" w:rsidR="00470388" w:rsidRPr="00554B41" w:rsidRDefault="00F36BE2" w:rsidP="00470388">
          <w:pPr>
            <w:pStyle w:val="Header"/>
          </w:pPr>
          <w:sdt>
            <w:sdtPr>
              <w:alias w:val="NirasLogo"/>
              <w:id w:val="2057959826"/>
              <w:dataBinding w:prefixMappings="xmlns:ns0='http://niras/templates/logo' " w:xpath="/ns0:logo[1]/ns0:image[1]" w:storeItemID="{5831B250-2D74-4D7D-BDA8-ACC64AE5CFD2}"/>
              <w:picture/>
            </w:sdtPr>
            <w:sdtContent>
              <w:r w:rsidR="00470388" w:rsidRPr="00554B41">
                <w:rPr>
                  <w:noProof/>
                </w:rPr>
                <w:drawing>
                  <wp:inline distT="0" distB="0" distL="0" distR="0" wp14:anchorId="2FF42F3C" wp14:editId="45C4D9DA">
                    <wp:extent cx="1260000" cy="407646"/>
                    <wp:effectExtent l="0" t="0" r="0" b="0"/>
                    <wp:docPr id="2094231322" name="Picture 209423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pic:cNvPicPr preferRelativeResize="0">
                              <a:picLocks noChangeAspect="1" noChangeArrowheads="1"/>
                            </pic:cNvPicPr>
                          </pic:nvPicPr>
                          <pic:blipFill>
                            <a:blip r:embed="rId1"/>
                            <a:stretch>
                              <a:fillRect/>
                            </a:stretch>
                          </pic:blipFill>
                          <pic:spPr bwMode="auto">
                            <a:xfrm>
                              <a:off x="0" y="0"/>
                              <a:ext cx="1260000" cy="407646"/>
                            </a:xfrm>
                            <a:prstGeom prst="rect">
                              <a:avLst/>
                            </a:prstGeom>
                            <a:noFill/>
                            <a:ln>
                              <a:noFill/>
                            </a:ln>
                          </pic:spPr>
                        </pic:pic>
                      </a:graphicData>
                    </a:graphic>
                  </wp:inline>
                </w:drawing>
              </w:r>
            </w:sdtContent>
          </w:sdt>
        </w:p>
      </w:tc>
      <w:tc>
        <w:tcPr>
          <w:tcW w:w="567" w:type="dxa"/>
          <w:shd w:val="clear" w:color="auto" w:fill="FFFFFF"/>
          <w:vAlign w:val="bottom"/>
        </w:tcPr>
        <w:p w14:paraId="653029A5" w14:textId="77777777" w:rsidR="00470388" w:rsidRPr="00554B41" w:rsidRDefault="00470388" w:rsidP="00470388">
          <w:pPr>
            <w:pStyle w:val="Header"/>
          </w:pPr>
        </w:p>
      </w:tc>
    </w:tr>
    <w:tr w:rsidR="00470388" w:rsidRPr="00554B41" w14:paraId="245411F4" w14:textId="77777777">
      <w:trPr>
        <w:trHeight w:hRule="exact" w:val="170"/>
      </w:trPr>
      <w:tc>
        <w:tcPr>
          <w:tcW w:w="227" w:type="dxa"/>
          <w:shd w:val="clear" w:color="auto" w:fill="FFFFFF"/>
          <w:vAlign w:val="bottom"/>
        </w:tcPr>
        <w:p w14:paraId="27479955" w14:textId="77777777" w:rsidR="00470388" w:rsidRPr="00554B41" w:rsidRDefault="00470388" w:rsidP="00470388">
          <w:pPr>
            <w:pStyle w:val="Header"/>
          </w:pPr>
        </w:p>
      </w:tc>
      <w:tc>
        <w:tcPr>
          <w:tcW w:w="1985" w:type="dxa"/>
          <w:shd w:val="clear" w:color="auto" w:fill="FFFFFF"/>
          <w:vAlign w:val="bottom"/>
        </w:tcPr>
        <w:p w14:paraId="00D22940" w14:textId="77777777" w:rsidR="00470388" w:rsidRPr="00554B41" w:rsidRDefault="00470388" w:rsidP="00470388">
          <w:pPr>
            <w:pStyle w:val="Header"/>
          </w:pPr>
        </w:p>
      </w:tc>
      <w:tc>
        <w:tcPr>
          <w:tcW w:w="567" w:type="dxa"/>
          <w:shd w:val="clear" w:color="auto" w:fill="FFFFFF"/>
          <w:vAlign w:val="bottom"/>
        </w:tcPr>
        <w:p w14:paraId="198527C9" w14:textId="77777777" w:rsidR="00470388" w:rsidRPr="00554B41" w:rsidRDefault="00470388" w:rsidP="00470388">
          <w:pPr>
            <w:pStyle w:val="Header"/>
          </w:pPr>
        </w:p>
      </w:tc>
    </w:tr>
  </w:tbl>
  <w:p w14:paraId="48418B01" w14:textId="77777777" w:rsidR="00470388" w:rsidRPr="00554B41" w:rsidRDefault="00470388" w:rsidP="00470388">
    <w:pPr>
      <w:pStyle w:val="Header"/>
    </w:pPr>
  </w:p>
  <w:p w14:paraId="157E80E4" w14:textId="77777777" w:rsidR="00470388" w:rsidRPr="00554B41" w:rsidRDefault="00470388" w:rsidP="00470388"/>
  <w:p w14:paraId="2035FCDC" w14:textId="77777777" w:rsidR="0017494F" w:rsidRPr="00554B41" w:rsidRDefault="001749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91DD2" w14:textId="6F332E8A" w:rsidR="00AF75F9" w:rsidRPr="00554B41" w:rsidRDefault="00AF75F9">
    <w:pPr>
      <w:pStyle w:val="Header"/>
    </w:pPr>
    <w:r w:rsidRPr="00554B41">
      <w:rPr>
        <w:noProof/>
      </w:rPr>
      <mc:AlternateContent>
        <mc:Choice Requires="wps">
          <w:drawing>
            <wp:anchor distT="0" distB="0" distL="0" distR="0" simplePos="0" relativeHeight="251658244" behindDoc="0" locked="0" layoutInCell="1" allowOverlap="1" wp14:anchorId="198D4DDC" wp14:editId="4E9E92BE">
              <wp:simplePos x="635" y="635"/>
              <wp:positionH relativeFrom="page">
                <wp:align>center</wp:align>
              </wp:positionH>
              <wp:positionV relativeFrom="page">
                <wp:align>top</wp:align>
              </wp:positionV>
              <wp:extent cx="459740" cy="368300"/>
              <wp:effectExtent l="0" t="0" r="16510" b="12700"/>
              <wp:wrapNone/>
              <wp:docPr id="1351421599"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300"/>
                      </a:xfrm>
                      <a:prstGeom prst="rect">
                        <a:avLst/>
                      </a:prstGeom>
                      <a:noFill/>
                      <a:ln>
                        <a:noFill/>
                      </a:ln>
                    </wps:spPr>
                    <wps:txbx>
                      <w:txbxContent>
                        <w:p w14:paraId="180DCE58" w14:textId="64B1C069" w:rsidR="00AF75F9" w:rsidRPr="00554B41" w:rsidRDefault="00AF75F9" w:rsidP="00AF75F9">
                          <w:pPr>
                            <w:spacing w:after="0"/>
                            <w:rPr>
                              <w:rFonts w:ascii="Calibri" w:eastAsia="Calibri" w:hAnsi="Calibri" w:cs="Calibri"/>
                              <w:color w:val="000000"/>
                            </w:rPr>
                          </w:pPr>
                          <w:r w:rsidRPr="00554B41">
                            <w:rPr>
                              <w:rFonts w:ascii="Calibri" w:eastAsia="Calibri" w:hAnsi="Calibri" w:cs="Calibri"/>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8D4DDC" id="_x0000_t202" coordsize="21600,21600" o:spt="202" path="m,l,21600r21600,l21600,xe">
              <v:stroke joinstyle="miter"/>
              <v:path gradientshapeok="t" o:connecttype="rect"/>
            </v:shapetype>
            <v:shape id="Text Box 10" o:spid="_x0000_s1036" type="#_x0000_t202" alt="OFFICIAL" style="position:absolute;left:0;text-align:left;margin-left:0;margin-top:0;width:36.2pt;height:29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" filled="f" stroked="f">
              <v:textbox style="mso-fit-shape-to-text:t" inset="0,15pt,0,0">
                <w:txbxContent>
                  <w:p w14:paraId="180DCE58" w14:textId="64B1C069" w:rsidR="00AF75F9" w:rsidRPr="00554B41" w:rsidRDefault="00AF75F9" w:rsidP="00AF75F9">
                    <w:pPr>
                      <w:spacing w:after="0"/>
                      <w:rPr>
                        <w:rFonts w:ascii="Calibri" w:eastAsia="Calibri" w:hAnsi="Calibri" w:cs="Calibri"/>
                        <w:color w:val="000000"/>
                      </w:rPr>
                    </w:pPr>
                    <w:r w:rsidRPr="00554B41">
                      <w:rPr>
                        <w:rFonts w:ascii="Calibri" w:eastAsia="Calibri" w:hAnsi="Calibri" w:cs="Calibri"/>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0100F" w14:textId="269DD058" w:rsidR="0061236A" w:rsidRPr="00554B41" w:rsidRDefault="00AF75F9" w:rsidP="009C6B8C">
    <w:pPr>
      <w:pStyle w:val="Header"/>
    </w:pPr>
    <w:r w:rsidRPr="00554B41">
      <w:rPr>
        <w:noProof/>
      </w:rPr>
      <mc:AlternateContent>
        <mc:Choice Requires="wps">
          <w:drawing>
            <wp:anchor distT="0" distB="0" distL="0" distR="0" simplePos="0" relativeHeight="251658243" behindDoc="0" locked="0" layoutInCell="1" allowOverlap="1" wp14:anchorId="0F4E95D7" wp14:editId="6E267069">
              <wp:simplePos x="635" y="635"/>
              <wp:positionH relativeFrom="page">
                <wp:align>center</wp:align>
              </wp:positionH>
              <wp:positionV relativeFrom="page">
                <wp:align>top</wp:align>
              </wp:positionV>
              <wp:extent cx="459740" cy="368300"/>
              <wp:effectExtent l="0" t="0" r="16510" b="12700"/>
              <wp:wrapNone/>
              <wp:docPr id="404927868"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68300"/>
                      </a:xfrm>
                      <a:prstGeom prst="rect">
                        <a:avLst/>
                      </a:prstGeom>
                      <a:noFill/>
                      <a:ln>
                        <a:noFill/>
                      </a:ln>
                    </wps:spPr>
                    <wps:txbx>
                      <w:txbxContent>
                        <w:p w14:paraId="55B059E5" w14:textId="69759323" w:rsidR="00AF75F9" w:rsidRPr="00554B41" w:rsidRDefault="00AF75F9" w:rsidP="00AF75F9">
                          <w:pPr>
                            <w:spacing w:after="0"/>
                            <w:rPr>
                              <w:rFonts w:ascii="Calibri" w:eastAsia="Calibri" w:hAnsi="Calibri" w:cs="Calibri"/>
                              <w:color w:val="000000"/>
                            </w:rPr>
                          </w:pPr>
                          <w:r w:rsidRPr="00554B41">
                            <w:rPr>
                              <w:rFonts w:ascii="Calibri" w:eastAsia="Calibri" w:hAnsi="Calibri" w:cs="Calibri"/>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4E95D7" id="_x0000_t202" coordsize="21600,21600" o:spt="202" path="m,l,21600r21600,l21600,xe">
              <v:stroke joinstyle="miter"/>
              <v:path gradientshapeok="t" o:connecttype="rect"/>
            </v:shapetype>
            <v:shape id="Text Box 13" o:spid="_x0000_s1038" type="#_x0000_t202" alt="OFFICIAL" style="position:absolute;left:0;text-align:left;margin-left:0;margin-top:0;width:36.2pt;height:29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" filled="f" stroked="f">
              <v:textbox style="mso-fit-shape-to-text:t" inset="0,15pt,0,0">
                <w:txbxContent>
                  <w:p w14:paraId="55B059E5" w14:textId="69759323" w:rsidR="00AF75F9" w:rsidRPr="00554B41" w:rsidRDefault="00AF75F9" w:rsidP="00AF75F9">
                    <w:pPr>
                      <w:spacing w:after="0"/>
                      <w:rPr>
                        <w:rFonts w:ascii="Calibri" w:eastAsia="Calibri" w:hAnsi="Calibri" w:cs="Calibri"/>
                        <w:color w:val="000000"/>
                      </w:rPr>
                    </w:pPr>
                    <w:r w:rsidRPr="00554B41">
                      <w:rPr>
                        <w:rFonts w:ascii="Calibri" w:eastAsia="Calibri" w:hAnsi="Calibri" w:cs="Calibri"/>
                        <w:color w:val="000000"/>
                      </w:rPr>
                      <w:t>OFFICIAL</w:t>
                    </w:r>
                  </w:p>
                </w:txbxContent>
              </v:textbox>
              <w10:wrap anchorx="page" anchory="page"/>
            </v:shape>
          </w:pict>
        </mc:Fallback>
      </mc:AlternateContent>
    </w:r>
    <w:r w:rsidR="0061236A" w:rsidRPr="00554B41">
      <w:rPr>
        <w:noProof/>
      </w:rPr>
      <mc:AlternateContent>
        <mc:Choice Requires="wps">
          <w:drawing>
            <wp:anchor distT="0" distB="0" distL="114300" distR="114300" simplePos="0" relativeHeight="251658240" behindDoc="1" locked="1" layoutInCell="1" allowOverlap="1" wp14:anchorId="4F464B9D" wp14:editId="56CFA591">
              <wp:simplePos x="0" y="0"/>
              <wp:positionH relativeFrom="page">
                <wp:align>right</wp:align>
              </wp:positionH>
              <wp:positionV relativeFrom="page">
                <wp:posOffset>737870</wp:posOffset>
              </wp:positionV>
              <wp:extent cx="10692000" cy="0"/>
              <wp:effectExtent l="0" t="0" r="0" b="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692000" cy="0"/>
                      </a:xfrm>
                      <a:prstGeom prst="line">
                        <a:avLst/>
                      </a:prstGeom>
                      <a:ln>
                        <a:solidFill>
                          <a:srgbClr val="4040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pic="http://schemas.openxmlformats.org/drawingml/2006/picture" xmlns:adec="http://schemas.microsoft.com/office/drawing/2017/decorative" xmlns:aclsh="http://schemas.microsoft.com/office/drawing/2020/classificationShape" xmlns:a="http://schemas.openxmlformats.org/drawingml/2006/main">
          <w:pict w14:anchorId="75781C18">
            <v:line id="Straight Connector 20" style="position:absolute;z-index:-251658240;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 alt="&quot;&quot;" o:spid="_x0000_s1026" strokecolor="#404040" strokeweight=".5pt" from="790.7pt,58.1pt" to="1632.6pt,58.1pt" w14:anchorId="7A116E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">
              <v:stroke joinstyle="miter"/>
              <w10:wrap anchorx="page" anchory="page"/>
              <w10:anchorlock/>
            </v:line>
          </w:pict>
        </mc:Fallback>
      </mc:AlternateContent>
    </w:r>
  </w:p>
  <w:tbl>
    <w:tblPr>
      <w:tblStyle w:val="TableGrid"/>
      <w:tblpPr w:leftFromText="142" w:rightFromText="142" w:vertAnchor="page" w:horzAnchor="page"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CellMar>
        <w:left w:w="0" w:type="dxa"/>
        <w:right w:w="0" w:type="dxa"/>
      </w:tblCellMar>
      <w:tblLook w:val="04A0" w:firstRow="1" w:lastRow="0" w:firstColumn="1" w:lastColumn="0" w:noHBand="0" w:noVBand="1"/>
      <w:tblDescription w:val="#LayoutTable"/>
    </w:tblPr>
    <w:tblGrid>
      <w:gridCol w:w="227"/>
      <w:gridCol w:w="1985"/>
      <w:gridCol w:w="567"/>
    </w:tblGrid>
    <w:tr w:rsidR="0061236A" w:rsidRPr="00554B41" w14:paraId="20E345B2" w14:textId="77777777">
      <w:trPr>
        <w:trHeight w:hRule="exact" w:val="312"/>
      </w:trPr>
      <w:tc>
        <w:tcPr>
          <w:tcW w:w="227" w:type="dxa"/>
          <w:shd w:val="clear" w:color="auto" w:fill="FFFFFF"/>
          <w:vAlign w:val="bottom"/>
        </w:tcPr>
        <w:p w14:paraId="1CE4CA1F" w14:textId="77777777" w:rsidR="0061236A" w:rsidRPr="00554B41" w:rsidRDefault="0061236A" w:rsidP="009C6B8C">
          <w:pPr>
            <w:pStyle w:val="Header"/>
          </w:pPr>
        </w:p>
      </w:tc>
      <w:tc>
        <w:tcPr>
          <w:tcW w:w="1985" w:type="dxa"/>
          <w:shd w:val="clear" w:color="auto" w:fill="FFFFFF"/>
          <w:vAlign w:val="bottom"/>
        </w:tcPr>
        <w:p w14:paraId="102AC35C" w14:textId="77777777" w:rsidR="0061236A" w:rsidRPr="00554B41" w:rsidRDefault="0061236A" w:rsidP="009C6B8C">
          <w:pPr>
            <w:pStyle w:val="Header"/>
          </w:pPr>
        </w:p>
      </w:tc>
      <w:tc>
        <w:tcPr>
          <w:tcW w:w="567" w:type="dxa"/>
          <w:shd w:val="clear" w:color="auto" w:fill="FFFFFF"/>
          <w:vAlign w:val="bottom"/>
        </w:tcPr>
        <w:p w14:paraId="53954775" w14:textId="77777777" w:rsidR="0061236A" w:rsidRPr="00554B41" w:rsidRDefault="0061236A" w:rsidP="009C6B8C">
          <w:pPr>
            <w:pStyle w:val="Header"/>
          </w:pPr>
        </w:p>
      </w:tc>
    </w:tr>
    <w:tr w:rsidR="0061236A" w:rsidRPr="00554B41" w14:paraId="623C268A" w14:textId="77777777">
      <w:trPr>
        <w:trHeight w:hRule="exact" w:val="851"/>
      </w:trPr>
      <w:tc>
        <w:tcPr>
          <w:tcW w:w="227" w:type="dxa"/>
          <w:shd w:val="clear" w:color="auto" w:fill="FFFFFF"/>
          <w:vAlign w:val="bottom"/>
        </w:tcPr>
        <w:p w14:paraId="49F5909C" w14:textId="77777777" w:rsidR="0061236A" w:rsidRPr="00554B41" w:rsidRDefault="0061236A" w:rsidP="009C6B8C">
          <w:pPr>
            <w:pStyle w:val="Header"/>
          </w:pPr>
        </w:p>
      </w:tc>
      <w:tc>
        <w:tcPr>
          <w:tcW w:w="1985" w:type="dxa"/>
          <w:shd w:val="clear" w:color="auto" w:fill="FFFFFF"/>
          <w:vAlign w:val="bottom"/>
        </w:tcPr>
        <w:p w14:paraId="6CB98D6E" w14:textId="77777777" w:rsidR="0061236A" w:rsidRPr="00554B41" w:rsidRDefault="00F36BE2" w:rsidP="009C6B8C">
          <w:pPr>
            <w:pStyle w:val="Header"/>
          </w:pPr>
          <w:sdt>
            <w:sdtPr>
              <w:alias w:val="NirasLogo"/>
              <w:id w:val="1206139656"/>
              <w:dataBinding w:prefixMappings="xmlns:ns0='http://niras/templates/logo' " w:xpath="/ns0:logo[1]/ns0:image[1]" w:storeItemID="{5831B250-2D74-4D7D-BDA8-ACC64AE5CFD2}"/>
              <w:picture/>
            </w:sdtPr>
            <w:sdtContent>
              <w:r w:rsidR="0061236A" w:rsidRPr="00554B41">
                <w:rPr>
                  <w:noProof/>
                </w:rPr>
                <w:drawing>
                  <wp:inline distT="0" distB="0" distL="0" distR="0" wp14:anchorId="770F9C37" wp14:editId="2CE8E371">
                    <wp:extent cx="1260000" cy="407646"/>
                    <wp:effectExtent l="0" t="0" r="0" b="0"/>
                    <wp:docPr id="1990668122" name="Picture 199066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pic:cNvPicPr preferRelativeResize="0">
                              <a:picLocks noChangeAspect="1" noChangeArrowheads="1"/>
                            </pic:cNvPicPr>
                          </pic:nvPicPr>
                          <pic:blipFill>
                            <a:blip r:embed="rId1"/>
                            <a:stretch>
                              <a:fillRect/>
                            </a:stretch>
                          </pic:blipFill>
                          <pic:spPr bwMode="auto">
                            <a:xfrm>
                              <a:off x="0" y="0"/>
                              <a:ext cx="1260000" cy="407646"/>
                            </a:xfrm>
                            <a:prstGeom prst="rect">
                              <a:avLst/>
                            </a:prstGeom>
                            <a:noFill/>
                            <a:ln>
                              <a:noFill/>
                            </a:ln>
                          </pic:spPr>
                        </pic:pic>
                      </a:graphicData>
                    </a:graphic>
                  </wp:inline>
                </w:drawing>
              </w:r>
            </w:sdtContent>
          </w:sdt>
        </w:p>
      </w:tc>
      <w:tc>
        <w:tcPr>
          <w:tcW w:w="567" w:type="dxa"/>
          <w:shd w:val="clear" w:color="auto" w:fill="FFFFFF"/>
          <w:vAlign w:val="bottom"/>
        </w:tcPr>
        <w:p w14:paraId="2573B038" w14:textId="77777777" w:rsidR="0061236A" w:rsidRPr="00554B41" w:rsidRDefault="0061236A" w:rsidP="009C6B8C">
          <w:pPr>
            <w:pStyle w:val="Header"/>
          </w:pPr>
        </w:p>
      </w:tc>
    </w:tr>
    <w:tr w:rsidR="0061236A" w:rsidRPr="00554B41" w14:paraId="2B551C6F" w14:textId="77777777">
      <w:trPr>
        <w:trHeight w:hRule="exact" w:val="170"/>
      </w:trPr>
      <w:tc>
        <w:tcPr>
          <w:tcW w:w="227" w:type="dxa"/>
          <w:shd w:val="clear" w:color="auto" w:fill="FFFFFF"/>
          <w:vAlign w:val="bottom"/>
        </w:tcPr>
        <w:p w14:paraId="389F5FF0" w14:textId="77777777" w:rsidR="0061236A" w:rsidRPr="00554B41" w:rsidRDefault="0061236A" w:rsidP="009C6B8C">
          <w:pPr>
            <w:pStyle w:val="Header"/>
          </w:pPr>
        </w:p>
      </w:tc>
      <w:tc>
        <w:tcPr>
          <w:tcW w:w="1985" w:type="dxa"/>
          <w:shd w:val="clear" w:color="auto" w:fill="FFFFFF"/>
          <w:vAlign w:val="bottom"/>
        </w:tcPr>
        <w:p w14:paraId="553051ED" w14:textId="77777777" w:rsidR="0061236A" w:rsidRPr="00554B41" w:rsidRDefault="0061236A" w:rsidP="009C6B8C">
          <w:pPr>
            <w:pStyle w:val="Header"/>
          </w:pPr>
        </w:p>
      </w:tc>
      <w:tc>
        <w:tcPr>
          <w:tcW w:w="567" w:type="dxa"/>
          <w:shd w:val="clear" w:color="auto" w:fill="FFFFFF"/>
          <w:vAlign w:val="bottom"/>
        </w:tcPr>
        <w:p w14:paraId="39C3E5D6" w14:textId="77777777" w:rsidR="0061236A" w:rsidRPr="00554B41" w:rsidRDefault="0061236A" w:rsidP="009C6B8C">
          <w:pPr>
            <w:pStyle w:val="Header"/>
          </w:pPr>
        </w:p>
      </w:tc>
    </w:tr>
  </w:tbl>
  <w:p w14:paraId="7B30920E" w14:textId="77777777" w:rsidR="0061236A" w:rsidRPr="00554B41" w:rsidRDefault="0061236A" w:rsidP="009C6B8C">
    <w:pPr>
      <w:pStyle w:val="Header"/>
    </w:pPr>
  </w:p>
  <w:p w14:paraId="57F284D8" w14:textId="77777777" w:rsidR="006F6C64" w:rsidRPr="00554B41" w:rsidRDefault="006F6C6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6EF402A2"/>
    <w:styleLink w:val="ListStyle-ListBullet"/>
    <w:lvl w:ilvl="0">
      <w:start w:val="1"/>
      <w:numFmt w:val="decimal"/>
      <w:lvlText w:val="%1."/>
      <w:lvlJc w:val="left"/>
      <w:pPr>
        <w:tabs>
          <w:tab w:val="num" w:pos="1209"/>
        </w:tabs>
        <w:ind w:left="1209" w:hanging="360"/>
      </w:pPr>
    </w:lvl>
  </w:abstractNum>
  <w:abstractNum w:abstractNumId="1" w15:restartNumberingAfterBreak="0">
    <w:nsid w:val="FFFFFF80"/>
    <w:multiLevelType w:val="singleLevel"/>
    <w:tmpl w:val="EDC08C86"/>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0AE42310"/>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8"/>
    <w:multiLevelType w:val="singleLevel"/>
    <w:tmpl w:val="7C32EB3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ADE60052"/>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30331F2"/>
    <w:multiLevelType w:val="multilevel"/>
    <w:tmpl w:val="F8EC3F14"/>
    <w:styleLink w:val="ListStyle-AppendixHeading"/>
    <w:lvl w:ilvl="0">
      <w:start w:val="1"/>
      <w:numFmt w:val="bullet"/>
      <w:lvlText w:val="•"/>
      <w:lvlJc w:val="left"/>
      <w:pPr>
        <w:ind w:left="142" w:hanging="142"/>
      </w:pPr>
      <w:rPr>
        <w:rFonts w:ascii="Segoe UI" w:hAnsi="Segoe UI" w:hint="default"/>
      </w:rPr>
    </w:lvl>
    <w:lvl w:ilvl="1">
      <w:start w:val="1"/>
      <w:numFmt w:val="bullet"/>
      <w:lvlText w:val="•"/>
      <w:lvlJc w:val="left"/>
      <w:pPr>
        <w:ind w:left="284" w:hanging="142"/>
      </w:pPr>
      <w:rPr>
        <w:rFonts w:ascii="Segoe UI" w:hAnsi="Segoe UI" w:hint="default"/>
      </w:rPr>
    </w:lvl>
    <w:lvl w:ilvl="2">
      <w:start w:val="1"/>
      <w:numFmt w:val="bullet"/>
      <w:lvlText w:val="•"/>
      <w:lvlJc w:val="left"/>
      <w:pPr>
        <w:ind w:left="426" w:hanging="142"/>
      </w:pPr>
      <w:rPr>
        <w:rFonts w:ascii="Segoe UI" w:hAnsi="Segoe UI" w:hint="default"/>
      </w:rPr>
    </w:lvl>
    <w:lvl w:ilvl="3">
      <w:start w:val="1"/>
      <w:numFmt w:val="bullet"/>
      <w:lvlText w:val="•"/>
      <w:lvlJc w:val="left"/>
      <w:pPr>
        <w:ind w:left="568" w:hanging="142"/>
      </w:pPr>
      <w:rPr>
        <w:rFonts w:ascii="Segoe UI" w:hAnsi="Segoe UI" w:hint="default"/>
      </w:rPr>
    </w:lvl>
    <w:lvl w:ilvl="4">
      <w:start w:val="1"/>
      <w:numFmt w:val="bullet"/>
      <w:lvlText w:val="•"/>
      <w:lvlJc w:val="left"/>
      <w:pPr>
        <w:ind w:left="710" w:hanging="142"/>
      </w:pPr>
      <w:rPr>
        <w:rFonts w:ascii="Segoe UI" w:hAnsi="Segoe UI" w:hint="default"/>
      </w:rPr>
    </w:lvl>
    <w:lvl w:ilvl="5">
      <w:start w:val="1"/>
      <w:numFmt w:val="bullet"/>
      <w:lvlText w:val="•"/>
      <w:lvlJc w:val="left"/>
      <w:pPr>
        <w:ind w:left="852" w:hanging="142"/>
      </w:pPr>
      <w:rPr>
        <w:rFonts w:ascii="Segoe UI" w:hAnsi="Segoe UI" w:hint="default"/>
      </w:rPr>
    </w:lvl>
    <w:lvl w:ilvl="6">
      <w:start w:val="1"/>
      <w:numFmt w:val="bullet"/>
      <w:lvlText w:val="•"/>
      <w:lvlJc w:val="left"/>
      <w:pPr>
        <w:ind w:left="994" w:hanging="142"/>
      </w:pPr>
      <w:rPr>
        <w:rFonts w:ascii="Segoe UI" w:hAnsi="Segoe UI" w:hint="default"/>
      </w:rPr>
    </w:lvl>
    <w:lvl w:ilvl="7">
      <w:start w:val="1"/>
      <w:numFmt w:val="bullet"/>
      <w:lvlText w:val="•"/>
      <w:lvlJc w:val="left"/>
      <w:pPr>
        <w:ind w:left="1136" w:hanging="142"/>
      </w:pPr>
      <w:rPr>
        <w:rFonts w:ascii="Segoe UI" w:hAnsi="Segoe UI" w:hint="default"/>
      </w:rPr>
    </w:lvl>
    <w:lvl w:ilvl="8">
      <w:start w:val="1"/>
      <w:numFmt w:val="bullet"/>
      <w:lvlText w:val="•"/>
      <w:lvlJc w:val="left"/>
      <w:pPr>
        <w:ind w:left="1278" w:hanging="142"/>
      </w:pPr>
      <w:rPr>
        <w:rFonts w:ascii="Segoe UI" w:hAnsi="Segoe UI" w:hint="default"/>
      </w:rPr>
    </w:lvl>
  </w:abstractNum>
  <w:abstractNum w:abstractNumId="6" w15:restartNumberingAfterBreak="0">
    <w:nsid w:val="04AB53E8"/>
    <w:multiLevelType w:val="hybridMultilevel"/>
    <w:tmpl w:val="C0309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C9478C"/>
    <w:multiLevelType w:val="hybridMultilevel"/>
    <w:tmpl w:val="1C28A4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01403CD"/>
    <w:multiLevelType w:val="multilevel"/>
    <w:tmpl w:val="FE7EC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DB5D65"/>
    <w:multiLevelType w:val="multilevel"/>
    <w:tmpl w:val="9ACC272A"/>
    <w:lvl w:ilvl="0">
      <w:start w:val="1"/>
      <w:numFmt w:val="decimal"/>
      <w:lvlText w:val="%1."/>
      <w:lvlJc w:val="left"/>
      <w:pPr>
        <w:ind w:left="510" w:hanging="340"/>
      </w:pPr>
      <w:rPr>
        <w:rFonts w:ascii="Segoe UI" w:hAnsi="Segoe UI" w:cs="Segoe UI" w:hint="default"/>
      </w:rPr>
    </w:lvl>
    <w:lvl w:ilvl="1">
      <w:start w:val="1"/>
      <w:numFmt w:val="decimal"/>
      <w:lvlText w:val="%1.%2."/>
      <w:lvlJc w:val="left"/>
      <w:pPr>
        <w:ind w:left="794" w:hanging="624"/>
      </w:pPr>
      <w:rPr>
        <w:rFonts w:ascii="Segoe UI" w:hAnsi="Segoe UI" w:hint="default"/>
      </w:rPr>
    </w:lvl>
    <w:lvl w:ilvl="2">
      <w:start w:val="1"/>
      <w:numFmt w:val="decimal"/>
      <w:lvlText w:val="%1.%2.%3."/>
      <w:lvlJc w:val="left"/>
      <w:pPr>
        <w:ind w:left="964" w:hanging="794"/>
      </w:pPr>
      <w:rPr>
        <w:rFonts w:ascii="Segoe UI" w:hAnsi="Segoe UI" w:hint="default"/>
      </w:rPr>
    </w:lvl>
    <w:lvl w:ilvl="3">
      <w:start w:val="1"/>
      <w:numFmt w:val="decimal"/>
      <w:lvlText w:val="%1.%2.%3.%4."/>
      <w:lvlJc w:val="left"/>
      <w:pPr>
        <w:ind w:left="1134" w:hanging="964"/>
      </w:pPr>
      <w:rPr>
        <w:rFonts w:ascii="Segoe UI" w:hAnsi="Segoe UI" w:hint="default"/>
      </w:rPr>
    </w:lvl>
    <w:lvl w:ilvl="4">
      <w:start w:val="1"/>
      <w:numFmt w:val="decimal"/>
      <w:lvlText w:val="%1.%2.%3.%4.%5."/>
      <w:lvlJc w:val="left"/>
      <w:pPr>
        <w:ind w:left="1304" w:hanging="1134"/>
      </w:pPr>
      <w:rPr>
        <w:rFonts w:ascii="Segoe UI" w:hAnsi="Segoe UI" w:hint="default"/>
      </w:rPr>
    </w:lvl>
    <w:lvl w:ilvl="5">
      <w:start w:val="1"/>
      <w:numFmt w:val="decimal"/>
      <w:lvlText w:val="%1.%2.%3.%4.%5.%6."/>
      <w:lvlJc w:val="left"/>
      <w:pPr>
        <w:ind w:left="1531" w:hanging="1361"/>
      </w:pPr>
      <w:rPr>
        <w:rFonts w:ascii="Segoe UI" w:hAnsi="Segoe UI" w:hint="default"/>
      </w:rPr>
    </w:lvl>
    <w:lvl w:ilvl="6">
      <w:start w:val="1"/>
      <w:numFmt w:val="decimal"/>
      <w:lvlText w:val="%1.%2.%3.%4.%5.%6.%7."/>
      <w:lvlJc w:val="left"/>
      <w:pPr>
        <w:ind w:left="1701" w:hanging="1531"/>
      </w:pPr>
      <w:rPr>
        <w:rFonts w:ascii="Segoe UI" w:hAnsi="Segoe UI" w:hint="default"/>
      </w:rPr>
    </w:lvl>
    <w:lvl w:ilvl="7">
      <w:start w:val="1"/>
      <w:numFmt w:val="decimal"/>
      <w:lvlText w:val="%1.%2.%3.%4.%5.%6.%7.%8."/>
      <w:lvlJc w:val="left"/>
      <w:pPr>
        <w:ind w:left="1871" w:hanging="1701"/>
      </w:pPr>
      <w:rPr>
        <w:rFonts w:ascii="Segoe UI" w:hAnsi="Segoe UI" w:hint="default"/>
      </w:rPr>
    </w:lvl>
    <w:lvl w:ilvl="8">
      <w:start w:val="1"/>
      <w:numFmt w:val="decimal"/>
      <w:lvlText w:val="%1.%2.%3.%4.%5.%6.%7.%8.%9."/>
      <w:lvlJc w:val="left"/>
      <w:pPr>
        <w:ind w:left="2098" w:hanging="1928"/>
      </w:pPr>
      <w:rPr>
        <w:rFonts w:ascii="Segoe UI" w:hAnsi="Segoe UI" w:hint="default"/>
      </w:rPr>
    </w:lvl>
  </w:abstractNum>
  <w:abstractNum w:abstractNumId="10" w15:restartNumberingAfterBreak="0">
    <w:nsid w:val="18273ADB"/>
    <w:multiLevelType w:val="hybridMultilevel"/>
    <w:tmpl w:val="245E8C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B647738"/>
    <w:multiLevelType w:val="hybridMultilevel"/>
    <w:tmpl w:val="562C36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19191E"/>
    <w:multiLevelType w:val="multilevel"/>
    <w:tmpl w:val="3EF4A818"/>
    <w:styleLink w:val="ListStyle-TableListNumber"/>
    <w:lvl w:ilvl="0">
      <w:start w:val="1"/>
      <w:numFmt w:val="bullet"/>
      <w:lvlText w:val="•"/>
      <w:lvlJc w:val="left"/>
      <w:pPr>
        <w:ind w:left="454" w:hanging="284"/>
      </w:pPr>
      <w:rPr>
        <w:rFonts w:ascii="Segoe UI" w:hAnsi="Segoe UI" w:hint="default"/>
      </w:rPr>
    </w:lvl>
    <w:lvl w:ilvl="1">
      <w:start w:val="1"/>
      <w:numFmt w:val="bullet"/>
      <w:lvlText w:val="•"/>
      <w:lvlJc w:val="left"/>
      <w:pPr>
        <w:ind w:left="738" w:hanging="284"/>
      </w:pPr>
      <w:rPr>
        <w:rFonts w:ascii="Segoe UI" w:hAnsi="Segoe UI" w:cs="Times New Roman" w:hint="default"/>
      </w:rPr>
    </w:lvl>
    <w:lvl w:ilvl="2">
      <w:start w:val="1"/>
      <w:numFmt w:val="bullet"/>
      <w:lvlText w:val="•"/>
      <w:lvlJc w:val="left"/>
      <w:pPr>
        <w:ind w:left="1022" w:hanging="284"/>
      </w:pPr>
      <w:rPr>
        <w:rFonts w:ascii="Segoe UI" w:hAnsi="Segoe UI" w:cs="Times New Roman" w:hint="default"/>
      </w:rPr>
    </w:lvl>
    <w:lvl w:ilvl="3">
      <w:start w:val="1"/>
      <w:numFmt w:val="bullet"/>
      <w:lvlText w:val="•"/>
      <w:lvlJc w:val="left"/>
      <w:pPr>
        <w:ind w:left="1306" w:hanging="284"/>
      </w:pPr>
      <w:rPr>
        <w:rFonts w:ascii="Segoe UI" w:hAnsi="Segoe UI" w:cs="Times New Roman" w:hint="default"/>
      </w:rPr>
    </w:lvl>
    <w:lvl w:ilvl="4">
      <w:start w:val="1"/>
      <w:numFmt w:val="bullet"/>
      <w:lvlText w:val="•"/>
      <w:lvlJc w:val="left"/>
      <w:pPr>
        <w:ind w:left="1590" w:hanging="284"/>
      </w:pPr>
      <w:rPr>
        <w:rFonts w:ascii="Segoe UI" w:hAnsi="Segoe UI" w:cs="Times New Roman" w:hint="default"/>
      </w:rPr>
    </w:lvl>
    <w:lvl w:ilvl="5">
      <w:start w:val="1"/>
      <w:numFmt w:val="bullet"/>
      <w:lvlText w:val="•"/>
      <w:lvlJc w:val="left"/>
      <w:pPr>
        <w:ind w:left="1874" w:hanging="284"/>
      </w:pPr>
      <w:rPr>
        <w:rFonts w:ascii="Segoe UI" w:hAnsi="Segoe UI" w:cs="Times New Roman" w:hint="default"/>
      </w:rPr>
    </w:lvl>
    <w:lvl w:ilvl="6">
      <w:start w:val="1"/>
      <w:numFmt w:val="bullet"/>
      <w:lvlText w:val="•"/>
      <w:lvlJc w:val="left"/>
      <w:pPr>
        <w:ind w:left="2158" w:hanging="284"/>
      </w:pPr>
      <w:rPr>
        <w:rFonts w:ascii="Segoe UI" w:hAnsi="Segoe UI" w:cs="Times New Roman" w:hint="default"/>
      </w:rPr>
    </w:lvl>
    <w:lvl w:ilvl="7">
      <w:start w:val="1"/>
      <w:numFmt w:val="bullet"/>
      <w:lvlText w:val="•"/>
      <w:lvlJc w:val="left"/>
      <w:pPr>
        <w:ind w:left="2442" w:hanging="284"/>
      </w:pPr>
      <w:rPr>
        <w:rFonts w:ascii="Segoe UI" w:hAnsi="Segoe UI" w:cs="Times New Roman" w:hint="default"/>
      </w:rPr>
    </w:lvl>
    <w:lvl w:ilvl="8">
      <w:start w:val="1"/>
      <w:numFmt w:val="bullet"/>
      <w:lvlText w:val="•"/>
      <w:lvlJc w:val="left"/>
      <w:pPr>
        <w:ind w:left="2726" w:hanging="284"/>
      </w:pPr>
      <w:rPr>
        <w:rFonts w:ascii="Segoe UI" w:hAnsi="Segoe UI" w:cs="Times New Roman" w:hint="default"/>
      </w:rPr>
    </w:lvl>
  </w:abstractNum>
  <w:abstractNum w:abstractNumId="13" w15:restartNumberingAfterBreak="0">
    <w:nsid w:val="237E50CA"/>
    <w:multiLevelType w:val="singleLevel"/>
    <w:tmpl w:val="6EF402A2"/>
    <w:styleLink w:val="ListStyle-FactBoxListBullet"/>
    <w:lvl w:ilvl="0">
      <w:start w:val="1"/>
      <w:numFmt w:val="decimal"/>
      <w:lvlText w:val="%1."/>
      <w:lvlJc w:val="left"/>
      <w:pPr>
        <w:tabs>
          <w:tab w:val="num" w:pos="1209"/>
        </w:tabs>
        <w:ind w:left="1209" w:hanging="360"/>
      </w:pPr>
    </w:lvl>
  </w:abstractNum>
  <w:abstractNum w:abstractNumId="14" w15:restartNumberingAfterBreak="0">
    <w:nsid w:val="26C16B4A"/>
    <w:multiLevelType w:val="multilevel"/>
    <w:tmpl w:val="81FC0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BC1A18"/>
    <w:multiLevelType w:val="multilevel"/>
    <w:tmpl w:val="7FF20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675DD0"/>
    <w:multiLevelType w:val="multilevel"/>
    <w:tmpl w:val="B41AFB3C"/>
    <w:styleLink w:val="1ai"/>
    <w:lvl w:ilvl="0">
      <w:start w:val="1"/>
      <w:numFmt w:val="decimal"/>
      <w:lvlText w:val="%1)"/>
      <w:lvlJc w:val="left"/>
      <w:pPr>
        <w:ind w:left="360" w:hanging="360"/>
      </w:pPr>
      <w:rPr>
        <w:rFonts w:ascii="Segoe UI" w:hAnsi="Segoe UI" w:cs="Segoe UI" w:hint="default"/>
      </w:rPr>
    </w:lvl>
    <w:lvl w:ilvl="1">
      <w:start w:val="1"/>
      <w:numFmt w:val="lowerLetter"/>
      <w:lvlText w:val="%2)"/>
      <w:lvlJc w:val="left"/>
      <w:pPr>
        <w:ind w:left="720" w:hanging="360"/>
      </w:pPr>
      <w:rPr>
        <w:rFonts w:ascii="Segoe UI" w:hAnsi="Segoe UI" w:hint="default"/>
      </w:rPr>
    </w:lvl>
    <w:lvl w:ilvl="2">
      <w:start w:val="1"/>
      <w:numFmt w:val="lowerRoman"/>
      <w:lvlText w:val="%3)"/>
      <w:lvlJc w:val="left"/>
      <w:pPr>
        <w:ind w:left="1080" w:hanging="360"/>
      </w:pPr>
      <w:rPr>
        <w:rFonts w:ascii="Segoe UI" w:hAnsi="Segoe UI" w:hint="default"/>
      </w:rPr>
    </w:lvl>
    <w:lvl w:ilvl="3">
      <w:start w:val="1"/>
      <w:numFmt w:val="decimal"/>
      <w:lvlText w:val="(%4)"/>
      <w:lvlJc w:val="left"/>
      <w:pPr>
        <w:ind w:left="1440" w:hanging="360"/>
      </w:pPr>
      <w:rPr>
        <w:rFonts w:ascii="Segoe UI" w:hAnsi="Segoe UI" w:hint="default"/>
      </w:rPr>
    </w:lvl>
    <w:lvl w:ilvl="4">
      <w:start w:val="1"/>
      <w:numFmt w:val="lowerLetter"/>
      <w:lvlText w:val="(%5)"/>
      <w:lvlJc w:val="left"/>
      <w:pPr>
        <w:ind w:left="1800" w:hanging="360"/>
      </w:pPr>
      <w:rPr>
        <w:rFonts w:ascii="Segoe UI" w:hAnsi="Segoe UI" w:hint="default"/>
      </w:rPr>
    </w:lvl>
    <w:lvl w:ilvl="5">
      <w:start w:val="1"/>
      <w:numFmt w:val="lowerRoman"/>
      <w:lvlText w:val="(%6)"/>
      <w:lvlJc w:val="left"/>
      <w:pPr>
        <w:ind w:left="2160" w:hanging="360"/>
      </w:pPr>
      <w:rPr>
        <w:rFonts w:ascii="Segoe UI" w:hAnsi="Segoe UI" w:hint="default"/>
      </w:rPr>
    </w:lvl>
    <w:lvl w:ilvl="6">
      <w:start w:val="1"/>
      <w:numFmt w:val="decimal"/>
      <w:lvlText w:val="%7."/>
      <w:lvlJc w:val="left"/>
      <w:pPr>
        <w:ind w:left="2520" w:hanging="360"/>
      </w:pPr>
      <w:rPr>
        <w:rFonts w:ascii="Segoe UI" w:hAnsi="Segoe UI" w:hint="default"/>
      </w:rPr>
    </w:lvl>
    <w:lvl w:ilvl="7">
      <w:start w:val="1"/>
      <w:numFmt w:val="lowerLetter"/>
      <w:lvlText w:val="%8."/>
      <w:lvlJc w:val="left"/>
      <w:pPr>
        <w:ind w:left="2880" w:hanging="360"/>
      </w:pPr>
      <w:rPr>
        <w:rFonts w:ascii="Segoe UI" w:hAnsi="Segoe UI" w:hint="default"/>
      </w:rPr>
    </w:lvl>
    <w:lvl w:ilvl="8">
      <w:start w:val="1"/>
      <w:numFmt w:val="lowerRoman"/>
      <w:lvlText w:val="%9."/>
      <w:lvlJc w:val="left"/>
      <w:pPr>
        <w:ind w:left="3240" w:hanging="360"/>
      </w:pPr>
      <w:rPr>
        <w:rFonts w:ascii="Segoe UI" w:hAnsi="Segoe UI" w:hint="default"/>
      </w:rPr>
    </w:lvl>
  </w:abstractNum>
  <w:abstractNum w:abstractNumId="17" w15:restartNumberingAfterBreak="0">
    <w:nsid w:val="32D26836"/>
    <w:multiLevelType w:val="multilevel"/>
    <w:tmpl w:val="8542932C"/>
    <w:styleLink w:val="ListStyle-FactBoxListNumber"/>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lvl>
    <w:lvl w:ilvl="2">
      <w:start w:val="1"/>
      <w:numFmt w:val="decimal"/>
      <w:pStyle w:val="Heading3"/>
      <w:lvlText w:val="%1.%2.%3"/>
      <w:lvlJc w:val="left"/>
      <w:pPr>
        <w:ind w:left="851" w:hanging="851"/>
      </w:p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1247" w:hanging="1247"/>
      </w:pPr>
      <w:rPr>
        <w:rFonts w:hint="default"/>
      </w:rPr>
    </w:lvl>
    <w:lvl w:ilvl="6">
      <w:start w:val="1"/>
      <w:numFmt w:val="decimal"/>
      <w:pStyle w:val="Heading7"/>
      <w:lvlText w:val="%1.%2.%3.%4.%5.%6.%7"/>
      <w:lvlJc w:val="left"/>
      <w:pPr>
        <w:ind w:left="1247" w:hanging="1247"/>
      </w:pPr>
      <w:rPr>
        <w:rFonts w:hint="default"/>
      </w:rPr>
    </w:lvl>
    <w:lvl w:ilvl="7">
      <w:start w:val="1"/>
      <w:numFmt w:val="decimal"/>
      <w:pStyle w:val="Heading8"/>
      <w:lvlText w:val="%1.%2.%3.%4.%5.%6.%7.%8"/>
      <w:lvlJc w:val="left"/>
      <w:pPr>
        <w:ind w:left="1247" w:hanging="1247"/>
      </w:pPr>
      <w:rPr>
        <w:rFonts w:hint="default"/>
      </w:rPr>
    </w:lvl>
    <w:lvl w:ilvl="8">
      <w:start w:val="1"/>
      <w:numFmt w:val="none"/>
      <w:pStyle w:val="Heading9"/>
      <w:suff w:val="nothing"/>
      <w:lvlText w:val=""/>
      <w:lvlJc w:val="left"/>
      <w:pPr>
        <w:ind w:left="0" w:firstLine="0"/>
      </w:pPr>
      <w:rPr>
        <w:rFonts w:hint="default"/>
      </w:rPr>
    </w:lvl>
  </w:abstractNum>
  <w:abstractNum w:abstractNumId="18" w15:restartNumberingAfterBreak="0">
    <w:nsid w:val="3AD65249"/>
    <w:multiLevelType w:val="hybridMultilevel"/>
    <w:tmpl w:val="542EBBF2"/>
    <w:lvl w:ilvl="0" w:tplc="EC4A62FC">
      <w:start w:val="1"/>
      <w:numFmt w:val="decimal"/>
      <w:lvlText w:val="%1."/>
      <w:lvlJc w:val="left"/>
      <w:pPr>
        <w:ind w:left="400" w:hanging="360"/>
      </w:pPr>
      <w:rPr>
        <w:rFonts w:hint="default"/>
        <w:b w:val="0"/>
        <w:bCs/>
      </w:rPr>
    </w:lvl>
    <w:lvl w:ilvl="1" w:tplc="08090019" w:tentative="1">
      <w:start w:val="1"/>
      <w:numFmt w:val="lowerLetter"/>
      <w:lvlText w:val="%2."/>
      <w:lvlJc w:val="left"/>
      <w:pPr>
        <w:ind w:left="1120" w:hanging="360"/>
      </w:pPr>
    </w:lvl>
    <w:lvl w:ilvl="2" w:tplc="0809001B" w:tentative="1">
      <w:start w:val="1"/>
      <w:numFmt w:val="lowerRoman"/>
      <w:lvlText w:val="%3."/>
      <w:lvlJc w:val="right"/>
      <w:pPr>
        <w:ind w:left="1840" w:hanging="180"/>
      </w:pPr>
    </w:lvl>
    <w:lvl w:ilvl="3" w:tplc="0809000F" w:tentative="1">
      <w:start w:val="1"/>
      <w:numFmt w:val="decimal"/>
      <w:lvlText w:val="%4."/>
      <w:lvlJc w:val="left"/>
      <w:pPr>
        <w:ind w:left="2560" w:hanging="360"/>
      </w:pPr>
    </w:lvl>
    <w:lvl w:ilvl="4" w:tplc="08090019" w:tentative="1">
      <w:start w:val="1"/>
      <w:numFmt w:val="lowerLetter"/>
      <w:lvlText w:val="%5."/>
      <w:lvlJc w:val="left"/>
      <w:pPr>
        <w:ind w:left="3280" w:hanging="360"/>
      </w:pPr>
    </w:lvl>
    <w:lvl w:ilvl="5" w:tplc="0809001B" w:tentative="1">
      <w:start w:val="1"/>
      <w:numFmt w:val="lowerRoman"/>
      <w:lvlText w:val="%6."/>
      <w:lvlJc w:val="right"/>
      <w:pPr>
        <w:ind w:left="4000" w:hanging="180"/>
      </w:pPr>
    </w:lvl>
    <w:lvl w:ilvl="6" w:tplc="0809000F" w:tentative="1">
      <w:start w:val="1"/>
      <w:numFmt w:val="decimal"/>
      <w:lvlText w:val="%7."/>
      <w:lvlJc w:val="left"/>
      <w:pPr>
        <w:ind w:left="4720" w:hanging="360"/>
      </w:pPr>
    </w:lvl>
    <w:lvl w:ilvl="7" w:tplc="08090019" w:tentative="1">
      <w:start w:val="1"/>
      <w:numFmt w:val="lowerLetter"/>
      <w:lvlText w:val="%8."/>
      <w:lvlJc w:val="left"/>
      <w:pPr>
        <w:ind w:left="5440" w:hanging="360"/>
      </w:pPr>
    </w:lvl>
    <w:lvl w:ilvl="8" w:tplc="0809001B" w:tentative="1">
      <w:start w:val="1"/>
      <w:numFmt w:val="lowerRoman"/>
      <w:lvlText w:val="%9."/>
      <w:lvlJc w:val="right"/>
      <w:pPr>
        <w:ind w:left="6160" w:hanging="180"/>
      </w:pPr>
    </w:lvl>
  </w:abstractNum>
  <w:abstractNum w:abstractNumId="19" w15:restartNumberingAfterBreak="0">
    <w:nsid w:val="3C3D42AC"/>
    <w:multiLevelType w:val="multilevel"/>
    <w:tmpl w:val="27E4A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FF6D79"/>
    <w:multiLevelType w:val="multilevel"/>
    <w:tmpl w:val="38DE2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CE1BBE"/>
    <w:multiLevelType w:val="multilevel"/>
    <w:tmpl w:val="EA484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00232D"/>
    <w:multiLevelType w:val="multilevel"/>
    <w:tmpl w:val="B284E5F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464B2449"/>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73157CF"/>
    <w:multiLevelType w:val="multilevel"/>
    <w:tmpl w:val="8D6AB31E"/>
    <w:styleLink w:val="ListStyle-TableListBullet"/>
    <w:lvl w:ilvl="0">
      <w:start w:val="1"/>
      <w:numFmt w:val="bullet"/>
      <w:lvlText w:val="•"/>
      <w:lvlJc w:val="left"/>
      <w:pPr>
        <w:ind w:left="284" w:hanging="171"/>
      </w:pPr>
      <w:rPr>
        <w:rFonts w:ascii="Segoe UI" w:hAnsi="Segoe UI" w:hint="default"/>
      </w:rPr>
    </w:lvl>
    <w:lvl w:ilvl="1">
      <w:start w:val="1"/>
      <w:numFmt w:val="bullet"/>
      <w:lvlText w:val="•"/>
      <w:lvlJc w:val="left"/>
      <w:pPr>
        <w:ind w:left="454" w:hanging="171"/>
      </w:pPr>
      <w:rPr>
        <w:rFonts w:ascii="Segoe UI" w:hAnsi="Segoe UI" w:cs="Times New Roman" w:hint="default"/>
      </w:rPr>
    </w:lvl>
    <w:lvl w:ilvl="2">
      <w:start w:val="1"/>
      <w:numFmt w:val="bullet"/>
      <w:lvlText w:val="•"/>
      <w:lvlJc w:val="left"/>
      <w:pPr>
        <w:ind w:left="624" w:hanging="171"/>
      </w:pPr>
      <w:rPr>
        <w:rFonts w:ascii="Segoe UI" w:hAnsi="Segoe UI" w:cs="Times New Roman" w:hint="default"/>
      </w:rPr>
    </w:lvl>
    <w:lvl w:ilvl="3">
      <w:start w:val="1"/>
      <w:numFmt w:val="bullet"/>
      <w:lvlText w:val="•"/>
      <w:lvlJc w:val="left"/>
      <w:pPr>
        <w:ind w:left="794" w:hanging="171"/>
      </w:pPr>
      <w:rPr>
        <w:rFonts w:ascii="Segoe UI" w:hAnsi="Segoe UI" w:cs="Times New Roman" w:hint="default"/>
      </w:rPr>
    </w:lvl>
    <w:lvl w:ilvl="4">
      <w:start w:val="1"/>
      <w:numFmt w:val="bullet"/>
      <w:lvlText w:val="•"/>
      <w:lvlJc w:val="left"/>
      <w:pPr>
        <w:ind w:left="964" w:hanging="171"/>
      </w:pPr>
      <w:rPr>
        <w:rFonts w:ascii="Segoe UI" w:hAnsi="Segoe UI" w:cs="Times New Roman" w:hint="default"/>
      </w:rPr>
    </w:lvl>
    <w:lvl w:ilvl="5">
      <w:start w:val="1"/>
      <w:numFmt w:val="bullet"/>
      <w:lvlText w:val="•"/>
      <w:lvlJc w:val="left"/>
      <w:pPr>
        <w:ind w:left="1134" w:hanging="171"/>
      </w:pPr>
      <w:rPr>
        <w:rFonts w:ascii="Segoe UI" w:hAnsi="Segoe UI" w:cs="Times New Roman" w:hint="default"/>
      </w:rPr>
    </w:lvl>
    <w:lvl w:ilvl="6">
      <w:start w:val="1"/>
      <w:numFmt w:val="bullet"/>
      <w:lvlText w:val="•"/>
      <w:lvlJc w:val="left"/>
      <w:pPr>
        <w:ind w:left="1304" w:hanging="171"/>
      </w:pPr>
      <w:rPr>
        <w:rFonts w:ascii="Segoe UI" w:hAnsi="Segoe UI" w:cs="Times New Roman" w:hint="default"/>
      </w:rPr>
    </w:lvl>
    <w:lvl w:ilvl="7">
      <w:start w:val="1"/>
      <w:numFmt w:val="bullet"/>
      <w:lvlText w:val="•"/>
      <w:lvlJc w:val="left"/>
      <w:pPr>
        <w:ind w:left="1474" w:hanging="171"/>
      </w:pPr>
      <w:rPr>
        <w:rFonts w:ascii="Segoe UI" w:hAnsi="Segoe UI" w:cs="Times New Roman" w:hint="default"/>
      </w:rPr>
    </w:lvl>
    <w:lvl w:ilvl="8">
      <w:start w:val="1"/>
      <w:numFmt w:val="bullet"/>
      <w:lvlText w:val="•"/>
      <w:lvlJc w:val="left"/>
      <w:pPr>
        <w:ind w:left="1644" w:hanging="171"/>
      </w:pPr>
      <w:rPr>
        <w:rFonts w:ascii="Segoe UI" w:hAnsi="Segoe UI" w:cs="Times New Roman" w:hint="default"/>
      </w:rPr>
    </w:lvl>
  </w:abstractNum>
  <w:abstractNum w:abstractNumId="25" w15:restartNumberingAfterBreak="0">
    <w:nsid w:val="55754209"/>
    <w:multiLevelType w:val="hybridMultilevel"/>
    <w:tmpl w:val="48DA38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7063C15"/>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5BC1353D"/>
    <w:multiLevelType w:val="multilevel"/>
    <w:tmpl w:val="43BE27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3652A9"/>
    <w:multiLevelType w:val="multilevel"/>
    <w:tmpl w:val="5582B00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E73987"/>
    <w:multiLevelType w:val="multilevel"/>
    <w:tmpl w:val="104ECD6A"/>
    <w:styleLink w:val="ListStyle-ListAlphabet"/>
    <w:lvl w:ilvl="0">
      <w:start w:val="1"/>
      <w:numFmt w:val="lowerLetter"/>
      <w:pStyle w:val="ListAlphabet"/>
      <w:lvlText w:val="%1."/>
      <w:lvlJc w:val="left"/>
      <w:pPr>
        <w:ind w:left="340" w:hanging="340"/>
      </w:pPr>
      <w:rPr>
        <w:rFonts w:ascii="Segoe UI" w:hAnsi="Segoe UI" w:cs="Segoe UI Light" w:hint="default"/>
      </w:rPr>
    </w:lvl>
    <w:lvl w:ilvl="1">
      <w:start w:val="1"/>
      <w:numFmt w:val="lowerRoman"/>
      <w:pStyle w:val="ListAlphabet2"/>
      <w:lvlText w:val="%2."/>
      <w:lvlJc w:val="left"/>
      <w:pPr>
        <w:ind w:left="680" w:hanging="340"/>
      </w:pPr>
      <w:rPr>
        <w:rFonts w:ascii="Segoe UI" w:hAnsi="Segoe UI" w:hint="default"/>
      </w:rPr>
    </w:lvl>
    <w:lvl w:ilvl="2">
      <w:start w:val="1"/>
      <w:numFmt w:val="decimal"/>
      <w:pStyle w:val="ListAlphabet3"/>
      <w:lvlText w:val="%3."/>
      <w:lvlJc w:val="left"/>
      <w:pPr>
        <w:ind w:left="1020" w:hanging="340"/>
      </w:pPr>
      <w:rPr>
        <w:rFonts w:ascii="Segoe UI" w:hAnsi="Segoe UI" w:hint="default"/>
      </w:rPr>
    </w:lvl>
    <w:lvl w:ilvl="3">
      <w:start w:val="1"/>
      <w:numFmt w:val="lowerLetter"/>
      <w:lvlText w:val="%4)"/>
      <w:lvlJc w:val="left"/>
      <w:pPr>
        <w:ind w:left="1360" w:hanging="340"/>
      </w:pPr>
      <w:rPr>
        <w:rFonts w:ascii="Segoe UI" w:hAnsi="Segoe UI" w:hint="default"/>
      </w:rPr>
    </w:lvl>
    <w:lvl w:ilvl="4">
      <w:start w:val="1"/>
      <w:numFmt w:val="lowerRoman"/>
      <w:lvlText w:val="%5)"/>
      <w:lvlJc w:val="left"/>
      <w:pPr>
        <w:ind w:left="1700" w:hanging="340"/>
      </w:pPr>
      <w:rPr>
        <w:rFonts w:ascii="Segoe UI" w:hAnsi="Segoe UI" w:hint="default"/>
      </w:rPr>
    </w:lvl>
    <w:lvl w:ilvl="5">
      <w:start w:val="1"/>
      <w:numFmt w:val="decimal"/>
      <w:lvlText w:val="%6)"/>
      <w:lvlJc w:val="left"/>
      <w:pPr>
        <w:ind w:left="2040" w:hanging="340"/>
      </w:pPr>
      <w:rPr>
        <w:rFonts w:ascii="Segoe UI" w:hAnsi="Segoe UI" w:hint="default"/>
      </w:rPr>
    </w:lvl>
    <w:lvl w:ilvl="6">
      <w:start w:val="1"/>
      <w:numFmt w:val="lowerLetter"/>
      <w:lvlText w:val="(%7)"/>
      <w:lvlJc w:val="left"/>
      <w:pPr>
        <w:ind w:left="2380" w:hanging="340"/>
      </w:pPr>
      <w:rPr>
        <w:rFonts w:ascii="Segoe UI" w:hAnsi="Segoe UI" w:hint="default"/>
      </w:rPr>
    </w:lvl>
    <w:lvl w:ilvl="7">
      <w:start w:val="1"/>
      <w:numFmt w:val="lowerRoman"/>
      <w:lvlText w:val="(%8)"/>
      <w:lvlJc w:val="left"/>
      <w:pPr>
        <w:ind w:left="2720" w:hanging="340"/>
      </w:pPr>
      <w:rPr>
        <w:rFonts w:ascii="Segoe UI" w:hAnsi="Segoe UI" w:hint="default"/>
      </w:rPr>
    </w:lvl>
    <w:lvl w:ilvl="8">
      <w:start w:val="1"/>
      <w:numFmt w:val="decimal"/>
      <w:lvlText w:val="(%9)"/>
      <w:lvlJc w:val="left"/>
      <w:pPr>
        <w:ind w:left="3060" w:hanging="340"/>
      </w:pPr>
      <w:rPr>
        <w:rFonts w:ascii="Segoe UI" w:hAnsi="Segoe UI" w:hint="default"/>
      </w:rPr>
    </w:lvl>
  </w:abstractNum>
  <w:abstractNum w:abstractNumId="30" w15:restartNumberingAfterBreak="0">
    <w:nsid w:val="7CDD0C7E"/>
    <w:multiLevelType w:val="multilevel"/>
    <w:tmpl w:val="3B3256A6"/>
    <w:styleLink w:val="ListStyle-ListNumber"/>
    <w:lvl w:ilvl="0">
      <w:start w:val="1"/>
      <w:numFmt w:val="decimal"/>
      <w:lvlText w:val="%1."/>
      <w:lvlJc w:val="left"/>
      <w:pPr>
        <w:ind w:left="340" w:hanging="340"/>
      </w:pPr>
      <w:rPr>
        <w:rFonts w:ascii="Segoe UI" w:hAnsi="Segoe UI" w:cs="Segoe UI" w:hint="default"/>
      </w:rPr>
    </w:lvl>
    <w:lvl w:ilvl="1">
      <w:start w:val="1"/>
      <w:numFmt w:val="decimal"/>
      <w:lvlText w:val="%1.%2."/>
      <w:lvlJc w:val="left"/>
      <w:pPr>
        <w:ind w:left="964" w:hanging="624"/>
      </w:pPr>
      <w:rPr>
        <w:rFonts w:ascii="Segoe UI" w:hAnsi="Segoe UI" w:hint="default"/>
      </w:rPr>
    </w:lvl>
    <w:lvl w:ilvl="2">
      <w:start w:val="1"/>
      <w:numFmt w:val="decimal"/>
      <w:lvlText w:val="%1.%2.%3."/>
      <w:lvlJc w:val="left"/>
      <w:pPr>
        <w:ind w:left="1758" w:hanging="794"/>
      </w:pPr>
      <w:rPr>
        <w:rFonts w:ascii="Segoe UI" w:hAnsi="Segoe UI" w:hint="default"/>
      </w:rPr>
    </w:lvl>
    <w:lvl w:ilvl="3">
      <w:start w:val="1"/>
      <w:numFmt w:val="decimal"/>
      <w:lvlText w:val="%1.%2.%3.%4."/>
      <w:lvlJc w:val="left"/>
      <w:pPr>
        <w:ind w:left="2722" w:hanging="964"/>
      </w:pPr>
      <w:rPr>
        <w:rFonts w:ascii="Segoe UI" w:hAnsi="Segoe UI" w:hint="default"/>
      </w:rPr>
    </w:lvl>
    <w:lvl w:ilvl="4">
      <w:start w:val="1"/>
      <w:numFmt w:val="decimal"/>
      <w:lvlText w:val="%1.%2.%3.%4.%5."/>
      <w:lvlJc w:val="left"/>
      <w:pPr>
        <w:ind w:left="2892" w:hanging="1134"/>
      </w:pPr>
      <w:rPr>
        <w:rFonts w:ascii="Segoe UI" w:hAnsi="Segoe UI" w:hint="default"/>
      </w:rPr>
    </w:lvl>
    <w:lvl w:ilvl="5">
      <w:start w:val="1"/>
      <w:numFmt w:val="decimal"/>
      <w:lvlText w:val="%1.%2.%3.%4.%5.%6."/>
      <w:lvlJc w:val="left"/>
      <w:pPr>
        <w:ind w:left="3119" w:hanging="1361"/>
      </w:pPr>
      <w:rPr>
        <w:rFonts w:ascii="Segoe UI" w:hAnsi="Segoe UI" w:hint="default"/>
      </w:rPr>
    </w:lvl>
    <w:lvl w:ilvl="6">
      <w:start w:val="1"/>
      <w:numFmt w:val="decimal"/>
      <w:lvlText w:val="%1.%2.%3.%4.%5.%6.%7."/>
      <w:lvlJc w:val="left"/>
      <w:pPr>
        <w:ind w:left="3289" w:hanging="1531"/>
      </w:pPr>
      <w:rPr>
        <w:rFonts w:ascii="Segoe UI" w:hAnsi="Segoe UI" w:hint="default"/>
      </w:rPr>
    </w:lvl>
    <w:lvl w:ilvl="7">
      <w:start w:val="1"/>
      <w:numFmt w:val="decimal"/>
      <w:lvlText w:val="%1.%2.%3.%4.%5.%6.%7.%8."/>
      <w:lvlJc w:val="left"/>
      <w:pPr>
        <w:ind w:left="3459" w:hanging="1701"/>
      </w:pPr>
      <w:rPr>
        <w:rFonts w:ascii="Segoe UI" w:hAnsi="Segoe UI" w:hint="default"/>
      </w:rPr>
    </w:lvl>
    <w:lvl w:ilvl="8">
      <w:start w:val="1"/>
      <w:numFmt w:val="decimal"/>
      <w:lvlText w:val="%1.%2.%3.%4.%5.%6.%7.%8.%9."/>
      <w:lvlJc w:val="left"/>
      <w:pPr>
        <w:ind w:left="3686" w:hanging="1928"/>
      </w:pPr>
      <w:rPr>
        <w:rFonts w:ascii="Segoe UI" w:hAnsi="Segoe UI" w:hint="default"/>
      </w:rPr>
    </w:lvl>
  </w:abstractNum>
  <w:abstractNum w:abstractNumId="31" w15:restartNumberingAfterBreak="0">
    <w:nsid w:val="7E223EE5"/>
    <w:multiLevelType w:val="multilevel"/>
    <w:tmpl w:val="81FC0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23691965">
    <w:abstractNumId w:val="2"/>
  </w:num>
  <w:num w:numId="2" w16cid:durableId="1555703502">
    <w:abstractNumId w:val="1"/>
  </w:num>
  <w:num w:numId="3" w16cid:durableId="991106416">
    <w:abstractNumId w:val="0"/>
  </w:num>
  <w:num w:numId="4" w16cid:durableId="360665817">
    <w:abstractNumId w:val="13"/>
  </w:num>
  <w:num w:numId="5" w16cid:durableId="131562520">
    <w:abstractNumId w:val="5"/>
  </w:num>
  <w:num w:numId="6" w16cid:durableId="696466140">
    <w:abstractNumId w:val="12"/>
  </w:num>
  <w:num w:numId="7" w16cid:durableId="1098647139">
    <w:abstractNumId w:val="17"/>
    <w:lvlOverride w:ilvl="0">
      <w:lvl w:ilvl="0">
        <w:start w:val="1"/>
        <w:numFmt w:val="decimal"/>
        <w:pStyle w:val="Heading1"/>
        <w:lvlText w:val="%1."/>
        <w:lvlJc w:val="left"/>
        <w:pPr>
          <w:ind w:left="851" w:hanging="851"/>
        </w:pPr>
        <w:rPr>
          <w:rFonts w:hint="default"/>
          <w:color w:val="auto"/>
        </w:rPr>
      </w:lvl>
    </w:lvlOverride>
  </w:num>
  <w:num w:numId="8" w16cid:durableId="1064526411">
    <w:abstractNumId w:val="29"/>
  </w:num>
  <w:num w:numId="9" w16cid:durableId="42559560">
    <w:abstractNumId w:val="9"/>
  </w:num>
  <w:num w:numId="10" w16cid:durableId="1196432340">
    <w:abstractNumId w:val="16"/>
  </w:num>
  <w:num w:numId="11" w16cid:durableId="631331493">
    <w:abstractNumId w:val="24"/>
  </w:num>
  <w:num w:numId="12" w16cid:durableId="1608536129">
    <w:abstractNumId w:val="30"/>
  </w:num>
  <w:num w:numId="13" w16cid:durableId="981740697">
    <w:abstractNumId w:val="4"/>
  </w:num>
  <w:num w:numId="14" w16cid:durableId="527450636">
    <w:abstractNumId w:val="19"/>
  </w:num>
  <w:num w:numId="15" w16cid:durableId="1478302123">
    <w:abstractNumId w:val="14"/>
  </w:num>
  <w:num w:numId="16" w16cid:durableId="1907838626">
    <w:abstractNumId w:val="27"/>
  </w:num>
  <w:num w:numId="17" w16cid:durableId="939291845">
    <w:abstractNumId w:val="6"/>
  </w:num>
  <w:num w:numId="18" w16cid:durableId="208882431">
    <w:abstractNumId w:val="21"/>
  </w:num>
  <w:num w:numId="19" w16cid:durableId="1121460413">
    <w:abstractNumId w:val="8"/>
  </w:num>
  <w:num w:numId="20" w16cid:durableId="590546788">
    <w:abstractNumId w:val="28"/>
  </w:num>
  <w:num w:numId="21" w16cid:durableId="323049938">
    <w:abstractNumId w:val="15"/>
  </w:num>
  <w:num w:numId="22" w16cid:durableId="421922091">
    <w:abstractNumId w:val="20"/>
  </w:num>
  <w:num w:numId="23" w16cid:durableId="846864877">
    <w:abstractNumId w:val="23"/>
  </w:num>
  <w:num w:numId="24" w16cid:durableId="103044330">
    <w:abstractNumId w:val="31"/>
  </w:num>
  <w:num w:numId="25" w16cid:durableId="1895432365">
    <w:abstractNumId w:val="18"/>
  </w:num>
  <w:num w:numId="26" w16cid:durableId="1830248966">
    <w:abstractNumId w:val="25"/>
  </w:num>
  <w:num w:numId="27" w16cid:durableId="1739742544">
    <w:abstractNumId w:val="10"/>
  </w:num>
  <w:num w:numId="28" w16cid:durableId="818303440">
    <w:abstractNumId w:val="22"/>
  </w:num>
  <w:num w:numId="29" w16cid:durableId="988050906">
    <w:abstractNumId w:val="7"/>
  </w:num>
  <w:num w:numId="30" w16cid:durableId="1207569799">
    <w:abstractNumId w:val="17"/>
  </w:num>
  <w:num w:numId="31" w16cid:durableId="1367754093">
    <w:abstractNumId w:val="3"/>
  </w:num>
  <w:num w:numId="32" w16cid:durableId="1630235362">
    <w:abstractNumId w:val="3"/>
  </w:num>
  <w:num w:numId="33" w16cid:durableId="58290059">
    <w:abstractNumId w:val="3"/>
  </w:num>
  <w:num w:numId="34" w16cid:durableId="1232741169">
    <w:abstractNumId w:val="3"/>
  </w:num>
  <w:num w:numId="35" w16cid:durableId="2097939917">
    <w:abstractNumId w:val="3"/>
  </w:num>
  <w:num w:numId="36" w16cid:durableId="1144273640">
    <w:abstractNumId w:val="3"/>
  </w:num>
  <w:num w:numId="37" w16cid:durableId="245261415">
    <w:abstractNumId w:val="3"/>
  </w:num>
  <w:num w:numId="38" w16cid:durableId="499396220">
    <w:abstractNumId w:val="3"/>
  </w:num>
  <w:num w:numId="39" w16cid:durableId="814490400">
    <w:abstractNumId w:val="3"/>
  </w:num>
  <w:num w:numId="40" w16cid:durableId="1437360352">
    <w:abstractNumId w:val="11"/>
  </w:num>
  <w:num w:numId="41" w16cid:durableId="78794705">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pany" w:val="NIRAS GROUP (UK) Ltd."/>
    <w:docVar w:name="defaultNS" w:val="1"/>
    <w:docVar w:name="language" w:val="en"/>
    <w:docVar w:name="nirasshare" w:val="-1"/>
    <w:docVar w:name="template" w:val="report"/>
  </w:docVars>
  <w:rsids>
    <w:rsidRoot w:val="00994271"/>
    <w:rsid w:val="000000C6"/>
    <w:rsid w:val="00000124"/>
    <w:rsid w:val="00000784"/>
    <w:rsid w:val="000007A3"/>
    <w:rsid w:val="0000080A"/>
    <w:rsid w:val="000009FE"/>
    <w:rsid w:val="00000DD0"/>
    <w:rsid w:val="00000E43"/>
    <w:rsid w:val="00000E7B"/>
    <w:rsid w:val="00000F37"/>
    <w:rsid w:val="000010A0"/>
    <w:rsid w:val="0000128D"/>
    <w:rsid w:val="000012D4"/>
    <w:rsid w:val="0000168B"/>
    <w:rsid w:val="000018EA"/>
    <w:rsid w:val="00001C7B"/>
    <w:rsid w:val="000024DD"/>
    <w:rsid w:val="0000276B"/>
    <w:rsid w:val="000028E2"/>
    <w:rsid w:val="00002A88"/>
    <w:rsid w:val="00002DE0"/>
    <w:rsid w:val="00002EAE"/>
    <w:rsid w:val="0000304B"/>
    <w:rsid w:val="000030EB"/>
    <w:rsid w:val="00003151"/>
    <w:rsid w:val="000035C4"/>
    <w:rsid w:val="00003A19"/>
    <w:rsid w:val="00003BBB"/>
    <w:rsid w:val="000040B6"/>
    <w:rsid w:val="00004136"/>
    <w:rsid w:val="00004138"/>
    <w:rsid w:val="00004232"/>
    <w:rsid w:val="000042D9"/>
    <w:rsid w:val="00004B94"/>
    <w:rsid w:val="00005389"/>
    <w:rsid w:val="000053CF"/>
    <w:rsid w:val="000058DD"/>
    <w:rsid w:val="00005986"/>
    <w:rsid w:val="00005F01"/>
    <w:rsid w:val="00006781"/>
    <w:rsid w:val="0000680D"/>
    <w:rsid w:val="0000698B"/>
    <w:rsid w:val="00006A20"/>
    <w:rsid w:val="00006E65"/>
    <w:rsid w:val="00006FCA"/>
    <w:rsid w:val="00006FF7"/>
    <w:rsid w:val="000073AA"/>
    <w:rsid w:val="000074EA"/>
    <w:rsid w:val="0000759A"/>
    <w:rsid w:val="0000792E"/>
    <w:rsid w:val="00010130"/>
    <w:rsid w:val="000102A0"/>
    <w:rsid w:val="000104E3"/>
    <w:rsid w:val="00010506"/>
    <w:rsid w:val="00010983"/>
    <w:rsid w:val="00010F45"/>
    <w:rsid w:val="00011023"/>
    <w:rsid w:val="0001163E"/>
    <w:rsid w:val="00011733"/>
    <w:rsid w:val="00011803"/>
    <w:rsid w:val="000118A3"/>
    <w:rsid w:val="000119B2"/>
    <w:rsid w:val="0001218C"/>
    <w:rsid w:val="000130CB"/>
    <w:rsid w:val="000135BE"/>
    <w:rsid w:val="00013761"/>
    <w:rsid w:val="00013AA7"/>
    <w:rsid w:val="00013E17"/>
    <w:rsid w:val="000145A0"/>
    <w:rsid w:val="00014689"/>
    <w:rsid w:val="00014D5F"/>
    <w:rsid w:val="00014D62"/>
    <w:rsid w:val="0001509A"/>
    <w:rsid w:val="0001556A"/>
    <w:rsid w:val="0001576F"/>
    <w:rsid w:val="000157BF"/>
    <w:rsid w:val="000159EE"/>
    <w:rsid w:val="00015B85"/>
    <w:rsid w:val="00015D75"/>
    <w:rsid w:val="00016694"/>
    <w:rsid w:val="00016806"/>
    <w:rsid w:val="000169FA"/>
    <w:rsid w:val="00016AE8"/>
    <w:rsid w:val="00016FE6"/>
    <w:rsid w:val="00017211"/>
    <w:rsid w:val="00017813"/>
    <w:rsid w:val="0001796A"/>
    <w:rsid w:val="000179BE"/>
    <w:rsid w:val="00017AB9"/>
    <w:rsid w:val="00017C93"/>
    <w:rsid w:val="00017FEB"/>
    <w:rsid w:val="00020472"/>
    <w:rsid w:val="00020639"/>
    <w:rsid w:val="00020664"/>
    <w:rsid w:val="0002066A"/>
    <w:rsid w:val="000206E5"/>
    <w:rsid w:val="00020707"/>
    <w:rsid w:val="00020925"/>
    <w:rsid w:val="00020BD4"/>
    <w:rsid w:val="00021009"/>
    <w:rsid w:val="000212FA"/>
    <w:rsid w:val="00021966"/>
    <w:rsid w:val="00021A8B"/>
    <w:rsid w:val="00021B3C"/>
    <w:rsid w:val="00021C07"/>
    <w:rsid w:val="00021F8F"/>
    <w:rsid w:val="00022157"/>
    <w:rsid w:val="00022733"/>
    <w:rsid w:val="00022785"/>
    <w:rsid w:val="00022CAB"/>
    <w:rsid w:val="0002308E"/>
    <w:rsid w:val="000232C3"/>
    <w:rsid w:val="000233F0"/>
    <w:rsid w:val="00023572"/>
    <w:rsid w:val="00023A28"/>
    <w:rsid w:val="00023A8F"/>
    <w:rsid w:val="00023FAC"/>
    <w:rsid w:val="0002404C"/>
    <w:rsid w:val="000242E6"/>
    <w:rsid w:val="00024434"/>
    <w:rsid w:val="00024670"/>
    <w:rsid w:val="000246FF"/>
    <w:rsid w:val="00024BA1"/>
    <w:rsid w:val="00024C5C"/>
    <w:rsid w:val="000255C2"/>
    <w:rsid w:val="00025947"/>
    <w:rsid w:val="00025AF8"/>
    <w:rsid w:val="00025FE2"/>
    <w:rsid w:val="00026C2F"/>
    <w:rsid w:val="00026FD5"/>
    <w:rsid w:val="00027124"/>
    <w:rsid w:val="00027179"/>
    <w:rsid w:val="00027279"/>
    <w:rsid w:val="000278C7"/>
    <w:rsid w:val="00027CEF"/>
    <w:rsid w:val="0003000C"/>
    <w:rsid w:val="00030034"/>
    <w:rsid w:val="000301C7"/>
    <w:rsid w:val="00030500"/>
    <w:rsid w:val="00030735"/>
    <w:rsid w:val="00030ABE"/>
    <w:rsid w:val="00030AD3"/>
    <w:rsid w:val="00030BEB"/>
    <w:rsid w:val="00030C6B"/>
    <w:rsid w:val="00030D75"/>
    <w:rsid w:val="00031123"/>
    <w:rsid w:val="0003194A"/>
    <w:rsid w:val="00031974"/>
    <w:rsid w:val="00031D65"/>
    <w:rsid w:val="000329B1"/>
    <w:rsid w:val="000333AA"/>
    <w:rsid w:val="000333D5"/>
    <w:rsid w:val="0003343C"/>
    <w:rsid w:val="000337A7"/>
    <w:rsid w:val="00033F35"/>
    <w:rsid w:val="00033FCB"/>
    <w:rsid w:val="00034039"/>
    <w:rsid w:val="00034182"/>
    <w:rsid w:val="00034786"/>
    <w:rsid w:val="00034AD6"/>
    <w:rsid w:val="00034BF6"/>
    <w:rsid w:val="00034C25"/>
    <w:rsid w:val="00035535"/>
    <w:rsid w:val="000357D5"/>
    <w:rsid w:val="00035A89"/>
    <w:rsid w:val="00035B77"/>
    <w:rsid w:val="00035C5B"/>
    <w:rsid w:val="00035E36"/>
    <w:rsid w:val="00035E99"/>
    <w:rsid w:val="00036149"/>
    <w:rsid w:val="0003614C"/>
    <w:rsid w:val="000367AE"/>
    <w:rsid w:val="00036C11"/>
    <w:rsid w:val="00037510"/>
    <w:rsid w:val="00037933"/>
    <w:rsid w:val="000379BD"/>
    <w:rsid w:val="00037C23"/>
    <w:rsid w:val="00037E3D"/>
    <w:rsid w:val="00037E8E"/>
    <w:rsid w:val="00040245"/>
    <w:rsid w:val="0004049C"/>
    <w:rsid w:val="0004056C"/>
    <w:rsid w:val="000405DC"/>
    <w:rsid w:val="000405F8"/>
    <w:rsid w:val="00040655"/>
    <w:rsid w:val="000407E8"/>
    <w:rsid w:val="0004088C"/>
    <w:rsid w:val="000408E1"/>
    <w:rsid w:val="00040E64"/>
    <w:rsid w:val="00041725"/>
    <w:rsid w:val="00041CA3"/>
    <w:rsid w:val="00041D36"/>
    <w:rsid w:val="00042122"/>
    <w:rsid w:val="000421CC"/>
    <w:rsid w:val="000421D0"/>
    <w:rsid w:val="000422B7"/>
    <w:rsid w:val="000423B2"/>
    <w:rsid w:val="00042443"/>
    <w:rsid w:val="00042860"/>
    <w:rsid w:val="000428D2"/>
    <w:rsid w:val="00042A32"/>
    <w:rsid w:val="00042FAA"/>
    <w:rsid w:val="000434E6"/>
    <w:rsid w:val="000439E3"/>
    <w:rsid w:val="00043A0A"/>
    <w:rsid w:val="00043B7F"/>
    <w:rsid w:val="00043C24"/>
    <w:rsid w:val="00043D88"/>
    <w:rsid w:val="00043FB6"/>
    <w:rsid w:val="00044371"/>
    <w:rsid w:val="000448B9"/>
    <w:rsid w:val="00044C08"/>
    <w:rsid w:val="00044DE9"/>
    <w:rsid w:val="00045069"/>
    <w:rsid w:val="000450B9"/>
    <w:rsid w:val="0004560D"/>
    <w:rsid w:val="00045662"/>
    <w:rsid w:val="0004566C"/>
    <w:rsid w:val="00045762"/>
    <w:rsid w:val="00046243"/>
    <w:rsid w:val="000465F7"/>
    <w:rsid w:val="00046631"/>
    <w:rsid w:val="00046669"/>
    <w:rsid w:val="0004686C"/>
    <w:rsid w:val="00046887"/>
    <w:rsid w:val="00046B3B"/>
    <w:rsid w:val="00046DCA"/>
    <w:rsid w:val="00046EEE"/>
    <w:rsid w:val="00047B35"/>
    <w:rsid w:val="00047DB5"/>
    <w:rsid w:val="0005071F"/>
    <w:rsid w:val="0005088D"/>
    <w:rsid w:val="00050F01"/>
    <w:rsid w:val="00051525"/>
    <w:rsid w:val="0005163F"/>
    <w:rsid w:val="0005188C"/>
    <w:rsid w:val="00051943"/>
    <w:rsid w:val="00051DA7"/>
    <w:rsid w:val="00051E02"/>
    <w:rsid w:val="000522A4"/>
    <w:rsid w:val="00052F46"/>
    <w:rsid w:val="000530C9"/>
    <w:rsid w:val="00053196"/>
    <w:rsid w:val="000536B9"/>
    <w:rsid w:val="000536CA"/>
    <w:rsid w:val="0005389C"/>
    <w:rsid w:val="00053EB0"/>
    <w:rsid w:val="0005425E"/>
    <w:rsid w:val="00054299"/>
    <w:rsid w:val="000542F5"/>
    <w:rsid w:val="000543F3"/>
    <w:rsid w:val="0005449E"/>
    <w:rsid w:val="000546E8"/>
    <w:rsid w:val="00054987"/>
    <w:rsid w:val="00054B18"/>
    <w:rsid w:val="00054DA6"/>
    <w:rsid w:val="00054E00"/>
    <w:rsid w:val="00054EF1"/>
    <w:rsid w:val="00055789"/>
    <w:rsid w:val="00055795"/>
    <w:rsid w:val="0005588F"/>
    <w:rsid w:val="000558BF"/>
    <w:rsid w:val="00055A71"/>
    <w:rsid w:val="00055B10"/>
    <w:rsid w:val="00056023"/>
    <w:rsid w:val="000562C7"/>
    <w:rsid w:val="00056918"/>
    <w:rsid w:val="00056FA9"/>
    <w:rsid w:val="00056FF3"/>
    <w:rsid w:val="000572EB"/>
    <w:rsid w:val="0005749B"/>
    <w:rsid w:val="000574FD"/>
    <w:rsid w:val="00057603"/>
    <w:rsid w:val="00057675"/>
    <w:rsid w:val="00057CCD"/>
    <w:rsid w:val="00057F3E"/>
    <w:rsid w:val="00059F44"/>
    <w:rsid w:val="000601C8"/>
    <w:rsid w:val="000603C6"/>
    <w:rsid w:val="00060446"/>
    <w:rsid w:val="0006044B"/>
    <w:rsid w:val="000604B5"/>
    <w:rsid w:val="00060ABD"/>
    <w:rsid w:val="00060C5A"/>
    <w:rsid w:val="00060D1D"/>
    <w:rsid w:val="00060D29"/>
    <w:rsid w:val="00060F92"/>
    <w:rsid w:val="000613C6"/>
    <w:rsid w:val="000615FE"/>
    <w:rsid w:val="00061661"/>
    <w:rsid w:val="0006173F"/>
    <w:rsid w:val="00061B55"/>
    <w:rsid w:val="00061C3D"/>
    <w:rsid w:val="00061CAC"/>
    <w:rsid w:val="00061DA9"/>
    <w:rsid w:val="0006249A"/>
    <w:rsid w:val="00062609"/>
    <w:rsid w:val="0006264A"/>
    <w:rsid w:val="00062764"/>
    <w:rsid w:val="00062A87"/>
    <w:rsid w:val="00062BCC"/>
    <w:rsid w:val="00062C30"/>
    <w:rsid w:val="00063321"/>
    <w:rsid w:val="000633A1"/>
    <w:rsid w:val="00063E01"/>
    <w:rsid w:val="0006423F"/>
    <w:rsid w:val="0006437D"/>
    <w:rsid w:val="000643E1"/>
    <w:rsid w:val="00064725"/>
    <w:rsid w:val="00064BA4"/>
    <w:rsid w:val="00064E2E"/>
    <w:rsid w:val="00064F34"/>
    <w:rsid w:val="0006527D"/>
    <w:rsid w:val="00065328"/>
    <w:rsid w:val="0006544D"/>
    <w:rsid w:val="0006550F"/>
    <w:rsid w:val="000655D2"/>
    <w:rsid w:val="00065725"/>
    <w:rsid w:val="0006584E"/>
    <w:rsid w:val="000658D9"/>
    <w:rsid w:val="00065A54"/>
    <w:rsid w:val="00065C65"/>
    <w:rsid w:val="000661B6"/>
    <w:rsid w:val="00066349"/>
    <w:rsid w:val="0006684F"/>
    <w:rsid w:val="00066E8F"/>
    <w:rsid w:val="00066F51"/>
    <w:rsid w:val="0006700C"/>
    <w:rsid w:val="0006719B"/>
    <w:rsid w:val="0006735D"/>
    <w:rsid w:val="000678CC"/>
    <w:rsid w:val="00067DD3"/>
    <w:rsid w:val="000709B3"/>
    <w:rsid w:val="00070A60"/>
    <w:rsid w:val="000710C1"/>
    <w:rsid w:val="000713D1"/>
    <w:rsid w:val="000716C6"/>
    <w:rsid w:val="00071A3F"/>
    <w:rsid w:val="00071B28"/>
    <w:rsid w:val="00071B3C"/>
    <w:rsid w:val="00071BB2"/>
    <w:rsid w:val="00071DEA"/>
    <w:rsid w:val="00071EA8"/>
    <w:rsid w:val="0007234F"/>
    <w:rsid w:val="0007284A"/>
    <w:rsid w:val="00072B3E"/>
    <w:rsid w:val="00072B54"/>
    <w:rsid w:val="00073140"/>
    <w:rsid w:val="000731E9"/>
    <w:rsid w:val="000732CF"/>
    <w:rsid w:val="0007348F"/>
    <w:rsid w:val="000735B7"/>
    <w:rsid w:val="00073675"/>
    <w:rsid w:val="0007372A"/>
    <w:rsid w:val="00073E64"/>
    <w:rsid w:val="0007403C"/>
    <w:rsid w:val="0007437D"/>
    <w:rsid w:val="000743EC"/>
    <w:rsid w:val="00074680"/>
    <w:rsid w:val="000748C1"/>
    <w:rsid w:val="00074F3F"/>
    <w:rsid w:val="00075639"/>
    <w:rsid w:val="00076259"/>
    <w:rsid w:val="000762CC"/>
    <w:rsid w:val="00076659"/>
    <w:rsid w:val="000768A4"/>
    <w:rsid w:val="000768FC"/>
    <w:rsid w:val="00076A8F"/>
    <w:rsid w:val="00076E16"/>
    <w:rsid w:val="00077402"/>
    <w:rsid w:val="00077AC5"/>
    <w:rsid w:val="00077EEC"/>
    <w:rsid w:val="000800D9"/>
    <w:rsid w:val="00080182"/>
    <w:rsid w:val="000804D4"/>
    <w:rsid w:val="0008056D"/>
    <w:rsid w:val="00080583"/>
    <w:rsid w:val="00080896"/>
    <w:rsid w:val="0008096D"/>
    <w:rsid w:val="00080C45"/>
    <w:rsid w:val="00080D72"/>
    <w:rsid w:val="00080E7D"/>
    <w:rsid w:val="0008124E"/>
    <w:rsid w:val="000814C6"/>
    <w:rsid w:val="00081BB6"/>
    <w:rsid w:val="00081CC5"/>
    <w:rsid w:val="00082079"/>
    <w:rsid w:val="0008211A"/>
    <w:rsid w:val="00082171"/>
    <w:rsid w:val="000824B1"/>
    <w:rsid w:val="0008257F"/>
    <w:rsid w:val="00082E51"/>
    <w:rsid w:val="00082EF9"/>
    <w:rsid w:val="000830F1"/>
    <w:rsid w:val="000834B1"/>
    <w:rsid w:val="00083925"/>
    <w:rsid w:val="00083A6A"/>
    <w:rsid w:val="00083F49"/>
    <w:rsid w:val="00083F6B"/>
    <w:rsid w:val="00083F7C"/>
    <w:rsid w:val="0008400D"/>
    <w:rsid w:val="0008441C"/>
    <w:rsid w:val="00084446"/>
    <w:rsid w:val="00084655"/>
    <w:rsid w:val="000849B8"/>
    <w:rsid w:val="00084DB7"/>
    <w:rsid w:val="00085089"/>
    <w:rsid w:val="0008510D"/>
    <w:rsid w:val="0008518B"/>
    <w:rsid w:val="000853B4"/>
    <w:rsid w:val="0008571E"/>
    <w:rsid w:val="00085914"/>
    <w:rsid w:val="00085EC7"/>
    <w:rsid w:val="00085FCA"/>
    <w:rsid w:val="00086A43"/>
    <w:rsid w:val="00086BF3"/>
    <w:rsid w:val="00086CA9"/>
    <w:rsid w:val="00087488"/>
    <w:rsid w:val="000874FD"/>
    <w:rsid w:val="00087C58"/>
    <w:rsid w:val="000905D6"/>
    <w:rsid w:val="00090832"/>
    <w:rsid w:val="00090999"/>
    <w:rsid w:val="00090B79"/>
    <w:rsid w:val="0009126D"/>
    <w:rsid w:val="00091690"/>
    <w:rsid w:val="0009170A"/>
    <w:rsid w:val="000917E7"/>
    <w:rsid w:val="000920A4"/>
    <w:rsid w:val="0009224A"/>
    <w:rsid w:val="000926E8"/>
    <w:rsid w:val="0009270A"/>
    <w:rsid w:val="00092EF6"/>
    <w:rsid w:val="000935FC"/>
    <w:rsid w:val="00093608"/>
    <w:rsid w:val="000937DA"/>
    <w:rsid w:val="00093BCC"/>
    <w:rsid w:val="00093C4E"/>
    <w:rsid w:val="00093DC4"/>
    <w:rsid w:val="00093E37"/>
    <w:rsid w:val="000940E0"/>
    <w:rsid w:val="000942A8"/>
    <w:rsid w:val="00094C45"/>
    <w:rsid w:val="0009500B"/>
    <w:rsid w:val="00095CA4"/>
    <w:rsid w:val="00095FD0"/>
    <w:rsid w:val="000960E9"/>
    <w:rsid w:val="000961C0"/>
    <w:rsid w:val="0009629E"/>
    <w:rsid w:val="000966E4"/>
    <w:rsid w:val="00096AAD"/>
    <w:rsid w:val="00096D00"/>
    <w:rsid w:val="00096D1C"/>
    <w:rsid w:val="00097028"/>
    <w:rsid w:val="000977F3"/>
    <w:rsid w:val="00097843"/>
    <w:rsid w:val="00097851"/>
    <w:rsid w:val="000978B0"/>
    <w:rsid w:val="000978E7"/>
    <w:rsid w:val="0009790F"/>
    <w:rsid w:val="000979DF"/>
    <w:rsid w:val="00097A5F"/>
    <w:rsid w:val="00097DD4"/>
    <w:rsid w:val="00097E45"/>
    <w:rsid w:val="000A03FC"/>
    <w:rsid w:val="000A04D7"/>
    <w:rsid w:val="000A0A83"/>
    <w:rsid w:val="000A1165"/>
    <w:rsid w:val="000A1282"/>
    <w:rsid w:val="000A139C"/>
    <w:rsid w:val="000A196C"/>
    <w:rsid w:val="000A1D1E"/>
    <w:rsid w:val="000A2209"/>
    <w:rsid w:val="000A246B"/>
    <w:rsid w:val="000A24B2"/>
    <w:rsid w:val="000A24FB"/>
    <w:rsid w:val="000A32D7"/>
    <w:rsid w:val="000A3437"/>
    <w:rsid w:val="000A34D0"/>
    <w:rsid w:val="000A390F"/>
    <w:rsid w:val="000A39AF"/>
    <w:rsid w:val="000A3C41"/>
    <w:rsid w:val="000A3CD8"/>
    <w:rsid w:val="000A3FE5"/>
    <w:rsid w:val="000A44AD"/>
    <w:rsid w:val="000A4DC5"/>
    <w:rsid w:val="000A542A"/>
    <w:rsid w:val="000A5580"/>
    <w:rsid w:val="000A59D6"/>
    <w:rsid w:val="000A5CFA"/>
    <w:rsid w:val="000A5DD5"/>
    <w:rsid w:val="000A604E"/>
    <w:rsid w:val="000A6774"/>
    <w:rsid w:val="000A689C"/>
    <w:rsid w:val="000A6D54"/>
    <w:rsid w:val="000A6D7A"/>
    <w:rsid w:val="000A6F9C"/>
    <w:rsid w:val="000A7328"/>
    <w:rsid w:val="000A7AC9"/>
    <w:rsid w:val="000A7B43"/>
    <w:rsid w:val="000A7C56"/>
    <w:rsid w:val="000A7F3F"/>
    <w:rsid w:val="000B01BC"/>
    <w:rsid w:val="000B05EC"/>
    <w:rsid w:val="000B0CA0"/>
    <w:rsid w:val="000B0DF5"/>
    <w:rsid w:val="000B0FFF"/>
    <w:rsid w:val="000B10A5"/>
    <w:rsid w:val="000B1309"/>
    <w:rsid w:val="000B1486"/>
    <w:rsid w:val="000B16B3"/>
    <w:rsid w:val="000B19BA"/>
    <w:rsid w:val="000B1DC7"/>
    <w:rsid w:val="000B1F64"/>
    <w:rsid w:val="000B23B3"/>
    <w:rsid w:val="000B2977"/>
    <w:rsid w:val="000B2A02"/>
    <w:rsid w:val="000B2D2D"/>
    <w:rsid w:val="000B2F6B"/>
    <w:rsid w:val="000B2FA8"/>
    <w:rsid w:val="000B3148"/>
    <w:rsid w:val="000B32E4"/>
    <w:rsid w:val="000B3481"/>
    <w:rsid w:val="000B34CA"/>
    <w:rsid w:val="000B35FD"/>
    <w:rsid w:val="000B3DCB"/>
    <w:rsid w:val="000B3FD9"/>
    <w:rsid w:val="000B40D1"/>
    <w:rsid w:val="000B4A10"/>
    <w:rsid w:val="000B5020"/>
    <w:rsid w:val="000B51F3"/>
    <w:rsid w:val="000B5336"/>
    <w:rsid w:val="000B5580"/>
    <w:rsid w:val="000B5836"/>
    <w:rsid w:val="000B5B59"/>
    <w:rsid w:val="000B5D03"/>
    <w:rsid w:val="000B5DDB"/>
    <w:rsid w:val="000B621C"/>
    <w:rsid w:val="000B6224"/>
    <w:rsid w:val="000B628E"/>
    <w:rsid w:val="000B62CF"/>
    <w:rsid w:val="000B635E"/>
    <w:rsid w:val="000B6574"/>
    <w:rsid w:val="000B6713"/>
    <w:rsid w:val="000B67C1"/>
    <w:rsid w:val="000B6E69"/>
    <w:rsid w:val="000B6FCA"/>
    <w:rsid w:val="000B704B"/>
    <w:rsid w:val="000B71AB"/>
    <w:rsid w:val="000B7237"/>
    <w:rsid w:val="000B73E3"/>
    <w:rsid w:val="000B7743"/>
    <w:rsid w:val="000B7755"/>
    <w:rsid w:val="000B7B55"/>
    <w:rsid w:val="000B7C78"/>
    <w:rsid w:val="000B7FCD"/>
    <w:rsid w:val="000C0240"/>
    <w:rsid w:val="000C0295"/>
    <w:rsid w:val="000C0747"/>
    <w:rsid w:val="000C0804"/>
    <w:rsid w:val="000C153F"/>
    <w:rsid w:val="000C17F8"/>
    <w:rsid w:val="000C19BC"/>
    <w:rsid w:val="000C19EB"/>
    <w:rsid w:val="000C1B28"/>
    <w:rsid w:val="000C2708"/>
    <w:rsid w:val="000C287D"/>
    <w:rsid w:val="000C296B"/>
    <w:rsid w:val="000C2A3A"/>
    <w:rsid w:val="000C34B7"/>
    <w:rsid w:val="000C36EB"/>
    <w:rsid w:val="000C37B9"/>
    <w:rsid w:val="000C38E3"/>
    <w:rsid w:val="000C417F"/>
    <w:rsid w:val="000C44BD"/>
    <w:rsid w:val="000C4641"/>
    <w:rsid w:val="000C476C"/>
    <w:rsid w:val="000C48B7"/>
    <w:rsid w:val="000C4926"/>
    <w:rsid w:val="000C4E15"/>
    <w:rsid w:val="000C5103"/>
    <w:rsid w:val="000C51F1"/>
    <w:rsid w:val="000C52BE"/>
    <w:rsid w:val="000C6325"/>
    <w:rsid w:val="000C6675"/>
    <w:rsid w:val="000C6A49"/>
    <w:rsid w:val="000C6BA7"/>
    <w:rsid w:val="000C6C36"/>
    <w:rsid w:val="000C70CA"/>
    <w:rsid w:val="000C7180"/>
    <w:rsid w:val="000C741A"/>
    <w:rsid w:val="000C752E"/>
    <w:rsid w:val="000C7552"/>
    <w:rsid w:val="000C777A"/>
    <w:rsid w:val="000C779C"/>
    <w:rsid w:val="000C7898"/>
    <w:rsid w:val="000C7A5E"/>
    <w:rsid w:val="000C7D70"/>
    <w:rsid w:val="000C7E1C"/>
    <w:rsid w:val="000C7E60"/>
    <w:rsid w:val="000D00D8"/>
    <w:rsid w:val="000D04DB"/>
    <w:rsid w:val="000D067D"/>
    <w:rsid w:val="000D0841"/>
    <w:rsid w:val="000D0B22"/>
    <w:rsid w:val="000D0E67"/>
    <w:rsid w:val="000D0FB6"/>
    <w:rsid w:val="000D1017"/>
    <w:rsid w:val="000D1106"/>
    <w:rsid w:val="000D11C2"/>
    <w:rsid w:val="000D1407"/>
    <w:rsid w:val="000D16B6"/>
    <w:rsid w:val="000D16D8"/>
    <w:rsid w:val="000D1D79"/>
    <w:rsid w:val="000D1F56"/>
    <w:rsid w:val="000D21CD"/>
    <w:rsid w:val="000D2B7B"/>
    <w:rsid w:val="000D328B"/>
    <w:rsid w:val="000D3358"/>
    <w:rsid w:val="000D34B0"/>
    <w:rsid w:val="000D35CE"/>
    <w:rsid w:val="000D36BF"/>
    <w:rsid w:val="000D373D"/>
    <w:rsid w:val="000D3970"/>
    <w:rsid w:val="000D3C38"/>
    <w:rsid w:val="000D4539"/>
    <w:rsid w:val="000D45D3"/>
    <w:rsid w:val="000D4A1A"/>
    <w:rsid w:val="000D4A5A"/>
    <w:rsid w:val="000D50E6"/>
    <w:rsid w:val="000D514B"/>
    <w:rsid w:val="000D5324"/>
    <w:rsid w:val="000D5937"/>
    <w:rsid w:val="000D5959"/>
    <w:rsid w:val="000D5A5D"/>
    <w:rsid w:val="000D5DC5"/>
    <w:rsid w:val="000D6339"/>
    <w:rsid w:val="000D6A38"/>
    <w:rsid w:val="000D6ACD"/>
    <w:rsid w:val="000D6B3D"/>
    <w:rsid w:val="000D6F40"/>
    <w:rsid w:val="000D71E1"/>
    <w:rsid w:val="000D747B"/>
    <w:rsid w:val="000D7AD9"/>
    <w:rsid w:val="000E004E"/>
    <w:rsid w:val="000E03D1"/>
    <w:rsid w:val="000E0B49"/>
    <w:rsid w:val="000E0BC2"/>
    <w:rsid w:val="000E106F"/>
    <w:rsid w:val="000E1C63"/>
    <w:rsid w:val="000E1D59"/>
    <w:rsid w:val="000E1EFA"/>
    <w:rsid w:val="000E2219"/>
    <w:rsid w:val="000E240F"/>
    <w:rsid w:val="000E25F6"/>
    <w:rsid w:val="000E27F6"/>
    <w:rsid w:val="000E28CA"/>
    <w:rsid w:val="000E2F06"/>
    <w:rsid w:val="000E3061"/>
    <w:rsid w:val="000E337E"/>
    <w:rsid w:val="000E3817"/>
    <w:rsid w:val="000E3967"/>
    <w:rsid w:val="000E3B16"/>
    <w:rsid w:val="000E3E4B"/>
    <w:rsid w:val="000E3F4C"/>
    <w:rsid w:val="000E4067"/>
    <w:rsid w:val="000E466C"/>
    <w:rsid w:val="000E4A1A"/>
    <w:rsid w:val="000E4CBC"/>
    <w:rsid w:val="000E4D85"/>
    <w:rsid w:val="000E4DF1"/>
    <w:rsid w:val="000E5034"/>
    <w:rsid w:val="000E5355"/>
    <w:rsid w:val="000E5413"/>
    <w:rsid w:val="000E54B4"/>
    <w:rsid w:val="000E54BC"/>
    <w:rsid w:val="000E5AA1"/>
    <w:rsid w:val="000E5D1F"/>
    <w:rsid w:val="000E5E39"/>
    <w:rsid w:val="000E5F36"/>
    <w:rsid w:val="000E6157"/>
    <w:rsid w:val="000E61B7"/>
    <w:rsid w:val="000E66DE"/>
    <w:rsid w:val="000E6AB2"/>
    <w:rsid w:val="000E6E4F"/>
    <w:rsid w:val="000E72E0"/>
    <w:rsid w:val="000E7434"/>
    <w:rsid w:val="000E76CC"/>
    <w:rsid w:val="000F02F1"/>
    <w:rsid w:val="000F0309"/>
    <w:rsid w:val="000F05E5"/>
    <w:rsid w:val="000F0D9B"/>
    <w:rsid w:val="000F0E4E"/>
    <w:rsid w:val="000F10B2"/>
    <w:rsid w:val="000F12BD"/>
    <w:rsid w:val="000F13C1"/>
    <w:rsid w:val="000F13C8"/>
    <w:rsid w:val="000F147E"/>
    <w:rsid w:val="000F159A"/>
    <w:rsid w:val="000F1654"/>
    <w:rsid w:val="000F1B4A"/>
    <w:rsid w:val="000F1E9D"/>
    <w:rsid w:val="000F21A4"/>
    <w:rsid w:val="000F2225"/>
    <w:rsid w:val="000F225A"/>
    <w:rsid w:val="000F28D5"/>
    <w:rsid w:val="000F2BC0"/>
    <w:rsid w:val="000F36CF"/>
    <w:rsid w:val="000F3859"/>
    <w:rsid w:val="000F3C05"/>
    <w:rsid w:val="000F3D6A"/>
    <w:rsid w:val="000F3D75"/>
    <w:rsid w:val="000F4CA2"/>
    <w:rsid w:val="000F4E1B"/>
    <w:rsid w:val="000F4EBE"/>
    <w:rsid w:val="000F4FAD"/>
    <w:rsid w:val="000F581E"/>
    <w:rsid w:val="000F58E3"/>
    <w:rsid w:val="000F5AA0"/>
    <w:rsid w:val="000F5B67"/>
    <w:rsid w:val="000F5D9D"/>
    <w:rsid w:val="000F65D2"/>
    <w:rsid w:val="000F66FF"/>
    <w:rsid w:val="000F686D"/>
    <w:rsid w:val="000F7030"/>
    <w:rsid w:val="000F7068"/>
    <w:rsid w:val="000F7164"/>
    <w:rsid w:val="000F7576"/>
    <w:rsid w:val="000F7888"/>
    <w:rsid w:val="000F7A95"/>
    <w:rsid w:val="000F7AD9"/>
    <w:rsid w:val="000F7E73"/>
    <w:rsid w:val="000F7F46"/>
    <w:rsid w:val="000FDF4D"/>
    <w:rsid w:val="00100003"/>
    <w:rsid w:val="00100FA4"/>
    <w:rsid w:val="001015E3"/>
    <w:rsid w:val="00101A31"/>
    <w:rsid w:val="00101A9C"/>
    <w:rsid w:val="00101C05"/>
    <w:rsid w:val="00101E0D"/>
    <w:rsid w:val="001023A5"/>
    <w:rsid w:val="0010277B"/>
    <w:rsid w:val="00102800"/>
    <w:rsid w:val="00102AB3"/>
    <w:rsid w:val="00102B17"/>
    <w:rsid w:val="00102C0E"/>
    <w:rsid w:val="00102C3D"/>
    <w:rsid w:val="00102E23"/>
    <w:rsid w:val="0010332A"/>
    <w:rsid w:val="00103453"/>
    <w:rsid w:val="00103672"/>
    <w:rsid w:val="0010394D"/>
    <w:rsid w:val="0010396F"/>
    <w:rsid w:val="00103BEF"/>
    <w:rsid w:val="00103FED"/>
    <w:rsid w:val="001040DE"/>
    <w:rsid w:val="001049C2"/>
    <w:rsid w:val="00104B85"/>
    <w:rsid w:val="00104D4E"/>
    <w:rsid w:val="00105174"/>
    <w:rsid w:val="00105B6B"/>
    <w:rsid w:val="00105BFB"/>
    <w:rsid w:val="00105DB2"/>
    <w:rsid w:val="0010612F"/>
    <w:rsid w:val="00106509"/>
    <w:rsid w:val="00106564"/>
    <w:rsid w:val="00106912"/>
    <w:rsid w:val="00106B34"/>
    <w:rsid w:val="001075BD"/>
    <w:rsid w:val="0010792C"/>
    <w:rsid w:val="00107D43"/>
    <w:rsid w:val="0011015A"/>
    <w:rsid w:val="00110504"/>
    <w:rsid w:val="0011056E"/>
    <w:rsid w:val="00110A2B"/>
    <w:rsid w:val="00110A5F"/>
    <w:rsid w:val="00110E28"/>
    <w:rsid w:val="00110E61"/>
    <w:rsid w:val="00110F04"/>
    <w:rsid w:val="001113DA"/>
    <w:rsid w:val="0011184F"/>
    <w:rsid w:val="001119D6"/>
    <w:rsid w:val="00112274"/>
    <w:rsid w:val="001126A1"/>
    <w:rsid w:val="001126F6"/>
    <w:rsid w:val="0011282C"/>
    <w:rsid w:val="00112A5D"/>
    <w:rsid w:val="00112D0B"/>
    <w:rsid w:val="00112ED1"/>
    <w:rsid w:val="001133EC"/>
    <w:rsid w:val="00113416"/>
    <w:rsid w:val="00113459"/>
    <w:rsid w:val="001134F0"/>
    <w:rsid w:val="00113945"/>
    <w:rsid w:val="00113EEA"/>
    <w:rsid w:val="00114211"/>
    <w:rsid w:val="001143FD"/>
    <w:rsid w:val="0011498C"/>
    <w:rsid w:val="001149F4"/>
    <w:rsid w:val="00114A1C"/>
    <w:rsid w:val="00114B96"/>
    <w:rsid w:val="00114E0E"/>
    <w:rsid w:val="00114E59"/>
    <w:rsid w:val="00114F08"/>
    <w:rsid w:val="00115030"/>
    <w:rsid w:val="001154DD"/>
    <w:rsid w:val="001156D2"/>
    <w:rsid w:val="00115880"/>
    <w:rsid w:val="00115ABD"/>
    <w:rsid w:val="00115DD9"/>
    <w:rsid w:val="00115DFD"/>
    <w:rsid w:val="00116128"/>
    <w:rsid w:val="00116134"/>
    <w:rsid w:val="001167B7"/>
    <w:rsid w:val="001167D2"/>
    <w:rsid w:val="001174EB"/>
    <w:rsid w:val="001201FE"/>
    <w:rsid w:val="0012026E"/>
    <w:rsid w:val="001207A0"/>
    <w:rsid w:val="00120A2D"/>
    <w:rsid w:val="00120EDA"/>
    <w:rsid w:val="0012122C"/>
    <w:rsid w:val="00121298"/>
    <w:rsid w:val="0012145D"/>
    <w:rsid w:val="001216BD"/>
    <w:rsid w:val="001218EB"/>
    <w:rsid w:val="00121908"/>
    <w:rsid w:val="00121D3D"/>
    <w:rsid w:val="00121F17"/>
    <w:rsid w:val="00122137"/>
    <w:rsid w:val="00122A37"/>
    <w:rsid w:val="00122CF3"/>
    <w:rsid w:val="00123220"/>
    <w:rsid w:val="00123378"/>
    <w:rsid w:val="001236DF"/>
    <w:rsid w:val="00123B10"/>
    <w:rsid w:val="00123F8E"/>
    <w:rsid w:val="001240A1"/>
    <w:rsid w:val="00124137"/>
    <w:rsid w:val="00124370"/>
    <w:rsid w:val="0012481A"/>
    <w:rsid w:val="001248F9"/>
    <w:rsid w:val="00124996"/>
    <w:rsid w:val="00124B04"/>
    <w:rsid w:val="00124C68"/>
    <w:rsid w:val="00124D02"/>
    <w:rsid w:val="00124E85"/>
    <w:rsid w:val="001256F9"/>
    <w:rsid w:val="0012575B"/>
    <w:rsid w:val="001257EE"/>
    <w:rsid w:val="0012590D"/>
    <w:rsid w:val="00125AF6"/>
    <w:rsid w:val="00125B66"/>
    <w:rsid w:val="00125BFB"/>
    <w:rsid w:val="00125CC1"/>
    <w:rsid w:val="00125CD9"/>
    <w:rsid w:val="00125D9D"/>
    <w:rsid w:val="00125E05"/>
    <w:rsid w:val="00125EF1"/>
    <w:rsid w:val="001261FA"/>
    <w:rsid w:val="00126792"/>
    <w:rsid w:val="0012683B"/>
    <w:rsid w:val="00127122"/>
    <w:rsid w:val="00127CAE"/>
    <w:rsid w:val="0013030E"/>
    <w:rsid w:val="0013036E"/>
    <w:rsid w:val="001303F1"/>
    <w:rsid w:val="00130454"/>
    <w:rsid w:val="0013055D"/>
    <w:rsid w:val="001307A3"/>
    <w:rsid w:val="00130BCB"/>
    <w:rsid w:val="00130DA0"/>
    <w:rsid w:val="00130FEA"/>
    <w:rsid w:val="0013122B"/>
    <w:rsid w:val="00131A3C"/>
    <w:rsid w:val="00131AD4"/>
    <w:rsid w:val="00131C6F"/>
    <w:rsid w:val="00131F42"/>
    <w:rsid w:val="00131FF4"/>
    <w:rsid w:val="00132119"/>
    <w:rsid w:val="00132685"/>
    <w:rsid w:val="00132B52"/>
    <w:rsid w:val="00132CB7"/>
    <w:rsid w:val="0013304C"/>
    <w:rsid w:val="00133691"/>
    <w:rsid w:val="0013388F"/>
    <w:rsid w:val="00133E2B"/>
    <w:rsid w:val="00133F84"/>
    <w:rsid w:val="0013438C"/>
    <w:rsid w:val="0013458E"/>
    <w:rsid w:val="00134E59"/>
    <w:rsid w:val="0013527D"/>
    <w:rsid w:val="00135424"/>
    <w:rsid w:val="001354D7"/>
    <w:rsid w:val="001357BB"/>
    <w:rsid w:val="001358C8"/>
    <w:rsid w:val="00135D27"/>
    <w:rsid w:val="00135E0F"/>
    <w:rsid w:val="00135E37"/>
    <w:rsid w:val="00135EDE"/>
    <w:rsid w:val="0013600B"/>
    <w:rsid w:val="0013604A"/>
    <w:rsid w:val="0013618B"/>
    <w:rsid w:val="00136244"/>
    <w:rsid w:val="00136432"/>
    <w:rsid w:val="0013673A"/>
    <w:rsid w:val="001369BD"/>
    <w:rsid w:val="00136A73"/>
    <w:rsid w:val="00136F95"/>
    <w:rsid w:val="001373EB"/>
    <w:rsid w:val="0013773E"/>
    <w:rsid w:val="00140055"/>
    <w:rsid w:val="001402B5"/>
    <w:rsid w:val="001405FE"/>
    <w:rsid w:val="00140864"/>
    <w:rsid w:val="0014086B"/>
    <w:rsid w:val="001409FC"/>
    <w:rsid w:val="00140B3A"/>
    <w:rsid w:val="00140F60"/>
    <w:rsid w:val="001410AE"/>
    <w:rsid w:val="00141137"/>
    <w:rsid w:val="0014114A"/>
    <w:rsid w:val="00141586"/>
    <w:rsid w:val="00141B38"/>
    <w:rsid w:val="00141BAF"/>
    <w:rsid w:val="00141D72"/>
    <w:rsid w:val="00141EA7"/>
    <w:rsid w:val="001420B3"/>
    <w:rsid w:val="00142218"/>
    <w:rsid w:val="00142717"/>
    <w:rsid w:val="00142872"/>
    <w:rsid w:val="00142A7F"/>
    <w:rsid w:val="00142AD0"/>
    <w:rsid w:val="00142F7B"/>
    <w:rsid w:val="001434ED"/>
    <w:rsid w:val="0014364E"/>
    <w:rsid w:val="0014399B"/>
    <w:rsid w:val="001440C1"/>
    <w:rsid w:val="001441AF"/>
    <w:rsid w:val="00144591"/>
    <w:rsid w:val="00144645"/>
    <w:rsid w:val="001446FC"/>
    <w:rsid w:val="00144866"/>
    <w:rsid w:val="001449A1"/>
    <w:rsid w:val="00144DF8"/>
    <w:rsid w:val="00144F9E"/>
    <w:rsid w:val="00145479"/>
    <w:rsid w:val="00145836"/>
    <w:rsid w:val="00145BAB"/>
    <w:rsid w:val="00145BF4"/>
    <w:rsid w:val="00145D68"/>
    <w:rsid w:val="00145ED4"/>
    <w:rsid w:val="0014602D"/>
    <w:rsid w:val="0014616F"/>
    <w:rsid w:val="00146532"/>
    <w:rsid w:val="00146760"/>
    <w:rsid w:val="001468A6"/>
    <w:rsid w:val="00146BED"/>
    <w:rsid w:val="00146E28"/>
    <w:rsid w:val="00147888"/>
    <w:rsid w:val="00147A3D"/>
    <w:rsid w:val="00147AD2"/>
    <w:rsid w:val="00147BFF"/>
    <w:rsid w:val="00147D86"/>
    <w:rsid w:val="00147DCC"/>
    <w:rsid w:val="00147EC1"/>
    <w:rsid w:val="00147ECF"/>
    <w:rsid w:val="0015017F"/>
    <w:rsid w:val="00150436"/>
    <w:rsid w:val="00150831"/>
    <w:rsid w:val="00150834"/>
    <w:rsid w:val="00150B3C"/>
    <w:rsid w:val="00150C66"/>
    <w:rsid w:val="001514EB"/>
    <w:rsid w:val="00151507"/>
    <w:rsid w:val="00151998"/>
    <w:rsid w:val="00151A67"/>
    <w:rsid w:val="00151B28"/>
    <w:rsid w:val="00151EC1"/>
    <w:rsid w:val="00152560"/>
    <w:rsid w:val="00152647"/>
    <w:rsid w:val="00152767"/>
    <w:rsid w:val="00152D6C"/>
    <w:rsid w:val="0015314F"/>
    <w:rsid w:val="00153483"/>
    <w:rsid w:val="00153AB5"/>
    <w:rsid w:val="00153B88"/>
    <w:rsid w:val="001540E1"/>
    <w:rsid w:val="0015439C"/>
    <w:rsid w:val="0015473F"/>
    <w:rsid w:val="00154787"/>
    <w:rsid w:val="00154849"/>
    <w:rsid w:val="001551CC"/>
    <w:rsid w:val="001553D6"/>
    <w:rsid w:val="00155A44"/>
    <w:rsid w:val="00155E46"/>
    <w:rsid w:val="00155EBD"/>
    <w:rsid w:val="00156232"/>
    <w:rsid w:val="0015641B"/>
    <w:rsid w:val="00156480"/>
    <w:rsid w:val="001564F2"/>
    <w:rsid w:val="001566C9"/>
    <w:rsid w:val="0015689F"/>
    <w:rsid w:val="001569BC"/>
    <w:rsid w:val="00156AB1"/>
    <w:rsid w:val="00156B20"/>
    <w:rsid w:val="00156DE7"/>
    <w:rsid w:val="00156DEE"/>
    <w:rsid w:val="00156E44"/>
    <w:rsid w:val="0015725B"/>
    <w:rsid w:val="0015743D"/>
    <w:rsid w:val="001574C7"/>
    <w:rsid w:val="00157791"/>
    <w:rsid w:val="00157889"/>
    <w:rsid w:val="00157A8C"/>
    <w:rsid w:val="001601BC"/>
    <w:rsid w:val="001604D9"/>
    <w:rsid w:val="001606A0"/>
    <w:rsid w:val="0016075E"/>
    <w:rsid w:val="00160786"/>
    <w:rsid w:val="0016079C"/>
    <w:rsid w:val="001609ED"/>
    <w:rsid w:val="00160B3D"/>
    <w:rsid w:val="00160D58"/>
    <w:rsid w:val="00160DCF"/>
    <w:rsid w:val="001612FE"/>
    <w:rsid w:val="0016152E"/>
    <w:rsid w:val="00161657"/>
    <w:rsid w:val="0016183F"/>
    <w:rsid w:val="001618B5"/>
    <w:rsid w:val="001618DC"/>
    <w:rsid w:val="00161B0D"/>
    <w:rsid w:val="00161F84"/>
    <w:rsid w:val="00162349"/>
    <w:rsid w:val="00162806"/>
    <w:rsid w:val="00163A4C"/>
    <w:rsid w:val="00163FD7"/>
    <w:rsid w:val="00164053"/>
    <w:rsid w:val="001647C6"/>
    <w:rsid w:val="00164829"/>
    <w:rsid w:val="001648FC"/>
    <w:rsid w:val="00164B46"/>
    <w:rsid w:val="00164BF6"/>
    <w:rsid w:val="00164CC1"/>
    <w:rsid w:val="00164D49"/>
    <w:rsid w:val="0016576C"/>
    <w:rsid w:val="00165F56"/>
    <w:rsid w:val="001663A2"/>
    <w:rsid w:val="00166928"/>
    <w:rsid w:val="00166B44"/>
    <w:rsid w:val="00166E10"/>
    <w:rsid w:val="00166E23"/>
    <w:rsid w:val="00166E87"/>
    <w:rsid w:val="001670A9"/>
    <w:rsid w:val="001674AB"/>
    <w:rsid w:val="0016754D"/>
    <w:rsid w:val="001676CA"/>
    <w:rsid w:val="00167840"/>
    <w:rsid w:val="001679BE"/>
    <w:rsid w:val="00167CDE"/>
    <w:rsid w:val="00170899"/>
    <w:rsid w:val="001708A7"/>
    <w:rsid w:val="001708E8"/>
    <w:rsid w:val="001718E5"/>
    <w:rsid w:val="00171B1E"/>
    <w:rsid w:val="00172008"/>
    <w:rsid w:val="001720E8"/>
    <w:rsid w:val="0017212B"/>
    <w:rsid w:val="001721C5"/>
    <w:rsid w:val="00172218"/>
    <w:rsid w:val="0017245A"/>
    <w:rsid w:val="00172EC4"/>
    <w:rsid w:val="00172EF3"/>
    <w:rsid w:val="00172FE2"/>
    <w:rsid w:val="00172FF4"/>
    <w:rsid w:val="0017332A"/>
    <w:rsid w:val="00173996"/>
    <w:rsid w:val="00173EC3"/>
    <w:rsid w:val="001740C6"/>
    <w:rsid w:val="00174375"/>
    <w:rsid w:val="0017462A"/>
    <w:rsid w:val="0017494F"/>
    <w:rsid w:val="00174D86"/>
    <w:rsid w:val="00174FDF"/>
    <w:rsid w:val="00175203"/>
    <w:rsid w:val="001752DC"/>
    <w:rsid w:val="001756DE"/>
    <w:rsid w:val="001761EB"/>
    <w:rsid w:val="001762CA"/>
    <w:rsid w:val="00176C66"/>
    <w:rsid w:val="00177049"/>
    <w:rsid w:val="0017797B"/>
    <w:rsid w:val="00177E42"/>
    <w:rsid w:val="00180022"/>
    <w:rsid w:val="00180196"/>
    <w:rsid w:val="00180367"/>
    <w:rsid w:val="00180452"/>
    <w:rsid w:val="0018073C"/>
    <w:rsid w:val="00180906"/>
    <w:rsid w:val="00180969"/>
    <w:rsid w:val="00180FA9"/>
    <w:rsid w:val="00181163"/>
    <w:rsid w:val="001812B3"/>
    <w:rsid w:val="00181549"/>
    <w:rsid w:val="0018168B"/>
    <w:rsid w:val="001818AC"/>
    <w:rsid w:val="001821F0"/>
    <w:rsid w:val="00182264"/>
    <w:rsid w:val="00183011"/>
    <w:rsid w:val="001831D8"/>
    <w:rsid w:val="00183760"/>
    <w:rsid w:val="001838F6"/>
    <w:rsid w:val="001839DB"/>
    <w:rsid w:val="001839F3"/>
    <w:rsid w:val="00183C5E"/>
    <w:rsid w:val="001840F5"/>
    <w:rsid w:val="001841A7"/>
    <w:rsid w:val="001846D7"/>
    <w:rsid w:val="0018472A"/>
    <w:rsid w:val="00184887"/>
    <w:rsid w:val="00184B09"/>
    <w:rsid w:val="00184B98"/>
    <w:rsid w:val="00184CF2"/>
    <w:rsid w:val="00184DDD"/>
    <w:rsid w:val="00184F92"/>
    <w:rsid w:val="00185080"/>
    <w:rsid w:val="0018566B"/>
    <w:rsid w:val="00185706"/>
    <w:rsid w:val="00185B35"/>
    <w:rsid w:val="00185C70"/>
    <w:rsid w:val="0018605E"/>
    <w:rsid w:val="001861C9"/>
    <w:rsid w:val="001865B8"/>
    <w:rsid w:val="0018673D"/>
    <w:rsid w:val="00186A1B"/>
    <w:rsid w:val="001871BF"/>
    <w:rsid w:val="001873DA"/>
    <w:rsid w:val="001877B1"/>
    <w:rsid w:val="001877D2"/>
    <w:rsid w:val="00187B9C"/>
    <w:rsid w:val="00187CB5"/>
    <w:rsid w:val="00187EF1"/>
    <w:rsid w:val="00190096"/>
    <w:rsid w:val="001903BA"/>
    <w:rsid w:val="0019041D"/>
    <w:rsid w:val="0019070B"/>
    <w:rsid w:val="00190DE7"/>
    <w:rsid w:val="00191001"/>
    <w:rsid w:val="0019121B"/>
    <w:rsid w:val="001912DE"/>
    <w:rsid w:val="00191536"/>
    <w:rsid w:val="0019163C"/>
    <w:rsid w:val="0019197C"/>
    <w:rsid w:val="00191A4E"/>
    <w:rsid w:val="00191A89"/>
    <w:rsid w:val="00191D11"/>
    <w:rsid w:val="00191F55"/>
    <w:rsid w:val="00192462"/>
    <w:rsid w:val="0019248A"/>
    <w:rsid w:val="0019297F"/>
    <w:rsid w:val="001930E8"/>
    <w:rsid w:val="00193120"/>
    <w:rsid w:val="001932C0"/>
    <w:rsid w:val="0019346F"/>
    <w:rsid w:val="001935CC"/>
    <w:rsid w:val="0019371F"/>
    <w:rsid w:val="001939D4"/>
    <w:rsid w:val="00193B59"/>
    <w:rsid w:val="00193F4A"/>
    <w:rsid w:val="00194230"/>
    <w:rsid w:val="001943BF"/>
    <w:rsid w:val="00194492"/>
    <w:rsid w:val="001944BF"/>
    <w:rsid w:val="001948A3"/>
    <w:rsid w:val="001950C7"/>
    <w:rsid w:val="001954B0"/>
    <w:rsid w:val="0019557F"/>
    <w:rsid w:val="0019598B"/>
    <w:rsid w:val="00195A5F"/>
    <w:rsid w:val="00195B4F"/>
    <w:rsid w:val="001961CD"/>
    <w:rsid w:val="001962BA"/>
    <w:rsid w:val="00196593"/>
    <w:rsid w:val="00196A25"/>
    <w:rsid w:val="00196BE7"/>
    <w:rsid w:val="00196FA4"/>
    <w:rsid w:val="0019707A"/>
    <w:rsid w:val="001972D6"/>
    <w:rsid w:val="001977B5"/>
    <w:rsid w:val="00197809"/>
    <w:rsid w:val="001979F8"/>
    <w:rsid w:val="00197B05"/>
    <w:rsid w:val="00197B18"/>
    <w:rsid w:val="00197BCD"/>
    <w:rsid w:val="00197F43"/>
    <w:rsid w:val="001A0179"/>
    <w:rsid w:val="001A04BA"/>
    <w:rsid w:val="001A05CA"/>
    <w:rsid w:val="001A062F"/>
    <w:rsid w:val="001A06E5"/>
    <w:rsid w:val="001A0EDE"/>
    <w:rsid w:val="001A193C"/>
    <w:rsid w:val="001A1C20"/>
    <w:rsid w:val="001A2002"/>
    <w:rsid w:val="001A222C"/>
    <w:rsid w:val="001A228B"/>
    <w:rsid w:val="001A22FF"/>
    <w:rsid w:val="001A23A3"/>
    <w:rsid w:val="001A29D4"/>
    <w:rsid w:val="001A2C0E"/>
    <w:rsid w:val="001A2FF7"/>
    <w:rsid w:val="001A351C"/>
    <w:rsid w:val="001A35A9"/>
    <w:rsid w:val="001A368C"/>
    <w:rsid w:val="001A452F"/>
    <w:rsid w:val="001A4973"/>
    <w:rsid w:val="001A4B4C"/>
    <w:rsid w:val="001A4E56"/>
    <w:rsid w:val="001A5300"/>
    <w:rsid w:val="001A531E"/>
    <w:rsid w:val="001A5438"/>
    <w:rsid w:val="001A576D"/>
    <w:rsid w:val="001A5D04"/>
    <w:rsid w:val="001A5D73"/>
    <w:rsid w:val="001A5EC8"/>
    <w:rsid w:val="001A6330"/>
    <w:rsid w:val="001A6607"/>
    <w:rsid w:val="001A6A45"/>
    <w:rsid w:val="001A6C07"/>
    <w:rsid w:val="001A6F6F"/>
    <w:rsid w:val="001A7562"/>
    <w:rsid w:val="001A763C"/>
    <w:rsid w:val="001B0186"/>
    <w:rsid w:val="001B0620"/>
    <w:rsid w:val="001B0B80"/>
    <w:rsid w:val="001B1015"/>
    <w:rsid w:val="001B110D"/>
    <w:rsid w:val="001B1449"/>
    <w:rsid w:val="001B15E6"/>
    <w:rsid w:val="001B15EB"/>
    <w:rsid w:val="001B1BA1"/>
    <w:rsid w:val="001B1D74"/>
    <w:rsid w:val="001B228B"/>
    <w:rsid w:val="001B26D3"/>
    <w:rsid w:val="001B2813"/>
    <w:rsid w:val="001B2D3F"/>
    <w:rsid w:val="001B2D6E"/>
    <w:rsid w:val="001B2EBA"/>
    <w:rsid w:val="001B3070"/>
    <w:rsid w:val="001B3633"/>
    <w:rsid w:val="001B3841"/>
    <w:rsid w:val="001B3BBD"/>
    <w:rsid w:val="001B3E41"/>
    <w:rsid w:val="001B3E5E"/>
    <w:rsid w:val="001B43A7"/>
    <w:rsid w:val="001B446A"/>
    <w:rsid w:val="001B46B0"/>
    <w:rsid w:val="001B5311"/>
    <w:rsid w:val="001B567A"/>
    <w:rsid w:val="001B573F"/>
    <w:rsid w:val="001B5836"/>
    <w:rsid w:val="001B589B"/>
    <w:rsid w:val="001B5BA6"/>
    <w:rsid w:val="001B6405"/>
    <w:rsid w:val="001B6729"/>
    <w:rsid w:val="001B6B9D"/>
    <w:rsid w:val="001B6CE6"/>
    <w:rsid w:val="001B6DA1"/>
    <w:rsid w:val="001B7164"/>
    <w:rsid w:val="001B72BC"/>
    <w:rsid w:val="001B72C6"/>
    <w:rsid w:val="001B7338"/>
    <w:rsid w:val="001B75D7"/>
    <w:rsid w:val="001B791B"/>
    <w:rsid w:val="001B7B7F"/>
    <w:rsid w:val="001B7E87"/>
    <w:rsid w:val="001C05A5"/>
    <w:rsid w:val="001C0685"/>
    <w:rsid w:val="001C0A30"/>
    <w:rsid w:val="001C0C18"/>
    <w:rsid w:val="001C0F7A"/>
    <w:rsid w:val="001C0F89"/>
    <w:rsid w:val="001C15A1"/>
    <w:rsid w:val="001C1932"/>
    <w:rsid w:val="001C1C2E"/>
    <w:rsid w:val="001C2175"/>
    <w:rsid w:val="001C21CE"/>
    <w:rsid w:val="001C25ED"/>
    <w:rsid w:val="001C298F"/>
    <w:rsid w:val="001C2D8D"/>
    <w:rsid w:val="001C2E20"/>
    <w:rsid w:val="001C3375"/>
    <w:rsid w:val="001C3485"/>
    <w:rsid w:val="001C3595"/>
    <w:rsid w:val="001C35EB"/>
    <w:rsid w:val="001C3661"/>
    <w:rsid w:val="001C36BE"/>
    <w:rsid w:val="001C398C"/>
    <w:rsid w:val="001C3A44"/>
    <w:rsid w:val="001C3FF8"/>
    <w:rsid w:val="001C437C"/>
    <w:rsid w:val="001C49EE"/>
    <w:rsid w:val="001C4CEE"/>
    <w:rsid w:val="001C4F14"/>
    <w:rsid w:val="001C4F7B"/>
    <w:rsid w:val="001C4FC0"/>
    <w:rsid w:val="001C508B"/>
    <w:rsid w:val="001C5960"/>
    <w:rsid w:val="001C596D"/>
    <w:rsid w:val="001C5AC8"/>
    <w:rsid w:val="001C5E8E"/>
    <w:rsid w:val="001C61D2"/>
    <w:rsid w:val="001C633C"/>
    <w:rsid w:val="001C6814"/>
    <w:rsid w:val="001C6842"/>
    <w:rsid w:val="001C6926"/>
    <w:rsid w:val="001C69C1"/>
    <w:rsid w:val="001C6DB9"/>
    <w:rsid w:val="001C6DD9"/>
    <w:rsid w:val="001C72BD"/>
    <w:rsid w:val="001C74E6"/>
    <w:rsid w:val="001C753E"/>
    <w:rsid w:val="001C75B7"/>
    <w:rsid w:val="001C7782"/>
    <w:rsid w:val="001C7C77"/>
    <w:rsid w:val="001D0665"/>
    <w:rsid w:val="001D0C6A"/>
    <w:rsid w:val="001D0F47"/>
    <w:rsid w:val="001D0F5D"/>
    <w:rsid w:val="001D1241"/>
    <w:rsid w:val="001D136C"/>
    <w:rsid w:val="001D1503"/>
    <w:rsid w:val="001D1823"/>
    <w:rsid w:val="001D182C"/>
    <w:rsid w:val="001D18D8"/>
    <w:rsid w:val="001D190D"/>
    <w:rsid w:val="001D19BE"/>
    <w:rsid w:val="001D20F5"/>
    <w:rsid w:val="001D26A6"/>
    <w:rsid w:val="001D2792"/>
    <w:rsid w:val="001D2A2B"/>
    <w:rsid w:val="001D2BBC"/>
    <w:rsid w:val="001D315D"/>
    <w:rsid w:val="001D346A"/>
    <w:rsid w:val="001D3AF9"/>
    <w:rsid w:val="001D3B65"/>
    <w:rsid w:val="001D3DEE"/>
    <w:rsid w:val="001D451D"/>
    <w:rsid w:val="001D4608"/>
    <w:rsid w:val="001D49C1"/>
    <w:rsid w:val="001D4A0B"/>
    <w:rsid w:val="001D5135"/>
    <w:rsid w:val="001D598D"/>
    <w:rsid w:val="001D5C0A"/>
    <w:rsid w:val="001D5CD7"/>
    <w:rsid w:val="001D5FE8"/>
    <w:rsid w:val="001D6027"/>
    <w:rsid w:val="001D650A"/>
    <w:rsid w:val="001D6D06"/>
    <w:rsid w:val="001D6D38"/>
    <w:rsid w:val="001D72F0"/>
    <w:rsid w:val="001D7912"/>
    <w:rsid w:val="001D7D4F"/>
    <w:rsid w:val="001E0107"/>
    <w:rsid w:val="001E014B"/>
    <w:rsid w:val="001E0197"/>
    <w:rsid w:val="001E0386"/>
    <w:rsid w:val="001E0579"/>
    <w:rsid w:val="001E0690"/>
    <w:rsid w:val="001E084D"/>
    <w:rsid w:val="001E0D92"/>
    <w:rsid w:val="001E0E83"/>
    <w:rsid w:val="001E0F73"/>
    <w:rsid w:val="001E107E"/>
    <w:rsid w:val="001E1325"/>
    <w:rsid w:val="001E134E"/>
    <w:rsid w:val="001E14BF"/>
    <w:rsid w:val="001E1CE2"/>
    <w:rsid w:val="001E1D66"/>
    <w:rsid w:val="001E1F1E"/>
    <w:rsid w:val="001E1FE4"/>
    <w:rsid w:val="001E2193"/>
    <w:rsid w:val="001E252B"/>
    <w:rsid w:val="001E28F4"/>
    <w:rsid w:val="001E2C01"/>
    <w:rsid w:val="001E2C46"/>
    <w:rsid w:val="001E2F96"/>
    <w:rsid w:val="001E3026"/>
    <w:rsid w:val="001E3A56"/>
    <w:rsid w:val="001E3AB8"/>
    <w:rsid w:val="001E3D02"/>
    <w:rsid w:val="001E3D98"/>
    <w:rsid w:val="001E4034"/>
    <w:rsid w:val="001E40DA"/>
    <w:rsid w:val="001E431E"/>
    <w:rsid w:val="001E44AF"/>
    <w:rsid w:val="001E4677"/>
    <w:rsid w:val="001E4741"/>
    <w:rsid w:val="001E4B78"/>
    <w:rsid w:val="001E4DEE"/>
    <w:rsid w:val="001E5198"/>
    <w:rsid w:val="001E52EB"/>
    <w:rsid w:val="001E5578"/>
    <w:rsid w:val="001E5898"/>
    <w:rsid w:val="001E592B"/>
    <w:rsid w:val="001E5A86"/>
    <w:rsid w:val="001E5BCF"/>
    <w:rsid w:val="001E6073"/>
    <w:rsid w:val="001E619A"/>
    <w:rsid w:val="001E6279"/>
    <w:rsid w:val="001E679D"/>
    <w:rsid w:val="001E6BF7"/>
    <w:rsid w:val="001E6FA7"/>
    <w:rsid w:val="001E70D1"/>
    <w:rsid w:val="001E727B"/>
    <w:rsid w:val="001E73CB"/>
    <w:rsid w:val="001E75AE"/>
    <w:rsid w:val="001E76ED"/>
    <w:rsid w:val="001E7A04"/>
    <w:rsid w:val="001E7C3E"/>
    <w:rsid w:val="001E7C4F"/>
    <w:rsid w:val="001E7D9C"/>
    <w:rsid w:val="001E7E90"/>
    <w:rsid w:val="001F02CF"/>
    <w:rsid w:val="001F05A3"/>
    <w:rsid w:val="001F05F9"/>
    <w:rsid w:val="001F0DB5"/>
    <w:rsid w:val="001F1951"/>
    <w:rsid w:val="001F1A17"/>
    <w:rsid w:val="001F1A1A"/>
    <w:rsid w:val="001F1A55"/>
    <w:rsid w:val="001F210D"/>
    <w:rsid w:val="001F231C"/>
    <w:rsid w:val="001F2757"/>
    <w:rsid w:val="001F2C1E"/>
    <w:rsid w:val="001F2D12"/>
    <w:rsid w:val="001F2D25"/>
    <w:rsid w:val="001F2FE9"/>
    <w:rsid w:val="001F305D"/>
    <w:rsid w:val="001F3241"/>
    <w:rsid w:val="001F355F"/>
    <w:rsid w:val="001F35DA"/>
    <w:rsid w:val="001F3B34"/>
    <w:rsid w:val="001F3C12"/>
    <w:rsid w:val="001F3E44"/>
    <w:rsid w:val="001F3F2E"/>
    <w:rsid w:val="001F46B6"/>
    <w:rsid w:val="001F481A"/>
    <w:rsid w:val="001F4935"/>
    <w:rsid w:val="001F4C09"/>
    <w:rsid w:val="001F4D57"/>
    <w:rsid w:val="001F4F7B"/>
    <w:rsid w:val="001F518B"/>
    <w:rsid w:val="001F575C"/>
    <w:rsid w:val="001F5BC0"/>
    <w:rsid w:val="001F5D9F"/>
    <w:rsid w:val="001F6327"/>
    <w:rsid w:val="001F63D3"/>
    <w:rsid w:val="001F695F"/>
    <w:rsid w:val="001F6D53"/>
    <w:rsid w:val="001F7BD4"/>
    <w:rsid w:val="001F7D23"/>
    <w:rsid w:val="001F7E98"/>
    <w:rsid w:val="001F7FD9"/>
    <w:rsid w:val="002001B8"/>
    <w:rsid w:val="00200415"/>
    <w:rsid w:val="00200575"/>
    <w:rsid w:val="0020078D"/>
    <w:rsid w:val="00200BD3"/>
    <w:rsid w:val="00200C9B"/>
    <w:rsid w:val="00200F98"/>
    <w:rsid w:val="00200FDB"/>
    <w:rsid w:val="002013C5"/>
    <w:rsid w:val="0020175D"/>
    <w:rsid w:val="00201831"/>
    <w:rsid w:val="00201F0F"/>
    <w:rsid w:val="002020D6"/>
    <w:rsid w:val="0020216F"/>
    <w:rsid w:val="00202949"/>
    <w:rsid w:val="00202AC7"/>
    <w:rsid w:val="00202BE4"/>
    <w:rsid w:val="00202D57"/>
    <w:rsid w:val="00202F58"/>
    <w:rsid w:val="00202F71"/>
    <w:rsid w:val="00203086"/>
    <w:rsid w:val="00203A64"/>
    <w:rsid w:val="00203EC2"/>
    <w:rsid w:val="00204037"/>
    <w:rsid w:val="00204046"/>
    <w:rsid w:val="00204073"/>
    <w:rsid w:val="002041F7"/>
    <w:rsid w:val="0020426A"/>
    <w:rsid w:val="002044A4"/>
    <w:rsid w:val="002047D4"/>
    <w:rsid w:val="0020491E"/>
    <w:rsid w:val="00205230"/>
    <w:rsid w:val="002053B9"/>
    <w:rsid w:val="002053E5"/>
    <w:rsid w:val="002057AF"/>
    <w:rsid w:val="002058F8"/>
    <w:rsid w:val="00206058"/>
    <w:rsid w:val="0020607E"/>
    <w:rsid w:val="00206183"/>
    <w:rsid w:val="002061A4"/>
    <w:rsid w:val="0020625E"/>
    <w:rsid w:val="002064B5"/>
    <w:rsid w:val="00206633"/>
    <w:rsid w:val="002068E5"/>
    <w:rsid w:val="00206D2D"/>
    <w:rsid w:val="00206F35"/>
    <w:rsid w:val="0020715B"/>
    <w:rsid w:val="002071AD"/>
    <w:rsid w:val="00207252"/>
    <w:rsid w:val="0020784A"/>
    <w:rsid w:val="00207B27"/>
    <w:rsid w:val="00207BBB"/>
    <w:rsid w:val="00207CC4"/>
    <w:rsid w:val="00207E78"/>
    <w:rsid w:val="0021015E"/>
    <w:rsid w:val="0021078B"/>
    <w:rsid w:val="00210795"/>
    <w:rsid w:val="00210D53"/>
    <w:rsid w:val="00210E65"/>
    <w:rsid w:val="0021150F"/>
    <w:rsid w:val="0021151E"/>
    <w:rsid w:val="002115DD"/>
    <w:rsid w:val="00211783"/>
    <w:rsid w:val="00211784"/>
    <w:rsid w:val="00212410"/>
    <w:rsid w:val="0021254C"/>
    <w:rsid w:val="0021254F"/>
    <w:rsid w:val="00212B37"/>
    <w:rsid w:val="002130CE"/>
    <w:rsid w:val="00213379"/>
    <w:rsid w:val="0021380C"/>
    <w:rsid w:val="00213C31"/>
    <w:rsid w:val="00213C97"/>
    <w:rsid w:val="002147E1"/>
    <w:rsid w:val="00214B04"/>
    <w:rsid w:val="00214C7A"/>
    <w:rsid w:val="00214DF5"/>
    <w:rsid w:val="00214EEA"/>
    <w:rsid w:val="002157F8"/>
    <w:rsid w:val="00216174"/>
    <w:rsid w:val="0021620C"/>
    <w:rsid w:val="0021690B"/>
    <w:rsid w:val="00216A8E"/>
    <w:rsid w:val="00216DD6"/>
    <w:rsid w:val="00217070"/>
    <w:rsid w:val="0021712A"/>
    <w:rsid w:val="002178F3"/>
    <w:rsid w:val="0021797E"/>
    <w:rsid w:val="00217DB8"/>
    <w:rsid w:val="002200A5"/>
    <w:rsid w:val="0022015E"/>
    <w:rsid w:val="00220826"/>
    <w:rsid w:val="00220B89"/>
    <w:rsid w:val="00220D72"/>
    <w:rsid w:val="00220E01"/>
    <w:rsid w:val="00220EC3"/>
    <w:rsid w:val="00221DCB"/>
    <w:rsid w:val="0022261F"/>
    <w:rsid w:val="00222792"/>
    <w:rsid w:val="00222DBF"/>
    <w:rsid w:val="00222E30"/>
    <w:rsid w:val="00222F07"/>
    <w:rsid w:val="00223015"/>
    <w:rsid w:val="0022347F"/>
    <w:rsid w:val="00223524"/>
    <w:rsid w:val="002236FE"/>
    <w:rsid w:val="0022370E"/>
    <w:rsid w:val="00223BB0"/>
    <w:rsid w:val="00224070"/>
    <w:rsid w:val="00224236"/>
    <w:rsid w:val="00224702"/>
    <w:rsid w:val="002249D3"/>
    <w:rsid w:val="00224C61"/>
    <w:rsid w:val="002250DD"/>
    <w:rsid w:val="0022571A"/>
    <w:rsid w:val="00225A01"/>
    <w:rsid w:val="00225B62"/>
    <w:rsid w:val="00225C36"/>
    <w:rsid w:val="00225C73"/>
    <w:rsid w:val="00225F1B"/>
    <w:rsid w:val="002261D3"/>
    <w:rsid w:val="00226285"/>
    <w:rsid w:val="0022630B"/>
    <w:rsid w:val="0022655C"/>
    <w:rsid w:val="0022685B"/>
    <w:rsid w:val="00226AF5"/>
    <w:rsid w:val="002272D5"/>
    <w:rsid w:val="00227C2C"/>
    <w:rsid w:val="00227F5E"/>
    <w:rsid w:val="00230436"/>
    <w:rsid w:val="0023067A"/>
    <w:rsid w:val="002306B0"/>
    <w:rsid w:val="0023074A"/>
    <w:rsid w:val="00230C6C"/>
    <w:rsid w:val="00231209"/>
    <w:rsid w:val="0023129F"/>
    <w:rsid w:val="00231D1E"/>
    <w:rsid w:val="00231E95"/>
    <w:rsid w:val="00231EE2"/>
    <w:rsid w:val="002324F7"/>
    <w:rsid w:val="0023251A"/>
    <w:rsid w:val="00232529"/>
    <w:rsid w:val="00232779"/>
    <w:rsid w:val="002327C6"/>
    <w:rsid w:val="002327F5"/>
    <w:rsid w:val="002328CB"/>
    <w:rsid w:val="00232B1D"/>
    <w:rsid w:val="00232B4F"/>
    <w:rsid w:val="00232C5F"/>
    <w:rsid w:val="00232CE3"/>
    <w:rsid w:val="00232DB5"/>
    <w:rsid w:val="00232E5F"/>
    <w:rsid w:val="00232EE2"/>
    <w:rsid w:val="002330D4"/>
    <w:rsid w:val="002332A9"/>
    <w:rsid w:val="00233826"/>
    <w:rsid w:val="0023398B"/>
    <w:rsid w:val="00233B51"/>
    <w:rsid w:val="00233BFF"/>
    <w:rsid w:val="00233D01"/>
    <w:rsid w:val="00233FCD"/>
    <w:rsid w:val="00234332"/>
    <w:rsid w:val="002343DA"/>
    <w:rsid w:val="002347D5"/>
    <w:rsid w:val="00234847"/>
    <w:rsid w:val="0023542C"/>
    <w:rsid w:val="00235520"/>
    <w:rsid w:val="00235626"/>
    <w:rsid w:val="002356ED"/>
    <w:rsid w:val="00235718"/>
    <w:rsid w:val="00235EAB"/>
    <w:rsid w:val="00236149"/>
    <w:rsid w:val="002361B1"/>
    <w:rsid w:val="00236355"/>
    <w:rsid w:val="0023679E"/>
    <w:rsid w:val="0023680E"/>
    <w:rsid w:val="0023731D"/>
    <w:rsid w:val="0023734A"/>
    <w:rsid w:val="00237692"/>
    <w:rsid w:val="00237780"/>
    <w:rsid w:val="00237AA7"/>
    <w:rsid w:val="00237C16"/>
    <w:rsid w:val="00237D45"/>
    <w:rsid w:val="0024022C"/>
    <w:rsid w:val="002403C2"/>
    <w:rsid w:val="002403EA"/>
    <w:rsid w:val="00240A5F"/>
    <w:rsid w:val="00240CF8"/>
    <w:rsid w:val="00240D35"/>
    <w:rsid w:val="00240DAC"/>
    <w:rsid w:val="00240E29"/>
    <w:rsid w:val="00241036"/>
    <w:rsid w:val="002410A3"/>
    <w:rsid w:val="002412A8"/>
    <w:rsid w:val="00241378"/>
    <w:rsid w:val="0024164C"/>
    <w:rsid w:val="00241988"/>
    <w:rsid w:val="00241C8E"/>
    <w:rsid w:val="00241DE0"/>
    <w:rsid w:val="00242382"/>
    <w:rsid w:val="00242596"/>
    <w:rsid w:val="002425E3"/>
    <w:rsid w:val="002426BA"/>
    <w:rsid w:val="00242900"/>
    <w:rsid w:val="00242A9B"/>
    <w:rsid w:val="00243517"/>
    <w:rsid w:val="0024353D"/>
    <w:rsid w:val="00243C31"/>
    <w:rsid w:val="00243E76"/>
    <w:rsid w:val="0024411F"/>
    <w:rsid w:val="00244601"/>
    <w:rsid w:val="00244BA9"/>
    <w:rsid w:val="00244E28"/>
    <w:rsid w:val="002455F4"/>
    <w:rsid w:val="002456B6"/>
    <w:rsid w:val="00245784"/>
    <w:rsid w:val="00245B27"/>
    <w:rsid w:val="00245B8F"/>
    <w:rsid w:val="00245E88"/>
    <w:rsid w:val="0024657C"/>
    <w:rsid w:val="00246919"/>
    <w:rsid w:val="00246D09"/>
    <w:rsid w:val="00246E02"/>
    <w:rsid w:val="00246F97"/>
    <w:rsid w:val="002470D8"/>
    <w:rsid w:val="00247811"/>
    <w:rsid w:val="0024788B"/>
    <w:rsid w:val="00247E19"/>
    <w:rsid w:val="00247FDA"/>
    <w:rsid w:val="002503E1"/>
    <w:rsid w:val="00250465"/>
    <w:rsid w:val="0025056C"/>
    <w:rsid w:val="0025066A"/>
    <w:rsid w:val="002512BF"/>
    <w:rsid w:val="00251972"/>
    <w:rsid w:val="00251D8F"/>
    <w:rsid w:val="00251E13"/>
    <w:rsid w:val="00251FAF"/>
    <w:rsid w:val="002523E9"/>
    <w:rsid w:val="002527EA"/>
    <w:rsid w:val="002529D1"/>
    <w:rsid w:val="00253050"/>
    <w:rsid w:val="002530E0"/>
    <w:rsid w:val="00253164"/>
    <w:rsid w:val="002534EA"/>
    <w:rsid w:val="0025372B"/>
    <w:rsid w:val="002538D0"/>
    <w:rsid w:val="00253AB5"/>
    <w:rsid w:val="00253CF9"/>
    <w:rsid w:val="00253D43"/>
    <w:rsid w:val="00253E05"/>
    <w:rsid w:val="00254193"/>
    <w:rsid w:val="00254371"/>
    <w:rsid w:val="00254A19"/>
    <w:rsid w:val="00254A92"/>
    <w:rsid w:val="00255103"/>
    <w:rsid w:val="0025537D"/>
    <w:rsid w:val="002553C9"/>
    <w:rsid w:val="002557EA"/>
    <w:rsid w:val="002559FD"/>
    <w:rsid w:val="00255AE9"/>
    <w:rsid w:val="00255B01"/>
    <w:rsid w:val="00255C73"/>
    <w:rsid w:val="00255E2E"/>
    <w:rsid w:val="00255E6D"/>
    <w:rsid w:val="0025610D"/>
    <w:rsid w:val="002566BE"/>
    <w:rsid w:val="002568F1"/>
    <w:rsid w:val="00256A1A"/>
    <w:rsid w:val="002571E5"/>
    <w:rsid w:val="00257E8D"/>
    <w:rsid w:val="002601C2"/>
    <w:rsid w:val="002602A3"/>
    <w:rsid w:val="002602BA"/>
    <w:rsid w:val="00260B8E"/>
    <w:rsid w:val="00260F14"/>
    <w:rsid w:val="00261D60"/>
    <w:rsid w:val="00261FA7"/>
    <w:rsid w:val="00261FCF"/>
    <w:rsid w:val="002621A9"/>
    <w:rsid w:val="00262531"/>
    <w:rsid w:val="002625AF"/>
    <w:rsid w:val="002626F7"/>
    <w:rsid w:val="00262777"/>
    <w:rsid w:val="00262826"/>
    <w:rsid w:val="00262E41"/>
    <w:rsid w:val="00262EEB"/>
    <w:rsid w:val="002630F9"/>
    <w:rsid w:val="0026324F"/>
    <w:rsid w:val="002633C2"/>
    <w:rsid w:val="00263550"/>
    <w:rsid w:val="00263702"/>
    <w:rsid w:val="002637C9"/>
    <w:rsid w:val="00263EA1"/>
    <w:rsid w:val="00263EA9"/>
    <w:rsid w:val="00264343"/>
    <w:rsid w:val="00264489"/>
    <w:rsid w:val="00264543"/>
    <w:rsid w:val="00264547"/>
    <w:rsid w:val="00264D52"/>
    <w:rsid w:val="00264ECA"/>
    <w:rsid w:val="00265024"/>
    <w:rsid w:val="002651AC"/>
    <w:rsid w:val="00265E92"/>
    <w:rsid w:val="002660C1"/>
    <w:rsid w:val="0026626F"/>
    <w:rsid w:val="00266276"/>
    <w:rsid w:val="00266409"/>
    <w:rsid w:val="0026659F"/>
    <w:rsid w:val="00266670"/>
    <w:rsid w:val="00266764"/>
    <w:rsid w:val="002669A6"/>
    <w:rsid w:val="002669C6"/>
    <w:rsid w:val="00266E48"/>
    <w:rsid w:val="00266F64"/>
    <w:rsid w:val="002670AE"/>
    <w:rsid w:val="0026712A"/>
    <w:rsid w:val="002671CF"/>
    <w:rsid w:val="00267469"/>
    <w:rsid w:val="0026773E"/>
    <w:rsid w:val="00267A2D"/>
    <w:rsid w:val="00267C37"/>
    <w:rsid w:val="00267DA3"/>
    <w:rsid w:val="0027046B"/>
    <w:rsid w:val="002707B1"/>
    <w:rsid w:val="00270D43"/>
    <w:rsid w:val="002712C3"/>
    <w:rsid w:val="00271831"/>
    <w:rsid w:val="002718AF"/>
    <w:rsid w:val="00271A6B"/>
    <w:rsid w:val="00271EEF"/>
    <w:rsid w:val="00272035"/>
    <w:rsid w:val="00272075"/>
    <w:rsid w:val="0027217A"/>
    <w:rsid w:val="00272230"/>
    <w:rsid w:val="0027238C"/>
    <w:rsid w:val="00272EDF"/>
    <w:rsid w:val="0027305D"/>
    <w:rsid w:val="002731E3"/>
    <w:rsid w:val="0027321A"/>
    <w:rsid w:val="002732B2"/>
    <w:rsid w:val="0027359F"/>
    <w:rsid w:val="0027403A"/>
    <w:rsid w:val="00274077"/>
    <w:rsid w:val="002740A7"/>
    <w:rsid w:val="0027410C"/>
    <w:rsid w:val="0027442F"/>
    <w:rsid w:val="0027443A"/>
    <w:rsid w:val="00274470"/>
    <w:rsid w:val="002749EA"/>
    <w:rsid w:val="00274C5C"/>
    <w:rsid w:val="002752A1"/>
    <w:rsid w:val="00275977"/>
    <w:rsid w:val="00275A0B"/>
    <w:rsid w:val="0027605E"/>
    <w:rsid w:val="00276216"/>
    <w:rsid w:val="002765CB"/>
    <w:rsid w:val="00276774"/>
    <w:rsid w:val="002769B6"/>
    <w:rsid w:val="00276B11"/>
    <w:rsid w:val="00276E42"/>
    <w:rsid w:val="002771FE"/>
    <w:rsid w:val="0027765C"/>
    <w:rsid w:val="00277BE7"/>
    <w:rsid w:val="00277E76"/>
    <w:rsid w:val="0028055E"/>
    <w:rsid w:val="00280879"/>
    <w:rsid w:val="00280E98"/>
    <w:rsid w:val="00280EF8"/>
    <w:rsid w:val="002810C2"/>
    <w:rsid w:val="002810ED"/>
    <w:rsid w:val="002813FF"/>
    <w:rsid w:val="0028163F"/>
    <w:rsid w:val="002816A6"/>
    <w:rsid w:val="00281C3C"/>
    <w:rsid w:val="00281FFA"/>
    <w:rsid w:val="002820E7"/>
    <w:rsid w:val="002821EE"/>
    <w:rsid w:val="00282278"/>
    <w:rsid w:val="002822A4"/>
    <w:rsid w:val="002823B3"/>
    <w:rsid w:val="00282540"/>
    <w:rsid w:val="00282764"/>
    <w:rsid w:val="002827DC"/>
    <w:rsid w:val="00282883"/>
    <w:rsid w:val="00282C28"/>
    <w:rsid w:val="00283089"/>
    <w:rsid w:val="002833D5"/>
    <w:rsid w:val="0028366E"/>
    <w:rsid w:val="002836C6"/>
    <w:rsid w:val="002838ED"/>
    <w:rsid w:val="002838F5"/>
    <w:rsid w:val="00283A66"/>
    <w:rsid w:val="00283B5F"/>
    <w:rsid w:val="00283B97"/>
    <w:rsid w:val="00283DC1"/>
    <w:rsid w:val="00284032"/>
    <w:rsid w:val="002843A2"/>
    <w:rsid w:val="002844FB"/>
    <w:rsid w:val="00284B30"/>
    <w:rsid w:val="00284EF9"/>
    <w:rsid w:val="002855B4"/>
    <w:rsid w:val="00285764"/>
    <w:rsid w:val="002857EC"/>
    <w:rsid w:val="002858D7"/>
    <w:rsid w:val="00285A5E"/>
    <w:rsid w:val="00285C50"/>
    <w:rsid w:val="00286359"/>
    <w:rsid w:val="002865D9"/>
    <w:rsid w:val="002868AE"/>
    <w:rsid w:val="00286C32"/>
    <w:rsid w:val="00286C9A"/>
    <w:rsid w:val="00287029"/>
    <w:rsid w:val="00287214"/>
    <w:rsid w:val="0028764D"/>
    <w:rsid w:val="00287859"/>
    <w:rsid w:val="00287AAE"/>
    <w:rsid w:val="00287EE2"/>
    <w:rsid w:val="002902CA"/>
    <w:rsid w:val="002903F2"/>
    <w:rsid w:val="00290AC0"/>
    <w:rsid w:val="00290E22"/>
    <w:rsid w:val="00290E31"/>
    <w:rsid w:val="00290FA8"/>
    <w:rsid w:val="00291332"/>
    <w:rsid w:val="002913BE"/>
    <w:rsid w:val="0029179E"/>
    <w:rsid w:val="00291AEF"/>
    <w:rsid w:val="00291C12"/>
    <w:rsid w:val="00291CB5"/>
    <w:rsid w:val="00291CCD"/>
    <w:rsid w:val="0029258A"/>
    <w:rsid w:val="002925F3"/>
    <w:rsid w:val="002926A9"/>
    <w:rsid w:val="002926B9"/>
    <w:rsid w:val="00292779"/>
    <w:rsid w:val="002929A9"/>
    <w:rsid w:val="00292A1F"/>
    <w:rsid w:val="00292CCD"/>
    <w:rsid w:val="002931D5"/>
    <w:rsid w:val="00293352"/>
    <w:rsid w:val="00293A20"/>
    <w:rsid w:val="00294151"/>
    <w:rsid w:val="00294225"/>
    <w:rsid w:val="0029423A"/>
    <w:rsid w:val="002942DB"/>
    <w:rsid w:val="00294833"/>
    <w:rsid w:val="00294A35"/>
    <w:rsid w:val="00294F96"/>
    <w:rsid w:val="00295A11"/>
    <w:rsid w:val="00295B0A"/>
    <w:rsid w:val="00295C8D"/>
    <w:rsid w:val="0029627B"/>
    <w:rsid w:val="00296554"/>
    <w:rsid w:val="00296B52"/>
    <w:rsid w:val="00296CB6"/>
    <w:rsid w:val="00296FC1"/>
    <w:rsid w:val="00297061"/>
    <w:rsid w:val="002970B1"/>
    <w:rsid w:val="002971EB"/>
    <w:rsid w:val="0029722E"/>
    <w:rsid w:val="002973D1"/>
    <w:rsid w:val="002975E5"/>
    <w:rsid w:val="002976CA"/>
    <w:rsid w:val="00297D68"/>
    <w:rsid w:val="00297F77"/>
    <w:rsid w:val="002A02D9"/>
    <w:rsid w:val="002A07A6"/>
    <w:rsid w:val="002A0806"/>
    <w:rsid w:val="002A083F"/>
    <w:rsid w:val="002A08BE"/>
    <w:rsid w:val="002A0CEF"/>
    <w:rsid w:val="002A0DBA"/>
    <w:rsid w:val="002A0F94"/>
    <w:rsid w:val="002A1A6B"/>
    <w:rsid w:val="002A2108"/>
    <w:rsid w:val="002A2488"/>
    <w:rsid w:val="002A29F2"/>
    <w:rsid w:val="002A2C9F"/>
    <w:rsid w:val="002A34A5"/>
    <w:rsid w:val="002A377C"/>
    <w:rsid w:val="002A3987"/>
    <w:rsid w:val="002A3A40"/>
    <w:rsid w:val="002A3A75"/>
    <w:rsid w:val="002A3AC3"/>
    <w:rsid w:val="002A3BC7"/>
    <w:rsid w:val="002A3C29"/>
    <w:rsid w:val="002A3ECA"/>
    <w:rsid w:val="002A3EE5"/>
    <w:rsid w:val="002A45E6"/>
    <w:rsid w:val="002A48C2"/>
    <w:rsid w:val="002A49E0"/>
    <w:rsid w:val="002A4C9B"/>
    <w:rsid w:val="002A5860"/>
    <w:rsid w:val="002A5A14"/>
    <w:rsid w:val="002A5B96"/>
    <w:rsid w:val="002A6187"/>
    <w:rsid w:val="002A64B6"/>
    <w:rsid w:val="002A6578"/>
    <w:rsid w:val="002A676D"/>
    <w:rsid w:val="002A6872"/>
    <w:rsid w:val="002A69F1"/>
    <w:rsid w:val="002A6A59"/>
    <w:rsid w:val="002A6BE1"/>
    <w:rsid w:val="002A6C84"/>
    <w:rsid w:val="002A6F2D"/>
    <w:rsid w:val="002A7311"/>
    <w:rsid w:val="002A7779"/>
    <w:rsid w:val="002A7874"/>
    <w:rsid w:val="002A7ADA"/>
    <w:rsid w:val="002A7B35"/>
    <w:rsid w:val="002A7C66"/>
    <w:rsid w:val="002B0246"/>
    <w:rsid w:val="002B0B82"/>
    <w:rsid w:val="002B0D57"/>
    <w:rsid w:val="002B0DE0"/>
    <w:rsid w:val="002B13C6"/>
    <w:rsid w:val="002B1505"/>
    <w:rsid w:val="002B15C9"/>
    <w:rsid w:val="002B1C63"/>
    <w:rsid w:val="002B2398"/>
    <w:rsid w:val="002B2958"/>
    <w:rsid w:val="002B295C"/>
    <w:rsid w:val="002B2CE8"/>
    <w:rsid w:val="002B2D75"/>
    <w:rsid w:val="002B361B"/>
    <w:rsid w:val="002B37CD"/>
    <w:rsid w:val="002B39E0"/>
    <w:rsid w:val="002B3CEC"/>
    <w:rsid w:val="002B4171"/>
    <w:rsid w:val="002B49BA"/>
    <w:rsid w:val="002B51BB"/>
    <w:rsid w:val="002B578A"/>
    <w:rsid w:val="002B5C2C"/>
    <w:rsid w:val="002B5EC9"/>
    <w:rsid w:val="002B635C"/>
    <w:rsid w:val="002B6A60"/>
    <w:rsid w:val="002B6B12"/>
    <w:rsid w:val="002B6B25"/>
    <w:rsid w:val="002B7683"/>
    <w:rsid w:val="002C080E"/>
    <w:rsid w:val="002C08ED"/>
    <w:rsid w:val="002C09B1"/>
    <w:rsid w:val="002C1237"/>
    <w:rsid w:val="002C1505"/>
    <w:rsid w:val="002C1766"/>
    <w:rsid w:val="002C1928"/>
    <w:rsid w:val="002C2271"/>
    <w:rsid w:val="002C27E7"/>
    <w:rsid w:val="002C27EC"/>
    <w:rsid w:val="002C2BFC"/>
    <w:rsid w:val="002C2D3B"/>
    <w:rsid w:val="002C2ECB"/>
    <w:rsid w:val="002C2FE0"/>
    <w:rsid w:val="002C393A"/>
    <w:rsid w:val="002C39F2"/>
    <w:rsid w:val="002C3CA6"/>
    <w:rsid w:val="002C3D7C"/>
    <w:rsid w:val="002C3D9F"/>
    <w:rsid w:val="002C3E97"/>
    <w:rsid w:val="002C3ECC"/>
    <w:rsid w:val="002C417D"/>
    <w:rsid w:val="002C484D"/>
    <w:rsid w:val="002C4EC2"/>
    <w:rsid w:val="002C4F59"/>
    <w:rsid w:val="002C5598"/>
    <w:rsid w:val="002C5818"/>
    <w:rsid w:val="002C5CCA"/>
    <w:rsid w:val="002C5CEC"/>
    <w:rsid w:val="002C6081"/>
    <w:rsid w:val="002C60AF"/>
    <w:rsid w:val="002C60CC"/>
    <w:rsid w:val="002C60DC"/>
    <w:rsid w:val="002C61F2"/>
    <w:rsid w:val="002C630A"/>
    <w:rsid w:val="002C6A85"/>
    <w:rsid w:val="002C7249"/>
    <w:rsid w:val="002C7729"/>
    <w:rsid w:val="002C7BBB"/>
    <w:rsid w:val="002D01AB"/>
    <w:rsid w:val="002D0682"/>
    <w:rsid w:val="002D07FA"/>
    <w:rsid w:val="002D0AF5"/>
    <w:rsid w:val="002D0CF6"/>
    <w:rsid w:val="002D0EAD"/>
    <w:rsid w:val="002D0F0B"/>
    <w:rsid w:val="002D179B"/>
    <w:rsid w:val="002D1951"/>
    <w:rsid w:val="002D2029"/>
    <w:rsid w:val="002D216A"/>
    <w:rsid w:val="002D22B8"/>
    <w:rsid w:val="002D23D5"/>
    <w:rsid w:val="002D29CF"/>
    <w:rsid w:val="002D2F1C"/>
    <w:rsid w:val="002D3415"/>
    <w:rsid w:val="002D36B2"/>
    <w:rsid w:val="002D3900"/>
    <w:rsid w:val="002D3ACC"/>
    <w:rsid w:val="002D408C"/>
    <w:rsid w:val="002D412E"/>
    <w:rsid w:val="002D412F"/>
    <w:rsid w:val="002D413C"/>
    <w:rsid w:val="002D41B9"/>
    <w:rsid w:val="002D423F"/>
    <w:rsid w:val="002D4287"/>
    <w:rsid w:val="002D4365"/>
    <w:rsid w:val="002D45FB"/>
    <w:rsid w:val="002D4614"/>
    <w:rsid w:val="002D4899"/>
    <w:rsid w:val="002D49D4"/>
    <w:rsid w:val="002D4D8A"/>
    <w:rsid w:val="002D515F"/>
    <w:rsid w:val="002D517F"/>
    <w:rsid w:val="002D53CF"/>
    <w:rsid w:val="002D543B"/>
    <w:rsid w:val="002D5576"/>
    <w:rsid w:val="002D55BA"/>
    <w:rsid w:val="002D5839"/>
    <w:rsid w:val="002D5CC2"/>
    <w:rsid w:val="002D608A"/>
    <w:rsid w:val="002D6205"/>
    <w:rsid w:val="002D63DD"/>
    <w:rsid w:val="002D6538"/>
    <w:rsid w:val="002D685F"/>
    <w:rsid w:val="002D6995"/>
    <w:rsid w:val="002D6AD7"/>
    <w:rsid w:val="002D7032"/>
    <w:rsid w:val="002D724B"/>
    <w:rsid w:val="002D7312"/>
    <w:rsid w:val="002D741F"/>
    <w:rsid w:val="002D7CAF"/>
    <w:rsid w:val="002D7DDA"/>
    <w:rsid w:val="002E0044"/>
    <w:rsid w:val="002E0079"/>
    <w:rsid w:val="002E0106"/>
    <w:rsid w:val="002E08F8"/>
    <w:rsid w:val="002E0ABE"/>
    <w:rsid w:val="002E1217"/>
    <w:rsid w:val="002E132F"/>
    <w:rsid w:val="002E15E9"/>
    <w:rsid w:val="002E1757"/>
    <w:rsid w:val="002E18AC"/>
    <w:rsid w:val="002E1F83"/>
    <w:rsid w:val="002E2156"/>
    <w:rsid w:val="002E2B19"/>
    <w:rsid w:val="002E2C3D"/>
    <w:rsid w:val="002E2E43"/>
    <w:rsid w:val="002E2F45"/>
    <w:rsid w:val="002E3655"/>
    <w:rsid w:val="002E3677"/>
    <w:rsid w:val="002E3AB6"/>
    <w:rsid w:val="002E4221"/>
    <w:rsid w:val="002E4308"/>
    <w:rsid w:val="002E4640"/>
    <w:rsid w:val="002E47F6"/>
    <w:rsid w:val="002E4E1F"/>
    <w:rsid w:val="002E4E33"/>
    <w:rsid w:val="002E4EF7"/>
    <w:rsid w:val="002E501F"/>
    <w:rsid w:val="002E512A"/>
    <w:rsid w:val="002E5718"/>
    <w:rsid w:val="002E5C38"/>
    <w:rsid w:val="002E5EB6"/>
    <w:rsid w:val="002E5FF6"/>
    <w:rsid w:val="002E622C"/>
    <w:rsid w:val="002E65BD"/>
    <w:rsid w:val="002E66BC"/>
    <w:rsid w:val="002E66FE"/>
    <w:rsid w:val="002E6A20"/>
    <w:rsid w:val="002E70F2"/>
    <w:rsid w:val="002E716F"/>
    <w:rsid w:val="002E72DB"/>
    <w:rsid w:val="002E7366"/>
    <w:rsid w:val="002E7439"/>
    <w:rsid w:val="002E78C0"/>
    <w:rsid w:val="002E7C70"/>
    <w:rsid w:val="002E7E0A"/>
    <w:rsid w:val="002E7F33"/>
    <w:rsid w:val="002F01B0"/>
    <w:rsid w:val="002F02F5"/>
    <w:rsid w:val="002F03AC"/>
    <w:rsid w:val="002F0401"/>
    <w:rsid w:val="002F0E30"/>
    <w:rsid w:val="002F0FA6"/>
    <w:rsid w:val="002F0FBA"/>
    <w:rsid w:val="002F0FE5"/>
    <w:rsid w:val="002F117F"/>
    <w:rsid w:val="002F123F"/>
    <w:rsid w:val="002F1384"/>
    <w:rsid w:val="002F167C"/>
    <w:rsid w:val="002F1924"/>
    <w:rsid w:val="002F1F56"/>
    <w:rsid w:val="002F278D"/>
    <w:rsid w:val="002F2BDD"/>
    <w:rsid w:val="002F34E1"/>
    <w:rsid w:val="002F3525"/>
    <w:rsid w:val="002F3675"/>
    <w:rsid w:val="002F3709"/>
    <w:rsid w:val="002F39ED"/>
    <w:rsid w:val="002F3A01"/>
    <w:rsid w:val="002F3BDC"/>
    <w:rsid w:val="002F451E"/>
    <w:rsid w:val="002F4620"/>
    <w:rsid w:val="002F4CDC"/>
    <w:rsid w:val="002F4DE3"/>
    <w:rsid w:val="002F54EF"/>
    <w:rsid w:val="002F568D"/>
    <w:rsid w:val="002F589E"/>
    <w:rsid w:val="002F594F"/>
    <w:rsid w:val="002F59CA"/>
    <w:rsid w:val="002F5A22"/>
    <w:rsid w:val="002F5B11"/>
    <w:rsid w:val="002F5C0F"/>
    <w:rsid w:val="002F5DCC"/>
    <w:rsid w:val="002F5DD4"/>
    <w:rsid w:val="002F5E70"/>
    <w:rsid w:val="002F5FCF"/>
    <w:rsid w:val="002F60B7"/>
    <w:rsid w:val="002F60D1"/>
    <w:rsid w:val="002F6E33"/>
    <w:rsid w:val="002F719B"/>
    <w:rsid w:val="002F71A1"/>
    <w:rsid w:val="002F7B95"/>
    <w:rsid w:val="002F7D85"/>
    <w:rsid w:val="00300079"/>
    <w:rsid w:val="00300110"/>
    <w:rsid w:val="0030061B"/>
    <w:rsid w:val="00300C3D"/>
    <w:rsid w:val="00300CB5"/>
    <w:rsid w:val="003013A5"/>
    <w:rsid w:val="003014C0"/>
    <w:rsid w:val="003024C0"/>
    <w:rsid w:val="00302D85"/>
    <w:rsid w:val="00303201"/>
    <w:rsid w:val="003032A2"/>
    <w:rsid w:val="003033DD"/>
    <w:rsid w:val="0030401E"/>
    <w:rsid w:val="003044FB"/>
    <w:rsid w:val="0030465D"/>
    <w:rsid w:val="0030483A"/>
    <w:rsid w:val="003048B8"/>
    <w:rsid w:val="00304B1B"/>
    <w:rsid w:val="00304D69"/>
    <w:rsid w:val="00304F78"/>
    <w:rsid w:val="00305014"/>
    <w:rsid w:val="00305275"/>
    <w:rsid w:val="003052A8"/>
    <w:rsid w:val="003055A8"/>
    <w:rsid w:val="00305704"/>
    <w:rsid w:val="0030584E"/>
    <w:rsid w:val="00305A8E"/>
    <w:rsid w:val="00305A9C"/>
    <w:rsid w:val="00305C8E"/>
    <w:rsid w:val="00306598"/>
    <w:rsid w:val="003066CA"/>
    <w:rsid w:val="00306C8D"/>
    <w:rsid w:val="00306CF8"/>
    <w:rsid w:val="00306F26"/>
    <w:rsid w:val="0030703A"/>
    <w:rsid w:val="00307191"/>
    <w:rsid w:val="0030747C"/>
    <w:rsid w:val="00307A67"/>
    <w:rsid w:val="00307AF2"/>
    <w:rsid w:val="00307DB0"/>
    <w:rsid w:val="00307DCD"/>
    <w:rsid w:val="003100A7"/>
    <w:rsid w:val="003101DE"/>
    <w:rsid w:val="0031085D"/>
    <w:rsid w:val="003108C0"/>
    <w:rsid w:val="00310AF1"/>
    <w:rsid w:val="00310B33"/>
    <w:rsid w:val="00310EFA"/>
    <w:rsid w:val="00310F9B"/>
    <w:rsid w:val="00310FCA"/>
    <w:rsid w:val="003112A3"/>
    <w:rsid w:val="0031135D"/>
    <w:rsid w:val="003118F0"/>
    <w:rsid w:val="003121E6"/>
    <w:rsid w:val="003125EC"/>
    <w:rsid w:val="0031261B"/>
    <w:rsid w:val="00312C34"/>
    <w:rsid w:val="003134A5"/>
    <w:rsid w:val="00313656"/>
    <w:rsid w:val="00313C79"/>
    <w:rsid w:val="00313CEC"/>
    <w:rsid w:val="003143F1"/>
    <w:rsid w:val="0031453E"/>
    <w:rsid w:val="003145D1"/>
    <w:rsid w:val="00314787"/>
    <w:rsid w:val="00314F45"/>
    <w:rsid w:val="003151E8"/>
    <w:rsid w:val="00315A6C"/>
    <w:rsid w:val="00315B5F"/>
    <w:rsid w:val="00315BB6"/>
    <w:rsid w:val="00315E49"/>
    <w:rsid w:val="00316904"/>
    <w:rsid w:val="00316916"/>
    <w:rsid w:val="003169B8"/>
    <w:rsid w:val="00316CA2"/>
    <w:rsid w:val="0031710C"/>
    <w:rsid w:val="003179BB"/>
    <w:rsid w:val="003179DE"/>
    <w:rsid w:val="00317BEE"/>
    <w:rsid w:val="00317D38"/>
    <w:rsid w:val="00317F49"/>
    <w:rsid w:val="0032002A"/>
    <w:rsid w:val="00320310"/>
    <w:rsid w:val="00320320"/>
    <w:rsid w:val="0032042B"/>
    <w:rsid w:val="0032074B"/>
    <w:rsid w:val="00320EAD"/>
    <w:rsid w:val="00320FA3"/>
    <w:rsid w:val="003213AC"/>
    <w:rsid w:val="003213BA"/>
    <w:rsid w:val="0032147C"/>
    <w:rsid w:val="00321814"/>
    <w:rsid w:val="00321CA1"/>
    <w:rsid w:val="00321E2A"/>
    <w:rsid w:val="00321E55"/>
    <w:rsid w:val="00321FCC"/>
    <w:rsid w:val="00322403"/>
    <w:rsid w:val="00322A35"/>
    <w:rsid w:val="00322D8B"/>
    <w:rsid w:val="00322F06"/>
    <w:rsid w:val="00323205"/>
    <w:rsid w:val="00323258"/>
    <w:rsid w:val="00323CF3"/>
    <w:rsid w:val="003240C9"/>
    <w:rsid w:val="003242AB"/>
    <w:rsid w:val="00324439"/>
    <w:rsid w:val="00324466"/>
    <w:rsid w:val="003245C6"/>
    <w:rsid w:val="003246A0"/>
    <w:rsid w:val="00324915"/>
    <w:rsid w:val="00324C6A"/>
    <w:rsid w:val="00324D83"/>
    <w:rsid w:val="00324E2C"/>
    <w:rsid w:val="0032570E"/>
    <w:rsid w:val="00325775"/>
    <w:rsid w:val="00325801"/>
    <w:rsid w:val="00325DAB"/>
    <w:rsid w:val="00326035"/>
    <w:rsid w:val="003260D5"/>
    <w:rsid w:val="0032667F"/>
    <w:rsid w:val="003268D7"/>
    <w:rsid w:val="00326AEF"/>
    <w:rsid w:val="00327124"/>
    <w:rsid w:val="0032724B"/>
    <w:rsid w:val="00327496"/>
    <w:rsid w:val="00327525"/>
    <w:rsid w:val="00327649"/>
    <w:rsid w:val="0032797F"/>
    <w:rsid w:val="00327F12"/>
    <w:rsid w:val="0033002E"/>
    <w:rsid w:val="003301B4"/>
    <w:rsid w:val="003301E1"/>
    <w:rsid w:val="00330503"/>
    <w:rsid w:val="00330C7D"/>
    <w:rsid w:val="00331093"/>
    <w:rsid w:val="00331409"/>
    <w:rsid w:val="00331741"/>
    <w:rsid w:val="003318E3"/>
    <w:rsid w:val="00331908"/>
    <w:rsid w:val="00331E90"/>
    <w:rsid w:val="0033224A"/>
    <w:rsid w:val="003326B3"/>
    <w:rsid w:val="0033282E"/>
    <w:rsid w:val="003329B9"/>
    <w:rsid w:val="00332A74"/>
    <w:rsid w:val="00332B2F"/>
    <w:rsid w:val="00332FCA"/>
    <w:rsid w:val="00333007"/>
    <w:rsid w:val="00333C2B"/>
    <w:rsid w:val="00333C7A"/>
    <w:rsid w:val="003342A2"/>
    <w:rsid w:val="00334969"/>
    <w:rsid w:val="00334D70"/>
    <w:rsid w:val="003353E4"/>
    <w:rsid w:val="0033558B"/>
    <w:rsid w:val="00335770"/>
    <w:rsid w:val="0033583E"/>
    <w:rsid w:val="003358F0"/>
    <w:rsid w:val="003359BC"/>
    <w:rsid w:val="00335B7D"/>
    <w:rsid w:val="00335C68"/>
    <w:rsid w:val="00335EA1"/>
    <w:rsid w:val="003362FF"/>
    <w:rsid w:val="00336509"/>
    <w:rsid w:val="00336B80"/>
    <w:rsid w:val="00336C14"/>
    <w:rsid w:val="003373DF"/>
    <w:rsid w:val="00337404"/>
    <w:rsid w:val="003374E3"/>
    <w:rsid w:val="003376CF"/>
    <w:rsid w:val="00337BE7"/>
    <w:rsid w:val="00337C0C"/>
    <w:rsid w:val="00337C4D"/>
    <w:rsid w:val="00337F1F"/>
    <w:rsid w:val="00337FE2"/>
    <w:rsid w:val="003404A9"/>
    <w:rsid w:val="003405BA"/>
    <w:rsid w:val="00340900"/>
    <w:rsid w:val="00340C19"/>
    <w:rsid w:val="00340E4D"/>
    <w:rsid w:val="00340EE8"/>
    <w:rsid w:val="003416BF"/>
    <w:rsid w:val="003418CA"/>
    <w:rsid w:val="0034194F"/>
    <w:rsid w:val="00341A8C"/>
    <w:rsid w:val="00341ECA"/>
    <w:rsid w:val="00342372"/>
    <w:rsid w:val="00342590"/>
    <w:rsid w:val="00342CE1"/>
    <w:rsid w:val="00342D84"/>
    <w:rsid w:val="00342D98"/>
    <w:rsid w:val="0034326C"/>
    <w:rsid w:val="0034334C"/>
    <w:rsid w:val="00343591"/>
    <w:rsid w:val="003436CB"/>
    <w:rsid w:val="00343811"/>
    <w:rsid w:val="00343972"/>
    <w:rsid w:val="00343A0E"/>
    <w:rsid w:val="00343B27"/>
    <w:rsid w:val="00343D32"/>
    <w:rsid w:val="003443F9"/>
    <w:rsid w:val="003448B8"/>
    <w:rsid w:val="00344B6F"/>
    <w:rsid w:val="00345211"/>
    <w:rsid w:val="00345484"/>
    <w:rsid w:val="0034566E"/>
    <w:rsid w:val="00345674"/>
    <w:rsid w:val="00345B04"/>
    <w:rsid w:val="00346287"/>
    <w:rsid w:val="003469FC"/>
    <w:rsid w:val="00346EC0"/>
    <w:rsid w:val="003475B7"/>
    <w:rsid w:val="003478A4"/>
    <w:rsid w:val="003479B6"/>
    <w:rsid w:val="00347FEC"/>
    <w:rsid w:val="0035006E"/>
    <w:rsid w:val="00350319"/>
    <w:rsid w:val="00350BBE"/>
    <w:rsid w:val="00350DA7"/>
    <w:rsid w:val="00350F74"/>
    <w:rsid w:val="00351059"/>
    <w:rsid w:val="003511A0"/>
    <w:rsid w:val="003511EF"/>
    <w:rsid w:val="003512FC"/>
    <w:rsid w:val="00351452"/>
    <w:rsid w:val="003517CE"/>
    <w:rsid w:val="00351856"/>
    <w:rsid w:val="0035190E"/>
    <w:rsid w:val="00351AEB"/>
    <w:rsid w:val="00351B83"/>
    <w:rsid w:val="00351B91"/>
    <w:rsid w:val="0035223D"/>
    <w:rsid w:val="00352566"/>
    <w:rsid w:val="003525DD"/>
    <w:rsid w:val="00352F45"/>
    <w:rsid w:val="003531E3"/>
    <w:rsid w:val="003534EC"/>
    <w:rsid w:val="00353618"/>
    <w:rsid w:val="003537F8"/>
    <w:rsid w:val="00353D2D"/>
    <w:rsid w:val="00353FA5"/>
    <w:rsid w:val="003542CB"/>
    <w:rsid w:val="0035497E"/>
    <w:rsid w:val="00354B02"/>
    <w:rsid w:val="00355146"/>
    <w:rsid w:val="003551D7"/>
    <w:rsid w:val="003552EF"/>
    <w:rsid w:val="003555A3"/>
    <w:rsid w:val="0035562F"/>
    <w:rsid w:val="00355AE9"/>
    <w:rsid w:val="00355CD8"/>
    <w:rsid w:val="00355DAD"/>
    <w:rsid w:val="00355F5D"/>
    <w:rsid w:val="003561F8"/>
    <w:rsid w:val="003563DA"/>
    <w:rsid w:val="00356873"/>
    <w:rsid w:val="00356A8F"/>
    <w:rsid w:val="00356ACC"/>
    <w:rsid w:val="00356B03"/>
    <w:rsid w:val="00356B64"/>
    <w:rsid w:val="00356E13"/>
    <w:rsid w:val="00356F11"/>
    <w:rsid w:val="00357093"/>
    <w:rsid w:val="00357396"/>
    <w:rsid w:val="0035746F"/>
    <w:rsid w:val="0036068C"/>
    <w:rsid w:val="0036085D"/>
    <w:rsid w:val="00360B39"/>
    <w:rsid w:val="00360BA7"/>
    <w:rsid w:val="003612EA"/>
    <w:rsid w:val="00361384"/>
    <w:rsid w:val="0036150A"/>
    <w:rsid w:val="00361A93"/>
    <w:rsid w:val="00361D39"/>
    <w:rsid w:val="00361DFB"/>
    <w:rsid w:val="00361E79"/>
    <w:rsid w:val="003623F2"/>
    <w:rsid w:val="0036246E"/>
    <w:rsid w:val="003625EF"/>
    <w:rsid w:val="00362687"/>
    <w:rsid w:val="0036290D"/>
    <w:rsid w:val="00362BD5"/>
    <w:rsid w:val="00362EFD"/>
    <w:rsid w:val="003635AC"/>
    <w:rsid w:val="0036361D"/>
    <w:rsid w:val="00363BEE"/>
    <w:rsid w:val="00363E2B"/>
    <w:rsid w:val="00363FF3"/>
    <w:rsid w:val="00364343"/>
    <w:rsid w:val="003647DD"/>
    <w:rsid w:val="00364991"/>
    <w:rsid w:val="00364BD3"/>
    <w:rsid w:val="00364DB5"/>
    <w:rsid w:val="00365623"/>
    <w:rsid w:val="0036562E"/>
    <w:rsid w:val="00365FD8"/>
    <w:rsid w:val="003667E7"/>
    <w:rsid w:val="00366A5B"/>
    <w:rsid w:val="00366C9C"/>
    <w:rsid w:val="003671D0"/>
    <w:rsid w:val="003672D9"/>
    <w:rsid w:val="003679FB"/>
    <w:rsid w:val="00367C7A"/>
    <w:rsid w:val="00367CCD"/>
    <w:rsid w:val="00370B68"/>
    <w:rsid w:val="00370CEC"/>
    <w:rsid w:val="00371245"/>
    <w:rsid w:val="00371584"/>
    <w:rsid w:val="00371C85"/>
    <w:rsid w:val="00371E77"/>
    <w:rsid w:val="00372599"/>
    <w:rsid w:val="00372DFF"/>
    <w:rsid w:val="00373078"/>
    <w:rsid w:val="00373197"/>
    <w:rsid w:val="003737D8"/>
    <w:rsid w:val="00373BFB"/>
    <w:rsid w:val="00373C34"/>
    <w:rsid w:val="00373D97"/>
    <w:rsid w:val="00373FEE"/>
    <w:rsid w:val="003744EA"/>
    <w:rsid w:val="00375017"/>
    <w:rsid w:val="0037541C"/>
    <w:rsid w:val="00375CE0"/>
    <w:rsid w:val="00375D1E"/>
    <w:rsid w:val="00376105"/>
    <w:rsid w:val="0037618F"/>
    <w:rsid w:val="0037652E"/>
    <w:rsid w:val="00376745"/>
    <w:rsid w:val="00376B76"/>
    <w:rsid w:val="00376C67"/>
    <w:rsid w:val="00376DE2"/>
    <w:rsid w:val="00376DEE"/>
    <w:rsid w:val="00377111"/>
    <w:rsid w:val="00377312"/>
    <w:rsid w:val="003774D7"/>
    <w:rsid w:val="0037795F"/>
    <w:rsid w:val="00377DC9"/>
    <w:rsid w:val="00377E72"/>
    <w:rsid w:val="00380144"/>
    <w:rsid w:val="003805B8"/>
    <w:rsid w:val="003809F2"/>
    <w:rsid w:val="00380A2B"/>
    <w:rsid w:val="003810F3"/>
    <w:rsid w:val="00381159"/>
    <w:rsid w:val="00381395"/>
    <w:rsid w:val="00382328"/>
    <w:rsid w:val="00382582"/>
    <w:rsid w:val="0038282F"/>
    <w:rsid w:val="00382F48"/>
    <w:rsid w:val="00383619"/>
    <w:rsid w:val="00383AF1"/>
    <w:rsid w:val="00383C33"/>
    <w:rsid w:val="00383CC6"/>
    <w:rsid w:val="00383DC8"/>
    <w:rsid w:val="00383DF4"/>
    <w:rsid w:val="0038414A"/>
    <w:rsid w:val="003844F6"/>
    <w:rsid w:val="0038454B"/>
    <w:rsid w:val="003849E8"/>
    <w:rsid w:val="00384ADC"/>
    <w:rsid w:val="00384DBD"/>
    <w:rsid w:val="00384EEE"/>
    <w:rsid w:val="003857B0"/>
    <w:rsid w:val="003859F0"/>
    <w:rsid w:val="00386455"/>
    <w:rsid w:val="003867F4"/>
    <w:rsid w:val="00386ACE"/>
    <w:rsid w:val="00386E14"/>
    <w:rsid w:val="00386F79"/>
    <w:rsid w:val="0038727D"/>
    <w:rsid w:val="003872B5"/>
    <w:rsid w:val="003872EC"/>
    <w:rsid w:val="0038783B"/>
    <w:rsid w:val="0038786A"/>
    <w:rsid w:val="00387890"/>
    <w:rsid w:val="00387961"/>
    <w:rsid w:val="00387AE8"/>
    <w:rsid w:val="00387BA1"/>
    <w:rsid w:val="00390220"/>
    <w:rsid w:val="00390244"/>
    <w:rsid w:val="0039055C"/>
    <w:rsid w:val="003907C9"/>
    <w:rsid w:val="003909AE"/>
    <w:rsid w:val="003909F8"/>
    <w:rsid w:val="00390BE9"/>
    <w:rsid w:val="00390BF7"/>
    <w:rsid w:val="00390E6E"/>
    <w:rsid w:val="0039118D"/>
    <w:rsid w:val="003914EA"/>
    <w:rsid w:val="00391812"/>
    <w:rsid w:val="00391AA7"/>
    <w:rsid w:val="00391E2D"/>
    <w:rsid w:val="00392392"/>
    <w:rsid w:val="00392821"/>
    <w:rsid w:val="003934BA"/>
    <w:rsid w:val="0039379A"/>
    <w:rsid w:val="0039399C"/>
    <w:rsid w:val="00393B06"/>
    <w:rsid w:val="00393F38"/>
    <w:rsid w:val="003940C7"/>
    <w:rsid w:val="00394517"/>
    <w:rsid w:val="003947FC"/>
    <w:rsid w:val="00394820"/>
    <w:rsid w:val="00394844"/>
    <w:rsid w:val="00394F46"/>
    <w:rsid w:val="00394FFB"/>
    <w:rsid w:val="00395334"/>
    <w:rsid w:val="0039554D"/>
    <w:rsid w:val="003957A3"/>
    <w:rsid w:val="003959DB"/>
    <w:rsid w:val="00395BA7"/>
    <w:rsid w:val="00395C7A"/>
    <w:rsid w:val="00395F89"/>
    <w:rsid w:val="00396447"/>
    <w:rsid w:val="003964AC"/>
    <w:rsid w:val="003967D8"/>
    <w:rsid w:val="0039693F"/>
    <w:rsid w:val="00396AB5"/>
    <w:rsid w:val="00396B7D"/>
    <w:rsid w:val="003970D7"/>
    <w:rsid w:val="00397172"/>
    <w:rsid w:val="003973F5"/>
    <w:rsid w:val="0039745C"/>
    <w:rsid w:val="00397595"/>
    <w:rsid w:val="0039772B"/>
    <w:rsid w:val="00397CA5"/>
    <w:rsid w:val="00397E74"/>
    <w:rsid w:val="00397FC3"/>
    <w:rsid w:val="003A016A"/>
    <w:rsid w:val="003A0493"/>
    <w:rsid w:val="003A06BD"/>
    <w:rsid w:val="003A089E"/>
    <w:rsid w:val="003A0BEC"/>
    <w:rsid w:val="003A0C54"/>
    <w:rsid w:val="003A0E78"/>
    <w:rsid w:val="003A1085"/>
    <w:rsid w:val="003A13BD"/>
    <w:rsid w:val="003A1B76"/>
    <w:rsid w:val="003A1BE1"/>
    <w:rsid w:val="003A1C0F"/>
    <w:rsid w:val="003A1C38"/>
    <w:rsid w:val="003A1D82"/>
    <w:rsid w:val="003A1DB9"/>
    <w:rsid w:val="003A1F00"/>
    <w:rsid w:val="003A25D2"/>
    <w:rsid w:val="003A25F1"/>
    <w:rsid w:val="003A26E1"/>
    <w:rsid w:val="003A2EFF"/>
    <w:rsid w:val="003A306C"/>
    <w:rsid w:val="003A31DC"/>
    <w:rsid w:val="003A3817"/>
    <w:rsid w:val="003A3882"/>
    <w:rsid w:val="003A3C61"/>
    <w:rsid w:val="003A3CC2"/>
    <w:rsid w:val="003A3E8F"/>
    <w:rsid w:val="003A4039"/>
    <w:rsid w:val="003A40B6"/>
    <w:rsid w:val="003A425C"/>
    <w:rsid w:val="003A435E"/>
    <w:rsid w:val="003A463D"/>
    <w:rsid w:val="003A5114"/>
    <w:rsid w:val="003A5743"/>
    <w:rsid w:val="003A59E1"/>
    <w:rsid w:val="003A5D9A"/>
    <w:rsid w:val="003A5F51"/>
    <w:rsid w:val="003A5F55"/>
    <w:rsid w:val="003A6467"/>
    <w:rsid w:val="003A6583"/>
    <w:rsid w:val="003A67E7"/>
    <w:rsid w:val="003A69E1"/>
    <w:rsid w:val="003A74B6"/>
    <w:rsid w:val="003A74CA"/>
    <w:rsid w:val="003A7DC9"/>
    <w:rsid w:val="003B0015"/>
    <w:rsid w:val="003B0064"/>
    <w:rsid w:val="003B00FA"/>
    <w:rsid w:val="003B0277"/>
    <w:rsid w:val="003B039E"/>
    <w:rsid w:val="003B04E9"/>
    <w:rsid w:val="003B083F"/>
    <w:rsid w:val="003B12FC"/>
    <w:rsid w:val="003B23C4"/>
    <w:rsid w:val="003B2570"/>
    <w:rsid w:val="003B262A"/>
    <w:rsid w:val="003B2927"/>
    <w:rsid w:val="003B2A9A"/>
    <w:rsid w:val="003B2ADF"/>
    <w:rsid w:val="003B2BAB"/>
    <w:rsid w:val="003B2D07"/>
    <w:rsid w:val="003B32FA"/>
    <w:rsid w:val="003B37D8"/>
    <w:rsid w:val="003B3908"/>
    <w:rsid w:val="003B3909"/>
    <w:rsid w:val="003B3D42"/>
    <w:rsid w:val="003B3F4C"/>
    <w:rsid w:val="003B4008"/>
    <w:rsid w:val="003B405B"/>
    <w:rsid w:val="003B418B"/>
    <w:rsid w:val="003B41B9"/>
    <w:rsid w:val="003B48B1"/>
    <w:rsid w:val="003B4C37"/>
    <w:rsid w:val="003B4C88"/>
    <w:rsid w:val="003B4F30"/>
    <w:rsid w:val="003B530F"/>
    <w:rsid w:val="003B5764"/>
    <w:rsid w:val="003B5EFE"/>
    <w:rsid w:val="003B5FBD"/>
    <w:rsid w:val="003B6100"/>
    <w:rsid w:val="003B6207"/>
    <w:rsid w:val="003B62E2"/>
    <w:rsid w:val="003B666F"/>
    <w:rsid w:val="003B6A06"/>
    <w:rsid w:val="003B6A59"/>
    <w:rsid w:val="003B7067"/>
    <w:rsid w:val="003B7380"/>
    <w:rsid w:val="003B740C"/>
    <w:rsid w:val="003B79BA"/>
    <w:rsid w:val="003B7F72"/>
    <w:rsid w:val="003C03FB"/>
    <w:rsid w:val="003C05BB"/>
    <w:rsid w:val="003C0789"/>
    <w:rsid w:val="003C089F"/>
    <w:rsid w:val="003C090D"/>
    <w:rsid w:val="003C0BC5"/>
    <w:rsid w:val="003C1C6C"/>
    <w:rsid w:val="003C1E41"/>
    <w:rsid w:val="003C1E44"/>
    <w:rsid w:val="003C2019"/>
    <w:rsid w:val="003C2394"/>
    <w:rsid w:val="003C2496"/>
    <w:rsid w:val="003C2B3E"/>
    <w:rsid w:val="003C2DD0"/>
    <w:rsid w:val="003C333D"/>
    <w:rsid w:val="003C393E"/>
    <w:rsid w:val="003C3B55"/>
    <w:rsid w:val="003C3B59"/>
    <w:rsid w:val="003C3CBC"/>
    <w:rsid w:val="003C3CC3"/>
    <w:rsid w:val="003C404A"/>
    <w:rsid w:val="003C4375"/>
    <w:rsid w:val="003C446C"/>
    <w:rsid w:val="003C4470"/>
    <w:rsid w:val="003C4C88"/>
    <w:rsid w:val="003C54D2"/>
    <w:rsid w:val="003C57A0"/>
    <w:rsid w:val="003C5A72"/>
    <w:rsid w:val="003C5AE5"/>
    <w:rsid w:val="003C5F74"/>
    <w:rsid w:val="003C6508"/>
    <w:rsid w:val="003C68F6"/>
    <w:rsid w:val="003C6923"/>
    <w:rsid w:val="003C6ACC"/>
    <w:rsid w:val="003C6BE2"/>
    <w:rsid w:val="003C6ECE"/>
    <w:rsid w:val="003C6FDB"/>
    <w:rsid w:val="003C7248"/>
    <w:rsid w:val="003C7A48"/>
    <w:rsid w:val="003C7AA7"/>
    <w:rsid w:val="003C7AD0"/>
    <w:rsid w:val="003C7D90"/>
    <w:rsid w:val="003C7E5C"/>
    <w:rsid w:val="003D0809"/>
    <w:rsid w:val="003D099B"/>
    <w:rsid w:val="003D0CAC"/>
    <w:rsid w:val="003D0CE0"/>
    <w:rsid w:val="003D105D"/>
    <w:rsid w:val="003D11D2"/>
    <w:rsid w:val="003D1497"/>
    <w:rsid w:val="003D183D"/>
    <w:rsid w:val="003D186C"/>
    <w:rsid w:val="003D1BE4"/>
    <w:rsid w:val="003D1DE1"/>
    <w:rsid w:val="003D1FBD"/>
    <w:rsid w:val="003D229F"/>
    <w:rsid w:val="003D2342"/>
    <w:rsid w:val="003D2956"/>
    <w:rsid w:val="003D2B09"/>
    <w:rsid w:val="003D2D7A"/>
    <w:rsid w:val="003D32FD"/>
    <w:rsid w:val="003D3C9A"/>
    <w:rsid w:val="003D3F64"/>
    <w:rsid w:val="003D3FE9"/>
    <w:rsid w:val="003D4203"/>
    <w:rsid w:val="003D4321"/>
    <w:rsid w:val="003D49CF"/>
    <w:rsid w:val="003D4A3F"/>
    <w:rsid w:val="003D4DDF"/>
    <w:rsid w:val="003D4FCF"/>
    <w:rsid w:val="003D52B3"/>
    <w:rsid w:val="003D5615"/>
    <w:rsid w:val="003D5630"/>
    <w:rsid w:val="003D576D"/>
    <w:rsid w:val="003D57ED"/>
    <w:rsid w:val="003D5905"/>
    <w:rsid w:val="003D5AAC"/>
    <w:rsid w:val="003D6229"/>
    <w:rsid w:val="003D6422"/>
    <w:rsid w:val="003D6644"/>
    <w:rsid w:val="003D68A2"/>
    <w:rsid w:val="003D6A3A"/>
    <w:rsid w:val="003D6BE3"/>
    <w:rsid w:val="003D6FB3"/>
    <w:rsid w:val="003D719D"/>
    <w:rsid w:val="003D7427"/>
    <w:rsid w:val="003D7660"/>
    <w:rsid w:val="003D778A"/>
    <w:rsid w:val="003D79E0"/>
    <w:rsid w:val="003D7BB8"/>
    <w:rsid w:val="003D7CED"/>
    <w:rsid w:val="003D7EBD"/>
    <w:rsid w:val="003E0B76"/>
    <w:rsid w:val="003E0C01"/>
    <w:rsid w:val="003E0C53"/>
    <w:rsid w:val="003E0C7E"/>
    <w:rsid w:val="003E0D28"/>
    <w:rsid w:val="003E16A4"/>
    <w:rsid w:val="003E17BC"/>
    <w:rsid w:val="003E17D4"/>
    <w:rsid w:val="003E1943"/>
    <w:rsid w:val="003E1CFD"/>
    <w:rsid w:val="003E1DF8"/>
    <w:rsid w:val="003E1EA7"/>
    <w:rsid w:val="003E2267"/>
    <w:rsid w:val="003E23CA"/>
    <w:rsid w:val="003E23FF"/>
    <w:rsid w:val="003E2A39"/>
    <w:rsid w:val="003E2BFE"/>
    <w:rsid w:val="003E2C5C"/>
    <w:rsid w:val="003E2EE1"/>
    <w:rsid w:val="003E314F"/>
    <w:rsid w:val="003E3264"/>
    <w:rsid w:val="003E35FD"/>
    <w:rsid w:val="003E3AF8"/>
    <w:rsid w:val="003E3DCB"/>
    <w:rsid w:val="003E3ED6"/>
    <w:rsid w:val="003E44D5"/>
    <w:rsid w:val="003E4770"/>
    <w:rsid w:val="003E494F"/>
    <w:rsid w:val="003E4A6E"/>
    <w:rsid w:val="003E4B85"/>
    <w:rsid w:val="003E4BAC"/>
    <w:rsid w:val="003E4C26"/>
    <w:rsid w:val="003E4FAD"/>
    <w:rsid w:val="003E62F0"/>
    <w:rsid w:val="003E6340"/>
    <w:rsid w:val="003E646A"/>
    <w:rsid w:val="003E6476"/>
    <w:rsid w:val="003E6642"/>
    <w:rsid w:val="003E6A03"/>
    <w:rsid w:val="003E6C27"/>
    <w:rsid w:val="003E6C66"/>
    <w:rsid w:val="003E6F51"/>
    <w:rsid w:val="003E6FCB"/>
    <w:rsid w:val="003E6FE6"/>
    <w:rsid w:val="003E72B9"/>
    <w:rsid w:val="003E740B"/>
    <w:rsid w:val="003E7603"/>
    <w:rsid w:val="003E7670"/>
    <w:rsid w:val="003E76C7"/>
    <w:rsid w:val="003E79B4"/>
    <w:rsid w:val="003E7A18"/>
    <w:rsid w:val="003E7DBC"/>
    <w:rsid w:val="003F05DE"/>
    <w:rsid w:val="003F062F"/>
    <w:rsid w:val="003F06B4"/>
    <w:rsid w:val="003F0717"/>
    <w:rsid w:val="003F0977"/>
    <w:rsid w:val="003F0BD0"/>
    <w:rsid w:val="003F0CCF"/>
    <w:rsid w:val="003F0F81"/>
    <w:rsid w:val="003F10C2"/>
    <w:rsid w:val="003F10F5"/>
    <w:rsid w:val="003F163D"/>
    <w:rsid w:val="003F1674"/>
    <w:rsid w:val="003F1938"/>
    <w:rsid w:val="003F19F4"/>
    <w:rsid w:val="003F1B07"/>
    <w:rsid w:val="003F1CED"/>
    <w:rsid w:val="003F1E61"/>
    <w:rsid w:val="003F24D7"/>
    <w:rsid w:val="003F2B40"/>
    <w:rsid w:val="003F3302"/>
    <w:rsid w:val="003F3525"/>
    <w:rsid w:val="003F382C"/>
    <w:rsid w:val="003F3998"/>
    <w:rsid w:val="003F3B17"/>
    <w:rsid w:val="003F3B7C"/>
    <w:rsid w:val="003F4100"/>
    <w:rsid w:val="003F426A"/>
    <w:rsid w:val="003F4283"/>
    <w:rsid w:val="003F44F1"/>
    <w:rsid w:val="003F44FA"/>
    <w:rsid w:val="003F451D"/>
    <w:rsid w:val="003F45D1"/>
    <w:rsid w:val="003F47C7"/>
    <w:rsid w:val="003F4D2E"/>
    <w:rsid w:val="003F4DBC"/>
    <w:rsid w:val="003F4DEB"/>
    <w:rsid w:val="003F5309"/>
    <w:rsid w:val="003F53AA"/>
    <w:rsid w:val="003F578D"/>
    <w:rsid w:val="003F5841"/>
    <w:rsid w:val="003F5A8D"/>
    <w:rsid w:val="003F5EDA"/>
    <w:rsid w:val="003F5FAE"/>
    <w:rsid w:val="003F600C"/>
    <w:rsid w:val="003F6144"/>
    <w:rsid w:val="003F614A"/>
    <w:rsid w:val="003F6364"/>
    <w:rsid w:val="003F6797"/>
    <w:rsid w:val="003F707D"/>
    <w:rsid w:val="003F7226"/>
    <w:rsid w:val="003F73BE"/>
    <w:rsid w:val="003F7634"/>
    <w:rsid w:val="003F76A4"/>
    <w:rsid w:val="003F7856"/>
    <w:rsid w:val="003F7984"/>
    <w:rsid w:val="003F7E44"/>
    <w:rsid w:val="004000F9"/>
    <w:rsid w:val="00400130"/>
    <w:rsid w:val="004005A1"/>
    <w:rsid w:val="004005FC"/>
    <w:rsid w:val="00400857"/>
    <w:rsid w:val="00400D10"/>
    <w:rsid w:val="00400F3B"/>
    <w:rsid w:val="00400FB4"/>
    <w:rsid w:val="00400FE1"/>
    <w:rsid w:val="00401424"/>
    <w:rsid w:val="00401471"/>
    <w:rsid w:val="004015F1"/>
    <w:rsid w:val="00401635"/>
    <w:rsid w:val="0040191B"/>
    <w:rsid w:val="00401A4E"/>
    <w:rsid w:val="00401D70"/>
    <w:rsid w:val="00401E0D"/>
    <w:rsid w:val="004021DA"/>
    <w:rsid w:val="00402212"/>
    <w:rsid w:val="0040228B"/>
    <w:rsid w:val="00402540"/>
    <w:rsid w:val="004037F0"/>
    <w:rsid w:val="004037F7"/>
    <w:rsid w:val="0040396D"/>
    <w:rsid w:val="00403BAA"/>
    <w:rsid w:val="00403FE8"/>
    <w:rsid w:val="004044F5"/>
    <w:rsid w:val="004044FB"/>
    <w:rsid w:val="004046DE"/>
    <w:rsid w:val="00404867"/>
    <w:rsid w:val="0040493A"/>
    <w:rsid w:val="00404AAE"/>
    <w:rsid w:val="00404C29"/>
    <w:rsid w:val="0040547D"/>
    <w:rsid w:val="00405567"/>
    <w:rsid w:val="00405B9F"/>
    <w:rsid w:val="00405EE2"/>
    <w:rsid w:val="00405FB7"/>
    <w:rsid w:val="0040603C"/>
    <w:rsid w:val="004063A7"/>
    <w:rsid w:val="0040641D"/>
    <w:rsid w:val="00407340"/>
    <w:rsid w:val="004073CC"/>
    <w:rsid w:val="00407475"/>
    <w:rsid w:val="0040770B"/>
    <w:rsid w:val="00407B75"/>
    <w:rsid w:val="00407F53"/>
    <w:rsid w:val="00410D65"/>
    <w:rsid w:val="00410F98"/>
    <w:rsid w:val="0041104E"/>
    <w:rsid w:val="0041122D"/>
    <w:rsid w:val="00411454"/>
    <w:rsid w:val="00411750"/>
    <w:rsid w:val="00411D75"/>
    <w:rsid w:val="00412BDC"/>
    <w:rsid w:val="0041360E"/>
    <w:rsid w:val="004138C6"/>
    <w:rsid w:val="00413935"/>
    <w:rsid w:val="00413EBD"/>
    <w:rsid w:val="00414585"/>
    <w:rsid w:val="00414BA0"/>
    <w:rsid w:val="00415098"/>
    <w:rsid w:val="00415534"/>
    <w:rsid w:val="0041574F"/>
    <w:rsid w:val="00415751"/>
    <w:rsid w:val="0041582D"/>
    <w:rsid w:val="004159E7"/>
    <w:rsid w:val="00415E87"/>
    <w:rsid w:val="0041611E"/>
    <w:rsid w:val="0041649D"/>
    <w:rsid w:val="004164B1"/>
    <w:rsid w:val="004165BE"/>
    <w:rsid w:val="004165FA"/>
    <w:rsid w:val="00416633"/>
    <w:rsid w:val="00416674"/>
    <w:rsid w:val="004166DF"/>
    <w:rsid w:val="004169AB"/>
    <w:rsid w:val="00416F58"/>
    <w:rsid w:val="004172F2"/>
    <w:rsid w:val="00417530"/>
    <w:rsid w:val="0041775E"/>
    <w:rsid w:val="00417C63"/>
    <w:rsid w:val="004203B0"/>
    <w:rsid w:val="0042052F"/>
    <w:rsid w:val="0042087C"/>
    <w:rsid w:val="00420CCD"/>
    <w:rsid w:val="00421321"/>
    <w:rsid w:val="004213D3"/>
    <w:rsid w:val="0042216F"/>
    <w:rsid w:val="00422567"/>
    <w:rsid w:val="004225AE"/>
    <w:rsid w:val="00422755"/>
    <w:rsid w:val="00423157"/>
    <w:rsid w:val="004234D1"/>
    <w:rsid w:val="004234D8"/>
    <w:rsid w:val="00423518"/>
    <w:rsid w:val="004236FF"/>
    <w:rsid w:val="00423A51"/>
    <w:rsid w:val="00423DD2"/>
    <w:rsid w:val="00423DEB"/>
    <w:rsid w:val="00423FBC"/>
    <w:rsid w:val="004242E1"/>
    <w:rsid w:val="00424476"/>
    <w:rsid w:val="0042494D"/>
    <w:rsid w:val="00424A5E"/>
    <w:rsid w:val="00424CC5"/>
    <w:rsid w:val="00424F02"/>
    <w:rsid w:val="004250BC"/>
    <w:rsid w:val="0042551F"/>
    <w:rsid w:val="00425A1B"/>
    <w:rsid w:val="00425AE5"/>
    <w:rsid w:val="00426012"/>
    <w:rsid w:val="004261D3"/>
    <w:rsid w:val="004263BE"/>
    <w:rsid w:val="00426414"/>
    <w:rsid w:val="00426DB0"/>
    <w:rsid w:val="00427177"/>
    <w:rsid w:val="004271B8"/>
    <w:rsid w:val="0042725C"/>
    <w:rsid w:val="0042757E"/>
    <w:rsid w:val="00427F01"/>
    <w:rsid w:val="00427F51"/>
    <w:rsid w:val="0043015A"/>
    <w:rsid w:val="004301A5"/>
    <w:rsid w:val="0043036F"/>
    <w:rsid w:val="00430388"/>
    <w:rsid w:val="00430586"/>
    <w:rsid w:val="0043076A"/>
    <w:rsid w:val="00430854"/>
    <w:rsid w:val="00430958"/>
    <w:rsid w:val="00431084"/>
    <w:rsid w:val="004312E6"/>
    <w:rsid w:val="004314E8"/>
    <w:rsid w:val="00431594"/>
    <w:rsid w:val="0043181D"/>
    <w:rsid w:val="0043189A"/>
    <w:rsid w:val="00431A46"/>
    <w:rsid w:val="0043216C"/>
    <w:rsid w:val="004325A8"/>
    <w:rsid w:val="004326E3"/>
    <w:rsid w:val="0043285D"/>
    <w:rsid w:val="00432AC9"/>
    <w:rsid w:val="00432FB9"/>
    <w:rsid w:val="00433124"/>
    <w:rsid w:val="0043323E"/>
    <w:rsid w:val="00433256"/>
    <w:rsid w:val="0043345D"/>
    <w:rsid w:val="004339E5"/>
    <w:rsid w:val="00433E8E"/>
    <w:rsid w:val="00434055"/>
    <w:rsid w:val="0043426C"/>
    <w:rsid w:val="00434300"/>
    <w:rsid w:val="00434343"/>
    <w:rsid w:val="00434BA4"/>
    <w:rsid w:val="00434CBA"/>
    <w:rsid w:val="00434DC1"/>
    <w:rsid w:val="00434E92"/>
    <w:rsid w:val="00434FC6"/>
    <w:rsid w:val="0043518C"/>
    <w:rsid w:val="00435312"/>
    <w:rsid w:val="004354F7"/>
    <w:rsid w:val="00435F7C"/>
    <w:rsid w:val="004360A7"/>
    <w:rsid w:val="00436255"/>
    <w:rsid w:val="00436484"/>
    <w:rsid w:val="00436799"/>
    <w:rsid w:val="00436ABD"/>
    <w:rsid w:val="00436B4F"/>
    <w:rsid w:val="00436BA2"/>
    <w:rsid w:val="004371DD"/>
    <w:rsid w:val="0043735E"/>
    <w:rsid w:val="004379D1"/>
    <w:rsid w:val="00437E22"/>
    <w:rsid w:val="00437E81"/>
    <w:rsid w:val="00437E91"/>
    <w:rsid w:val="00440717"/>
    <w:rsid w:val="00440D4D"/>
    <w:rsid w:val="00441048"/>
    <w:rsid w:val="004413D4"/>
    <w:rsid w:val="00441492"/>
    <w:rsid w:val="004415FC"/>
    <w:rsid w:val="0044168C"/>
    <w:rsid w:val="00441AEF"/>
    <w:rsid w:val="00441D5C"/>
    <w:rsid w:val="00442065"/>
    <w:rsid w:val="004421F2"/>
    <w:rsid w:val="00442211"/>
    <w:rsid w:val="00442E7E"/>
    <w:rsid w:val="004430CB"/>
    <w:rsid w:val="004432FA"/>
    <w:rsid w:val="00443512"/>
    <w:rsid w:val="00443C2B"/>
    <w:rsid w:val="00443DC5"/>
    <w:rsid w:val="00444312"/>
    <w:rsid w:val="0044464B"/>
    <w:rsid w:val="00444939"/>
    <w:rsid w:val="00444B4D"/>
    <w:rsid w:val="00444FFB"/>
    <w:rsid w:val="00445097"/>
    <w:rsid w:val="004453E9"/>
    <w:rsid w:val="004456D7"/>
    <w:rsid w:val="00445820"/>
    <w:rsid w:val="0044599A"/>
    <w:rsid w:val="00445ED0"/>
    <w:rsid w:val="00445EF8"/>
    <w:rsid w:val="00445F62"/>
    <w:rsid w:val="00446116"/>
    <w:rsid w:val="00446AAF"/>
    <w:rsid w:val="00446C00"/>
    <w:rsid w:val="00446E3C"/>
    <w:rsid w:val="00446EA8"/>
    <w:rsid w:val="00446ED0"/>
    <w:rsid w:val="00447095"/>
    <w:rsid w:val="00447113"/>
    <w:rsid w:val="004474BF"/>
    <w:rsid w:val="004478C6"/>
    <w:rsid w:val="004478EB"/>
    <w:rsid w:val="00447908"/>
    <w:rsid w:val="00447A47"/>
    <w:rsid w:val="00447BDA"/>
    <w:rsid w:val="004501D9"/>
    <w:rsid w:val="00450520"/>
    <w:rsid w:val="00450539"/>
    <w:rsid w:val="004506CB"/>
    <w:rsid w:val="004506CE"/>
    <w:rsid w:val="00450DB0"/>
    <w:rsid w:val="00450EF7"/>
    <w:rsid w:val="00450F76"/>
    <w:rsid w:val="00451167"/>
    <w:rsid w:val="0045137E"/>
    <w:rsid w:val="00451423"/>
    <w:rsid w:val="004522E5"/>
    <w:rsid w:val="004526B6"/>
    <w:rsid w:val="004529F8"/>
    <w:rsid w:val="00452A57"/>
    <w:rsid w:val="00452B9E"/>
    <w:rsid w:val="00452E3F"/>
    <w:rsid w:val="004533F9"/>
    <w:rsid w:val="0045382D"/>
    <w:rsid w:val="00453898"/>
    <w:rsid w:val="00453979"/>
    <w:rsid w:val="00453FD9"/>
    <w:rsid w:val="004545A8"/>
    <w:rsid w:val="00454BFF"/>
    <w:rsid w:val="00455593"/>
    <w:rsid w:val="004555C9"/>
    <w:rsid w:val="004557B7"/>
    <w:rsid w:val="0045583C"/>
    <w:rsid w:val="00455D7A"/>
    <w:rsid w:val="00455F48"/>
    <w:rsid w:val="00456044"/>
    <w:rsid w:val="004560C8"/>
    <w:rsid w:val="0045671A"/>
    <w:rsid w:val="004567DF"/>
    <w:rsid w:val="0045689D"/>
    <w:rsid w:val="00456974"/>
    <w:rsid w:val="00456EEE"/>
    <w:rsid w:val="00457129"/>
    <w:rsid w:val="0045718D"/>
    <w:rsid w:val="004574D3"/>
    <w:rsid w:val="00457689"/>
    <w:rsid w:val="00457C6F"/>
    <w:rsid w:val="00460014"/>
    <w:rsid w:val="00460874"/>
    <w:rsid w:val="00460CF8"/>
    <w:rsid w:val="0046135E"/>
    <w:rsid w:val="00461551"/>
    <w:rsid w:val="004615F0"/>
    <w:rsid w:val="0046180D"/>
    <w:rsid w:val="0046186F"/>
    <w:rsid w:val="00461C20"/>
    <w:rsid w:val="00462396"/>
    <w:rsid w:val="0046258E"/>
    <w:rsid w:val="00462E17"/>
    <w:rsid w:val="00462FC9"/>
    <w:rsid w:val="00462FDB"/>
    <w:rsid w:val="00462FE5"/>
    <w:rsid w:val="00463126"/>
    <w:rsid w:val="00463369"/>
    <w:rsid w:val="0046341C"/>
    <w:rsid w:val="0046362A"/>
    <w:rsid w:val="00464063"/>
    <w:rsid w:val="004642C2"/>
    <w:rsid w:val="00464315"/>
    <w:rsid w:val="00465476"/>
    <w:rsid w:val="004654FC"/>
    <w:rsid w:val="00465512"/>
    <w:rsid w:val="00465532"/>
    <w:rsid w:val="004658E7"/>
    <w:rsid w:val="00465A8E"/>
    <w:rsid w:val="00465B65"/>
    <w:rsid w:val="00465D41"/>
    <w:rsid w:val="00466255"/>
    <w:rsid w:val="0046667C"/>
    <w:rsid w:val="0046669D"/>
    <w:rsid w:val="00466932"/>
    <w:rsid w:val="0046739A"/>
    <w:rsid w:val="0046753E"/>
    <w:rsid w:val="00467CD5"/>
    <w:rsid w:val="00470388"/>
    <w:rsid w:val="004704A5"/>
    <w:rsid w:val="004706D2"/>
    <w:rsid w:val="00470800"/>
    <w:rsid w:val="004709E2"/>
    <w:rsid w:val="00470C73"/>
    <w:rsid w:val="00470F80"/>
    <w:rsid w:val="0047114F"/>
    <w:rsid w:val="004714AD"/>
    <w:rsid w:val="00471738"/>
    <w:rsid w:val="00471877"/>
    <w:rsid w:val="00471DF7"/>
    <w:rsid w:val="00471F48"/>
    <w:rsid w:val="00471F53"/>
    <w:rsid w:val="004727AC"/>
    <w:rsid w:val="00472C29"/>
    <w:rsid w:val="00472C4C"/>
    <w:rsid w:val="004731D5"/>
    <w:rsid w:val="0047375C"/>
    <w:rsid w:val="004737DA"/>
    <w:rsid w:val="0047394B"/>
    <w:rsid w:val="00473D6D"/>
    <w:rsid w:val="00473E41"/>
    <w:rsid w:val="0047401B"/>
    <w:rsid w:val="00474464"/>
    <w:rsid w:val="004744AC"/>
    <w:rsid w:val="0047454F"/>
    <w:rsid w:val="004745BD"/>
    <w:rsid w:val="00474616"/>
    <w:rsid w:val="0047483D"/>
    <w:rsid w:val="00474E2E"/>
    <w:rsid w:val="00474ED7"/>
    <w:rsid w:val="00474F2B"/>
    <w:rsid w:val="00474F43"/>
    <w:rsid w:val="004754E0"/>
    <w:rsid w:val="004755F9"/>
    <w:rsid w:val="004759BA"/>
    <w:rsid w:val="00475BB7"/>
    <w:rsid w:val="00475E95"/>
    <w:rsid w:val="004760D3"/>
    <w:rsid w:val="00476509"/>
    <w:rsid w:val="004765FD"/>
    <w:rsid w:val="00476B61"/>
    <w:rsid w:val="00476E86"/>
    <w:rsid w:val="00477170"/>
    <w:rsid w:val="0047741B"/>
    <w:rsid w:val="00480656"/>
    <w:rsid w:val="0048099F"/>
    <w:rsid w:val="00480B0E"/>
    <w:rsid w:val="00480CDA"/>
    <w:rsid w:val="0048104D"/>
    <w:rsid w:val="004812F2"/>
    <w:rsid w:val="004813B1"/>
    <w:rsid w:val="00481702"/>
    <w:rsid w:val="00481C36"/>
    <w:rsid w:val="00481EBB"/>
    <w:rsid w:val="00482206"/>
    <w:rsid w:val="00482AE8"/>
    <w:rsid w:val="00482B15"/>
    <w:rsid w:val="00482B65"/>
    <w:rsid w:val="00482DC7"/>
    <w:rsid w:val="00483222"/>
    <w:rsid w:val="00483260"/>
    <w:rsid w:val="004836D0"/>
    <w:rsid w:val="00483A8D"/>
    <w:rsid w:val="00484277"/>
    <w:rsid w:val="004843E1"/>
    <w:rsid w:val="00484FBD"/>
    <w:rsid w:val="004854CA"/>
    <w:rsid w:val="00485A5B"/>
    <w:rsid w:val="004861B3"/>
    <w:rsid w:val="0048654F"/>
    <w:rsid w:val="004868DA"/>
    <w:rsid w:val="00486B62"/>
    <w:rsid w:val="00486DE6"/>
    <w:rsid w:val="00486DE9"/>
    <w:rsid w:val="004872B4"/>
    <w:rsid w:val="00487BF6"/>
    <w:rsid w:val="00487CF8"/>
    <w:rsid w:val="00487F3C"/>
    <w:rsid w:val="00487F5C"/>
    <w:rsid w:val="004900CE"/>
    <w:rsid w:val="00490450"/>
    <w:rsid w:val="00490974"/>
    <w:rsid w:val="00490D86"/>
    <w:rsid w:val="00490EEE"/>
    <w:rsid w:val="00491734"/>
    <w:rsid w:val="00491A32"/>
    <w:rsid w:val="00491C51"/>
    <w:rsid w:val="00491F70"/>
    <w:rsid w:val="0049225A"/>
    <w:rsid w:val="004923DD"/>
    <w:rsid w:val="004930FC"/>
    <w:rsid w:val="004935F6"/>
    <w:rsid w:val="00493D30"/>
    <w:rsid w:val="0049402A"/>
    <w:rsid w:val="00494180"/>
    <w:rsid w:val="0049426F"/>
    <w:rsid w:val="004942CE"/>
    <w:rsid w:val="0049432D"/>
    <w:rsid w:val="004944FC"/>
    <w:rsid w:val="00494527"/>
    <w:rsid w:val="0049492B"/>
    <w:rsid w:val="0049531C"/>
    <w:rsid w:val="004956B1"/>
    <w:rsid w:val="004956BC"/>
    <w:rsid w:val="004957C0"/>
    <w:rsid w:val="00495CBD"/>
    <w:rsid w:val="00495EA2"/>
    <w:rsid w:val="00495F66"/>
    <w:rsid w:val="00496546"/>
    <w:rsid w:val="004965D3"/>
    <w:rsid w:val="004966E9"/>
    <w:rsid w:val="004967E9"/>
    <w:rsid w:val="0049686D"/>
    <w:rsid w:val="00496B4F"/>
    <w:rsid w:val="00496BD8"/>
    <w:rsid w:val="00496E29"/>
    <w:rsid w:val="00497B09"/>
    <w:rsid w:val="004A022E"/>
    <w:rsid w:val="004A0278"/>
    <w:rsid w:val="004A02ED"/>
    <w:rsid w:val="004A0385"/>
    <w:rsid w:val="004A066D"/>
    <w:rsid w:val="004A06AD"/>
    <w:rsid w:val="004A0B08"/>
    <w:rsid w:val="004A10A7"/>
    <w:rsid w:val="004A1396"/>
    <w:rsid w:val="004A1E59"/>
    <w:rsid w:val="004A2105"/>
    <w:rsid w:val="004A22CF"/>
    <w:rsid w:val="004A2425"/>
    <w:rsid w:val="004A27F5"/>
    <w:rsid w:val="004A28F9"/>
    <w:rsid w:val="004A291C"/>
    <w:rsid w:val="004A2A2D"/>
    <w:rsid w:val="004A2B13"/>
    <w:rsid w:val="004A3121"/>
    <w:rsid w:val="004A325E"/>
    <w:rsid w:val="004A344A"/>
    <w:rsid w:val="004A348C"/>
    <w:rsid w:val="004A37BD"/>
    <w:rsid w:val="004A37DB"/>
    <w:rsid w:val="004A38D8"/>
    <w:rsid w:val="004A4121"/>
    <w:rsid w:val="004A43D2"/>
    <w:rsid w:val="004A4905"/>
    <w:rsid w:val="004A4B4C"/>
    <w:rsid w:val="004A4DD2"/>
    <w:rsid w:val="004A54B5"/>
    <w:rsid w:val="004A5682"/>
    <w:rsid w:val="004A59E5"/>
    <w:rsid w:val="004A5A87"/>
    <w:rsid w:val="004A5AA8"/>
    <w:rsid w:val="004A5B65"/>
    <w:rsid w:val="004A5C54"/>
    <w:rsid w:val="004A5CD4"/>
    <w:rsid w:val="004A5D09"/>
    <w:rsid w:val="004A603E"/>
    <w:rsid w:val="004A62A6"/>
    <w:rsid w:val="004A6518"/>
    <w:rsid w:val="004A65B0"/>
    <w:rsid w:val="004A6CD1"/>
    <w:rsid w:val="004A6D8D"/>
    <w:rsid w:val="004A6EFC"/>
    <w:rsid w:val="004A7017"/>
    <w:rsid w:val="004A7531"/>
    <w:rsid w:val="004A755E"/>
    <w:rsid w:val="004A758C"/>
    <w:rsid w:val="004A75A7"/>
    <w:rsid w:val="004A78A1"/>
    <w:rsid w:val="004A798B"/>
    <w:rsid w:val="004B00D4"/>
    <w:rsid w:val="004B022F"/>
    <w:rsid w:val="004B0530"/>
    <w:rsid w:val="004B0725"/>
    <w:rsid w:val="004B07E6"/>
    <w:rsid w:val="004B0AE0"/>
    <w:rsid w:val="004B0C7B"/>
    <w:rsid w:val="004B0DFF"/>
    <w:rsid w:val="004B1122"/>
    <w:rsid w:val="004B13A3"/>
    <w:rsid w:val="004B1E76"/>
    <w:rsid w:val="004B1FC4"/>
    <w:rsid w:val="004B2390"/>
    <w:rsid w:val="004B2E05"/>
    <w:rsid w:val="004B2E46"/>
    <w:rsid w:val="004B2EB9"/>
    <w:rsid w:val="004B2F73"/>
    <w:rsid w:val="004B3883"/>
    <w:rsid w:val="004B3903"/>
    <w:rsid w:val="004B3DB8"/>
    <w:rsid w:val="004B3F2A"/>
    <w:rsid w:val="004B45D5"/>
    <w:rsid w:val="004B4764"/>
    <w:rsid w:val="004B49C2"/>
    <w:rsid w:val="004B4ADF"/>
    <w:rsid w:val="004B4E34"/>
    <w:rsid w:val="004B50D1"/>
    <w:rsid w:val="004B5199"/>
    <w:rsid w:val="004B55AB"/>
    <w:rsid w:val="004B5D78"/>
    <w:rsid w:val="004B5E2D"/>
    <w:rsid w:val="004B662D"/>
    <w:rsid w:val="004B6898"/>
    <w:rsid w:val="004B68BD"/>
    <w:rsid w:val="004B68DB"/>
    <w:rsid w:val="004B6EEF"/>
    <w:rsid w:val="004B71B8"/>
    <w:rsid w:val="004B727B"/>
    <w:rsid w:val="004B744B"/>
    <w:rsid w:val="004B7454"/>
    <w:rsid w:val="004B7BB3"/>
    <w:rsid w:val="004B7F38"/>
    <w:rsid w:val="004C0DD3"/>
    <w:rsid w:val="004C0DE0"/>
    <w:rsid w:val="004C0E1A"/>
    <w:rsid w:val="004C0F27"/>
    <w:rsid w:val="004C11A1"/>
    <w:rsid w:val="004C1823"/>
    <w:rsid w:val="004C1CA5"/>
    <w:rsid w:val="004C1E96"/>
    <w:rsid w:val="004C1F41"/>
    <w:rsid w:val="004C2BA9"/>
    <w:rsid w:val="004C2DD0"/>
    <w:rsid w:val="004C2E96"/>
    <w:rsid w:val="004C3079"/>
    <w:rsid w:val="004C3526"/>
    <w:rsid w:val="004C3B04"/>
    <w:rsid w:val="004C3BDA"/>
    <w:rsid w:val="004C3D20"/>
    <w:rsid w:val="004C3D55"/>
    <w:rsid w:val="004C436A"/>
    <w:rsid w:val="004C4473"/>
    <w:rsid w:val="004C44E2"/>
    <w:rsid w:val="004C4AC9"/>
    <w:rsid w:val="004C4D15"/>
    <w:rsid w:val="004C5667"/>
    <w:rsid w:val="004C56E4"/>
    <w:rsid w:val="004C57E2"/>
    <w:rsid w:val="004C5D27"/>
    <w:rsid w:val="004C5DE7"/>
    <w:rsid w:val="004C5F2C"/>
    <w:rsid w:val="004C5FB9"/>
    <w:rsid w:val="004C66E5"/>
    <w:rsid w:val="004C6C46"/>
    <w:rsid w:val="004C6D49"/>
    <w:rsid w:val="004C6EDF"/>
    <w:rsid w:val="004C6FEF"/>
    <w:rsid w:val="004C7520"/>
    <w:rsid w:val="004C7764"/>
    <w:rsid w:val="004C7773"/>
    <w:rsid w:val="004C77CE"/>
    <w:rsid w:val="004C787A"/>
    <w:rsid w:val="004C7C31"/>
    <w:rsid w:val="004D090D"/>
    <w:rsid w:val="004D0B10"/>
    <w:rsid w:val="004D0D3B"/>
    <w:rsid w:val="004D110D"/>
    <w:rsid w:val="004D1A51"/>
    <w:rsid w:val="004D1C6A"/>
    <w:rsid w:val="004D1FCE"/>
    <w:rsid w:val="004D2564"/>
    <w:rsid w:val="004D2622"/>
    <w:rsid w:val="004D26DE"/>
    <w:rsid w:val="004D2A3E"/>
    <w:rsid w:val="004D2AC7"/>
    <w:rsid w:val="004D2C80"/>
    <w:rsid w:val="004D2E71"/>
    <w:rsid w:val="004D35B3"/>
    <w:rsid w:val="004D3698"/>
    <w:rsid w:val="004D397D"/>
    <w:rsid w:val="004D3A01"/>
    <w:rsid w:val="004D495B"/>
    <w:rsid w:val="004D4A93"/>
    <w:rsid w:val="004D4B17"/>
    <w:rsid w:val="004D4B3D"/>
    <w:rsid w:val="004D4C83"/>
    <w:rsid w:val="004D54A7"/>
    <w:rsid w:val="004D5EAD"/>
    <w:rsid w:val="004D6A74"/>
    <w:rsid w:val="004D6B0C"/>
    <w:rsid w:val="004D6BAE"/>
    <w:rsid w:val="004D6CA2"/>
    <w:rsid w:val="004D7299"/>
    <w:rsid w:val="004D7A93"/>
    <w:rsid w:val="004D7B78"/>
    <w:rsid w:val="004D7F98"/>
    <w:rsid w:val="004E025F"/>
    <w:rsid w:val="004E039D"/>
    <w:rsid w:val="004E08EB"/>
    <w:rsid w:val="004E0A15"/>
    <w:rsid w:val="004E0FE1"/>
    <w:rsid w:val="004E17E5"/>
    <w:rsid w:val="004E1879"/>
    <w:rsid w:val="004E1C10"/>
    <w:rsid w:val="004E1D50"/>
    <w:rsid w:val="004E1F5A"/>
    <w:rsid w:val="004E2162"/>
    <w:rsid w:val="004E21F7"/>
    <w:rsid w:val="004E2226"/>
    <w:rsid w:val="004E2956"/>
    <w:rsid w:val="004E2A70"/>
    <w:rsid w:val="004E2B5B"/>
    <w:rsid w:val="004E2D51"/>
    <w:rsid w:val="004E307F"/>
    <w:rsid w:val="004E346D"/>
    <w:rsid w:val="004E34DB"/>
    <w:rsid w:val="004E3790"/>
    <w:rsid w:val="004E390F"/>
    <w:rsid w:val="004E432E"/>
    <w:rsid w:val="004E4354"/>
    <w:rsid w:val="004E437A"/>
    <w:rsid w:val="004E496B"/>
    <w:rsid w:val="004E4B7D"/>
    <w:rsid w:val="004E4CEA"/>
    <w:rsid w:val="004E4DDC"/>
    <w:rsid w:val="004E5207"/>
    <w:rsid w:val="004E5441"/>
    <w:rsid w:val="004E57D2"/>
    <w:rsid w:val="004E5FAF"/>
    <w:rsid w:val="004E61FE"/>
    <w:rsid w:val="004E63E0"/>
    <w:rsid w:val="004E660C"/>
    <w:rsid w:val="004E6B1F"/>
    <w:rsid w:val="004E6C16"/>
    <w:rsid w:val="004E6D1E"/>
    <w:rsid w:val="004E6F7C"/>
    <w:rsid w:val="004E70FB"/>
    <w:rsid w:val="004E7316"/>
    <w:rsid w:val="004E7376"/>
    <w:rsid w:val="004E74D4"/>
    <w:rsid w:val="004E7BC0"/>
    <w:rsid w:val="004E7C63"/>
    <w:rsid w:val="004E7E10"/>
    <w:rsid w:val="004F073F"/>
    <w:rsid w:val="004F09A8"/>
    <w:rsid w:val="004F09DF"/>
    <w:rsid w:val="004F0C65"/>
    <w:rsid w:val="004F13E0"/>
    <w:rsid w:val="004F1596"/>
    <w:rsid w:val="004F15FF"/>
    <w:rsid w:val="004F1951"/>
    <w:rsid w:val="004F1AD0"/>
    <w:rsid w:val="004F1B0A"/>
    <w:rsid w:val="004F1C27"/>
    <w:rsid w:val="004F1D60"/>
    <w:rsid w:val="004F2337"/>
    <w:rsid w:val="004F2397"/>
    <w:rsid w:val="004F243E"/>
    <w:rsid w:val="004F25C5"/>
    <w:rsid w:val="004F26F3"/>
    <w:rsid w:val="004F2BAB"/>
    <w:rsid w:val="004F3110"/>
    <w:rsid w:val="004F3229"/>
    <w:rsid w:val="004F3946"/>
    <w:rsid w:val="004F394F"/>
    <w:rsid w:val="004F4878"/>
    <w:rsid w:val="004F4A70"/>
    <w:rsid w:val="004F4AC3"/>
    <w:rsid w:val="004F52BB"/>
    <w:rsid w:val="004F5361"/>
    <w:rsid w:val="004F541D"/>
    <w:rsid w:val="004F55A7"/>
    <w:rsid w:val="004F5A60"/>
    <w:rsid w:val="004F5E1B"/>
    <w:rsid w:val="004F6021"/>
    <w:rsid w:val="004F60A9"/>
    <w:rsid w:val="004F6151"/>
    <w:rsid w:val="004F648B"/>
    <w:rsid w:val="004F6A04"/>
    <w:rsid w:val="004F6F19"/>
    <w:rsid w:val="004F72AA"/>
    <w:rsid w:val="004F769B"/>
    <w:rsid w:val="004F778F"/>
    <w:rsid w:val="004F78A6"/>
    <w:rsid w:val="004F79AC"/>
    <w:rsid w:val="004F7E27"/>
    <w:rsid w:val="005004E0"/>
    <w:rsid w:val="00500831"/>
    <w:rsid w:val="00500932"/>
    <w:rsid w:val="00500A70"/>
    <w:rsid w:val="00500B26"/>
    <w:rsid w:val="00500B56"/>
    <w:rsid w:val="00500B87"/>
    <w:rsid w:val="00500E82"/>
    <w:rsid w:val="00500EC8"/>
    <w:rsid w:val="0050106B"/>
    <w:rsid w:val="005016C0"/>
    <w:rsid w:val="0050177A"/>
    <w:rsid w:val="005017CC"/>
    <w:rsid w:val="005017E1"/>
    <w:rsid w:val="005019F7"/>
    <w:rsid w:val="00501B55"/>
    <w:rsid w:val="005025D0"/>
    <w:rsid w:val="005025E7"/>
    <w:rsid w:val="00502760"/>
    <w:rsid w:val="005029DB"/>
    <w:rsid w:val="00502F7C"/>
    <w:rsid w:val="0050339D"/>
    <w:rsid w:val="005039E2"/>
    <w:rsid w:val="00503A85"/>
    <w:rsid w:val="00503D01"/>
    <w:rsid w:val="00504B27"/>
    <w:rsid w:val="00504F88"/>
    <w:rsid w:val="00505D09"/>
    <w:rsid w:val="00506170"/>
    <w:rsid w:val="005061F8"/>
    <w:rsid w:val="0050658B"/>
    <w:rsid w:val="00506611"/>
    <w:rsid w:val="00506925"/>
    <w:rsid w:val="00506941"/>
    <w:rsid w:val="00506C2A"/>
    <w:rsid w:val="00506CE4"/>
    <w:rsid w:val="00506DFF"/>
    <w:rsid w:val="00507210"/>
    <w:rsid w:val="00507340"/>
    <w:rsid w:val="005073A4"/>
    <w:rsid w:val="0050745A"/>
    <w:rsid w:val="005078BF"/>
    <w:rsid w:val="00507EBF"/>
    <w:rsid w:val="00510227"/>
    <w:rsid w:val="00510316"/>
    <w:rsid w:val="005104F7"/>
    <w:rsid w:val="00510A15"/>
    <w:rsid w:val="00510ACA"/>
    <w:rsid w:val="00510B1E"/>
    <w:rsid w:val="0051120D"/>
    <w:rsid w:val="005116A3"/>
    <w:rsid w:val="00511DB4"/>
    <w:rsid w:val="00511EDF"/>
    <w:rsid w:val="00512087"/>
    <w:rsid w:val="005123BE"/>
    <w:rsid w:val="005127AE"/>
    <w:rsid w:val="005127D5"/>
    <w:rsid w:val="00512875"/>
    <w:rsid w:val="00512CBD"/>
    <w:rsid w:val="00512CC1"/>
    <w:rsid w:val="0051333C"/>
    <w:rsid w:val="005133A9"/>
    <w:rsid w:val="00513746"/>
    <w:rsid w:val="00513ABF"/>
    <w:rsid w:val="00513D31"/>
    <w:rsid w:val="005140D5"/>
    <w:rsid w:val="005140E6"/>
    <w:rsid w:val="00514152"/>
    <w:rsid w:val="005142C0"/>
    <w:rsid w:val="00514A02"/>
    <w:rsid w:val="00514D6B"/>
    <w:rsid w:val="00514F12"/>
    <w:rsid w:val="005152BA"/>
    <w:rsid w:val="005154A4"/>
    <w:rsid w:val="0051572A"/>
    <w:rsid w:val="00515752"/>
    <w:rsid w:val="0051582A"/>
    <w:rsid w:val="0051594A"/>
    <w:rsid w:val="00515CB6"/>
    <w:rsid w:val="00515F7E"/>
    <w:rsid w:val="00516031"/>
    <w:rsid w:val="005161A2"/>
    <w:rsid w:val="0051642F"/>
    <w:rsid w:val="005169A8"/>
    <w:rsid w:val="005171CF"/>
    <w:rsid w:val="0051761B"/>
    <w:rsid w:val="00517946"/>
    <w:rsid w:val="00517998"/>
    <w:rsid w:val="00517A35"/>
    <w:rsid w:val="00517AB4"/>
    <w:rsid w:val="005206B8"/>
    <w:rsid w:val="00520784"/>
    <w:rsid w:val="00520B07"/>
    <w:rsid w:val="00520BDE"/>
    <w:rsid w:val="00520C15"/>
    <w:rsid w:val="0052118D"/>
    <w:rsid w:val="0052138F"/>
    <w:rsid w:val="005226E5"/>
    <w:rsid w:val="00522B37"/>
    <w:rsid w:val="00522CB6"/>
    <w:rsid w:val="00523012"/>
    <w:rsid w:val="0052302F"/>
    <w:rsid w:val="005230F2"/>
    <w:rsid w:val="005232D4"/>
    <w:rsid w:val="005233D8"/>
    <w:rsid w:val="005234FC"/>
    <w:rsid w:val="0052356B"/>
    <w:rsid w:val="00523794"/>
    <w:rsid w:val="0052388C"/>
    <w:rsid w:val="00523E6B"/>
    <w:rsid w:val="005240D9"/>
    <w:rsid w:val="00524147"/>
    <w:rsid w:val="005241F6"/>
    <w:rsid w:val="0052434F"/>
    <w:rsid w:val="005248D0"/>
    <w:rsid w:val="00524A0F"/>
    <w:rsid w:val="00524A96"/>
    <w:rsid w:val="00524C6C"/>
    <w:rsid w:val="00524D27"/>
    <w:rsid w:val="00524D36"/>
    <w:rsid w:val="00524F49"/>
    <w:rsid w:val="0052522E"/>
    <w:rsid w:val="005256F2"/>
    <w:rsid w:val="00525A5E"/>
    <w:rsid w:val="00525AAC"/>
    <w:rsid w:val="00526141"/>
    <w:rsid w:val="005263BA"/>
    <w:rsid w:val="00526610"/>
    <w:rsid w:val="005279C3"/>
    <w:rsid w:val="00527AB4"/>
    <w:rsid w:val="00527BA2"/>
    <w:rsid w:val="00527BC5"/>
    <w:rsid w:val="00527CC3"/>
    <w:rsid w:val="00527F40"/>
    <w:rsid w:val="00527FF1"/>
    <w:rsid w:val="0053016F"/>
    <w:rsid w:val="00530FEF"/>
    <w:rsid w:val="0053110E"/>
    <w:rsid w:val="0053119E"/>
    <w:rsid w:val="00531A02"/>
    <w:rsid w:val="00531DE4"/>
    <w:rsid w:val="00532774"/>
    <w:rsid w:val="0053282F"/>
    <w:rsid w:val="0053286E"/>
    <w:rsid w:val="005329A7"/>
    <w:rsid w:val="00532F34"/>
    <w:rsid w:val="005331A6"/>
    <w:rsid w:val="00533304"/>
    <w:rsid w:val="0053334A"/>
    <w:rsid w:val="00533616"/>
    <w:rsid w:val="00533682"/>
    <w:rsid w:val="00533CE4"/>
    <w:rsid w:val="00533CFC"/>
    <w:rsid w:val="00533EF1"/>
    <w:rsid w:val="00533F43"/>
    <w:rsid w:val="005343CD"/>
    <w:rsid w:val="00534401"/>
    <w:rsid w:val="0053478F"/>
    <w:rsid w:val="00534958"/>
    <w:rsid w:val="00534EC0"/>
    <w:rsid w:val="00535318"/>
    <w:rsid w:val="00535389"/>
    <w:rsid w:val="00535620"/>
    <w:rsid w:val="005356A7"/>
    <w:rsid w:val="00535746"/>
    <w:rsid w:val="00535A24"/>
    <w:rsid w:val="00535A2A"/>
    <w:rsid w:val="00535AA2"/>
    <w:rsid w:val="00536369"/>
    <w:rsid w:val="00536818"/>
    <w:rsid w:val="00537521"/>
    <w:rsid w:val="0053761B"/>
    <w:rsid w:val="005378C7"/>
    <w:rsid w:val="00537B1A"/>
    <w:rsid w:val="00537C31"/>
    <w:rsid w:val="00537C33"/>
    <w:rsid w:val="00537E99"/>
    <w:rsid w:val="0054035E"/>
    <w:rsid w:val="005406C1"/>
    <w:rsid w:val="00540A87"/>
    <w:rsid w:val="00540D28"/>
    <w:rsid w:val="0054122B"/>
    <w:rsid w:val="0054125B"/>
    <w:rsid w:val="0054126E"/>
    <w:rsid w:val="005419CF"/>
    <w:rsid w:val="00542187"/>
    <w:rsid w:val="005421C5"/>
    <w:rsid w:val="005425AD"/>
    <w:rsid w:val="005426C0"/>
    <w:rsid w:val="005430DD"/>
    <w:rsid w:val="00543168"/>
    <w:rsid w:val="00543279"/>
    <w:rsid w:val="005438ED"/>
    <w:rsid w:val="00544405"/>
    <w:rsid w:val="00544AFC"/>
    <w:rsid w:val="00544D2D"/>
    <w:rsid w:val="00544DFD"/>
    <w:rsid w:val="00544E1B"/>
    <w:rsid w:val="00544FF6"/>
    <w:rsid w:val="00545021"/>
    <w:rsid w:val="0054522C"/>
    <w:rsid w:val="00545794"/>
    <w:rsid w:val="00545A43"/>
    <w:rsid w:val="00545BBF"/>
    <w:rsid w:val="00545BE5"/>
    <w:rsid w:val="00545F84"/>
    <w:rsid w:val="0054657B"/>
    <w:rsid w:val="005467F5"/>
    <w:rsid w:val="00546AE9"/>
    <w:rsid w:val="00546C85"/>
    <w:rsid w:val="00546F89"/>
    <w:rsid w:val="00546F98"/>
    <w:rsid w:val="0054751C"/>
    <w:rsid w:val="0054773D"/>
    <w:rsid w:val="005477B2"/>
    <w:rsid w:val="00547D64"/>
    <w:rsid w:val="00547DDD"/>
    <w:rsid w:val="00547EE8"/>
    <w:rsid w:val="0055004A"/>
    <w:rsid w:val="00550054"/>
    <w:rsid w:val="00550399"/>
    <w:rsid w:val="00550551"/>
    <w:rsid w:val="0055062B"/>
    <w:rsid w:val="0055065F"/>
    <w:rsid w:val="00550701"/>
    <w:rsid w:val="00550905"/>
    <w:rsid w:val="00550989"/>
    <w:rsid w:val="00550A73"/>
    <w:rsid w:val="00550F58"/>
    <w:rsid w:val="00550F7C"/>
    <w:rsid w:val="00551020"/>
    <w:rsid w:val="00551437"/>
    <w:rsid w:val="0055159E"/>
    <w:rsid w:val="0055170E"/>
    <w:rsid w:val="00551E3E"/>
    <w:rsid w:val="005524FB"/>
    <w:rsid w:val="005528E9"/>
    <w:rsid w:val="00552B9A"/>
    <w:rsid w:val="00552C18"/>
    <w:rsid w:val="00553517"/>
    <w:rsid w:val="00553524"/>
    <w:rsid w:val="005536F5"/>
    <w:rsid w:val="00553732"/>
    <w:rsid w:val="00553D48"/>
    <w:rsid w:val="00553F0E"/>
    <w:rsid w:val="00553F33"/>
    <w:rsid w:val="00554315"/>
    <w:rsid w:val="005544ED"/>
    <w:rsid w:val="00554640"/>
    <w:rsid w:val="00554A79"/>
    <w:rsid w:val="00554B41"/>
    <w:rsid w:val="00554C2A"/>
    <w:rsid w:val="00555095"/>
    <w:rsid w:val="00555243"/>
    <w:rsid w:val="00555347"/>
    <w:rsid w:val="005555D3"/>
    <w:rsid w:val="005557C2"/>
    <w:rsid w:val="00555802"/>
    <w:rsid w:val="0055597A"/>
    <w:rsid w:val="00555B0F"/>
    <w:rsid w:val="005566DA"/>
    <w:rsid w:val="0055688D"/>
    <w:rsid w:val="0055693F"/>
    <w:rsid w:val="00556948"/>
    <w:rsid w:val="005570BB"/>
    <w:rsid w:val="005575A9"/>
    <w:rsid w:val="0055775B"/>
    <w:rsid w:val="00557B4D"/>
    <w:rsid w:val="00557BE6"/>
    <w:rsid w:val="00557E39"/>
    <w:rsid w:val="00557E62"/>
    <w:rsid w:val="00557EE7"/>
    <w:rsid w:val="00557FE7"/>
    <w:rsid w:val="00560002"/>
    <w:rsid w:val="0056005C"/>
    <w:rsid w:val="00560176"/>
    <w:rsid w:val="00560CDA"/>
    <w:rsid w:val="00560DD4"/>
    <w:rsid w:val="00560E26"/>
    <w:rsid w:val="00560E64"/>
    <w:rsid w:val="00561A48"/>
    <w:rsid w:val="00561B6F"/>
    <w:rsid w:val="00561BAE"/>
    <w:rsid w:val="00561E67"/>
    <w:rsid w:val="0056212E"/>
    <w:rsid w:val="00562274"/>
    <w:rsid w:val="005622E7"/>
    <w:rsid w:val="00562567"/>
    <w:rsid w:val="00562A15"/>
    <w:rsid w:val="00562BF4"/>
    <w:rsid w:val="00562E93"/>
    <w:rsid w:val="00562FBA"/>
    <w:rsid w:val="0056301F"/>
    <w:rsid w:val="0056316C"/>
    <w:rsid w:val="005633E4"/>
    <w:rsid w:val="00563B40"/>
    <w:rsid w:val="00563D96"/>
    <w:rsid w:val="005641FC"/>
    <w:rsid w:val="00564765"/>
    <w:rsid w:val="00564A66"/>
    <w:rsid w:val="00564C67"/>
    <w:rsid w:val="00564F0F"/>
    <w:rsid w:val="00564F9D"/>
    <w:rsid w:val="0056525F"/>
    <w:rsid w:val="005654B6"/>
    <w:rsid w:val="005656EC"/>
    <w:rsid w:val="005657B3"/>
    <w:rsid w:val="005658F2"/>
    <w:rsid w:val="005659E2"/>
    <w:rsid w:val="00565BC9"/>
    <w:rsid w:val="00565FAC"/>
    <w:rsid w:val="00565FD5"/>
    <w:rsid w:val="00566582"/>
    <w:rsid w:val="005666CE"/>
    <w:rsid w:val="0056680B"/>
    <w:rsid w:val="0056686C"/>
    <w:rsid w:val="0056690A"/>
    <w:rsid w:val="005669E0"/>
    <w:rsid w:val="005669FD"/>
    <w:rsid w:val="00566CA4"/>
    <w:rsid w:val="00566D4B"/>
    <w:rsid w:val="00566F3D"/>
    <w:rsid w:val="00566FCC"/>
    <w:rsid w:val="005673AA"/>
    <w:rsid w:val="005679C5"/>
    <w:rsid w:val="00567B29"/>
    <w:rsid w:val="00567C7B"/>
    <w:rsid w:val="005702C4"/>
    <w:rsid w:val="00570C00"/>
    <w:rsid w:val="00570C3E"/>
    <w:rsid w:val="005715DC"/>
    <w:rsid w:val="00571716"/>
    <w:rsid w:val="00571AC6"/>
    <w:rsid w:val="00571D84"/>
    <w:rsid w:val="00571F1C"/>
    <w:rsid w:val="00571FEA"/>
    <w:rsid w:val="00572388"/>
    <w:rsid w:val="0057270E"/>
    <w:rsid w:val="0057274B"/>
    <w:rsid w:val="00572834"/>
    <w:rsid w:val="00572A1D"/>
    <w:rsid w:val="00572C6A"/>
    <w:rsid w:val="00572E40"/>
    <w:rsid w:val="005730B4"/>
    <w:rsid w:val="005730C3"/>
    <w:rsid w:val="00573130"/>
    <w:rsid w:val="005731D3"/>
    <w:rsid w:val="00573315"/>
    <w:rsid w:val="0057342E"/>
    <w:rsid w:val="00573B8B"/>
    <w:rsid w:val="00573BFA"/>
    <w:rsid w:val="00573D15"/>
    <w:rsid w:val="00573E0C"/>
    <w:rsid w:val="0057414E"/>
    <w:rsid w:val="005741BD"/>
    <w:rsid w:val="005742F2"/>
    <w:rsid w:val="00574B55"/>
    <w:rsid w:val="00574E56"/>
    <w:rsid w:val="00574EE2"/>
    <w:rsid w:val="00574F06"/>
    <w:rsid w:val="00574F0F"/>
    <w:rsid w:val="005750DB"/>
    <w:rsid w:val="00575319"/>
    <w:rsid w:val="00575685"/>
    <w:rsid w:val="0057591C"/>
    <w:rsid w:val="00575D64"/>
    <w:rsid w:val="00575DE9"/>
    <w:rsid w:val="00575DFE"/>
    <w:rsid w:val="00575E79"/>
    <w:rsid w:val="00575F8A"/>
    <w:rsid w:val="005761E5"/>
    <w:rsid w:val="00576403"/>
    <w:rsid w:val="0057674B"/>
    <w:rsid w:val="00576AA2"/>
    <w:rsid w:val="00576EA9"/>
    <w:rsid w:val="00576FD6"/>
    <w:rsid w:val="0057711C"/>
    <w:rsid w:val="00577191"/>
    <w:rsid w:val="005775B2"/>
    <w:rsid w:val="0058006B"/>
    <w:rsid w:val="00580497"/>
    <w:rsid w:val="005808A9"/>
    <w:rsid w:val="005809C8"/>
    <w:rsid w:val="00580AC0"/>
    <w:rsid w:val="00580EAA"/>
    <w:rsid w:val="005810D1"/>
    <w:rsid w:val="00581147"/>
    <w:rsid w:val="00581178"/>
    <w:rsid w:val="005819A1"/>
    <w:rsid w:val="00581A84"/>
    <w:rsid w:val="00581AE9"/>
    <w:rsid w:val="00581E86"/>
    <w:rsid w:val="00582520"/>
    <w:rsid w:val="00582C26"/>
    <w:rsid w:val="005831A7"/>
    <w:rsid w:val="005831E9"/>
    <w:rsid w:val="005833BB"/>
    <w:rsid w:val="0058345E"/>
    <w:rsid w:val="00583688"/>
    <w:rsid w:val="00583741"/>
    <w:rsid w:val="005839AE"/>
    <w:rsid w:val="00583BC7"/>
    <w:rsid w:val="00583C0D"/>
    <w:rsid w:val="00583E46"/>
    <w:rsid w:val="005843B6"/>
    <w:rsid w:val="0058456D"/>
    <w:rsid w:val="00584909"/>
    <w:rsid w:val="0058490E"/>
    <w:rsid w:val="00584BF4"/>
    <w:rsid w:val="0058546B"/>
    <w:rsid w:val="00585719"/>
    <w:rsid w:val="0058597C"/>
    <w:rsid w:val="00585B3F"/>
    <w:rsid w:val="00585D2C"/>
    <w:rsid w:val="00585D70"/>
    <w:rsid w:val="00585D7E"/>
    <w:rsid w:val="0058610A"/>
    <w:rsid w:val="00586628"/>
    <w:rsid w:val="0058672F"/>
    <w:rsid w:val="00586740"/>
    <w:rsid w:val="00586AF1"/>
    <w:rsid w:val="00587249"/>
    <w:rsid w:val="00587389"/>
    <w:rsid w:val="00587640"/>
    <w:rsid w:val="005879D6"/>
    <w:rsid w:val="00587B55"/>
    <w:rsid w:val="00587BE4"/>
    <w:rsid w:val="00587CA7"/>
    <w:rsid w:val="00587CE6"/>
    <w:rsid w:val="00587D32"/>
    <w:rsid w:val="00587EE3"/>
    <w:rsid w:val="00587F9F"/>
    <w:rsid w:val="00587FB5"/>
    <w:rsid w:val="005901CD"/>
    <w:rsid w:val="0059038C"/>
    <w:rsid w:val="00590534"/>
    <w:rsid w:val="005907D4"/>
    <w:rsid w:val="00590DDC"/>
    <w:rsid w:val="00590F3C"/>
    <w:rsid w:val="00590FEC"/>
    <w:rsid w:val="00590FEF"/>
    <w:rsid w:val="0059175C"/>
    <w:rsid w:val="005917AE"/>
    <w:rsid w:val="0059193E"/>
    <w:rsid w:val="00591AE9"/>
    <w:rsid w:val="00591FC6"/>
    <w:rsid w:val="005923E8"/>
    <w:rsid w:val="00592507"/>
    <w:rsid w:val="00592631"/>
    <w:rsid w:val="0059277C"/>
    <w:rsid w:val="00592A6A"/>
    <w:rsid w:val="00592AA9"/>
    <w:rsid w:val="00592BC6"/>
    <w:rsid w:val="00592DCC"/>
    <w:rsid w:val="00592FA7"/>
    <w:rsid w:val="005930A0"/>
    <w:rsid w:val="00593626"/>
    <w:rsid w:val="00593763"/>
    <w:rsid w:val="00593B85"/>
    <w:rsid w:val="0059401F"/>
    <w:rsid w:val="005940DF"/>
    <w:rsid w:val="00594A7B"/>
    <w:rsid w:val="00594AB8"/>
    <w:rsid w:val="00594CD6"/>
    <w:rsid w:val="00594FFD"/>
    <w:rsid w:val="0059522B"/>
    <w:rsid w:val="00595A7F"/>
    <w:rsid w:val="00595C97"/>
    <w:rsid w:val="00596623"/>
    <w:rsid w:val="00596634"/>
    <w:rsid w:val="00596729"/>
    <w:rsid w:val="005969EB"/>
    <w:rsid w:val="00596CCF"/>
    <w:rsid w:val="00596EC1"/>
    <w:rsid w:val="00596F24"/>
    <w:rsid w:val="00597136"/>
    <w:rsid w:val="00597314"/>
    <w:rsid w:val="00597619"/>
    <w:rsid w:val="005977AE"/>
    <w:rsid w:val="005979EE"/>
    <w:rsid w:val="00597AB5"/>
    <w:rsid w:val="00597DBB"/>
    <w:rsid w:val="005A0327"/>
    <w:rsid w:val="005A03DD"/>
    <w:rsid w:val="005A0435"/>
    <w:rsid w:val="005A07A0"/>
    <w:rsid w:val="005A0890"/>
    <w:rsid w:val="005A0B54"/>
    <w:rsid w:val="005A0BEA"/>
    <w:rsid w:val="005A0FA1"/>
    <w:rsid w:val="005A10BF"/>
    <w:rsid w:val="005A13CD"/>
    <w:rsid w:val="005A1692"/>
    <w:rsid w:val="005A1741"/>
    <w:rsid w:val="005A19BB"/>
    <w:rsid w:val="005A1BD4"/>
    <w:rsid w:val="005A1DA5"/>
    <w:rsid w:val="005A1DDC"/>
    <w:rsid w:val="005A224A"/>
    <w:rsid w:val="005A239A"/>
    <w:rsid w:val="005A256C"/>
    <w:rsid w:val="005A2A8C"/>
    <w:rsid w:val="005A32F1"/>
    <w:rsid w:val="005A3C48"/>
    <w:rsid w:val="005A4544"/>
    <w:rsid w:val="005A455A"/>
    <w:rsid w:val="005A4BBA"/>
    <w:rsid w:val="005A506D"/>
    <w:rsid w:val="005A52A1"/>
    <w:rsid w:val="005A52E0"/>
    <w:rsid w:val="005A5404"/>
    <w:rsid w:val="005A54C9"/>
    <w:rsid w:val="005A5610"/>
    <w:rsid w:val="005A56F4"/>
    <w:rsid w:val="005A5996"/>
    <w:rsid w:val="005A5E26"/>
    <w:rsid w:val="005A6146"/>
    <w:rsid w:val="005A616F"/>
    <w:rsid w:val="005A620E"/>
    <w:rsid w:val="005A64C4"/>
    <w:rsid w:val="005A67A2"/>
    <w:rsid w:val="005A68DB"/>
    <w:rsid w:val="005A694A"/>
    <w:rsid w:val="005A6992"/>
    <w:rsid w:val="005A6F48"/>
    <w:rsid w:val="005A71BD"/>
    <w:rsid w:val="005A79C3"/>
    <w:rsid w:val="005A7B05"/>
    <w:rsid w:val="005A7B64"/>
    <w:rsid w:val="005A7D36"/>
    <w:rsid w:val="005B00EA"/>
    <w:rsid w:val="005B041C"/>
    <w:rsid w:val="005B0935"/>
    <w:rsid w:val="005B0B21"/>
    <w:rsid w:val="005B0DAB"/>
    <w:rsid w:val="005B0FA8"/>
    <w:rsid w:val="005B17E3"/>
    <w:rsid w:val="005B1A3C"/>
    <w:rsid w:val="005B1CC2"/>
    <w:rsid w:val="005B2266"/>
    <w:rsid w:val="005B24A4"/>
    <w:rsid w:val="005B27B5"/>
    <w:rsid w:val="005B2857"/>
    <w:rsid w:val="005B2A48"/>
    <w:rsid w:val="005B2A80"/>
    <w:rsid w:val="005B2C99"/>
    <w:rsid w:val="005B2D21"/>
    <w:rsid w:val="005B2ED8"/>
    <w:rsid w:val="005B2EDD"/>
    <w:rsid w:val="005B2F57"/>
    <w:rsid w:val="005B3143"/>
    <w:rsid w:val="005B3275"/>
    <w:rsid w:val="005B39A6"/>
    <w:rsid w:val="005B3B23"/>
    <w:rsid w:val="005B3C18"/>
    <w:rsid w:val="005B406F"/>
    <w:rsid w:val="005B4088"/>
    <w:rsid w:val="005B40B5"/>
    <w:rsid w:val="005B4302"/>
    <w:rsid w:val="005B44E0"/>
    <w:rsid w:val="005B452F"/>
    <w:rsid w:val="005B48B5"/>
    <w:rsid w:val="005B48E5"/>
    <w:rsid w:val="005B4A74"/>
    <w:rsid w:val="005B4B65"/>
    <w:rsid w:val="005B532E"/>
    <w:rsid w:val="005B5381"/>
    <w:rsid w:val="005B5581"/>
    <w:rsid w:val="005B58B1"/>
    <w:rsid w:val="005B58E6"/>
    <w:rsid w:val="005B5BBD"/>
    <w:rsid w:val="005B5FD3"/>
    <w:rsid w:val="005B6CC9"/>
    <w:rsid w:val="005B71B2"/>
    <w:rsid w:val="005B72C1"/>
    <w:rsid w:val="005B7750"/>
    <w:rsid w:val="005B7BE7"/>
    <w:rsid w:val="005C0145"/>
    <w:rsid w:val="005C0226"/>
    <w:rsid w:val="005C02AE"/>
    <w:rsid w:val="005C04CF"/>
    <w:rsid w:val="005C07F8"/>
    <w:rsid w:val="005C0C54"/>
    <w:rsid w:val="005C0E21"/>
    <w:rsid w:val="005C12B8"/>
    <w:rsid w:val="005C1A12"/>
    <w:rsid w:val="005C1F25"/>
    <w:rsid w:val="005C2385"/>
    <w:rsid w:val="005C24F5"/>
    <w:rsid w:val="005C2748"/>
    <w:rsid w:val="005C289D"/>
    <w:rsid w:val="005C2E53"/>
    <w:rsid w:val="005C2EBA"/>
    <w:rsid w:val="005C3413"/>
    <w:rsid w:val="005C35CE"/>
    <w:rsid w:val="005C38B1"/>
    <w:rsid w:val="005C38BC"/>
    <w:rsid w:val="005C3B0D"/>
    <w:rsid w:val="005C3BC7"/>
    <w:rsid w:val="005C40DF"/>
    <w:rsid w:val="005C42FB"/>
    <w:rsid w:val="005C4399"/>
    <w:rsid w:val="005C4673"/>
    <w:rsid w:val="005C485A"/>
    <w:rsid w:val="005C4AE6"/>
    <w:rsid w:val="005C4B43"/>
    <w:rsid w:val="005C4DB2"/>
    <w:rsid w:val="005C4DE6"/>
    <w:rsid w:val="005C539F"/>
    <w:rsid w:val="005C540A"/>
    <w:rsid w:val="005C5D42"/>
    <w:rsid w:val="005C611E"/>
    <w:rsid w:val="005C63ED"/>
    <w:rsid w:val="005C6600"/>
    <w:rsid w:val="005C689F"/>
    <w:rsid w:val="005C6955"/>
    <w:rsid w:val="005C6B0C"/>
    <w:rsid w:val="005C6C13"/>
    <w:rsid w:val="005C6DAE"/>
    <w:rsid w:val="005C6F9F"/>
    <w:rsid w:val="005C6FA7"/>
    <w:rsid w:val="005C706C"/>
    <w:rsid w:val="005C724F"/>
    <w:rsid w:val="005C757E"/>
    <w:rsid w:val="005C7811"/>
    <w:rsid w:val="005C7DB2"/>
    <w:rsid w:val="005D00B0"/>
    <w:rsid w:val="005D00B2"/>
    <w:rsid w:val="005D016E"/>
    <w:rsid w:val="005D02F8"/>
    <w:rsid w:val="005D05A5"/>
    <w:rsid w:val="005D1156"/>
    <w:rsid w:val="005D118E"/>
    <w:rsid w:val="005D158A"/>
    <w:rsid w:val="005D163B"/>
    <w:rsid w:val="005D176F"/>
    <w:rsid w:val="005D1873"/>
    <w:rsid w:val="005D1EB5"/>
    <w:rsid w:val="005D20FF"/>
    <w:rsid w:val="005D214E"/>
    <w:rsid w:val="005D22F6"/>
    <w:rsid w:val="005D2698"/>
    <w:rsid w:val="005D277F"/>
    <w:rsid w:val="005D2A84"/>
    <w:rsid w:val="005D2EBB"/>
    <w:rsid w:val="005D2F86"/>
    <w:rsid w:val="005D2FF5"/>
    <w:rsid w:val="005D3325"/>
    <w:rsid w:val="005D3B29"/>
    <w:rsid w:val="005D3E9C"/>
    <w:rsid w:val="005D3EF3"/>
    <w:rsid w:val="005D3EF5"/>
    <w:rsid w:val="005D4243"/>
    <w:rsid w:val="005D4563"/>
    <w:rsid w:val="005D4C5D"/>
    <w:rsid w:val="005D4CEC"/>
    <w:rsid w:val="005D4E4C"/>
    <w:rsid w:val="005D504C"/>
    <w:rsid w:val="005D544A"/>
    <w:rsid w:val="005D55A2"/>
    <w:rsid w:val="005D5641"/>
    <w:rsid w:val="005D5808"/>
    <w:rsid w:val="005D58D2"/>
    <w:rsid w:val="005D5A3A"/>
    <w:rsid w:val="005D5E66"/>
    <w:rsid w:val="005D629F"/>
    <w:rsid w:val="005D62B1"/>
    <w:rsid w:val="005D633D"/>
    <w:rsid w:val="005D6597"/>
    <w:rsid w:val="005D6626"/>
    <w:rsid w:val="005D6B1E"/>
    <w:rsid w:val="005D71BE"/>
    <w:rsid w:val="005D72AD"/>
    <w:rsid w:val="005D747A"/>
    <w:rsid w:val="005D7695"/>
    <w:rsid w:val="005E030F"/>
    <w:rsid w:val="005E03AA"/>
    <w:rsid w:val="005E0644"/>
    <w:rsid w:val="005E0B78"/>
    <w:rsid w:val="005E10E1"/>
    <w:rsid w:val="005E12F6"/>
    <w:rsid w:val="005E1385"/>
    <w:rsid w:val="005E1424"/>
    <w:rsid w:val="005E17AE"/>
    <w:rsid w:val="005E17F1"/>
    <w:rsid w:val="005E18DA"/>
    <w:rsid w:val="005E1CCB"/>
    <w:rsid w:val="005E1DA8"/>
    <w:rsid w:val="005E2068"/>
    <w:rsid w:val="005E2204"/>
    <w:rsid w:val="005E2430"/>
    <w:rsid w:val="005E260F"/>
    <w:rsid w:val="005E2875"/>
    <w:rsid w:val="005E2876"/>
    <w:rsid w:val="005E2CDB"/>
    <w:rsid w:val="005E2D49"/>
    <w:rsid w:val="005E2E58"/>
    <w:rsid w:val="005E33BA"/>
    <w:rsid w:val="005E34E2"/>
    <w:rsid w:val="005E38AE"/>
    <w:rsid w:val="005E4456"/>
    <w:rsid w:val="005E488B"/>
    <w:rsid w:val="005E4BFD"/>
    <w:rsid w:val="005E507D"/>
    <w:rsid w:val="005E531C"/>
    <w:rsid w:val="005E53D5"/>
    <w:rsid w:val="005E5522"/>
    <w:rsid w:val="005E597A"/>
    <w:rsid w:val="005E5BA3"/>
    <w:rsid w:val="005E5C4B"/>
    <w:rsid w:val="005E5FC8"/>
    <w:rsid w:val="005E612F"/>
    <w:rsid w:val="005E613C"/>
    <w:rsid w:val="005E63E9"/>
    <w:rsid w:val="005E6C75"/>
    <w:rsid w:val="005E6E6A"/>
    <w:rsid w:val="005E7652"/>
    <w:rsid w:val="005E78D9"/>
    <w:rsid w:val="005E7D0F"/>
    <w:rsid w:val="005E7D43"/>
    <w:rsid w:val="005E7EFD"/>
    <w:rsid w:val="005E7F27"/>
    <w:rsid w:val="005F0003"/>
    <w:rsid w:val="005F033A"/>
    <w:rsid w:val="005F035E"/>
    <w:rsid w:val="005F059F"/>
    <w:rsid w:val="005F089D"/>
    <w:rsid w:val="005F0962"/>
    <w:rsid w:val="005F09CB"/>
    <w:rsid w:val="005F1224"/>
    <w:rsid w:val="005F1527"/>
    <w:rsid w:val="005F15FD"/>
    <w:rsid w:val="005F1638"/>
    <w:rsid w:val="005F1955"/>
    <w:rsid w:val="005F1A9B"/>
    <w:rsid w:val="005F1C11"/>
    <w:rsid w:val="005F1E74"/>
    <w:rsid w:val="005F20CC"/>
    <w:rsid w:val="005F2132"/>
    <w:rsid w:val="005F247C"/>
    <w:rsid w:val="005F2512"/>
    <w:rsid w:val="005F2808"/>
    <w:rsid w:val="005F2947"/>
    <w:rsid w:val="005F29D8"/>
    <w:rsid w:val="005F2B76"/>
    <w:rsid w:val="005F2CC2"/>
    <w:rsid w:val="005F2FCE"/>
    <w:rsid w:val="005F305C"/>
    <w:rsid w:val="005F3234"/>
    <w:rsid w:val="005F33CA"/>
    <w:rsid w:val="005F351C"/>
    <w:rsid w:val="005F3770"/>
    <w:rsid w:val="005F3B9E"/>
    <w:rsid w:val="005F4485"/>
    <w:rsid w:val="005F4A44"/>
    <w:rsid w:val="005F4A48"/>
    <w:rsid w:val="005F4DCC"/>
    <w:rsid w:val="005F4DDC"/>
    <w:rsid w:val="005F50F1"/>
    <w:rsid w:val="005F569E"/>
    <w:rsid w:val="005F5E3F"/>
    <w:rsid w:val="005F6259"/>
    <w:rsid w:val="005F631A"/>
    <w:rsid w:val="005F652A"/>
    <w:rsid w:val="005F6758"/>
    <w:rsid w:val="005F6F2D"/>
    <w:rsid w:val="005F71C7"/>
    <w:rsid w:val="005F76C5"/>
    <w:rsid w:val="005F774C"/>
    <w:rsid w:val="005F7C88"/>
    <w:rsid w:val="005F7D41"/>
    <w:rsid w:val="005F7D5D"/>
    <w:rsid w:val="006001BA"/>
    <w:rsid w:val="006001EC"/>
    <w:rsid w:val="00600282"/>
    <w:rsid w:val="006006DE"/>
    <w:rsid w:val="00600C20"/>
    <w:rsid w:val="00600C6C"/>
    <w:rsid w:val="0060104A"/>
    <w:rsid w:val="006014AE"/>
    <w:rsid w:val="00601A39"/>
    <w:rsid w:val="00601B9D"/>
    <w:rsid w:val="00601BA3"/>
    <w:rsid w:val="00601DB8"/>
    <w:rsid w:val="00601F3A"/>
    <w:rsid w:val="00601F3F"/>
    <w:rsid w:val="00602053"/>
    <w:rsid w:val="00602180"/>
    <w:rsid w:val="006027AE"/>
    <w:rsid w:val="00602A8D"/>
    <w:rsid w:val="006034BD"/>
    <w:rsid w:val="0060376E"/>
    <w:rsid w:val="0060386C"/>
    <w:rsid w:val="00603951"/>
    <w:rsid w:val="00603F77"/>
    <w:rsid w:val="006040C9"/>
    <w:rsid w:val="0060432F"/>
    <w:rsid w:val="00604AF0"/>
    <w:rsid w:val="00604BCD"/>
    <w:rsid w:val="00605027"/>
    <w:rsid w:val="006057CA"/>
    <w:rsid w:val="0060675D"/>
    <w:rsid w:val="00606B5C"/>
    <w:rsid w:val="0060715D"/>
    <w:rsid w:val="00607464"/>
    <w:rsid w:val="0060750A"/>
    <w:rsid w:val="00607AC9"/>
    <w:rsid w:val="00607AF3"/>
    <w:rsid w:val="00607B6B"/>
    <w:rsid w:val="00607CD8"/>
    <w:rsid w:val="00607D25"/>
    <w:rsid w:val="006109CF"/>
    <w:rsid w:val="0061148E"/>
    <w:rsid w:val="00611586"/>
    <w:rsid w:val="006122F7"/>
    <w:rsid w:val="0061232D"/>
    <w:rsid w:val="0061236A"/>
    <w:rsid w:val="00612447"/>
    <w:rsid w:val="00612889"/>
    <w:rsid w:val="00612FEA"/>
    <w:rsid w:val="00613158"/>
    <w:rsid w:val="006131B9"/>
    <w:rsid w:val="006131F7"/>
    <w:rsid w:val="0061366A"/>
    <w:rsid w:val="00613B58"/>
    <w:rsid w:val="00613BF0"/>
    <w:rsid w:val="00613C8C"/>
    <w:rsid w:val="00613E17"/>
    <w:rsid w:val="00613EF3"/>
    <w:rsid w:val="00613F73"/>
    <w:rsid w:val="0061417F"/>
    <w:rsid w:val="006141D2"/>
    <w:rsid w:val="006141E1"/>
    <w:rsid w:val="0061424B"/>
    <w:rsid w:val="0061492D"/>
    <w:rsid w:val="00614C93"/>
    <w:rsid w:val="00614CAB"/>
    <w:rsid w:val="00614D23"/>
    <w:rsid w:val="006153F5"/>
    <w:rsid w:val="006156F4"/>
    <w:rsid w:val="0061573B"/>
    <w:rsid w:val="0061581B"/>
    <w:rsid w:val="006159AE"/>
    <w:rsid w:val="00615EA4"/>
    <w:rsid w:val="006160E0"/>
    <w:rsid w:val="00616347"/>
    <w:rsid w:val="00616708"/>
    <w:rsid w:val="0061687D"/>
    <w:rsid w:val="00616DB7"/>
    <w:rsid w:val="00616EAA"/>
    <w:rsid w:val="00617032"/>
    <w:rsid w:val="006172AE"/>
    <w:rsid w:val="006177CF"/>
    <w:rsid w:val="006178F4"/>
    <w:rsid w:val="00617BBB"/>
    <w:rsid w:val="00617D8F"/>
    <w:rsid w:val="00617DBC"/>
    <w:rsid w:val="00620CDC"/>
    <w:rsid w:val="00621260"/>
    <w:rsid w:val="0062140C"/>
    <w:rsid w:val="00621470"/>
    <w:rsid w:val="00621A5F"/>
    <w:rsid w:val="00621B9A"/>
    <w:rsid w:val="00621E69"/>
    <w:rsid w:val="00621ED7"/>
    <w:rsid w:val="00621F18"/>
    <w:rsid w:val="0062234D"/>
    <w:rsid w:val="00622B1D"/>
    <w:rsid w:val="00622FC6"/>
    <w:rsid w:val="0062327B"/>
    <w:rsid w:val="00623331"/>
    <w:rsid w:val="00623366"/>
    <w:rsid w:val="00623391"/>
    <w:rsid w:val="00623F97"/>
    <w:rsid w:val="00623FF9"/>
    <w:rsid w:val="006240EA"/>
    <w:rsid w:val="006240EB"/>
    <w:rsid w:val="00624B8C"/>
    <w:rsid w:val="00624BC6"/>
    <w:rsid w:val="00624D6A"/>
    <w:rsid w:val="006250B2"/>
    <w:rsid w:val="0062535E"/>
    <w:rsid w:val="006255A2"/>
    <w:rsid w:val="006257F9"/>
    <w:rsid w:val="00625E9B"/>
    <w:rsid w:val="00625F25"/>
    <w:rsid w:val="00626098"/>
    <w:rsid w:val="00626363"/>
    <w:rsid w:val="00626688"/>
    <w:rsid w:val="006267D5"/>
    <w:rsid w:val="0062685F"/>
    <w:rsid w:val="00626927"/>
    <w:rsid w:val="006269D8"/>
    <w:rsid w:val="00626BC9"/>
    <w:rsid w:val="00626F65"/>
    <w:rsid w:val="00627091"/>
    <w:rsid w:val="0062754B"/>
    <w:rsid w:val="00627D41"/>
    <w:rsid w:val="0063008E"/>
    <w:rsid w:val="00630113"/>
    <w:rsid w:val="00630178"/>
    <w:rsid w:val="00630E70"/>
    <w:rsid w:val="00630E8D"/>
    <w:rsid w:val="00631055"/>
    <w:rsid w:val="0063114B"/>
    <w:rsid w:val="0063129A"/>
    <w:rsid w:val="00631981"/>
    <w:rsid w:val="00631B03"/>
    <w:rsid w:val="00631C54"/>
    <w:rsid w:val="00631EB8"/>
    <w:rsid w:val="00631F6B"/>
    <w:rsid w:val="006321BF"/>
    <w:rsid w:val="00632224"/>
    <w:rsid w:val="00632229"/>
    <w:rsid w:val="00632AE8"/>
    <w:rsid w:val="00632D3F"/>
    <w:rsid w:val="00632DFD"/>
    <w:rsid w:val="00633616"/>
    <w:rsid w:val="00633A95"/>
    <w:rsid w:val="00633DD4"/>
    <w:rsid w:val="00633EE1"/>
    <w:rsid w:val="00634005"/>
    <w:rsid w:val="00634112"/>
    <w:rsid w:val="006344CD"/>
    <w:rsid w:val="006347FB"/>
    <w:rsid w:val="00634AB4"/>
    <w:rsid w:val="00634AF1"/>
    <w:rsid w:val="00634F23"/>
    <w:rsid w:val="006351C9"/>
    <w:rsid w:val="00635497"/>
    <w:rsid w:val="0063564A"/>
    <w:rsid w:val="00635C5A"/>
    <w:rsid w:val="00635E0F"/>
    <w:rsid w:val="00636513"/>
    <w:rsid w:val="0063655D"/>
    <w:rsid w:val="0063660B"/>
    <w:rsid w:val="00636773"/>
    <w:rsid w:val="006368A2"/>
    <w:rsid w:val="006368F1"/>
    <w:rsid w:val="00636D30"/>
    <w:rsid w:val="00636D3D"/>
    <w:rsid w:val="00636DA8"/>
    <w:rsid w:val="00636EBA"/>
    <w:rsid w:val="006374DC"/>
    <w:rsid w:val="00637851"/>
    <w:rsid w:val="00637AF3"/>
    <w:rsid w:val="00640291"/>
    <w:rsid w:val="0064030A"/>
    <w:rsid w:val="0064036D"/>
    <w:rsid w:val="00640529"/>
    <w:rsid w:val="00640C9B"/>
    <w:rsid w:val="006412D5"/>
    <w:rsid w:val="006413A3"/>
    <w:rsid w:val="006417EB"/>
    <w:rsid w:val="00641889"/>
    <w:rsid w:val="00641A8B"/>
    <w:rsid w:val="00641B2D"/>
    <w:rsid w:val="00641BCA"/>
    <w:rsid w:val="00641DF7"/>
    <w:rsid w:val="006426E0"/>
    <w:rsid w:val="006428E6"/>
    <w:rsid w:val="0064298C"/>
    <w:rsid w:val="00642A72"/>
    <w:rsid w:val="00642D03"/>
    <w:rsid w:val="006434B6"/>
    <w:rsid w:val="006435C3"/>
    <w:rsid w:val="00643822"/>
    <w:rsid w:val="00643A69"/>
    <w:rsid w:val="00643ADD"/>
    <w:rsid w:val="00643C6B"/>
    <w:rsid w:val="00643C9C"/>
    <w:rsid w:val="006442A1"/>
    <w:rsid w:val="00644CCF"/>
    <w:rsid w:val="00645078"/>
    <w:rsid w:val="006450B7"/>
    <w:rsid w:val="006450C1"/>
    <w:rsid w:val="006450EF"/>
    <w:rsid w:val="00645BEF"/>
    <w:rsid w:val="00645CF1"/>
    <w:rsid w:val="00645FDD"/>
    <w:rsid w:val="00646111"/>
    <w:rsid w:val="00646991"/>
    <w:rsid w:val="00646BE6"/>
    <w:rsid w:val="00646EA6"/>
    <w:rsid w:val="0064748A"/>
    <w:rsid w:val="006475E3"/>
    <w:rsid w:val="00647685"/>
    <w:rsid w:val="0064791E"/>
    <w:rsid w:val="00647931"/>
    <w:rsid w:val="00647C6A"/>
    <w:rsid w:val="006502E3"/>
    <w:rsid w:val="00650394"/>
    <w:rsid w:val="0065057E"/>
    <w:rsid w:val="0065087E"/>
    <w:rsid w:val="00650948"/>
    <w:rsid w:val="00650DD5"/>
    <w:rsid w:val="00651362"/>
    <w:rsid w:val="00651454"/>
    <w:rsid w:val="006514F1"/>
    <w:rsid w:val="0065161B"/>
    <w:rsid w:val="0065163A"/>
    <w:rsid w:val="006516B6"/>
    <w:rsid w:val="00651786"/>
    <w:rsid w:val="00651C71"/>
    <w:rsid w:val="006524AF"/>
    <w:rsid w:val="0065254D"/>
    <w:rsid w:val="00652829"/>
    <w:rsid w:val="00652C4B"/>
    <w:rsid w:val="00652FD2"/>
    <w:rsid w:val="00653387"/>
    <w:rsid w:val="006535C1"/>
    <w:rsid w:val="006535F7"/>
    <w:rsid w:val="0065391D"/>
    <w:rsid w:val="00653A25"/>
    <w:rsid w:val="0065423F"/>
    <w:rsid w:val="006542DC"/>
    <w:rsid w:val="006543EE"/>
    <w:rsid w:val="00654484"/>
    <w:rsid w:val="00654607"/>
    <w:rsid w:val="00654797"/>
    <w:rsid w:val="006547C2"/>
    <w:rsid w:val="00654935"/>
    <w:rsid w:val="00654A16"/>
    <w:rsid w:val="00654B9F"/>
    <w:rsid w:val="00654CE8"/>
    <w:rsid w:val="00654DD5"/>
    <w:rsid w:val="0065541A"/>
    <w:rsid w:val="006557F3"/>
    <w:rsid w:val="0065584A"/>
    <w:rsid w:val="00655860"/>
    <w:rsid w:val="006559A0"/>
    <w:rsid w:val="00655BA0"/>
    <w:rsid w:val="00655CAA"/>
    <w:rsid w:val="00656163"/>
    <w:rsid w:val="006561EA"/>
    <w:rsid w:val="00656419"/>
    <w:rsid w:val="00656915"/>
    <w:rsid w:val="00656A52"/>
    <w:rsid w:val="00656BBE"/>
    <w:rsid w:val="00656C87"/>
    <w:rsid w:val="00656C8F"/>
    <w:rsid w:val="006578AF"/>
    <w:rsid w:val="00657CEA"/>
    <w:rsid w:val="00657CF5"/>
    <w:rsid w:val="00657FB1"/>
    <w:rsid w:val="0066007F"/>
    <w:rsid w:val="006602AB"/>
    <w:rsid w:val="00660343"/>
    <w:rsid w:val="006604DD"/>
    <w:rsid w:val="006606DF"/>
    <w:rsid w:val="00660A1D"/>
    <w:rsid w:val="00660CE4"/>
    <w:rsid w:val="00660DB2"/>
    <w:rsid w:val="00660FED"/>
    <w:rsid w:val="006610BC"/>
    <w:rsid w:val="00661434"/>
    <w:rsid w:val="00661471"/>
    <w:rsid w:val="006615EB"/>
    <w:rsid w:val="006617F9"/>
    <w:rsid w:val="0066181E"/>
    <w:rsid w:val="006618CC"/>
    <w:rsid w:val="00661AD8"/>
    <w:rsid w:val="00661BFE"/>
    <w:rsid w:val="00661C52"/>
    <w:rsid w:val="006622EF"/>
    <w:rsid w:val="00662346"/>
    <w:rsid w:val="00662624"/>
    <w:rsid w:val="006626F4"/>
    <w:rsid w:val="00662DD7"/>
    <w:rsid w:val="00662DF6"/>
    <w:rsid w:val="0066311C"/>
    <w:rsid w:val="00663210"/>
    <w:rsid w:val="006639E3"/>
    <w:rsid w:val="00663BC5"/>
    <w:rsid w:val="00664330"/>
    <w:rsid w:val="006643AF"/>
    <w:rsid w:val="00664A6B"/>
    <w:rsid w:val="00664AC3"/>
    <w:rsid w:val="00664D87"/>
    <w:rsid w:val="00664F85"/>
    <w:rsid w:val="006651D3"/>
    <w:rsid w:val="006653FC"/>
    <w:rsid w:val="0066549F"/>
    <w:rsid w:val="00665567"/>
    <w:rsid w:val="00665C69"/>
    <w:rsid w:val="00665DD7"/>
    <w:rsid w:val="00665E33"/>
    <w:rsid w:val="00665EC1"/>
    <w:rsid w:val="00665F36"/>
    <w:rsid w:val="00665FD5"/>
    <w:rsid w:val="00666044"/>
    <w:rsid w:val="00666169"/>
    <w:rsid w:val="00666A63"/>
    <w:rsid w:val="00666C16"/>
    <w:rsid w:val="00666C7F"/>
    <w:rsid w:val="00666D6F"/>
    <w:rsid w:val="0066707F"/>
    <w:rsid w:val="006673E0"/>
    <w:rsid w:val="006673E6"/>
    <w:rsid w:val="00667C58"/>
    <w:rsid w:val="006700A8"/>
    <w:rsid w:val="00670163"/>
    <w:rsid w:val="00670EBF"/>
    <w:rsid w:val="00670EDA"/>
    <w:rsid w:val="00670F19"/>
    <w:rsid w:val="00671267"/>
    <w:rsid w:val="00671AC3"/>
    <w:rsid w:val="00671C0F"/>
    <w:rsid w:val="0067244D"/>
    <w:rsid w:val="0067263F"/>
    <w:rsid w:val="00672699"/>
    <w:rsid w:val="0067281F"/>
    <w:rsid w:val="00672DBE"/>
    <w:rsid w:val="00672FF5"/>
    <w:rsid w:val="0067355E"/>
    <w:rsid w:val="0067363D"/>
    <w:rsid w:val="00673AE9"/>
    <w:rsid w:val="00673B5D"/>
    <w:rsid w:val="00673B98"/>
    <w:rsid w:val="00673E18"/>
    <w:rsid w:val="006745C7"/>
    <w:rsid w:val="006746B7"/>
    <w:rsid w:val="00674B43"/>
    <w:rsid w:val="00674F5B"/>
    <w:rsid w:val="006752BD"/>
    <w:rsid w:val="006754CE"/>
    <w:rsid w:val="00675836"/>
    <w:rsid w:val="00675FF4"/>
    <w:rsid w:val="006760C3"/>
    <w:rsid w:val="006761A9"/>
    <w:rsid w:val="006763CF"/>
    <w:rsid w:val="00676746"/>
    <w:rsid w:val="0067689F"/>
    <w:rsid w:val="00676A13"/>
    <w:rsid w:val="00676C1E"/>
    <w:rsid w:val="00676DCA"/>
    <w:rsid w:val="00676FBB"/>
    <w:rsid w:val="006771D8"/>
    <w:rsid w:val="006773CC"/>
    <w:rsid w:val="00677A21"/>
    <w:rsid w:val="00677A26"/>
    <w:rsid w:val="00677DBA"/>
    <w:rsid w:val="00677E55"/>
    <w:rsid w:val="0068029A"/>
    <w:rsid w:val="0068048F"/>
    <w:rsid w:val="006804D1"/>
    <w:rsid w:val="006806DF"/>
    <w:rsid w:val="00680895"/>
    <w:rsid w:val="006808AF"/>
    <w:rsid w:val="00680BAE"/>
    <w:rsid w:val="00680D3B"/>
    <w:rsid w:val="00680DAA"/>
    <w:rsid w:val="00680F66"/>
    <w:rsid w:val="00681003"/>
    <w:rsid w:val="006816EF"/>
    <w:rsid w:val="00681B98"/>
    <w:rsid w:val="00681F8E"/>
    <w:rsid w:val="00682705"/>
    <w:rsid w:val="00682BB8"/>
    <w:rsid w:val="00683382"/>
    <w:rsid w:val="006836C1"/>
    <w:rsid w:val="0068374F"/>
    <w:rsid w:val="00683FA3"/>
    <w:rsid w:val="00684043"/>
    <w:rsid w:val="006842D8"/>
    <w:rsid w:val="00684C37"/>
    <w:rsid w:val="00684C59"/>
    <w:rsid w:val="00684D84"/>
    <w:rsid w:val="006852F8"/>
    <w:rsid w:val="0068573F"/>
    <w:rsid w:val="00685EA7"/>
    <w:rsid w:val="00686237"/>
    <w:rsid w:val="00686649"/>
    <w:rsid w:val="006867F9"/>
    <w:rsid w:val="00686C16"/>
    <w:rsid w:val="00686C21"/>
    <w:rsid w:val="00686C4E"/>
    <w:rsid w:val="00686CFE"/>
    <w:rsid w:val="00687319"/>
    <w:rsid w:val="0068739B"/>
    <w:rsid w:val="00687463"/>
    <w:rsid w:val="00687508"/>
    <w:rsid w:val="006876DD"/>
    <w:rsid w:val="006878B9"/>
    <w:rsid w:val="00687A11"/>
    <w:rsid w:val="00687A2D"/>
    <w:rsid w:val="006904DB"/>
    <w:rsid w:val="00690682"/>
    <w:rsid w:val="0069081D"/>
    <w:rsid w:val="0069092E"/>
    <w:rsid w:val="006909FE"/>
    <w:rsid w:val="00690ED5"/>
    <w:rsid w:val="006916B2"/>
    <w:rsid w:val="006918A4"/>
    <w:rsid w:val="00691A1E"/>
    <w:rsid w:val="00691A65"/>
    <w:rsid w:val="00691C05"/>
    <w:rsid w:val="006920D6"/>
    <w:rsid w:val="00692493"/>
    <w:rsid w:val="006924BF"/>
    <w:rsid w:val="0069275A"/>
    <w:rsid w:val="00692C0B"/>
    <w:rsid w:val="00692E11"/>
    <w:rsid w:val="00692E17"/>
    <w:rsid w:val="00692EAB"/>
    <w:rsid w:val="00692FB1"/>
    <w:rsid w:val="00693517"/>
    <w:rsid w:val="0069380A"/>
    <w:rsid w:val="00693CC5"/>
    <w:rsid w:val="00693CDE"/>
    <w:rsid w:val="0069406F"/>
    <w:rsid w:val="00694311"/>
    <w:rsid w:val="006946D8"/>
    <w:rsid w:val="006947DC"/>
    <w:rsid w:val="00694DDA"/>
    <w:rsid w:val="00694E35"/>
    <w:rsid w:val="00694F65"/>
    <w:rsid w:val="00695196"/>
    <w:rsid w:val="00695360"/>
    <w:rsid w:val="0069553D"/>
    <w:rsid w:val="00695741"/>
    <w:rsid w:val="00695961"/>
    <w:rsid w:val="00695AFB"/>
    <w:rsid w:val="006960B3"/>
    <w:rsid w:val="00696563"/>
    <w:rsid w:val="006968E6"/>
    <w:rsid w:val="00696E30"/>
    <w:rsid w:val="00696E60"/>
    <w:rsid w:val="006970A0"/>
    <w:rsid w:val="0069746B"/>
    <w:rsid w:val="006974F2"/>
    <w:rsid w:val="006976DF"/>
    <w:rsid w:val="00697EB6"/>
    <w:rsid w:val="006A008B"/>
    <w:rsid w:val="006A0127"/>
    <w:rsid w:val="006A029D"/>
    <w:rsid w:val="006A0544"/>
    <w:rsid w:val="006A09AE"/>
    <w:rsid w:val="006A0BB9"/>
    <w:rsid w:val="006A1337"/>
    <w:rsid w:val="006A14BF"/>
    <w:rsid w:val="006A14C0"/>
    <w:rsid w:val="006A1755"/>
    <w:rsid w:val="006A182A"/>
    <w:rsid w:val="006A1925"/>
    <w:rsid w:val="006A1FE7"/>
    <w:rsid w:val="006A207E"/>
    <w:rsid w:val="006A20FB"/>
    <w:rsid w:val="006A28EA"/>
    <w:rsid w:val="006A305A"/>
    <w:rsid w:val="006A3539"/>
    <w:rsid w:val="006A359D"/>
    <w:rsid w:val="006A38E7"/>
    <w:rsid w:val="006A3AB1"/>
    <w:rsid w:val="006A3DAB"/>
    <w:rsid w:val="006A4178"/>
    <w:rsid w:val="006A428A"/>
    <w:rsid w:val="006A44E5"/>
    <w:rsid w:val="006A4677"/>
    <w:rsid w:val="006A4EF4"/>
    <w:rsid w:val="006A4F02"/>
    <w:rsid w:val="006A5015"/>
    <w:rsid w:val="006A556C"/>
    <w:rsid w:val="006A55D6"/>
    <w:rsid w:val="006A579E"/>
    <w:rsid w:val="006A5881"/>
    <w:rsid w:val="006A5AD8"/>
    <w:rsid w:val="006A5D84"/>
    <w:rsid w:val="006A5F4D"/>
    <w:rsid w:val="006A607E"/>
    <w:rsid w:val="006A6339"/>
    <w:rsid w:val="006A66E0"/>
    <w:rsid w:val="006A703F"/>
    <w:rsid w:val="006A70AA"/>
    <w:rsid w:val="006A73B4"/>
    <w:rsid w:val="006A76B3"/>
    <w:rsid w:val="006A7AFD"/>
    <w:rsid w:val="006A7BCB"/>
    <w:rsid w:val="006B0012"/>
    <w:rsid w:val="006B010B"/>
    <w:rsid w:val="006B08B4"/>
    <w:rsid w:val="006B091E"/>
    <w:rsid w:val="006B0DCC"/>
    <w:rsid w:val="006B0E0C"/>
    <w:rsid w:val="006B0E6E"/>
    <w:rsid w:val="006B101A"/>
    <w:rsid w:val="006B12E0"/>
    <w:rsid w:val="006B1437"/>
    <w:rsid w:val="006B16F4"/>
    <w:rsid w:val="006B18F6"/>
    <w:rsid w:val="006B1972"/>
    <w:rsid w:val="006B1975"/>
    <w:rsid w:val="006B20BC"/>
    <w:rsid w:val="006B20F8"/>
    <w:rsid w:val="006B27A1"/>
    <w:rsid w:val="006B2A5F"/>
    <w:rsid w:val="006B2B76"/>
    <w:rsid w:val="006B2DA4"/>
    <w:rsid w:val="006B316F"/>
    <w:rsid w:val="006B3AF0"/>
    <w:rsid w:val="006B3D8A"/>
    <w:rsid w:val="006B417C"/>
    <w:rsid w:val="006B422F"/>
    <w:rsid w:val="006B44B5"/>
    <w:rsid w:val="006B488A"/>
    <w:rsid w:val="006B49C9"/>
    <w:rsid w:val="006B4A14"/>
    <w:rsid w:val="006B4D6A"/>
    <w:rsid w:val="006B4E01"/>
    <w:rsid w:val="006B4E78"/>
    <w:rsid w:val="006B529E"/>
    <w:rsid w:val="006B5324"/>
    <w:rsid w:val="006B55AF"/>
    <w:rsid w:val="006B56F8"/>
    <w:rsid w:val="006B5D62"/>
    <w:rsid w:val="006B6073"/>
    <w:rsid w:val="006B62AC"/>
    <w:rsid w:val="006B6ADD"/>
    <w:rsid w:val="006B6F9B"/>
    <w:rsid w:val="006B74C3"/>
    <w:rsid w:val="006B75E0"/>
    <w:rsid w:val="006B7DB3"/>
    <w:rsid w:val="006B7F25"/>
    <w:rsid w:val="006C00AE"/>
    <w:rsid w:val="006C0638"/>
    <w:rsid w:val="006C0936"/>
    <w:rsid w:val="006C0EF6"/>
    <w:rsid w:val="006C121E"/>
    <w:rsid w:val="006C12E4"/>
    <w:rsid w:val="006C13DE"/>
    <w:rsid w:val="006C13E3"/>
    <w:rsid w:val="006C17A4"/>
    <w:rsid w:val="006C1912"/>
    <w:rsid w:val="006C19DE"/>
    <w:rsid w:val="006C1A00"/>
    <w:rsid w:val="006C1EFC"/>
    <w:rsid w:val="006C21D3"/>
    <w:rsid w:val="006C26C2"/>
    <w:rsid w:val="006C2EF1"/>
    <w:rsid w:val="006C2FCA"/>
    <w:rsid w:val="006C307E"/>
    <w:rsid w:val="006C309D"/>
    <w:rsid w:val="006C3A54"/>
    <w:rsid w:val="006C3ABC"/>
    <w:rsid w:val="006C3FD8"/>
    <w:rsid w:val="006C443C"/>
    <w:rsid w:val="006C44DA"/>
    <w:rsid w:val="006C480B"/>
    <w:rsid w:val="006C481B"/>
    <w:rsid w:val="006C4864"/>
    <w:rsid w:val="006C4B20"/>
    <w:rsid w:val="006C4E71"/>
    <w:rsid w:val="006C51C2"/>
    <w:rsid w:val="006C555D"/>
    <w:rsid w:val="006C5825"/>
    <w:rsid w:val="006C5BE1"/>
    <w:rsid w:val="006C6507"/>
    <w:rsid w:val="006C6A5F"/>
    <w:rsid w:val="006C713E"/>
    <w:rsid w:val="006C726E"/>
    <w:rsid w:val="006C73F3"/>
    <w:rsid w:val="006C7563"/>
    <w:rsid w:val="006C76A3"/>
    <w:rsid w:val="006C77D1"/>
    <w:rsid w:val="006C7CEC"/>
    <w:rsid w:val="006C7E1D"/>
    <w:rsid w:val="006D027B"/>
    <w:rsid w:val="006D077E"/>
    <w:rsid w:val="006D07EC"/>
    <w:rsid w:val="006D0A93"/>
    <w:rsid w:val="006D0CA6"/>
    <w:rsid w:val="006D0EA2"/>
    <w:rsid w:val="006D1070"/>
    <w:rsid w:val="006D11D1"/>
    <w:rsid w:val="006D15FD"/>
    <w:rsid w:val="006D1BF2"/>
    <w:rsid w:val="006D1DE6"/>
    <w:rsid w:val="006D1E9F"/>
    <w:rsid w:val="006D2595"/>
    <w:rsid w:val="006D27FE"/>
    <w:rsid w:val="006D2BE5"/>
    <w:rsid w:val="006D3C51"/>
    <w:rsid w:val="006D4012"/>
    <w:rsid w:val="006D4301"/>
    <w:rsid w:val="006D430F"/>
    <w:rsid w:val="006D4378"/>
    <w:rsid w:val="006D4A0B"/>
    <w:rsid w:val="006D4D9B"/>
    <w:rsid w:val="006D4FC2"/>
    <w:rsid w:val="006D4FD0"/>
    <w:rsid w:val="006D5001"/>
    <w:rsid w:val="006D5521"/>
    <w:rsid w:val="006D5546"/>
    <w:rsid w:val="006D58D0"/>
    <w:rsid w:val="006D5F1A"/>
    <w:rsid w:val="006D5F6B"/>
    <w:rsid w:val="006D611C"/>
    <w:rsid w:val="006D6335"/>
    <w:rsid w:val="006D633D"/>
    <w:rsid w:val="006D65DF"/>
    <w:rsid w:val="006D66C0"/>
    <w:rsid w:val="006D676C"/>
    <w:rsid w:val="006D6D8D"/>
    <w:rsid w:val="006D7046"/>
    <w:rsid w:val="006D704E"/>
    <w:rsid w:val="006D70DA"/>
    <w:rsid w:val="006D733C"/>
    <w:rsid w:val="006D75CC"/>
    <w:rsid w:val="006D7683"/>
    <w:rsid w:val="006D7875"/>
    <w:rsid w:val="006D7C2C"/>
    <w:rsid w:val="006D7FDA"/>
    <w:rsid w:val="006E051B"/>
    <w:rsid w:val="006E0820"/>
    <w:rsid w:val="006E1273"/>
    <w:rsid w:val="006E1570"/>
    <w:rsid w:val="006E18A2"/>
    <w:rsid w:val="006E1A5E"/>
    <w:rsid w:val="006E1D6B"/>
    <w:rsid w:val="006E1EAB"/>
    <w:rsid w:val="006E1EDC"/>
    <w:rsid w:val="006E219C"/>
    <w:rsid w:val="006E2369"/>
    <w:rsid w:val="006E26DA"/>
    <w:rsid w:val="006E283A"/>
    <w:rsid w:val="006E28E2"/>
    <w:rsid w:val="006E29E8"/>
    <w:rsid w:val="006E3333"/>
    <w:rsid w:val="006E36CB"/>
    <w:rsid w:val="006E3794"/>
    <w:rsid w:val="006E3D43"/>
    <w:rsid w:val="006E42A6"/>
    <w:rsid w:val="006E42AC"/>
    <w:rsid w:val="006E4621"/>
    <w:rsid w:val="006E4868"/>
    <w:rsid w:val="006E48B7"/>
    <w:rsid w:val="006E48C7"/>
    <w:rsid w:val="006E4926"/>
    <w:rsid w:val="006E4F02"/>
    <w:rsid w:val="006E5365"/>
    <w:rsid w:val="006E546E"/>
    <w:rsid w:val="006E5A68"/>
    <w:rsid w:val="006E5D3B"/>
    <w:rsid w:val="006E6162"/>
    <w:rsid w:val="006E63BB"/>
    <w:rsid w:val="006E64A1"/>
    <w:rsid w:val="006E680F"/>
    <w:rsid w:val="006E743E"/>
    <w:rsid w:val="006E7C20"/>
    <w:rsid w:val="006E7F27"/>
    <w:rsid w:val="006F01F9"/>
    <w:rsid w:val="006F08B1"/>
    <w:rsid w:val="006F091B"/>
    <w:rsid w:val="006F091D"/>
    <w:rsid w:val="006F0EA8"/>
    <w:rsid w:val="006F0FFD"/>
    <w:rsid w:val="006F10B0"/>
    <w:rsid w:val="006F1575"/>
    <w:rsid w:val="006F1FEF"/>
    <w:rsid w:val="006F2096"/>
    <w:rsid w:val="006F2314"/>
    <w:rsid w:val="006F2554"/>
    <w:rsid w:val="006F25DE"/>
    <w:rsid w:val="006F295F"/>
    <w:rsid w:val="006F2EC0"/>
    <w:rsid w:val="006F32B1"/>
    <w:rsid w:val="006F34EE"/>
    <w:rsid w:val="006F358B"/>
    <w:rsid w:val="006F3624"/>
    <w:rsid w:val="006F368E"/>
    <w:rsid w:val="006F3BDA"/>
    <w:rsid w:val="006F3E2C"/>
    <w:rsid w:val="006F3FB3"/>
    <w:rsid w:val="006F4102"/>
    <w:rsid w:val="006F41B4"/>
    <w:rsid w:val="006F4324"/>
    <w:rsid w:val="006F4592"/>
    <w:rsid w:val="006F49E1"/>
    <w:rsid w:val="006F4A57"/>
    <w:rsid w:val="006F4B62"/>
    <w:rsid w:val="006F4EEB"/>
    <w:rsid w:val="006F50C9"/>
    <w:rsid w:val="006F5222"/>
    <w:rsid w:val="006F528F"/>
    <w:rsid w:val="006F5487"/>
    <w:rsid w:val="006F54AE"/>
    <w:rsid w:val="006F5904"/>
    <w:rsid w:val="006F5C3A"/>
    <w:rsid w:val="006F5D64"/>
    <w:rsid w:val="006F5E38"/>
    <w:rsid w:val="006F6568"/>
    <w:rsid w:val="006F6701"/>
    <w:rsid w:val="006F6C64"/>
    <w:rsid w:val="006F6E6A"/>
    <w:rsid w:val="006F767C"/>
    <w:rsid w:val="006F773E"/>
    <w:rsid w:val="006F7E4F"/>
    <w:rsid w:val="006F7FD0"/>
    <w:rsid w:val="00700015"/>
    <w:rsid w:val="0070025B"/>
    <w:rsid w:val="00700683"/>
    <w:rsid w:val="00700729"/>
    <w:rsid w:val="007008A6"/>
    <w:rsid w:val="00700BC8"/>
    <w:rsid w:val="00700BFD"/>
    <w:rsid w:val="007010A5"/>
    <w:rsid w:val="007010C4"/>
    <w:rsid w:val="007013C4"/>
    <w:rsid w:val="007015CA"/>
    <w:rsid w:val="0070178C"/>
    <w:rsid w:val="0070179B"/>
    <w:rsid w:val="007017F6"/>
    <w:rsid w:val="00701E00"/>
    <w:rsid w:val="00701FEF"/>
    <w:rsid w:val="00702377"/>
    <w:rsid w:val="007026B7"/>
    <w:rsid w:val="00702C8D"/>
    <w:rsid w:val="00702F25"/>
    <w:rsid w:val="00703069"/>
    <w:rsid w:val="007032D3"/>
    <w:rsid w:val="007032DD"/>
    <w:rsid w:val="0070331C"/>
    <w:rsid w:val="00703550"/>
    <w:rsid w:val="007035A4"/>
    <w:rsid w:val="007038A1"/>
    <w:rsid w:val="00703A18"/>
    <w:rsid w:val="00704010"/>
    <w:rsid w:val="007045AC"/>
    <w:rsid w:val="00704A2B"/>
    <w:rsid w:val="007050A7"/>
    <w:rsid w:val="0070523B"/>
    <w:rsid w:val="00705431"/>
    <w:rsid w:val="007059CC"/>
    <w:rsid w:val="00705B93"/>
    <w:rsid w:val="00705C10"/>
    <w:rsid w:val="00705C44"/>
    <w:rsid w:val="00705C4C"/>
    <w:rsid w:val="007063F3"/>
    <w:rsid w:val="007067BB"/>
    <w:rsid w:val="0070690D"/>
    <w:rsid w:val="00706B03"/>
    <w:rsid w:val="00706DB5"/>
    <w:rsid w:val="00706EBE"/>
    <w:rsid w:val="00706F77"/>
    <w:rsid w:val="00706FC7"/>
    <w:rsid w:val="0070714D"/>
    <w:rsid w:val="00707277"/>
    <w:rsid w:val="0070786F"/>
    <w:rsid w:val="00707CE4"/>
    <w:rsid w:val="00710ADB"/>
    <w:rsid w:val="00710BFB"/>
    <w:rsid w:val="00710DA3"/>
    <w:rsid w:val="00711AB3"/>
    <w:rsid w:val="00711B59"/>
    <w:rsid w:val="00712C2E"/>
    <w:rsid w:val="00712EF5"/>
    <w:rsid w:val="00712FD2"/>
    <w:rsid w:val="00713529"/>
    <w:rsid w:val="00713665"/>
    <w:rsid w:val="007136A9"/>
    <w:rsid w:val="007136B4"/>
    <w:rsid w:val="0071372D"/>
    <w:rsid w:val="007137D3"/>
    <w:rsid w:val="0071397E"/>
    <w:rsid w:val="007139AE"/>
    <w:rsid w:val="00713A22"/>
    <w:rsid w:val="00713AE1"/>
    <w:rsid w:val="00713CFE"/>
    <w:rsid w:val="00713E86"/>
    <w:rsid w:val="00714168"/>
    <w:rsid w:val="0071434E"/>
    <w:rsid w:val="007143F3"/>
    <w:rsid w:val="0071454F"/>
    <w:rsid w:val="007145BE"/>
    <w:rsid w:val="00714A30"/>
    <w:rsid w:val="00714D90"/>
    <w:rsid w:val="007153B7"/>
    <w:rsid w:val="00715615"/>
    <w:rsid w:val="0071563E"/>
    <w:rsid w:val="0071576A"/>
    <w:rsid w:val="007157BC"/>
    <w:rsid w:val="00715A14"/>
    <w:rsid w:val="00715C5D"/>
    <w:rsid w:val="00715CFE"/>
    <w:rsid w:val="00715FA0"/>
    <w:rsid w:val="007164F3"/>
    <w:rsid w:val="0071671E"/>
    <w:rsid w:val="0071697A"/>
    <w:rsid w:val="00716BE6"/>
    <w:rsid w:val="00716C4C"/>
    <w:rsid w:val="00716D00"/>
    <w:rsid w:val="00716D05"/>
    <w:rsid w:val="00716FF2"/>
    <w:rsid w:val="00717195"/>
    <w:rsid w:val="007175CC"/>
    <w:rsid w:val="00717B33"/>
    <w:rsid w:val="007201EA"/>
    <w:rsid w:val="0072098C"/>
    <w:rsid w:val="00720A60"/>
    <w:rsid w:val="00720A71"/>
    <w:rsid w:val="007211D5"/>
    <w:rsid w:val="00721229"/>
    <w:rsid w:val="0072128A"/>
    <w:rsid w:val="00721993"/>
    <w:rsid w:val="0072199C"/>
    <w:rsid w:val="00721A77"/>
    <w:rsid w:val="00721B2D"/>
    <w:rsid w:val="00721C66"/>
    <w:rsid w:val="00721DE7"/>
    <w:rsid w:val="00721FB9"/>
    <w:rsid w:val="00721FEB"/>
    <w:rsid w:val="00722004"/>
    <w:rsid w:val="00722264"/>
    <w:rsid w:val="00722569"/>
    <w:rsid w:val="0072258C"/>
    <w:rsid w:val="00722789"/>
    <w:rsid w:val="00722940"/>
    <w:rsid w:val="00722E63"/>
    <w:rsid w:val="0072309E"/>
    <w:rsid w:val="007232D4"/>
    <w:rsid w:val="00723383"/>
    <w:rsid w:val="007233B7"/>
    <w:rsid w:val="0072351A"/>
    <w:rsid w:val="00723F19"/>
    <w:rsid w:val="00723FB8"/>
    <w:rsid w:val="007242E3"/>
    <w:rsid w:val="00724322"/>
    <w:rsid w:val="007245AF"/>
    <w:rsid w:val="00724DB8"/>
    <w:rsid w:val="00724ED1"/>
    <w:rsid w:val="00725084"/>
    <w:rsid w:val="007250EC"/>
    <w:rsid w:val="00725198"/>
    <w:rsid w:val="007251E6"/>
    <w:rsid w:val="007254BA"/>
    <w:rsid w:val="00725973"/>
    <w:rsid w:val="00725C30"/>
    <w:rsid w:val="007260A5"/>
    <w:rsid w:val="007260A6"/>
    <w:rsid w:val="0072620A"/>
    <w:rsid w:val="00726517"/>
    <w:rsid w:val="00726758"/>
    <w:rsid w:val="0072685F"/>
    <w:rsid w:val="00726CB7"/>
    <w:rsid w:val="00727076"/>
    <w:rsid w:val="00727289"/>
    <w:rsid w:val="0072743B"/>
    <w:rsid w:val="007275CE"/>
    <w:rsid w:val="00727817"/>
    <w:rsid w:val="00727DB7"/>
    <w:rsid w:val="00727DC6"/>
    <w:rsid w:val="0073020B"/>
    <w:rsid w:val="0073025C"/>
    <w:rsid w:val="00730355"/>
    <w:rsid w:val="00730421"/>
    <w:rsid w:val="00730ABA"/>
    <w:rsid w:val="00731FEC"/>
    <w:rsid w:val="0073244D"/>
    <w:rsid w:val="00732751"/>
    <w:rsid w:val="007328F0"/>
    <w:rsid w:val="00732C2A"/>
    <w:rsid w:val="0073308C"/>
    <w:rsid w:val="00733213"/>
    <w:rsid w:val="0073334E"/>
    <w:rsid w:val="007333AF"/>
    <w:rsid w:val="007336D7"/>
    <w:rsid w:val="0073387F"/>
    <w:rsid w:val="00733B7B"/>
    <w:rsid w:val="00733F18"/>
    <w:rsid w:val="00733F61"/>
    <w:rsid w:val="00734013"/>
    <w:rsid w:val="007341CE"/>
    <w:rsid w:val="0073434A"/>
    <w:rsid w:val="007345B0"/>
    <w:rsid w:val="00734804"/>
    <w:rsid w:val="007348AA"/>
    <w:rsid w:val="00734BE6"/>
    <w:rsid w:val="00734DE5"/>
    <w:rsid w:val="00735336"/>
    <w:rsid w:val="00735436"/>
    <w:rsid w:val="00735747"/>
    <w:rsid w:val="0073575A"/>
    <w:rsid w:val="0073594E"/>
    <w:rsid w:val="00735BE3"/>
    <w:rsid w:val="00735D7B"/>
    <w:rsid w:val="00735E8F"/>
    <w:rsid w:val="00735EB1"/>
    <w:rsid w:val="00736163"/>
    <w:rsid w:val="00736330"/>
    <w:rsid w:val="007363EF"/>
    <w:rsid w:val="00736740"/>
    <w:rsid w:val="007367BE"/>
    <w:rsid w:val="00736A83"/>
    <w:rsid w:val="00736BA2"/>
    <w:rsid w:val="00736D80"/>
    <w:rsid w:val="00737312"/>
    <w:rsid w:val="0073736A"/>
    <w:rsid w:val="00737502"/>
    <w:rsid w:val="0073755E"/>
    <w:rsid w:val="007375AB"/>
    <w:rsid w:val="00737640"/>
    <w:rsid w:val="00737822"/>
    <w:rsid w:val="00740080"/>
    <w:rsid w:val="007403E2"/>
    <w:rsid w:val="00740612"/>
    <w:rsid w:val="007409D5"/>
    <w:rsid w:val="00740A75"/>
    <w:rsid w:val="00740BB1"/>
    <w:rsid w:val="00740DFD"/>
    <w:rsid w:val="00740EA6"/>
    <w:rsid w:val="00740F0A"/>
    <w:rsid w:val="00741074"/>
    <w:rsid w:val="0074137B"/>
    <w:rsid w:val="007419A8"/>
    <w:rsid w:val="00741CD9"/>
    <w:rsid w:val="00742562"/>
    <w:rsid w:val="007426B8"/>
    <w:rsid w:val="00742AED"/>
    <w:rsid w:val="00742FE6"/>
    <w:rsid w:val="007434FC"/>
    <w:rsid w:val="007435C7"/>
    <w:rsid w:val="00743C27"/>
    <w:rsid w:val="00743E3E"/>
    <w:rsid w:val="00743EE5"/>
    <w:rsid w:val="0074408C"/>
    <w:rsid w:val="007440D3"/>
    <w:rsid w:val="00744845"/>
    <w:rsid w:val="007448E8"/>
    <w:rsid w:val="00744943"/>
    <w:rsid w:val="00744A6C"/>
    <w:rsid w:val="00744A8A"/>
    <w:rsid w:val="00744EBC"/>
    <w:rsid w:val="00745108"/>
    <w:rsid w:val="007451CE"/>
    <w:rsid w:val="0074569D"/>
    <w:rsid w:val="00745A4A"/>
    <w:rsid w:val="00745FC3"/>
    <w:rsid w:val="00745FCA"/>
    <w:rsid w:val="007465EE"/>
    <w:rsid w:val="00746DBD"/>
    <w:rsid w:val="00746EED"/>
    <w:rsid w:val="007475B1"/>
    <w:rsid w:val="00747AA2"/>
    <w:rsid w:val="0075038B"/>
    <w:rsid w:val="007507A5"/>
    <w:rsid w:val="00750954"/>
    <w:rsid w:val="00750C03"/>
    <w:rsid w:val="007519C8"/>
    <w:rsid w:val="00751EC9"/>
    <w:rsid w:val="007520CF"/>
    <w:rsid w:val="00752202"/>
    <w:rsid w:val="0075232F"/>
    <w:rsid w:val="00752BE4"/>
    <w:rsid w:val="00752DC1"/>
    <w:rsid w:val="00752F7F"/>
    <w:rsid w:val="0075303C"/>
    <w:rsid w:val="00753604"/>
    <w:rsid w:val="0075393D"/>
    <w:rsid w:val="00753AE3"/>
    <w:rsid w:val="00753DF1"/>
    <w:rsid w:val="007549B2"/>
    <w:rsid w:val="00754E07"/>
    <w:rsid w:val="007550D5"/>
    <w:rsid w:val="00755570"/>
    <w:rsid w:val="00755676"/>
    <w:rsid w:val="007557B9"/>
    <w:rsid w:val="00755A9B"/>
    <w:rsid w:val="00755FEE"/>
    <w:rsid w:val="007560AB"/>
    <w:rsid w:val="00756525"/>
    <w:rsid w:val="00756B26"/>
    <w:rsid w:val="00756B8C"/>
    <w:rsid w:val="0075710A"/>
    <w:rsid w:val="00757406"/>
    <w:rsid w:val="00757456"/>
    <w:rsid w:val="00757854"/>
    <w:rsid w:val="00757937"/>
    <w:rsid w:val="0075795E"/>
    <w:rsid w:val="0075799E"/>
    <w:rsid w:val="00757F9C"/>
    <w:rsid w:val="007600AD"/>
    <w:rsid w:val="007604AD"/>
    <w:rsid w:val="0076063C"/>
    <w:rsid w:val="00760BD8"/>
    <w:rsid w:val="00760D99"/>
    <w:rsid w:val="00760FCF"/>
    <w:rsid w:val="00761128"/>
    <w:rsid w:val="00761234"/>
    <w:rsid w:val="007612F2"/>
    <w:rsid w:val="00761445"/>
    <w:rsid w:val="00761596"/>
    <w:rsid w:val="00761787"/>
    <w:rsid w:val="0076189F"/>
    <w:rsid w:val="00761C6C"/>
    <w:rsid w:val="00761E0A"/>
    <w:rsid w:val="00762401"/>
    <w:rsid w:val="00762646"/>
    <w:rsid w:val="007626DB"/>
    <w:rsid w:val="007628F7"/>
    <w:rsid w:val="00762A72"/>
    <w:rsid w:val="00762CB0"/>
    <w:rsid w:val="00763221"/>
    <w:rsid w:val="00763469"/>
    <w:rsid w:val="007634F9"/>
    <w:rsid w:val="0076396D"/>
    <w:rsid w:val="007639AD"/>
    <w:rsid w:val="00763C0E"/>
    <w:rsid w:val="00763EA8"/>
    <w:rsid w:val="00763F5D"/>
    <w:rsid w:val="00763FBC"/>
    <w:rsid w:val="00764304"/>
    <w:rsid w:val="007643B1"/>
    <w:rsid w:val="00764690"/>
    <w:rsid w:val="00764C11"/>
    <w:rsid w:val="00764F53"/>
    <w:rsid w:val="00765567"/>
    <w:rsid w:val="00765B21"/>
    <w:rsid w:val="00765C98"/>
    <w:rsid w:val="00765FB6"/>
    <w:rsid w:val="007661AF"/>
    <w:rsid w:val="00766406"/>
    <w:rsid w:val="00766DC0"/>
    <w:rsid w:val="00766DE8"/>
    <w:rsid w:val="00766F7D"/>
    <w:rsid w:val="00767002"/>
    <w:rsid w:val="00767025"/>
    <w:rsid w:val="007674B5"/>
    <w:rsid w:val="00767623"/>
    <w:rsid w:val="00767776"/>
    <w:rsid w:val="00767785"/>
    <w:rsid w:val="00767ADA"/>
    <w:rsid w:val="00767C39"/>
    <w:rsid w:val="00767CC7"/>
    <w:rsid w:val="007701F1"/>
    <w:rsid w:val="00770258"/>
    <w:rsid w:val="0077029C"/>
    <w:rsid w:val="0077043E"/>
    <w:rsid w:val="007704B1"/>
    <w:rsid w:val="00770579"/>
    <w:rsid w:val="00770591"/>
    <w:rsid w:val="00770663"/>
    <w:rsid w:val="0077072B"/>
    <w:rsid w:val="00770791"/>
    <w:rsid w:val="007707D5"/>
    <w:rsid w:val="0077083D"/>
    <w:rsid w:val="00770849"/>
    <w:rsid w:val="00770D63"/>
    <w:rsid w:val="00770D98"/>
    <w:rsid w:val="007713E5"/>
    <w:rsid w:val="007715B8"/>
    <w:rsid w:val="0077184C"/>
    <w:rsid w:val="00771999"/>
    <w:rsid w:val="00771B98"/>
    <w:rsid w:val="00771D89"/>
    <w:rsid w:val="00771E84"/>
    <w:rsid w:val="0077223C"/>
    <w:rsid w:val="00772795"/>
    <w:rsid w:val="007728F9"/>
    <w:rsid w:val="00772A1A"/>
    <w:rsid w:val="00772AB4"/>
    <w:rsid w:val="00772BF5"/>
    <w:rsid w:val="007732DA"/>
    <w:rsid w:val="0077333A"/>
    <w:rsid w:val="00773D03"/>
    <w:rsid w:val="0077458A"/>
    <w:rsid w:val="007745B5"/>
    <w:rsid w:val="00774A26"/>
    <w:rsid w:val="00775482"/>
    <w:rsid w:val="0077561E"/>
    <w:rsid w:val="007756FC"/>
    <w:rsid w:val="007757C7"/>
    <w:rsid w:val="007757D4"/>
    <w:rsid w:val="0077582D"/>
    <w:rsid w:val="00775BF4"/>
    <w:rsid w:val="0077653C"/>
    <w:rsid w:val="007768E8"/>
    <w:rsid w:val="00776969"/>
    <w:rsid w:val="00776C4C"/>
    <w:rsid w:val="00776CE2"/>
    <w:rsid w:val="00776E8D"/>
    <w:rsid w:val="0077704E"/>
    <w:rsid w:val="0077720D"/>
    <w:rsid w:val="0077756A"/>
    <w:rsid w:val="007775EE"/>
    <w:rsid w:val="00777D28"/>
    <w:rsid w:val="00777E21"/>
    <w:rsid w:val="007803C3"/>
    <w:rsid w:val="007808B1"/>
    <w:rsid w:val="00780A5B"/>
    <w:rsid w:val="00780ADA"/>
    <w:rsid w:val="00780C9C"/>
    <w:rsid w:val="00780E9C"/>
    <w:rsid w:val="00781041"/>
    <w:rsid w:val="0078131F"/>
    <w:rsid w:val="0078146B"/>
    <w:rsid w:val="00781563"/>
    <w:rsid w:val="007817C6"/>
    <w:rsid w:val="00781F98"/>
    <w:rsid w:val="00782050"/>
    <w:rsid w:val="007827E3"/>
    <w:rsid w:val="007828D8"/>
    <w:rsid w:val="007828E1"/>
    <w:rsid w:val="00782988"/>
    <w:rsid w:val="00782E3F"/>
    <w:rsid w:val="00783098"/>
    <w:rsid w:val="007832CD"/>
    <w:rsid w:val="007835FE"/>
    <w:rsid w:val="007838CA"/>
    <w:rsid w:val="007839BF"/>
    <w:rsid w:val="007839F9"/>
    <w:rsid w:val="00783EDF"/>
    <w:rsid w:val="00784046"/>
    <w:rsid w:val="007842B0"/>
    <w:rsid w:val="007842C2"/>
    <w:rsid w:val="0078464C"/>
    <w:rsid w:val="007849AB"/>
    <w:rsid w:val="007849C7"/>
    <w:rsid w:val="00784D69"/>
    <w:rsid w:val="00784E49"/>
    <w:rsid w:val="00785078"/>
    <w:rsid w:val="00785159"/>
    <w:rsid w:val="007852B1"/>
    <w:rsid w:val="00785466"/>
    <w:rsid w:val="00785821"/>
    <w:rsid w:val="00785B19"/>
    <w:rsid w:val="0078651D"/>
    <w:rsid w:val="007866C5"/>
    <w:rsid w:val="0078675E"/>
    <w:rsid w:val="00786A5A"/>
    <w:rsid w:val="00786BDC"/>
    <w:rsid w:val="00786D86"/>
    <w:rsid w:val="00787432"/>
    <w:rsid w:val="007876D5"/>
    <w:rsid w:val="007877A2"/>
    <w:rsid w:val="00787AED"/>
    <w:rsid w:val="00787AFD"/>
    <w:rsid w:val="00787E2E"/>
    <w:rsid w:val="00790639"/>
    <w:rsid w:val="007907A7"/>
    <w:rsid w:val="00790867"/>
    <w:rsid w:val="00790B95"/>
    <w:rsid w:val="007914C3"/>
    <w:rsid w:val="007914DE"/>
    <w:rsid w:val="0079153E"/>
    <w:rsid w:val="007918AC"/>
    <w:rsid w:val="00791985"/>
    <w:rsid w:val="00791BD9"/>
    <w:rsid w:val="00791E30"/>
    <w:rsid w:val="007921E2"/>
    <w:rsid w:val="00792C6A"/>
    <w:rsid w:val="00792DD2"/>
    <w:rsid w:val="00793189"/>
    <w:rsid w:val="007931C0"/>
    <w:rsid w:val="007932CC"/>
    <w:rsid w:val="00793710"/>
    <w:rsid w:val="007937FF"/>
    <w:rsid w:val="00793919"/>
    <w:rsid w:val="007939CB"/>
    <w:rsid w:val="00793A83"/>
    <w:rsid w:val="00793B9B"/>
    <w:rsid w:val="00793D2D"/>
    <w:rsid w:val="00793E62"/>
    <w:rsid w:val="00794200"/>
    <w:rsid w:val="00794480"/>
    <w:rsid w:val="00794E80"/>
    <w:rsid w:val="0079506E"/>
    <w:rsid w:val="0079530A"/>
    <w:rsid w:val="0079549F"/>
    <w:rsid w:val="00795738"/>
    <w:rsid w:val="00795858"/>
    <w:rsid w:val="00795EFD"/>
    <w:rsid w:val="0079602A"/>
    <w:rsid w:val="00796277"/>
    <w:rsid w:val="00796564"/>
    <w:rsid w:val="00796746"/>
    <w:rsid w:val="007969E4"/>
    <w:rsid w:val="00796ADD"/>
    <w:rsid w:val="00796B34"/>
    <w:rsid w:val="00796B66"/>
    <w:rsid w:val="00796F4C"/>
    <w:rsid w:val="00796F9D"/>
    <w:rsid w:val="00797161"/>
    <w:rsid w:val="00797386"/>
    <w:rsid w:val="0079754D"/>
    <w:rsid w:val="00797E55"/>
    <w:rsid w:val="00797FEB"/>
    <w:rsid w:val="007A0069"/>
    <w:rsid w:val="007A01C0"/>
    <w:rsid w:val="007A01EE"/>
    <w:rsid w:val="007A0374"/>
    <w:rsid w:val="007A037A"/>
    <w:rsid w:val="007A075F"/>
    <w:rsid w:val="007A0FD8"/>
    <w:rsid w:val="007A1099"/>
    <w:rsid w:val="007A1207"/>
    <w:rsid w:val="007A155E"/>
    <w:rsid w:val="007A15E2"/>
    <w:rsid w:val="007A165D"/>
    <w:rsid w:val="007A17A8"/>
    <w:rsid w:val="007A180A"/>
    <w:rsid w:val="007A1E54"/>
    <w:rsid w:val="007A21AE"/>
    <w:rsid w:val="007A2BA2"/>
    <w:rsid w:val="007A2D1D"/>
    <w:rsid w:val="007A2E97"/>
    <w:rsid w:val="007A3578"/>
    <w:rsid w:val="007A3589"/>
    <w:rsid w:val="007A3A28"/>
    <w:rsid w:val="007A3AAE"/>
    <w:rsid w:val="007A3CE8"/>
    <w:rsid w:val="007A44F6"/>
    <w:rsid w:val="007A4A71"/>
    <w:rsid w:val="007A4AA3"/>
    <w:rsid w:val="007A4C26"/>
    <w:rsid w:val="007A553F"/>
    <w:rsid w:val="007A55AF"/>
    <w:rsid w:val="007A56C3"/>
    <w:rsid w:val="007A5887"/>
    <w:rsid w:val="007A58C3"/>
    <w:rsid w:val="007A5B28"/>
    <w:rsid w:val="007A5C75"/>
    <w:rsid w:val="007A5EDE"/>
    <w:rsid w:val="007A5EED"/>
    <w:rsid w:val="007A6604"/>
    <w:rsid w:val="007A6629"/>
    <w:rsid w:val="007A6766"/>
    <w:rsid w:val="007A6816"/>
    <w:rsid w:val="007A68C1"/>
    <w:rsid w:val="007A6A37"/>
    <w:rsid w:val="007A6A8F"/>
    <w:rsid w:val="007A6AC9"/>
    <w:rsid w:val="007A7094"/>
    <w:rsid w:val="007A70F5"/>
    <w:rsid w:val="007A7390"/>
    <w:rsid w:val="007A7503"/>
    <w:rsid w:val="007A7990"/>
    <w:rsid w:val="007A7C22"/>
    <w:rsid w:val="007A7C3F"/>
    <w:rsid w:val="007B052D"/>
    <w:rsid w:val="007B096B"/>
    <w:rsid w:val="007B0C04"/>
    <w:rsid w:val="007B0CA2"/>
    <w:rsid w:val="007B0DC8"/>
    <w:rsid w:val="007B1576"/>
    <w:rsid w:val="007B20D4"/>
    <w:rsid w:val="007B210B"/>
    <w:rsid w:val="007B24FE"/>
    <w:rsid w:val="007B2657"/>
    <w:rsid w:val="007B2937"/>
    <w:rsid w:val="007B2DA0"/>
    <w:rsid w:val="007B3050"/>
    <w:rsid w:val="007B32E8"/>
    <w:rsid w:val="007B346D"/>
    <w:rsid w:val="007B349C"/>
    <w:rsid w:val="007B39DD"/>
    <w:rsid w:val="007B3AA1"/>
    <w:rsid w:val="007B3AFA"/>
    <w:rsid w:val="007B3DED"/>
    <w:rsid w:val="007B3F88"/>
    <w:rsid w:val="007B40AE"/>
    <w:rsid w:val="007B4215"/>
    <w:rsid w:val="007B4323"/>
    <w:rsid w:val="007B4A7F"/>
    <w:rsid w:val="007B4AC6"/>
    <w:rsid w:val="007B4B34"/>
    <w:rsid w:val="007B4F14"/>
    <w:rsid w:val="007B5214"/>
    <w:rsid w:val="007B53AB"/>
    <w:rsid w:val="007B5776"/>
    <w:rsid w:val="007B5D16"/>
    <w:rsid w:val="007B7086"/>
    <w:rsid w:val="007B7AEA"/>
    <w:rsid w:val="007B7C08"/>
    <w:rsid w:val="007C0092"/>
    <w:rsid w:val="007C0949"/>
    <w:rsid w:val="007C098C"/>
    <w:rsid w:val="007C0BEE"/>
    <w:rsid w:val="007C0ED1"/>
    <w:rsid w:val="007C0F78"/>
    <w:rsid w:val="007C13F9"/>
    <w:rsid w:val="007C1490"/>
    <w:rsid w:val="007C14EE"/>
    <w:rsid w:val="007C15B7"/>
    <w:rsid w:val="007C1962"/>
    <w:rsid w:val="007C1ADC"/>
    <w:rsid w:val="007C212D"/>
    <w:rsid w:val="007C213D"/>
    <w:rsid w:val="007C21F9"/>
    <w:rsid w:val="007C2245"/>
    <w:rsid w:val="007C271E"/>
    <w:rsid w:val="007C27F4"/>
    <w:rsid w:val="007C2992"/>
    <w:rsid w:val="007C29C2"/>
    <w:rsid w:val="007C29EC"/>
    <w:rsid w:val="007C2B0B"/>
    <w:rsid w:val="007C2C7B"/>
    <w:rsid w:val="007C2FF0"/>
    <w:rsid w:val="007C3349"/>
    <w:rsid w:val="007C34B7"/>
    <w:rsid w:val="007C36D1"/>
    <w:rsid w:val="007C36EA"/>
    <w:rsid w:val="007C3904"/>
    <w:rsid w:val="007C3B48"/>
    <w:rsid w:val="007C3B52"/>
    <w:rsid w:val="007C3BD6"/>
    <w:rsid w:val="007C3C26"/>
    <w:rsid w:val="007C3D62"/>
    <w:rsid w:val="007C42D0"/>
    <w:rsid w:val="007C498B"/>
    <w:rsid w:val="007C4A7B"/>
    <w:rsid w:val="007C4BBB"/>
    <w:rsid w:val="007C4C2C"/>
    <w:rsid w:val="007C4CA8"/>
    <w:rsid w:val="007C4F6A"/>
    <w:rsid w:val="007C501B"/>
    <w:rsid w:val="007C52DD"/>
    <w:rsid w:val="007C530C"/>
    <w:rsid w:val="007C5395"/>
    <w:rsid w:val="007C541E"/>
    <w:rsid w:val="007C5461"/>
    <w:rsid w:val="007C56F9"/>
    <w:rsid w:val="007C58E7"/>
    <w:rsid w:val="007C597A"/>
    <w:rsid w:val="007C5B89"/>
    <w:rsid w:val="007C5BEA"/>
    <w:rsid w:val="007C5C32"/>
    <w:rsid w:val="007C607A"/>
    <w:rsid w:val="007C608B"/>
    <w:rsid w:val="007C61E4"/>
    <w:rsid w:val="007C6980"/>
    <w:rsid w:val="007C6A27"/>
    <w:rsid w:val="007C6E03"/>
    <w:rsid w:val="007C70BF"/>
    <w:rsid w:val="007C7281"/>
    <w:rsid w:val="007C743F"/>
    <w:rsid w:val="007C7454"/>
    <w:rsid w:val="007C78AA"/>
    <w:rsid w:val="007C79CC"/>
    <w:rsid w:val="007C7A3A"/>
    <w:rsid w:val="007C7DF3"/>
    <w:rsid w:val="007C7FB1"/>
    <w:rsid w:val="007D03F0"/>
    <w:rsid w:val="007D09CC"/>
    <w:rsid w:val="007D0FD5"/>
    <w:rsid w:val="007D14BF"/>
    <w:rsid w:val="007D1822"/>
    <w:rsid w:val="007D18FA"/>
    <w:rsid w:val="007D2437"/>
    <w:rsid w:val="007D24AC"/>
    <w:rsid w:val="007D2615"/>
    <w:rsid w:val="007D2826"/>
    <w:rsid w:val="007D288D"/>
    <w:rsid w:val="007D28E2"/>
    <w:rsid w:val="007D2905"/>
    <w:rsid w:val="007D2A34"/>
    <w:rsid w:val="007D2B36"/>
    <w:rsid w:val="007D2C4B"/>
    <w:rsid w:val="007D2ED2"/>
    <w:rsid w:val="007D3504"/>
    <w:rsid w:val="007D37EB"/>
    <w:rsid w:val="007D385D"/>
    <w:rsid w:val="007D38C0"/>
    <w:rsid w:val="007D3907"/>
    <w:rsid w:val="007D3AD3"/>
    <w:rsid w:val="007D3C27"/>
    <w:rsid w:val="007D3FFE"/>
    <w:rsid w:val="007D4AC6"/>
    <w:rsid w:val="007D4C7F"/>
    <w:rsid w:val="007D4D0C"/>
    <w:rsid w:val="007D55C2"/>
    <w:rsid w:val="007D55C8"/>
    <w:rsid w:val="007D5961"/>
    <w:rsid w:val="007D5BAB"/>
    <w:rsid w:val="007D5F8F"/>
    <w:rsid w:val="007D600F"/>
    <w:rsid w:val="007D607D"/>
    <w:rsid w:val="007D60B7"/>
    <w:rsid w:val="007D6147"/>
    <w:rsid w:val="007D6C7E"/>
    <w:rsid w:val="007D6D96"/>
    <w:rsid w:val="007D77BC"/>
    <w:rsid w:val="007D77F9"/>
    <w:rsid w:val="007D794E"/>
    <w:rsid w:val="007D796E"/>
    <w:rsid w:val="007E0498"/>
    <w:rsid w:val="007E05BC"/>
    <w:rsid w:val="007E0E13"/>
    <w:rsid w:val="007E0E3D"/>
    <w:rsid w:val="007E1252"/>
    <w:rsid w:val="007E1444"/>
    <w:rsid w:val="007E159C"/>
    <w:rsid w:val="007E1666"/>
    <w:rsid w:val="007E18CE"/>
    <w:rsid w:val="007E1A2D"/>
    <w:rsid w:val="007E1C88"/>
    <w:rsid w:val="007E1EB5"/>
    <w:rsid w:val="007E2500"/>
    <w:rsid w:val="007E28CD"/>
    <w:rsid w:val="007E2AE7"/>
    <w:rsid w:val="007E2D55"/>
    <w:rsid w:val="007E30E4"/>
    <w:rsid w:val="007E3315"/>
    <w:rsid w:val="007E34B7"/>
    <w:rsid w:val="007E3BE5"/>
    <w:rsid w:val="007E3CB2"/>
    <w:rsid w:val="007E4358"/>
    <w:rsid w:val="007E45DC"/>
    <w:rsid w:val="007E47C5"/>
    <w:rsid w:val="007E4960"/>
    <w:rsid w:val="007E4BB7"/>
    <w:rsid w:val="007E4EFB"/>
    <w:rsid w:val="007E50B5"/>
    <w:rsid w:val="007E5125"/>
    <w:rsid w:val="007E520B"/>
    <w:rsid w:val="007E5249"/>
    <w:rsid w:val="007E564F"/>
    <w:rsid w:val="007E5941"/>
    <w:rsid w:val="007E5CB7"/>
    <w:rsid w:val="007E6234"/>
    <w:rsid w:val="007E670F"/>
    <w:rsid w:val="007E68D9"/>
    <w:rsid w:val="007E6A48"/>
    <w:rsid w:val="007E6BF3"/>
    <w:rsid w:val="007E7BB9"/>
    <w:rsid w:val="007E7F1D"/>
    <w:rsid w:val="007F008B"/>
    <w:rsid w:val="007F012A"/>
    <w:rsid w:val="007F025E"/>
    <w:rsid w:val="007F0686"/>
    <w:rsid w:val="007F09EA"/>
    <w:rsid w:val="007F0BDC"/>
    <w:rsid w:val="007F0E39"/>
    <w:rsid w:val="007F0E7D"/>
    <w:rsid w:val="007F0FFC"/>
    <w:rsid w:val="007F131F"/>
    <w:rsid w:val="007F19E9"/>
    <w:rsid w:val="007F1EFA"/>
    <w:rsid w:val="007F20C8"/>
    <w:rsid w:val="007F2152"/>
    <w:rsid w:val="007F2323"/>
    <w:rsid w:val="007F290B"/>
    <w:rsid w:val="007F2FE8"/>
    <w:rsid w:val="007F349E"/>
    <w:rsid w:val="007F3824"/>
    <w:rsid w:val="007F382B"/>
    <w:rsid w:val="007F3B8D"/>
    <w:rsid w:val="007F3D67"/>
    <w:rsid w:val="007F40E8"/>
    <w:rsid w:val="007F4180"/>
    <w:rsid w:val="007F4428"/>
    <w:rsid w:val="007F49BB"/>
    <w:rsid w:val="007F4C64"/>
    <w:rsid w:val="007F5AAA"/>
    <w:rsid w:val="007F5BC0"/>
    <w:rsid w:val="007F5BF3"/>
    <w:rsid w:val="007F6202"/>
    <w:rsid w:val="007F6558"/>
    <w:rsid w:val="007F7159"/>
    <w:rsid w:val="007F79FA"/>
    <w:rsid w:val="007F7AFE"/>
    <w:rsid w:val="007F7BD8"/>
    <w:rsid w:val="007F7DC1"/>
    <w:rsid w:val="00800559"/>
    <w:rsid w:val="00800997"/>
    <w:rsid w:val="008009EB"/>
    <w:rsid w:val="00800A55"/>
    <w:rsid w:val="00800FB3"/>
    <w:rsid w:val="008013A1"/>
    <w:rsid w:val="008013A5"/>
    <w:rsid w:val="008019EE"/>
    <w:rsid w:val="00801A01"/>
    <w:rsid w:val="00801B53"/>
    <w:rsid w:val="00801BFB"/>
    <w:rsid w:val="00801C3D"/>
    <w:rsid w:val="0080227E"/>
    <w:rsid w:val="008022BE"/>
    <w:rsid w:val="00802780"/>
    <w:rsid w:val="00803141"/>
    <w:rsid w:val="008034DB"/>
    <w:rsid w:val="00803530"/>
    <w:rsid w:val="0080393B"/>
    <w:rsid w:val="00803B6F"/>
    <w:rsid w:val="00803BB5"/>
    <w:rsid w:val="00803BD2"/>
    <w:rsid w:val="00804B1A"/>
    <w:rsid w:val="0080538C"/>
    <w:rsid w:val="0080542B"/>
    <w:rsid w:val="008055EA"/>
    <w:rsid w:val="00805B76"/>
    <w:rsid w:val="00805C09"/>
    <w:rsid w:val="00805DF9"/>
    <w:rsid w:val="00805FF5"/>
    <w:rsid w:val="008060B5"/>
    <w:rsid w:val="008065D9"/>
    <w:rsid w:val="008068E8"/>
    <w:rsid w:val="00806BDC"/>
    <w:rsid w:val="00806C74"/>
    <w:rsid w:val="00806D44"/>
    <w:rsid w:val="00806E9F"/>
    <w:rsid w:val="0080708D"/>
    <w:rsid w:val="008073CF"/>
    <w:rsid w:val="008104BF"/>
    <w:rsid w:val="008108D9"/>
    <w:rsid w:val="00810D5D"/>
    <w:rsid w:val="00810EDC"/>
    <w:rsid w:val="00810FDD"/>
    <w:rsid w:val="00811085"/>
    <w:rsid w:val="008114FE"/>
    <w:rsid w:val="00811A14"/>
    <w:rsid w:val="00811D55"/>
    <w:rsid w:val="00811DA3"/>
    <w:rsid w:val="00811F36"/>
    <w:rsid w:val="00812120"/>
    <w:rsid w:val="008124A0"/>
    <w:rsid w:val="00812901"/>
    <w:rsid w:val="00812C8A"/>
    <w:rsid w:val="00813383"/>
    <w:rsid w:val="00813F35"/>
    <w:rsid w:val="00814195"/>
    <w:rsid w:val="00814398"/>
    <w:rsid w:val="00814522"/>
    <w:rsid w:val="00814939"/>
    <w:rsid w:val="00814E8C"/>
    <w:rsid w:val="00814F2B"/>
    <w:rsid w:val="0081514B"/>
    <w:rsid w:val="00815191"/>
    <w:rsid w:val="00815F88"/>
    <w:rsid w:val="00816150"/>
    <w:rsid w:val="008161DC"/>
    <w:rsid w:val="008164AC"/>
    <w:rsid w:val="00816600"/>
    <w:rsid w:val="00816789"/>
    <w:rsid w:val="00816BF6"/>
    <w:rsid w:val="00816F3A"/>
    <w:rsid w:val="00817071"/>
    <w:rsid w:val="008170E7"/>
    <w:rsid w:val="00817563"/>
    <w:rsid w:val="0081785D"/>
    <w:rsid w:val="00817970"/>
    <w:rsid w:val="00817B47"/>
    <w:rsid w:val="00817C51"/>
    <w:rsid w:val="00817F3E"/>
    <w:rsid w:val="00817F75"/>
    <w:rsid w:val="008203AA"/>
    <w:rsid w:val="0082050C"/>
    <w:rsid w:val="00820CDD"/>
    <w:rsid w:val="0082104D"/>
    <w:rsid w:val="008212A9"/>
    <w:rsid w:val="008215BA"/>
    <w:rsid w:val="00821627"/>
    <w:rsid w:val="0082171A"/>
    <w:rsid w:val="00821797"/>
    <w:rsid w:val="00821F57"/>
    <w:rsid w:val="00822047"/>
    <w:rsid w:val="008221B3"/>
    <w:rsid w:val="0082237E"/>
    <w:rsid w:val="0082251A"/>
    <w:rsid w:val="008225D6"/>
    <w:rsid w:val="0082301A"/>
    <w:rsid w:val="00823A99"/>
    <w:rsid w:val="00823D1A"/>
    <w:rsid w:val="00823E49"/>
    <w:rsid w:val="00823F55"/>
    <w:rsid w:val="008241ED"/>
    <w:rsid w:val="0082498C"/>
    <w:rsid w:val="00824B8B"/>
    <w:rsid w:val="00824CED"/>
    <w:rsid w:val="00825266"/>
    <w:rsid w:val="0082563D"/>
    <w:rsid w:val="00825945"/>
    <w:rsid w:val="00825A99"/>
    <w:rsid w:val="00825BAF"/>
    <w:rsid w:val="00825C0A"/>
    <w:rsid w:val="00825F4F"/>
    <w:rsid w:val="008260B0"/>
    <w:rsid w:val="008263B1"/>
    <w:rsid w:val="008264DC"/>
    <w:rsid w:val="0082690B"/>
    <w:rsid w:val="00826D2F"/>
    <w:rsid w:val="0082730C"/>
    <w:rsid w:val="00827788"/>
    <w:rsid w:val="00827984"/>
    <w:rsid w:val="00827ACF"/>
    <w:rsid w:val="00827B06"/>
    <w:rsid w:val="00827D07"/>
    <w:rsid w:val="00830019"/>
    <w:rsid w:val="00830388"/>
    <w:rsid w:val="00830A58"/>
    <w:rsid w:val="00830AC9"/>
    <w:rsid w:val="00830F36"/>
    <w:rsid w:val="008312E1"/>
    <w:rsid w:val="008313CB"/>
    <w:rsid w:val="0083150B"/>
    <w:rsid w:val="00831594"/>
    <w:rsid w:val="0083197B"/>
    <w:rsid w:val="00831C33"/>
    <w:rsid w:val="00831DB7"/>
    <w:rsid w:val="00831DC4"/>
    <w:rsid w:val="008324B0"/>
    <w:rsid w:val="00832C5E"/>
    <w:rsid w:val="00832D38"/>
    <w:rsid w:val="00832E84"/>
    <w:rsid w:val="00832FB8"/>
    <w:rsid w:val="008331A3"/>
    <w:rsid w:val="00833230"/>
    <w:rsid w:val="0083356D"/>
    <w:rsid w:val="0083364A"/>
    <w:rsid w:val="0083381B"/>
    <w:rsid w:val="008339AF"/>
    <w:rsid w:val="00833A39"/>
    <w:rsid w:val="00833B38"/>
    <w:rsid w:val="00834317"/>
    <w:rsid w:val="00834322"/>
    <w:rsid w:val="008346CC"/>
    <w:rsid w:val="008346FC"/>
    <w:rsid w:val="00834B80"/>
    <w:rsid w:val="0083515C"/>
    <w:rsid w:val="00835333"/>
    <w:rsid w:val="008353BC"/>
    <w:rsid w:val="008359B0"/>
    <w:rsid w:val="00835DC7"/>
    <w:rsid w:val="00835E15"/>
    <w:rsid w:val="008363BB"/>
    <w:rsid w:val="0083667B"/>
    <w:rsid w:val="008366FD"/>
    <w:rsid w:val="00836887"/>
    <w:rsid w:val="00836895"/>
    <w:rsid w:val="008369BA"/>
    <w:rsid w:val="00836A64"/>
    <w:rsid w:val="00836A8B"/>
    <w:rsid w:val="00836D9F"/>
    <w:rsid w:val="00836E63"/>
    <w:rsid w:val="00836EBC"/>
    <w:rsid w:val="00836F07"/>
    <w:rsid w:val="008371A2"/>
    <w:rsid w:val="008372D5"/>
    <w:rsid w:val="008374D4"/>
    <w:rsid w:val="00837647"/>
    <w:rsid w:val="00837670"/>
    <w:rsid w:val="00837907"/>
    <w:rsid w:val="00837999"/>
    <w:rsid w:val="00837A7E"/>
    <w:rsid w:val="00837F85"/>
    <w:rsid w:val="0084017A"/>
    <w:rsid w:val="008401B1"/>
    <w:rsid w:val="00840390"/>
    <w:rsid w:val="0084079D"/>
    <w:rsid w:val="00840906"/>
    <w:rsid w:val="00841200"/>
    <w:rsid w:val="0084149D"/>
    <w:rsid w:val="008414F8"/>
    <w:rsid w:val="00841AA5"/>
    <w:rsid w:val="00841BA4"/>
    <w:rsid w:val="00841F42"/>
    <w:rsid w:val="0084246E"/>
    <w:rsid w:val="008424CA"/>
    <w:rsid w:val="008429A2"/>
    <w:rsid w:val="008429F8"/>
    <w:rsid w:val="00842CDB"/>
    <w:rsid w:val="00842FA0"/>
    <w:rsid w:val="00843051"/>
    <w:rsid w:val="00843571"/>
    <w:rsid w:val="0084359B"/>
    <w:rsid w:val="00843BFB"/>
    <w:rsid w:val="00843C1A"/>
    <w:rsid w:val="00843F73"/>
    <w:rsid w:val="0084431F"/>
    <w:rsid w:val="00844390"/>
    <w:rsid w:val="00844624"/>
    <w:rsid w:val="0084470B"/>
    <w:rsid w:val="00844898"/>
    <w:rsid w:val="008454D2"/>
    <w:rsid w:val="008456CF"/>
    <w:rsid w:val="008457D7"/>
    <w:rsid w:val="00845840"/>
    <w:rsid w:val="008458C8"/>
    <w:rsid w:val="00845CE0"/>
    <w:rsid w:val="00846352"/>
    <w:rsid w:val="008463AE"/>
    <w:rsid w:val="0084658E"/>
    <w:rsid w:val="00846626"/>
    <w:rsid w:val="00846EE0"/>
    <w:rsid w:val="008473F1"/>
    <w:rsid w:val="00847B5C"/>
    <w:rsid w:val="00847C91"/>
    <w:rsid w:val="0085096A"/>
    <w:rsid w:val="00850A69"/>
    <w:rsid w:val="00850EC5"/>
    <w:rsid w:val="00850F33"/>
    <w:rsid w:val="00851361"/>
    <w:rsid w:val="0085154C"/>
    <w:rsid w:val="008515A4"/>
    <w:rsid w:val="008515CE"/>
    <w:rsid w:val="00851CC7"/>
    <w:rsid w:val="00851E43"/>
    <w:rsid w:val="008520F8"/>
    <w:rsid w:val="00852561"/>
    <w:rsid w:val="00852673"/>
    <w:rsid w:val="0085267F"/>
    <w:rsid w:val="008529B4"/>
    <w:rsid w:val="00852CE0"/>
    <w:rsid w:val="008534A6"/>
    <w:rsid w:val="008534B5"/>
    <w:rsid w:val="008534F2"/>
    <w:rsid w:val="00853A1C"/>
    <w:rsid w:val="00853A88"/>
    <w:rsid w:val="00853A8D"/>
    <w:rsid w:val="00853C5D"/>
    <w:rsid w:val="00853E27"/>
    <w:rsid w:val="00853E6F"/>
    <w:rsid w:val="00853EC2"/>
    <w:rsid w:val="00853F39"/>
    <w:rsid w:val="0085466B"/>
    <w:rsid w:val="00854C41"/>
    <w:rsid w:val="00854F16"/>
    <w:rsid w:val="008551F9"/>
    <w:rsid w:val="00855479"/>
    <w:rsid w:val="00855592"/>
    <w:rsid w:val="008557C7"/>
    <w:rsid w:val="00855A82"/>
    <w:rsid w:val="00855ABA"/>
    <w:rsid w:val="00855AC6"/>
    <w:rsid w:val="00856422"/>
    <w:rsid w:val="008564A0"/>
    <w:rsid w:val="00856693"/>
    <w:rsid w:val="00856BF9"/>
    <w:rsid w:val="00856C6B"/>
    <w:rsid w:val="00856E2E"/>
    <w:rsid w:val="00857349"/>
    <w:rsid w:val="008576CD"/>
    <w:rsid w:val="00857FA8"/>
    <w:rsid w:val="00857FDD"/>
    <w:rsid w:val="008600D7"/>
    <w:rsid w:val="00860275"/>
    <w:rsid w:val="008602AB"/>
    <w:rsid w:val="00860347"/>
    <w:rsid w:val="0086044C"/>
    <w:rsid w:val="0086058F"/>
    <w:rsid w:val="0086072B"/>
    <w:rsid w:val="00860867"/>
    <w:rsid w:val="00860A86"/>
    <w:rsid w:val="00860C49"/>
    <w:rsid w:val="00860D1D"/>
    <w:rsid w:val="008616D5"/>
    <w:rsid w:val="00861C1A"/>
    <w:rsid w:val="00861C27"/>
    <w:rsid w:val="00861F26"/>
    <w:rsid w:val="00862657"/>
    <w:rsid w:val="00862674"/>
    <w:rsid w:val="0086272C"/>
    <w:rsid w:val="008629AE"/>
    <w:rsid w:val="008630AE"/>
    <w:rsid w:val="008635AB"/>
    <w:rsid w:val="0086395F"/>
    <w:rsid w:val="00863CEB"/>
    <w:rsid w:val="00864116"/>
    <w:rsid w:val="008643A5"/>
    <w:rsid w:val="008654DF"/>
    <w:rsid w:val="0086569A"/>
    <w:rsid w:val="0086574C"/>
    <w:rsid w:val="00865A99"/>
    <w:rsid w:val="00865EA0"/>
    <w:rsid w:val="0086635F"/>
    <w:rsid w:val="00866883"/>
    <w:rsid w:val="00866919"/>
    <w:rsid w:val="008669FA"/>
    <w:rsid w:val="00866A61"/>
    <w:rsid w:val="00866BAB"/>
    <w:rsid w:val="00866CB4"/>
    <w:rsid w:val="00866D7A"/>
    <w:rsid w:val="0086769C"/>
    <w:rsid w:val="008679F5"/>
    <w:rsid w:val="00867A08"/>
    <w:rsid w:val="0087017C"/>
    <w:rsid w:val="00870200"/>
    <w:rsid w:val="0087053C"/>
    <w:rsid w:val="008708A8"/>
    <w:rsid w:val="008708E5"/>
    <w:rsid w:val="00870AE9"/>
    <w:rsid w:val="00870D4D"/>
    <w:rsid w:val="00870FC5"/>
    <w:rsid w:val="00871042"/>
    <w:rsid w:val="00871B93"/>
    <w:rsid w:val="00871DD6"/>
    <w:rsid w:val="0087209C"/>
    <w:rsid w:val="0087245D"/>
    <w:rsid w:val="008724D1"/>
    <w:rsid w:val="0087255B"/>
    <w:rsid w:val="0087285E"/>
    <w:rsid w:val="00872B63"/>
    <w:rsid w:val="00872BC4"/>
    <w:rsid w:val="00872E4E"/>
    <w:rsid w:val="00872E99"/>
    <w:rsid w:val="008730B4"/>
    <w:rsid w:val="00873514"/>
    <w:rsid w:val="00873B1E"/>
    <w:rsid w:val="00873C11"/>
    <w:rsid w:val="00873EBF"/>
    <w:rsid w:val="00874023"/>
    <w:rsid w:val="00874093"/>
    <w:rsid w:val="008740B9"/>
    <w:rsid w:val="008741DA"/>
    <w:rsid w:val="00874268"/>
    <w:rsid w:val="00874654"/>
    <w:rsid w:val="00874887"/>
    <w:rsid w:val="00874ED4"/>
    <w:rsid w:val="008750F5"/>
    <w:rsid w:val="008753D6"/>
    <w:rsid w:val="008756D6"/>
    <w:rsid w:val="00875764"/>
    <w:rsid w:val="0087582E"/>
    <w:rsid w:val="0087587A"/>
    <w:rsid w:val="00875883"/>
    <w:rsid w:val="008758B6"/>
    <w:rsid w:val="00875BCF"/>
    <w:rsid w:val="00875E23"/>
    <w:rsid w:val="00875E91"/>
    <w:rsid w:val="0087692A"/>
    <w:rsid w:val="00876A27"/>
    <w:rsid w:val="00876BFE"/>
    <w:rsid w:val="00876E3E"/>
    <w:rsid w:val="00876EDB"/>
    <w:rsid w:val="008773FB"/>
    <w:rsid w:val="00877B8B"/>
    <w:rsid w:val="008800D4"/>
    <w:rsid w:val="00880426"/>
    <w:rsid w:val="008804B2"/>
    <w:rsid w:val="008804D4"/>
    <w:rsid w:val="008805A5"/>
    <w:rsid w:val="008808D8"/>
    <w:rsid w:val="00880924"/>
    <w:rsid w:val="00880B9A"/>
    <w:rsid w:val="0088100C"/>
    <w:rsid w:val="00881056"/>
    <w:rsid w:val="008818CB"/>
    <w:rsid w:val="00881A15"/>
    <w:rsid w:val="00882067"/>
    <w:rsid w:val="00882685"/>
    <w:rsid w:val="00882D8C"/>
    <w:rsid w:val="008830A2"/>
    <w:rsid w:val="008834D7"/>
    <w:rsid w:val="00883716"/>
    <w:rsid w:val="0088381A"/>
    <w:rsid w:val="00883ABF"/>
    <w:rsid w:val="00883C6A"/>
    <w:rsid w:val="0088436F"/>
    <w:rsid w:val="00884632"/>
    <w:rsid w:val="00884636"/>
    <w:rsid w:val="00884E03"/>
    <w:rsid w:val="00884E69"/>
    <w:rsid w:val="0088542D"/>
    <w:rsid w:val="00885908"/>
    <w:rsid w:val="00885C6A"/>
    <w:rsid w:val="0088603A"/>
    <w:rsid w:val="00886320"/>
    <w:rsid w:val="008868E0"/>
    <w:rsid w:val="00886B41"/>
    <w:rsid w:val="00886CD2"/>
    <w:rsid w:val="00886E2A"/>
    <w:rsid w:val="00886F23"/>
    <w:rsid w:val="0088728B"/>
    <w:rsid w:val="00887486"/>
    <w:rsid w:val="0088781E"/>
    <w:rsid w:val="0088795B"/>
    <w:rsid w:val="00887A8E"/>
    <w:rsid w:val="00887D0F"/>
    <w:rsid w:val="008901F3"/>
    <w:rsid w:val="008901FB"/>
    <w:rsid w:val="00890354"/>
    <w:rsid w:val="008905F4"/>
    <w:rsid w:val="008907EA"/>
    <w:rsid w:val="00890A18"/>
    <w:rsid w:val="00890B64"/>
    <w:rsid w:val="00890BDF"/>
    <w:rsid w:val="00890CAC"/>
    <w:rsid w:val="00890D8F"/>
    <w:rsid w:val="00890DF4"/>
    <w:rsid w:val="00890E13"/>
    <w:rsid w:val="00890FB2"/>
    <w:rsid w:val="00891855"/>
    <w:rsid w:val="00891C84"/>
    <w:rsid w:val="00891DD0"/>
    <w:rsid w:val="00892102"/>
    <w:rsid w:val="008923D8"/>
    <w:rsid w:val="008924FC"/>
    <w:rsid w:val="008927FE"/>
    <w:rsid w:val="0089297B"/>
    <w:rsid w:val="00892B8D"/>
    <w:rsid w:val="00892D18"/>
    <w:rsid w:val="00892F5C"/>
    <w:rsid w:val="008938D0"/>
    <w:rsid w:val="00893928"/>
    <w:rsid w:val="0089399D"/>
    <w:rsid w:val="00893A78"/>
    <w:rsid w:val="00893AB3"/>
    <w:rsid w:val="00893B25"/>
    <w:rsid w:val="00893BBE"/>
    <w:rsid w:val="00893C3A"/>
    <w:rsid w:val="00893CA8"/>
    <w:rsid w:val="00893E9E"/>
    <w:rsid w:val="008943EF"/>
    <w:rsid w:val="008944AD"/>
    <w:rsid w:val="00894E9B"/>
    <w:rsid w:val="00895687"/>
    <w:rsid w:val="0089575F"/>
    <w:rsid w:val="008957C3"/>
    <w:rsid w:val="00895882"/>
    <w:rsid w:val="008959AA"/>
    <w:rsid w:val="00895BB6"/>
    <w:rsid w:val="00895CB8"/>
    <w:rsid w:val="00895E84"/>
    <w:rsid w:val="00895FE7"/>
    <w:rsid w:val="00896090"/>
    <w:rsid w:val="0089658C"/>
    <w:rsid w:val="00896B17"/>
    <w:rsid w:val="00896F90"/>
    <w:rsid w:val="00897125"/>
    <w:rsid w:val="008971B6"/>
    <w:rsid w:val="0089741F"/>
    <w:rsid w:val="00897837"/>
    <w:rsid w:val="00897A70"/>
    <w:rsid w:val="00897C33"/>
    <w:rsid w:val="008A038A"/>
    <w:rsid w:val="008A060C"/>
    <w:rsid w:val="008A0793"/>
    <w:rsid w:val="008A081E"/>
    <w:rsid w:val="008A0B56"/>
    <w:rsid w:val="008A0D08"/>
    <w:rsid w:val="008A0E83"/>
    <w:rsid w:val="008A1214"/>
    <w:rsid w:val="008A131B"/>
    <w:rsid w:val="008A13AB"/>
    <w:rsid w:val="008A1615"/>
    <w:rsid w:val="008A182D"/>
    <w:rsid w:val="008A19CD"/>
    <w:rsid w:val="008A1FE5"/>
    <w:rsid w:val="008A2236"/>
    <w:rsid w:val="008A244F"/>
    <w:rsid w:val="008A2458"/>
    <w:rsid w:val="008A2522"/>
    <w:rsid w:val="008A2FED"/>
    <w:rsid w:val="008A349C"/>
    <w:rsid w:val="008A374C"/>
    <w:rsid w:val="008A3869"/>
    <w:rsid w:val="008A3C77"/>
    <w:rsid w:val="008A3E04"/>
    <w:rsid w:val="008A3FE6"/>
    <w:rsid w:val="008A417B"/>
    <w:rsid w:val="008A42CC"/>
    <w:rsid w:val="008A43A2"/>
    <w:rsid w:val="008A43B9"/>
    <w:rsid w:val="008A4410"/>
    <w:rsid w:val="008A45F2"/>
    <w:rsid w:val="008A496E"/>
    <w:rsid w:val="008A4B34"/>
    <w:rsid w:val="008A4C06"/>
    <w:rsid w:val="008A4CA0"/>
    <w:rsid w:val="008A4D4C"/>
    <w:rsid w:val="008A5A6C"/>
    <w:rsid w:val="008A5D18"/>
    <w:rsid w:val="008A6676"/>
    <w:rsid w:val="008A6701"/>
    <w:rsid w:val="008A6723"/>
    <w:rsid w:val="008A6858"/>
    <w:rsid w:val="008A6D0C"/>
    <w:rsid w:val="008A71F9"/>
    <w:rsid w:val="008A741E"/>
    <w:rsid w:val="008A785E"/>
    <w:rsid w:val="008B0054"/>
    <w:rsid w:val="008B0709"/>
    <w:rsid w:val="008B0A1D"/>
    <w:rsid w:val="008B0E8F"/>
    <w:rsid w:val="008B0F24"/>
    <w:rsid w:val="008B12FA"/>
    <w:rsid w:val="008B1386"/>
    <w:rsid w:val="008B13AC"/>
    <w:rsid w:val="008B13FA"/>
    <w:rsid w:val="008B1472"/>
    <w:rsid w:val="008B149B"/>
    <w:rsid w:val="008B17D2"/>
    <w:rsid w:val="008B1984"/>
    <w:rsid w:val="008B1CF2"/>
    <w:rsid w:val="008B1F6B"/>
    <w:rsid w:val="008B2336"/>
    <w:rsid w:val="008B2891"/>
    <w:rsid w:val="008B2A0B"/>
    <w:rsid w:val="008B2D72"/>
    <w:rsid w:val="008B2E8E"/>
    <w:rsid w:val="008B31B9"/>
    <w:rsid w:val="008B380E"/>
    <w:rsid w:val="008B38BF"/>
    <w:rsid w:val="008B39FC"/>
    <w:rsid w:val="008B3AFE"/>
    <w:rsid w:val="008B3D34"/>
    <w:rsid w:val="008B3E6B"/>
    <w:rsid w:val="008B415A"/>
    <w:rsid w:val="008B48F5"/>
    <w:rsid w:val="008B4932"/>
    <w:rsid w:val="008B4A14"/>
    <w:rsid w:val="008B4C37"/>
    <w:rsid w:val="008B4CC6"/>
    <w:rsid w:val="008B53B6"/>
    <w:rsid w:val="008B54E7"/>
    <w:rsid w:val="008B59D1"/>
    <w:rsid w:val="008B699E"/>
    <w:rsid w:val="008B6BCF"/>
    <w:rsid w:val="008B6DC2"/>
    <w:rsid w:val="008B71A4"/>
    <w:rsid w:val="008B77FD"/>
    <w:rsid w:val="008C0285"/>
    <w:rsid w:val="008C05C1"/>
    <w:rsid w:val="008C09AA"/>
    <w:rsid w:val="008C0B9F"/>
    <w:rsid w:val="008C0C28"/>
    <w:rsid w:val="008C0C30"/>
    <w:rsid w:val="008C0E05"/>
    <w:rsid w:val="008C0F3C"/>
    <w:rsid w:val="008C181D"/>
    <w:rsid w:val="008C1E3B"/>
    <w:rsid w:val="008C1EFD"/>
    <w:rsid w:val="008C210E"/>
    <w:rsid w:val="008C2567"/>
    <w:rsid w:val="008C27E7"/>
    <w:rsid w:val="008C2B0E"/>
    <w:rsid w:val="008C2DC3"/>
    <w:rsid w:val="008C2E2A"/>
    <w:rsid w:val="008C2E41"/>
    <w:rsid w:val="008C31E1"/>
    <w:rsid w:val="008C322A"/>
    <w:rsid w:val="008C3759"/>
    <w:rsid w:val="008C3A64"/>
    <w:rsid w:val="008C3AB1"/>
    <w:rsid w:val="008C3BF7"/>
    <w:rsid w:val="008C3D10"/>
    <w:rsid w:val="008C3D1B"/>
    <w:rsid w:val="008C3E58"/>
    <w:rsid w:val="008C4103"/>
    <w:rsid w:val="008C44E5"/>
    <w:rsid w:val="008C4581"/>
    <w:rsid w:val="008C467F"/>
    <w:rsid w:val="008C4867"/>
    <w:rsid w:val="008C4E7E"/>
    <w:rsid w:val="008C4FCF"/>
    <w:rsid w:val="008C51B3"/>
    <w:rsid w:val="008C52F1"/>
    <w:rsid w:val="008C53FA"/>
    <w:rsid w:val="008C54FA"/>
    <w:rsid w:val="008C56D4"/>
    <w:rsid w:val="008C579E"/>
    <w:rsid w:val="008C58FA"/>
    <w:rsid w:val="008C5B20"/>
    <w:rsid w:val="008C62F3"/>
    <w:rsid w:val="008C64CB"/>
    <w:rsid w:val="008C6658"/>
    <w:rsid w:val="008C6A3F"/>
    <w:rsid w:val="008C6BC5"/>
    <w:rsid w:val="008C7113"/>
    <w:rsid w:val="008C75BA"/>
    <w:rsid w:val="008C7946"/>
    <w:rsid w:val="008C7A86"/>
    <w:rsid w:val="008C7B9F"/>
    <w:rsid w:val="008C7E0E"/>
    <w:rsid w:val="008D016E"/>
    <w:rsid w:val="008D044B"/>
    <w:rsid w:val="008D056D"/>
    <w:rsid w:val="008D0B90"/>
    <w:rsid w:val="008D0E4F"/>
    <w:rsid w:val="008D0F84"/>
    <w:rsid w:val="008D1278"/>
    <w:rsid w:val="008D180C"/>
    <w:rsid w:val="008D18A6"/>
    <w:rsid w:val="008D1958"/>
    <w:rsid w:val="008D1C4B"/>
    <w:rsid w:val="008D1D06"/>
    <w:rsid w:val="008D1DF0"/>
    <w:rsid w:val="008D1E7C"/>
    <w:rsid w:val="008D2107"/>
    <w:rsid w:val="008D24EF"/>
    <w:rsid w:val="008D254D"/>
    <w:rsid w:val="008D2728"/>
    <w:rsid w:val="008D273F"/>
    <w:rsid w:val="008D2763"/>
    <w:rsid w:val="008D2A4C"/>
    <w:rsid w:val="008D2B55"/>
    <w:rsid w:val="008D2E01"/>
    <w:rsid w:val="008D317C"/>
    <w:rsid w:val="008D375A"/>
    <w:rsid w:val="008D3CB0"/>
    <w:rsid w:val="008D3D2C"/>
    <w:rsid w:val="008D4002"/>
    <w:rsid w:val="008D4425"/>
    <w:rsid w:val="008D4B0E"/>
    <w:rsid w:val="008D4D19"/>
    <w:rsid w:val="008D50DC"/>
    <w:rsid w:val="008D5779"/>
    <w:rsid w:val="008D6138"/>
    <w:rsid w:val="008D6333"/>
    <w:rsid w:val="008D65CF"/>
    <w:rsid w:val="008D667E"/>
    <w:rsid w:val="008D6702"/>
    <w:rsid w:val="008D6C42"/>
    <w:rsid w:val="008D6DEF"/>
    <w:rsid w:val="008D6F3F"/>
    <w:rsid w:val="008D72DB"/>
    <w:rsid w:val="008D75E5"/>
    <w:rsid w:val="008D7677"/>
    <w:rsid w:val="008D7A88"/>
    <w:rsid w:val="008D7AC0"/>
    <w:rsid w:val="008D7B89"/>
    <w:rsid w:val="008E011C"/>
    <w:rsid w:val="008E019F"/>
    <w:rsid w:val="008E07E0"/>
    <w:rsid w:val="008E0A96"/>
    <w:rsid w:val="008E0B0A"/>
    <w:rsid w:val="008E0BD9"/>
    <w:rsid w:val="008E0D47"/>
    <w:rsid w:val="008E0D5E"/>
    <w:rsid w:val="008E102D"/>
    <w:rsid w:val="008E14F3"/>
    <w:rsid w:val="008E1C7A"/>
    <w:rsid w:val="008E1E6B"/>
    <w:rsid w:val="008E20FF"/>
    <w:rsid w:val="008E2CD1"/>
    <w:rsid w:val="008E2E09"/>
    <w:rsid w:val="008E311A"/>
    <w:rsid w:val="008E3881"/>
    <w:rsid w:val="008E399C"/>
    <w:rsid w:val="008E3D32"/>
    <w:rsid w:val="008E3E51"/>
    <w:rsid w:val="008E4087"/>
    <w:rsid w:val="008E425B"/>
    <w:rsid w:val="008E4900"/>
    <w:rsid w:val="008E4931"/>
    <w:rsid w:val="008E4A0C"/>
    <w:rsid w:val="008E4A20"/>
    <w:rsid w:val="008E4E09"/>
    <w:rsid w:val="008E588B"/>
    <w:rsid w:val="008E5A82"/>
    <w:rsid w:val="008E5E91"/>
    <w:rsid w:val="008E634B"/>
    <w:rsid w:val="008E6690"/>
    <w:rsid w:val="008E68BF"/>
    <w:rsid w:val="008E6BFB"/>
    <w:rsid w:val="008E6C01"/>
    <w:rsid w:val="008E6C7B"/>
    <w:rsid w:val="008E6DB1"/>
    <w:rsid w:val="008E7014"/>
    <w:rsid w:val="008E7145"/>
    <w:rsid w:val="008E72D3"/>
    <w:rsid w:val="008E75CA"/>
    <w:rsid w:val="008E7953"/>
    <w:rsid w:val="008E7A82"/>
    <w:rsid w:val="008F02CC"/>
    <w:rsid w:val="008F0B89"/>
    <w:rsid w:val="008F10EF"/>
    <w:rsid w:val="008F1109"/>
    <w:rsid w:val="008F1C23"/>
    <w:rsid w:val="008F2079"/>
    <w:rsid w:val="008F2293"/>
    <w:rsid w:val="008F233F"/>
    <w:rsid w:val="008F2618"/>
    <w:rsid w:val="008F274B"/>
    <w:rsid w:val="008F2A5B"/>
    <w:rsid w:val="008F2C8D"/>
    <w:rsid w:val="008F2E90"/>
    <w:rsid w:val="008F2FCA"/>
    <w:rsid w:val="008F35BF"/>
    <w:rsid w:val="008F37C7"/>
    <w:rsid w:val="008F3889"/>
    <w:rsid w:val="008F394B"/>
    <w:rsid w:val="008F3E59"/>
    <w:rsid w:val="008F41CE"/>
    <w:rsid w:val="008F4304"/>
    <w:rsid w:val="008F4795"/>
    <w:rsid w:val="008F4EF6"/>
    <w:rsid w:val="008F4F1D"/>
    <w:rsid w:val="008F5115"/>
    <w:rsid w:val="008F5B3A"/>
    <w:rsid w:val="008F5B51"/>
    <w:rsid w:val="008F5FE6"/>
    <w:rsid w:val="008F6043"/>
    <w:rsid w:val="008F64B1"/>
    <w:rsid w:val="008F64CE"/>
    <w:rsid w:val="008F65AF"/>
    <w:rsid w:val="008F684E"/>
    <w:rsid w:val="008F6C88"/>
    <w:rsid w:val="008F6DA0"/>
    <w:rsid w:val="008F7176"/>
    <w:rsid w:val="008F72A5"/>
    <w:rsid w:val="008F72DF"/>
    <w:rsid w:val="008F73A0"/>
    <w:rsid w:val="008F75AB"/>
    <w:rsid w:val="008F7815"/>
    <w:rsid w:val="008F7A92"/>
    <w:rsid w:val="008F7AD4"/>
    <w:rsid w:val="008F7C9D"/>
    <w:rsid w:val="008F7DAF"/>
    <w:rsid w:val="008F7E89"/>
    <w:rsid w:val="008F7EDE"/>
    <w:rsid w:val="008FE6CF"/>
    <w:rsid w:val="0090017D"/>
    <w:rsid w:val="009007AA"/>
    <w:rsid w:val="00900822"/>
    <w:rsid w:val="009008F5"/>
    <w:rsid w:val="00900E03"/>
    <w:rsid w:val="00901321"/>
    <w:rsid w:val="0090139F"/>
    <w:rsid w:val="009014FA"/>
    <w:rsid w:val="0090161E"/>
    <w:rsid w:val="009017CD"/>
    <w:rsid w:val="00901AE7"/>
    <w:rsid w:val="00901C1C"/>
    <w:rsid w:val="00901E6A"/>
    <w:rsid w:val="00901F7E"/>
    <w:rsid w:val="00902196"/>
    <w:rsid w:val="009021FF"/>
    <w:rsid w:val="0090229B"/>
    <w:rsid w:val="0090241B"/>
    <w:rsid w:val="009026F6"/>
    <w:rsid w:val="00902807"/>
    <w:rsid w:val="00902A05"/>
    <w:rsid w:val="00902B1F"/>
    <w:rsid w:val="00902E12"/>
    <w:rsid w:val="00902FF9"/>
    <w:rsid w:val="00902FFC"/>
    <w:rsid w:val="009030A7"/>
    <w:rsid w:val="00903338"/>
    <w:rsid w:val="009038E7"/>
    <w:rsid w:val="009038EF"/>
    <w:rsid w:val="00903A5D"/>
    <w:rsid w:val="00903DBD"/>
    <w:rsid w:val="00903DE6"/>
    <w:rsid w:val="00904136"/>
    <w:rsid w:val="009044BD"/>
    <w:rsid w:val="00904512"/>
    <w:rsid w:val="00904DCF"/>
    <w:rsid w:val="0090532F"/>
    <w:rsid w:val="0090595E"/>
    <w:rsid w:val="00905C6F"/>
    <w:rsid w:val="00905D4E"/>
    <w:rsid w:val="00905F5E"/>
    <w:rsid w:val="009060D6"/>
    <w:rsid w:val="009061B2"/>
    <w:rsid w:val="009061FF"/>
    <w:rsid w:val="00906420"/>
    <w:rsid w:val="009065CB"/>
    <w:rsid w:val="009066E1"/>
    <w:rsid w:val="0090689F"/>
    <w:rsid w:val="00906C47"/>
    <w:rsid w:val="00906D8F"/>
    <w:rsid w:val="00907016"/>
    <w:rsid w:val="009071D2"/>
    <w:rsid w:val="009072AC"/>
    <w:rsid w:val="009074F4"/>
    <w:rsid w:val="00907561"/>
    <w:rsid w:val="00907778"/>
    <w:rsid w:val="009077EE"/>
    <w:rsid w:val="009102CC"/>
    <w:rsid w:val="00910376"/>
    <w:rsid w:val="009103A3"/>
    <w:rsid w:val="00910702"/>
    <w:rsid w:val="0091087E"/>
    <w:rsid w:val="00910997"/>
    <w:rsid w:val="00910A56"/>
    <w:rsid w:val="00910A9A"/>
    <w:rsid w:val="00910EBD"/>
    <w:rsid w:val="00911669"/>
    <w:rsid w:val="00911713"/>
    <w:rsid w:val="00911868"/>
    <w:rsid w:val="009119B7"/>
    <w:rsid w:val="009119F7"/>
    <w:rsid w:val="00911A3B"/>
    <w:rsid w:val="00911DE3"/>
    <w:rsid w:val="00912C62"/>
    <w:rsid w:val="00912CF0"/>
    <w:rsid w:val="00912D18"/>
    <w:rsid w:val="00912F50"/>
    <w:rsid w:val="009132A6"/>
    <w:rsid w:val="00914401"/>
    <w:rsid w:val="00914772"/>
    <w:rsid w:val="009147E9"/>
    <w:rsid w:val="00914871"/>
    <w:rsid w:val="0091492D"/>
    <w:rsid w:val="00914ED6"/>
    <w:rsid w:val="00914F05"/>
    <w:rsid w:val="0091512E"/>
    <w:rsid w:val="0091545C"/>
    <w:rsid w:val="009158FF"/>
    <w:rsid w:val="00915953"/>
    <w:rsid w:val="00915C2F"/>
    <w:rsid w:val="00915CB0"/>
    <w:rsid w:val="00915CED"/>
    <w:rsid w:val="009161A6"/>
    <w:rsid w:val="0091622F"/>
    <w:rsid w:val="0091679C"/>
    <w:rsid w:val="0091681B"/>
    <w:rsid w:val="00916861"/>
    <w:rsid w:val="00916BEF"/>
    <w:rsid w:val="00916D40"/>
    <w:rsid w:val="00917053"/>
    <w:rsid w:val="00917104"/>
    <w:rsid w:val="009173C1"/>
    <w:rsid w:val="00917537"/>
    <w:rsid w:val="0091765C"/>
    <w:rsid w:val="0091779E"/>
    <w:rsid w:val="009177E9"/>
    <w:rsid w:val="0091783B"/>
    <w:rsid w:val="009178FF"/>
    <w:rsid w:val="00917917"/>
    <w:rsid w:val="00917A29"/>
    <w:rsid w:val="009202B7"/>
    <w:rsid w:val="00920351"/>
    <w:rsid w:val="00920466"/>
    <w:rsid w:val="00920885"/>
    <w:rsid w:val="00920B47"/>
    <w:rsid w:val="00920FBC"/>
    <w:rsid w:val="00921212"/>
    <w:rsid w:val="009212DC"/>
    <w:rsid w:val="00921341"/>
    <w:rsid w:val="009215A3"/>
    <w:rsid w:val="009216EB"/>
    <w:rsid w:val="00921931"/>
    <w:rsid w:val="0092196D"/>
    <w:rsid w:val="00922371"/>
    <w:rsid w:val="0092246D"/>
    <w:rsid w:val="0092251B"/>
    <w:rsid w:val="00922E22"/>
    <w:rsid w:val="00922EE6"/>
    <w:rsid w:val="009230A5"/>
    <w:rsid w:val="009232A0"/>
    <w:rsid w:val="0092340D"/>
    <w:rsid w:val="0092344A"/>
    <w:rsid w:val="00923F7E"/>
    <w:rsid w:val="009240DA"/>
    <w:rsid w:val="009240F6"/>
    <w:rsid w:val="00924347"/>
    <w:rsid w:val="0092493D"/>
    <w:rsid w:val="009249E1"/>
    <w:rsid w:val="00924B0D"/>
    <w:rsid w:val="00924BBA"/>
    <w:rsid w:val="00924C20"/>
    <w:rsid w:val="00924D6E"/>
    <w:rsid w:val="00924EEA"/>
    <w:rsid w:val="0092542A"/>
    <w:rsid w:val="009258BC"/>
    <w:rsid w:val="00925906"/>
    <w:rsid w:val="00925AF1"/>
    <w:rsid w:val="00925B83"/>
    <w:rsid w:val="00925CE1"/>
    <w:rsid w:val="00925D3F"/>
    <w:rsid w:val="00925F2E"/>
    <w:rsid w:val="00926136"/>
    <w:rsid w:val="0092624D"/>
    <w:rsid w:val="00926533"/>
    <w:rsid w:val="009266FA"/>
    <w:rsid w:val="009269D1"/>
    <w:rsid w:val="00926A5A"/>
    <w:rsid w:val="00927246"/>
    <w:rsid w:val="009275D3"/>
    <w:rsid w:val="00927766"/>
    <w:rsid w:val="00927794"/>
    <w:rsid w:val="009278C8"/>
    <w:rsid w:val="0093056E"/>
    <w:rsid w:val="0093099B"/>
    <w:rsid w:val="0093112B"/>
    <w:rsid w:val="009313DD"/>
    <w:rsid w:val="00932478"/>
    <w:rsid w:val="0093296A"/>
    <w:rsid w:val="00932E9F"/>
    <w:rsid w:val="009331BC"/>
    <w:rsid w:val="0093336F"/>
    <w:rsid w:val="00933821"/>
    <w:rsid w:val="00933902"/>
    <w:rsid w:val="00933A16"/>
    <w:rsid w:val="0093408D"/>
    <w:rsid w:val="009340A6"/>
    <w:rsid w:val="00934220"/>
    <w:rsid w:val="009343D8"/>
    <w:rsid w:val="00934441"/>
    <w:rsid w:val="009346F1"/>
    <w:rsid w:val="009346FB"/>
    <w:rsid w:val="00934726"/>
    <w:rsid w:val="00934FBB"/>
    <w:rsid w:val="0093533F"/>
    <w:rsid w:val="0093595D"/>
    <w:rsid w:val="0093599E"/>
    <w:rsid w:val="00935B21"/>
    <w:rsid w:val="00935C8C"/>
    <w:rsid w:val="00935F5A"/>
    <w:rsid w:val="00936008"/>
    <w:rsid w:val="009360FB"/>
    <w:rsid w:val="009367AB"/>
    <w:rsid w:val="00936838"/>
    <w:rsid w:val="00936947"/>
    <w:rsid w:val="00936963"/>
    <w:rsid w:val="00936990"/>
    <w:rsid w:val="00936C4D"/>
    <w:rsid w:val="00937819"/>
    <w:rsid w:val="00937833"/>
    <w:rsid w:val="009402F3"/>
    <w:rsid w:val="00940369"/>
    <w:rsid w:val="00940388"/>
    <w:rsid w:val="0094062D"/>
    <w:rsid w:val="009407AD"/>
    <w:rsid w:val="00940855"/>
    <w:rsid w:val="00940FBC"/>
    <w:rsid w:val="00940FBE"/>
    <w:rsid w:val="00940FE4"/>
    <w:rsid w:val="0094123B"/>
    <w:rsid w:val="009412C3"/>
    <w:rsid w:val="009414FB"/>
    <w:rsid w:val="00941507"/>
    <w:rsid w:val="009417A0"/>
    <w:rsid w:val="009417E6"/>
    <w:rsid w:val="009418A0"/>
    <w:rsid w:val="009418BD"/>
    <w:rsid w:val="00941AE8"/>
    <w:rsid w:val="0094224E"/>
    <w:rsid w:val="009422AE"/>
    <w:rsid w:val="009423C4"/>
    <w:rsid w:val="00942991"/>
    <w:rsid w:val="009429B0"/>
    <w:rsid w:val="00942E34"/>
    <w:rsid w:val="00943170"/>
    <w:rsid w:val="00943227"/>
    <w:rsid w:val="009433A1"/>
    <w:rsid w:val="009433C1"/>
    <w:rsid w:val="009435BA"/>
    <w:rsid w:val="009437F1"/>
    <w:rsid w:val="00943B1C"/>
    <w:rsid w:val="00943B3A"/>
    <w:rsid w:val="00943E00"/>
    <w:rsid w:val="00943E8D"/>
    <w:rsid w:val="009443E2"/>
    <w:rsid w:val="009445D0"/>
    <w:rsid w:val="0094502F"/>
    <w:rsid w:val="00945574"/>
    <w:rsid w:val="00945824"/>
    <w:rsid w:val="00945972"/>
    <w:rsid w:val="00945B3F"/>
    <w:rsid w:val="00945B9B"/>
    <w:rsid w:val="00945C34"/>
    <w:rsid w:val="00945D1F"/>
    <w:rsid w:val="00945D52"/>
    <w:rsid w:val="00945EF0"/>
    <w:rsid w:val="00946422"/>
    <w:rsid w:val="00946895"/>
    <w:rsid w:val="00946A5A"/>
    <w:rsid w:val="00946A5D"/>
    <w:rsid w:val="00946AF7"/>
    <w:rsid w:val="00946C85"/>
    <w:rsid w:val="009471AB"/>
    <w:rsid w:val="0094734E"/>
    <w:rsid w:val="00947966"/>
    <w:rsid w:val="00947C55"/>
    <w:rsid w:val="00950362"/>
    <w:rsid w:val="00950BAC"/>
    <w:rsid w:val="00950BB3"/>
    <w:rsid w:val="00950E67"/>
    <w:rsid w:val="009511BE"/>
    <w:rsid w:val="009513ED"/>
    <w:rsid w:val="00951433"/>
    <w:rsid w:val="009516A3"/>
    <w:rsid w:val="009516C6"/>
    <w:rsid w:val="009517D2"/>
    <w:rsid w:val="009518A0"/>
    <w:rsid w:val="00951A52"/>
    <w:rsid w:val="0095214E"/>
    <w:rsid w:val="009524DE"/>
    <w:rsid w:val="009525BB"/>
    <w:rsid w:val="00952BF1"/>
    <w:rsid w:val="00952FA0"/>
    <w:rsid w:val="00953054"/>
    <w:rsid w:val="00953723"/>
    <w:rsid w:val="00953C76"/>
    <w:rsid w:val="00953D3C"/>
    <w:rsid w:val="009540E4"/>
    <w:rsid w:val="0095431D"/>
    <w:rsid w:val="0095435E"/>
    <w:rsid w:val="00954475"/>
    <w:rsid w:val="0095529D"/>
    <w:rsid w:val="0095595B"/>
    <w:rsid w:val="00955A0C"/>
    <w:rsid w:val="00955C9E"/>
    <w:rsid w:val="00956091"/>
    <w:rsid w:val="009567E2"/>
    <w:rsid w:val="00956B2B"/>
    <w:rsid w:val="00956FE9"/>
    <w:rsid w:val="009570F9"/>
    <w:rsid w:val="009571C1"/>
    <w:rsid w:val="00957414"/>
    <w:rsid w:val="009575FF"/>
    <w:rsid w:val="009579B0"/>
    <w:rsid w:val="00960587"/>
    <w:rsid w:val="00960A03"/>
    <w:rsid w:val="00960A15"/>
    <w:rsid w:val="00960C85"/>
    <w:rsid w:val="009610F2"/>
    <w:rsid w:val="00961865"/>
    <w:rsid w:val="00961A36"/>
    <w:rsid w:val="00961AE5"/>
    <w:rsid w:val="00961C7D"/>
    <w:rsid w:val="00961E72"/>
    <w:rsid w:val="0096227A"/>
    <w:rsid w:val="009622F2"/>
    <w:rsid w:val="009623E7"/>
    <w:rsid w:val="0096250E"/>
    <w:rsid w:val="00962520"/>
    <w:rsid w:val="00962543"/>
    <w:rsid w:val="00962564"/>
    <w:rsid w:val="009625F3"/>
    <w:rsid w:val="00962915"/>
    <w:rsid w:val="00962934"/>
    <w:rsid w:val="009629C6"/>
    <w:rsid w:val="00962AD0"/>
    <w:rsid w:val="00962AE0"/>
    <w:rsid w:val="00962AFB"/>
    <w:rsid w:val="00962CB7"/>
    <w:rsid w:val="00962F49"/>
    <w:rsid w:val="00963138"/>
    <w:rsid w:val="00963322"/>
    <w:rsid w:val="009634D1"/>
    <w:rsid w:val="009635D5"/>
    <w:rsid w:val="009636CD"/>
    <w:rsid w:val="00964956"/>
    <w:rsid w:val="00964ED7"/>
    <w:rsid w:val="009653E2"/>
    <w:rsid w:val="00965668"/>
    <w:rsid w:val="00965C90"/>
    <w:rsid w:val="00965D62"/>
    <w:rsid w:val="00965EBA"/>
    <w:rsid w:val="00965F44"/>
    <w:rsid w:val="00965F82"/>
    <w:rsid w:val="009665D7"/>
    <w:rsid w:val="0096693C"/>
    <w:rsid w:val="009669D8"/>
    <w:rsid w:val="00967AAC"/>
    <w:rsid w:val="00970029"/>
    <w:rsid w:val="0097031A"/>
    <w:rsid w:val="009703BF"/>
    <w:rsid w:val="009704B5"/>
    <w:rsid w:val="00970593"/>
    <w:rsid w:val="00970723"/>
    <w:rsid w:val="00970CC9"/>
    <w:rsid w:val="0097115C"/>
    <w:rsid w:val="00971416"/>
    <w:rsid w:val="009716A8"/>
    <w:rsid w:val="00971EC9"/>
    <w:rsid w:val="0097202B"/>
    <w:rsid w:val="00972081"/>
    <w:rsid w:val="009720EA"/>
    <w:rsid w:val="00972320"/>
    <w:rsid w:val="00972345"/>
    <w:rsid w:val="0097272C"/>
    <w:rsid w:val="0097287C"/>
    <w:rsid w:val="00972A4C"/>
    <w:rsid w:val="00972AF4"/>
    <w:rsid w:val="00972CA9"/>
    <w:rsid w:val="009730A3"/>
    <w:rsid w:val="0097317A"/>
    <w:rsid w:val="0097324D"/>
    <w:rsid w:val="0097326A"/>
    <w:rsid w:val="00973829"/>
    <w:rsid w:val="00973C5D"/>
    <w:rsid w:val="00973E2F"/>
    <w:rsid w:val="00973F55"/>
    <w:rsid w:val="00974190"/>
    <w:rsid w:val="009746AB"/>
    <w:rsid w:val="009747F5"/>
    <w:rsid w:val="00974D64"/>
    <w:rsid w:val="00974FD2"/>
    <w:rsid w:val="0097500C"/>
    <w:rsid w:val="0097504F"/>
    <w:rsid w:val="0097518D"/>
    <w:rsid w:val="0097526B"/>
    <w:rsid w:val="009755D3"/>
    <w:rsid w:val="00975DC3"/>
    <w:rsid w:val="009766AB"/>
    <w:rsid w:val="009768F7"/>
    <w:rsid w:val="00976979"/>
    <w:rsid w:val="009769B4"/>
    <w:rsid w:val="00976CC4"/>
    <w:rsid w:val="00976FE3"/>
    <w:rsid w:val="0097741F"/>
    <w:rsid w:val="0097783E"/>
    <w:rsid w:val="009778EE"/>
    <w:rsid w:val="00977FAB"/>
    <w:rsid w:val="00980806"/>
    <w:rsid w:val="009808AD"/>
    <w:rsid w:val="00980984"/>
    <w:rsid w:val="00980CA3"/>
    <w:rsid w:val="00980D9D"/>
    <w:rsid w:val="009813AF"/>
    <w:rsid w:val="00981611"/>
    <w:rsid w:val="009816EF"/>
    <w:rsid w:val="009818F4"/>
    <w:rsid w:val="00981D65"/>
    <w:rsid w:val="00981E71"/>
    <w:rsid w:val="00981EAA"/>
    <w:rsid w:val="00981EE0"/>
    <w:rsid w:val="00982080"/>
    <w:rsid w:val="009827AD"/>
    <w:rsid w:val="00982A27"/>
    <w:rsid w:val="00982C79"/>
    <w:rsid w:val="00982EBF"/>
    <w:rsid w:val="00982F52"/>
    <w:rsid w:val="00983059"/>
    <w:rsid w:val="00983523"/>
    <w:rsid w:val="00983682"/>
    <w:rsid w:val="00984276"/>
    <w:rsid w:val="0098461C"/>
    <w:rsid w:val="00984B66"/>
    <w:rsid w:val="00984C6A"/>
    <w:rsid w:val="0098577A"/>
    <w:rsid w:val="009859E4"/>
    <w:rsid w:val="00985FDA"/>
    <w:rsid w:val="00986446"/>
    <w:rsid w:val="00986764"/>
    <w:rsid w:val="0098688A"/>
    <w:rsid w:val="00986AE2"/>
    <w:rsid w:val="00986C1E"/>
    <w:rsid w:val="00986EBD"/>
    <w:rsid w:val="0098734D"/>
    <w:rsid w:val="0098738A"/>
    <w:rsid w:val="009873C9"/>
    <w:rsid w:val="0098746C"/>
    <w:rsid w:val="0098779A"/>
    <w:rsid w:val="00987C57"/>
    <w:rsid w:val="009900B2"/>
    <w:rsid w:val="009901DA"/>
    <w:rsid w:val="0099028A"/>
    <w:rsid w:val="009903F4"/>
    <w:rsid w:val="009905DC"/>
    <w:rsid w:val="00990FB6"/>
    <w:rsid w:val="0099107F"/>
    <w:rsid w:val="0099196D"/>
    <w:rsid w:val="00991C3D"/>
    <w:rsid w:val="00992478"/>
    <w:rsid w:val="009928B3"/>
    <w:rsid w:val="00992C76"/>
    <w:rsid w:val="00993295"/>
    <w:rsid w:val="0099399E"/>
    <w:rsid w:val="00993DCB"/>
    <w:rsid w:val="00993F91"/>
    <w:rsid w:val="00994271"/>
    <w:rsid w:val="0099434F"/>
    <w:rsid w:val="009945A1"/>
    <w:rsid w:val="009946E9"/>
    <w:rsid w:val="0099486F"/>
    <w:rsid w:val="00994D47"/>
    <w:rsid w:val="00995953"/>
    <w:rsid w:val="00995AEC"/>
    <w:rsid w:val="00995BA1"/>
    <w:rsid w:val="00995C77"/>
    <w:rsid w:val="00995CAF"/>
    <w:rsid w:val="00995EBA"/>
    <w:rsid w:val="0099618F"/>
    <w:rsid w:val="00996222"/>
    <w:rsid w:val="009963E0"/>
    <w:rsid w:val="009963F0"/>
    <w:rsid w:val="0099647C"/>
    <w:rsid w:val="009965FB"/>
    <w:rsid w:val="0099664F"/>
    <w:rsid w:val="0099698F"/>
    <w:rsid w:val="00996B42"/>
    <w:rsid w:val="00996CB7"/>
    <w:rsid w:val="00996FD6"/>
    <w:rsid w:val="009973A1"/>
    <w:rsid w:val="009973FE"/>
    <w:rsid w:val="00997466"/>
    <w:rsid w:val="009976C1"/>
    <w:rsid w:val="009976F9"/>
    <w:rsid w:val="00997762"/>
    <w:rsid w:val="009A0589"/>
    <w:rsid w:val="009A0950"/>
    <w:rsid w:val="009A0B0F"/>
    <w:rsid w:val="009A0DC2"/>
    <w:rsid w:val="009A0E20"/>
    <w:rsid w:val="009A1322"/>
    <w:rsid w:val="009A1347"/>
    <w:rsid w:val="009A134D"/>
    <w:rsid w:val="009A17AA"/>
    <w:rsid w:val="009A1899"/>
    <w:rsid w:val="009A1A3E"/>
    <w:rsid w:val="009A1B67"/>
    <w:rsid w:val="009A1F68"/>
    <w:rsid w:val="009A2150"/>
    <w:rsid w:val="009A2250"/>
    <w:rsid w:val="009A2A1A"/>
    <w:rsid w:val="009A311B"/>
    <w:rsid w:val="009A32E5"/>
    <w:rsid w:val="009A3793"/>
    <w:rsid w:val="009A3949"/>
    <w:rsid w:val="009A3B8C"/>
    <w:rsid w:val="009A3E44"/>
    <w:rsid w:val="009A4060"/>
    <w:rsid w:val="009A4290"/>
    <w:rsid w:val="009A463E"/>
    <w:rsid w:val="009A4A2C"/>
    <w:rsid w:val="009A4BBC"/>
    <w:rsid w:val="009A4EDB"/>
    <w:rsid w:val="009A5412"/>
    <w:rsid w:val="009A5B17"/>
    <w:rsid w:val="009A5BF3"/>
    <w:rsid w:val="009A5D42"/>
    <w:rsid w:val="009A5DB4"/>
    <w:rsid w:val="009A5E65"/>
    <w:rsid w:val="009A6160"/>
    <w:rsid w:val="009A61A0"/>
    <w:rsid w:val="009A6635"/>
    <w:rsid w:val="009A673F"/>
    <w:rsid w:val="009A6A6F"/>
    <w:rsid w:val="009A72E0"/>
    <w:rsid w:val="009A7568"/>
    <w:rsid w:val="009A7AE1"/>
    <w:rsid w:val="009A7C23"/>
    <w:rsid w:val="009A7C35"/>
    <w:rsid w:val="009A7F48"/>
    <w:rsid w:val="009B00EB"/>
    <w:rsid w:val="009B0213"/>
    <w:rsid w:val="009B033D"/>
    <w:rsid w:val="009B0667"/>
    <w:rsid w:val="009B0B4D"/>
    <w:rsid w:val="009B0BDF"/>
    <w:rsid w:val="009B1348"/>
    <w:rsid w:val="009B2368"/>
    <w:rsid w:val="009B25F5"/>
    <w:rsid w:val="009B2913"/>
    <w:rsid w:val="009B2A0C"/>
    <w:rsid w:val="009B2A18"/>
    <w:rsid w:val="009B2B17"/>
    <w:rsid w:val="009B2E5A"/>
    <w:rsid w:val="009B3434"/>
    <w:rsid w:val="009B3604"/>
    <w:rsid w:val="009B3779"/>
    <w:rsid w:val="009B3908"/>
    <w:rsid w:val="009B3A71"/>
    <w:rsid w:val="009B3AEE"/>
    <w:rsid w:val="009B438B"/>
    <w:rsid w:val="009B46D7"/>
    <w:rsid w:val="009B48B1"/>
    <w:rsid w:val="009B4F8C"/>
    <w:rsid w:val="009B53A6"/>
    <w:rsid w:val="009B54CA"/>
    <w:rsid w:val="009B5520"/>
    <w:rsid w:val="009B559E"/>
    <w:rsid w:val="009B57E7"/>
    <w:rsid w:val="009B5C50"/>
    <w:rsid w:val="009B5CED"/>
    <w:rsid w:val="009B5D8C"/>
    <w:rsid w:val="009B5E5E"/>
    <w:rsid w:val="009B618E"/>
    <w:rsid w:val="009B639F"/>
    <w:rsid w:val="009B6533"/>
    <w:rsid w:val="009B6684"/>
    <w:rsid w:val="009B66C6"/>
    <w:rsid w:val="009B677A"/>
    <w:rsid w:val="009B6C69"/>
    <w:rsid w:val="009B6D8C"/>
    <w:rsid w:val="009B71D1"/>
    <w:rsid w:val="009B7B35"/>
    <w:rsid w:val="009C004E"/>
    <w:rsid w:val="009C021A"/>
    <w:rsid w:val="009C0301"/>
    <w:rsid w:val="009C0933"/>
    <w:rsid w:val="009C095D"/>
    <w:rsid w:val="009C0B87"/>
    <w:rsid w:val="009C0BB8"/>
    <w:rsid w:val="009C100F"/>
    <w:rsid w:val="009C120D"/>
    <w:rsid w:val="009C1377"/>
    <w:rsid w:val="009C147E"/>
    <w:rsid w:val="009C14CF"/>
    <w:rsid w:val="009C1552"/>
    <w:rsid w:val="009C1C18"/>
    <w:rsid w:val="009C25C1"/>
    <w:rsid w:val="009C25FF"/>
    <w:rsid w:val="009C27DF"/>
    <w:rsid w:val="009C2C49"/>
    <w:rsid w:val="009C2C6F"/>
    <w:rsid w:val="009C2E09"/>
    <w:rsid w:val="009C2EE4"/>
    <w:rsid w:val="009C2FD7"/>
    <w:rsid w:val="009C339A"/>
    <w:rsid w:val="009C38A9"/>
    <w:rsid w:val="009C3CC0"/>
    <w:rsid w:val="009C3DB0"/>
    <w:rsid w:val="009C407E"/>
    <w:rsid w:val="009C42C7"/>
    <w:rsid w:val="009C4CBB"/>
    <w:rsid w:val="009C53B3"/>
    <w:rsid w:val="009C5516"/>
    <w:rsid w:val="009C5565"/>
    <w:rsid w:val="009C5AC5"/>
    <w:rsid w:val="009C5C4F"/>
    <w:rsid w:val="009C5EED"/>
    <w:rsid w:val="009C6128"/>
    <w:rsid w:val="009C64EC"/>
    <w:rsid w:val="009C679A"/>
    <w:rsid w:val="009C6B8C"/>
    <w:rsid w:val="009C6C46"/>
    <w:rsid w:val="009C6D1C"/>
    <w:rsid w:val="009C6D46"/>
    <w:rsid w:val="009C6F82"/>
    <w:rsid w:val="009C6FC3"/>
    <w:rsid w:val="009C752B"/>
    <w:rsid w:val="009C77A6"/>
    <w:rsid w:val="009C7958"/>
    <w:rsid w:val="009C7B07"/>
    <w:rsid w:val="009C7CED"/>
    <w:rsid w:val="009C7D9F"/>
    <w:rsid w:val="009C7FA9"/>
    <w:rsid w:val="009D0361"/>
    <w:rsid w:val="009D053D"/>
    <w:rsid w:val="009D07A2"/>
    <w:rsid w:val="009D08D8"/>
    <w:rsid w:val="009D0CA9"/>
    <w:rsid w:val="009D0D0F"/>
    <w:rsid w:val="009D0F62"/>
    <w:rsid w:val="009D11BD"/>
    <w:rsid w:val="009D12BB"/>
    <w:rsid w:val="009D1398"/>
    <w:rsid w:val="009D16B9"/>
    <w:rsid w:val="009D18BE"/>
    <w:rsid w:val="009D1DE4"/>
    <w:rsid w:val="009D2889"/>
    <w:rsid w:val="009D2B8A"/>
    <w:rsid w:val="009D354E"/>
    <w:rsid w:val="009D36E3"/>
    <w:rsid w:val="009D3A64"/>
    <w:rsid w:val="009D42D1"/>
    <w:rsid w:val="009D4352"/>
    <w:rsid w:val="009D48A9"/>
    <w:rsid w:val="009D4CD4"/>
    <w:rsid w:val="009D4DC3"/>
    <w:rsid w:val="009D556B"/>
    <w:rsid w:val="009D5A3F"/>
    <w:rsid w:val="009D5B2F"/>
    <w:rsid w:val="009D5B92"/>
    <w:rsid w:val="009D5DB7"/>
    <w:rsid w:val="009D61AE"/>
    <w:rsid w:val="009D656B"/>
    <w:rsid w:val="009D6813"/>
    <w:rsid w:val="009D6923"/>
    <w:rsid w:val="009D710D"/>
    <w:rsid w:val="009D74BD"/>
    <w:rsid w:val="009D79AC"/>
    <w:rsid w:val="009D7AAF"/>
    <w:rsid w:val="009D7C29"/>
    <w:rsid w:val="009E0215"/>
    <w:rsid w:val="009E0536"/>
    <w:rsid w:val="009E0B56"/>
    <w:rsid w:val="009E0FB7"/>
    <w:rsid w:val="009E1570"/>
    <w:rsid w:val="009E17FC"/>
    <w:rsid w:val="009E1AE4"/>
    <w:rsid w:val="009E1BFA"/>
    <w:rsid w:val="009E223A"/>
    <w:rsid w:val="009E224F"/>
    <w:rsid w:val="009E25D0"/>
    <w:rsid w:val="009E2683"/>
    <w:rsid w:val="009E278A"/>
    <w:rsid w:val="009E28E5"/>
    <w:rsid w:val="009E2AF2"/>
    <w:rsid w:val="009E2BFF"/>
    <w:rsid w:val="009E3424"/>
    <w:rsid w:val="009E35AA"/>
    <w:rsid w:val="009E386E"/>
    <w:rsid w:val="009E3970"/>
    <w:rsid w:val="009E3C03"/>
    <w:rsid w:val="009E3C27"/>
    <w:rsid w:val="009E3CF4"/>
    <w:rsid w:val="009E3E94"/>
    <w:rsid w:val="009E3FBF"/>
    <w:rsid w:val="009E404C"/>
    <w:rsid w:val="009E40D1"/>
    <w:rsid w:val="009E4532"/>
    <w:rsid w:val="009E457E"/>
    <w:rsid w:val="009E4953"/>
    <w:rsid w:val="009E4D16"/>
    <w:rsid w:val="009E4E30"/>
    <w:rsid w:val="009E4F8E"/>
    <w:rsid w:val="009E51E3"/>
    <w:rsid w:val="009E5236"/>
    <w:rsid w:val="009E531C"/>
    <w:rsid w:val="009E54FD"/>
    <w:rsid w:val="009E56F4"/>
    <w:rsid w:val="009E5A34"/>
    <w:rsid w:val="009E5DB5"/>
    <w:rsid w:val="009E63A1"/>
    <w:rsid w:val="009E6850"/>
    <w:rsid w:val="009E69E6"/>
    <w:rsid w:val="009E6E40"/>
    <w:rsid w:val="009E705A"/>
    <w:rsid w:val="009E72B0"/>
    <w:rsid w:val="009E7637"/>
    <w:rsid w:val="009E79B0"/>
    <w:rsid w:val="009E7AEA"/>
    <w:rsid w:val="009E7B43"/>
    <w:rsid w:val="009E7FC9"/>
    <w:rsid w:val="009F0158"/>
    <w:rsid w:val="009F0A05"/>
    <w:rsid w:val="009F0A32"/>
    <w:rsid w:val="009F0ECB"/>
    <w:rsid w:val="009F0EF1"/>
    <w:rsid w:val="009F1309"/>
    <w:rsid w:val="009F16F1"/>
    <w:rsid w:val="009F18E2"/>
    <w:rsid w:val="009F1DCA"/>
    <w:rsid w:val="009F1E38"/>
    <w:rsid w:val="009F1F0D"/>
    <w:rsid w:val="009F218B"/>
    <w:rsid w:val="009F2531"/>
    <w:rsid w:val="009F28BA"/>
    <w:rsid w:val="009F2F79"/>
    <w:rsid w:val="009F3364"/>
    <w:rsid w:val="009F399A"/>
    <w:rsid w:val="009F39B1"/>
    <w:rsid w:val="009F39B4"/>
    <w:rsid w:val="009F4313"/>
    <w:rsid w:val="009F477A"/>
    <w:rsid w:val="009F4C88"/>
    <w:rsid w:val="009F4E85"/>
    <w:rsid w:val="009F50BC"/>
    <w:rsid w:val="009F547B"/>
    <w:rsid w:val="009F58A7"/>
    <w:rsid w:val="009F599E"/>
    <w:rsid w:val="009F6059"/>
    <w:rsid w:val="009F6379"/>
    <w:rsid w:val="009F6BB7"/>
    <w:rsid w:val="009F6C82"/>
    <w:rsid w:val="009F7075"/>
    <w:rsid w:val="009F7321"/>
    <w:rsid w:val="009F7533"/>
    <w:rsid w:val="009F7546"/>
    <w:rsid w:val="009F7BAA"/>
    <w:rsid w:val="00A00609"/>
    <w:rsid w:val="00A00675"/>
    <w:rsid w:val="00A00A8E"/>
    <w:rsid w:val="00A00E33"/>
    <w:rsid w:val="00A00F7B"/>
    <w:rsid w:val="00A0111B"/>
    <w:rsid w:val="00A01459"/>
    <w:rsid w:val="00A01681"/>
    <w:rsid w:val="00A01DAF"/>
    <w:rsid w:val="00A02777"/>
    <w:rsid w:val="00A027C0"/>
    <w:rsid w:val="00A02FB6"/>
    <w:rsid w:val="00A03036"/>
    <w:rsid w:val="00A0364F"/>
    <w:rsid w:val="00A039F1"/>
    <w:rsid w:val="00A03C46"/>
    <w:rsid w:val="00A0418F"/>
    <w:rsid w:val="00A046C0"/>
    <w:rsid w:val="00A04BB4"/>
    <w:rsid w:val="00A04C76"/>
    <w:rsid w:val="00A04CC8"/>
    <w:rsid w:val="00A0508C"/>
    <w:rsid w:val="00A0530B"/>
    <w:rsid w:val="00A05A2D"/>
    <w:rsid w:val="00A05D4C"/>
    <w:rsid w:val="00A06177"/>
    <w:rsid w:val="00A061C8"/>
    <w:rsid w:val="00A063E2"/>
    <w:rsid w:val="00A065D6"/>
    <w:rsid w:val="00A066E3"/>
    <w:rsid w:val="00A068F8"/>
    <w:rsid w:val="00A069B3"/>
    <w:rsid w:val="00A06F44"/>
    <w:rsid w:val="00A07159"/>
    <w:rsid w:val="00A0719A"/>
    <w:rsid w:val="00A07498"/>
    <w:rsid w:val="00A0768F"/>
    <w:rsid w:val="00A0787A"/>
    <w:rsid w:val="00A078E2"/>
    <w:rsid w:val="00A07CE8"/>
    <w:rsid w:val="00A102C9"/>
    <w:rsid w:val="00A10482"/>
    <w:rsid w:val="00A10781"/>
    <w:rsid w:val="00A10B51"/>
    <w:rsid w:val="00A11488"/>
    <w:rsid w:val="00A118F2"/>
    <w:rsid w:val="00A11CE9"/>
    <w:rsid w:val="00A1213C"/>
    <w:rsid w:val="00A12630"/>
    <w:rsid w:val="00A12781"/>
    <w:rsid w:val="00A12902"/>
    <w:rsid w:val="00A12B68"/>
    <w:rsid w:val="00A12B74"/>
    <w:rsid w:val="00A1334A"/>
    <w:rsid w:val="00A135F6"/>
    <w:rsid w:val="00A13BC5"/>
    <w:rsid w:val="00A13CD7"/>
    <w:rsid w:val="00A13E24"/>
    <w:rsid w:val="00A141A9"/>
    <w:rsid w:val="00A14FD4"/>
    <w:rsid w:val="00A151C6"/>
    <w:rsid w:val="00A151E6"/>
    <w:rsid w:val="00A151F3"/>
    <w:rsid w:val="00A151FA"/>
    <w:rsid w:val="00A157D8"/>
    <w:rsid w:val="00A15B94"/>
    <w:rsid w:val="00A15F25"/>
    <w:rsid w:val="00A16027"/>
    <w:rsid w:val="00A1611D"/>
    <w:rsid w:val="00A16349"/>
    <w:rsid w:val="00A1651C"/>
    <w:rsid w:val="00A167C7"/>
    <w:rsid w:val="00A1696F"/>
    <w:rsid w:val="00A16AAD"/>
    <w:rsid w:val="00A16E7E"/>
    <w:rsid w:val="00A16EDD"/>
    <w:rsid w:val="00A16F89"/>
    <w:rsid w:val="00A17013"/>
    <w:rsid w:val="00A1756B"/>
    <w:rsid w:val="00A17776"/>
    <w:rsid w:val="00A177BC"/>
    <w:rsid w:val="00A1785B"/>
    <w:rsid w:val="00A17BDD"/>
    <w:rsid w:val="00A20009"/>
    <w:rsid w:val="00A202EE"/>
    <w:rsid w:val="00A20342"/>
    <w:rsid w:val="00A20880"/>
    <w:rsid w:val="00A210E2"/>
    <w:rsid w:val="00A21552"/>
    <w:rsid w:val="00A21626"/>
    <w:rsid w:val="00A21AF5"/>
    <w:rsid w:val="00A229EA"/>
    <w:rsid w:val="00A23153"/>
    <w:rsid w:val="00A2346D"/>
    <w:rsid w:val="00A23472"/>
    <w:rsid w:val="00A236F5"/>
    <w:rsid w:val="00A24EB8"/>
    <w:rsid w:val="00A24F87"/>
    <w:rsid w:val="00A250FA"/>
    <w:rsid w:val="00A25107"/>
    <w:rsid w:val="00A2513A"/>
    <w:rsid w:val="00A2554F"/>
    <w:rsid w:val="00A25969"/>
    <w:rsid w:val="00A25AF0"/>
    <w:rsid w:val="00A2641E"/>
    <w:rsid w:val="00A273BF"/>
    <w:rsid w:val="00A275D9"/>
    <w:rsid w:val="00A27699"/>
    <w:rsid w:val="00A2798A"/>
    <w:rsid w:val="00A27C41"/>
    <w:rsid w:val="00A27F68"/>
    <w:rsid w:val="00A300B2"/>
    <w:rsid w:val="00A30142"/>
    <w:rsid w:val="00A3015D"/>
    <w:rsid w:val="00A305A5"/>
    <w:rsid w:val="00A3081F"/>
    <w:rsid w:val="00A31308"/>
    <w:rsid w:val="00A313CA"/>
    <w:rsid w:val="00A31C68"/>
    <w:rsid w:val="00A321CE"/>
    <w:rsid w:val="00A32421"/>
    <w:rsid w:val="00A32462"/>
    <w:rsid w:val="00A3266E"/>
    <w:rsid w:val="00A32831"/>
    <w:rsid w:val="00A32C05"/>
    <w:rsid w:val="00A32C42"/>
    <w:rsid w:val="00A32C48"/>
    <w:rsid w:val="00A32FFB"/>
    <w:rsid w:val="00A33054"/>
    <w:rsid w:val="00A3341C"/>
    <w:rsid w:val="00A3356D"/>
    <w:rsid w:val="00A34244"/>
    <w:rsid w:val="00A3426A"/>
    <w:rsid w:val="00A346D8"/>
    <w:rsid w:val="00A34D64"/>
    <w:rsid w:val="00A357A4"/>
    <w:rsid w:val="00A358ED"/>
    <w:rsid w:val="00A35C6B"/>
    <w:rsid w:val="00A35DAC"/>
    <w:rsid w:val="00A36057"/>
    <w:rsid w:val="00A3634F"/>
    <w:rsid w:val="00A36697"/>
    <w:rsid w:val="00A36D16"/>
    <w:rsid w:val="00A36EB9"/>
    <w:rsid w:val="00A37305"/>
    <w:rsid w:val="00A379F3"/>
    <w:rsid w:val="00A37BAB"/>
    <w:rsid w:val="00A37E6B"/>
    <w:rsid w:val="00A37EEB"/>
    <w:rsid w:val="00A401E5"/>
    <w:rsid w:val="00A4042B"/>
    <w:rsid w:val="00A405C8"/>
    <w:rsid w:val="00A40981"/>
    <w:rsid w:val="00A40A7A"/>
    <w:rsid w:val="00A40C4E"/>
    <w:rsid w:val="00A40DBB"/>
    <w:rsid w:val="00A40FBE"/>
    <w:rsid w:val="00A41441"/>
    <w:rsid w:val="00A4189B"/>
    <w:rsid w:val="00A41AD0"/>
    <w:rsid w:val="00A41CF4"/>
    <w:rsid w:val="00A421CD"/>
    <w:rsid w:val="00A422DA"/>
    <w:rsid w:val="00A4263E"/>
    <w:rsid w:val="00A4277A"/>
    <w:rsid w:val="00A42C92"/>
    <w:rsid w:val="00A42DC4"/>
    <w:rsid w:val="00A42FDA"/>
    <w:rsid w:val="00A43215"/>
    <w:rsid w:val="00A43319"/>
    <w:rsid w:val="00A436B2"/>
    <w:rsid w:val="00A43A35"/>
    <w:rsid w:val="00A43C45"/>
    <w:rsid w:val="00A44706"/>
    <w:rsid w:val="00A4487F"/>
    <w:rsid w:val="00A448E3"/>
    <w:rsid w:val="00A44957"/>
    <w:rsid w:val="00A44986"/>
    <w:rsid w:val="00A45347"/>
    <w:rsid w:val="00A45393"/>
    <w:rsid w:val="00A453F4"/>
    <w:rsid w:val="00A45460"/>
    <w:rsid w:val="00A45826"/>
    <w:rsid w:val="00A458A6"/>
    <w:rsid w:val="00A458E5"/>
    <w:rsid w:val="00A45F20"/>
    <w:rsid w:val="00A46041"/>
    <w:rsid w:val="00A463C6"/>
    <w:rsid w:val="00A46AAF"/>
    <w:rsid w:val="00A47487"/>
    <w:rsid w:val="00A47584"/>
    <w:rsid w:val="00A47A81"/>
    <w:rsid w:val="00A5022C"/>
    <w:rsid w:val="00A503B9"/>
    <w:rsid w:val="00A50632"/>
    <w:rsid w:val="00A506DA"/>
    <w:rsid w:val="00A50A12"/>
    <w:rsid w:val="00A50BF9"/>
    <w:rsid w:val="00A51971"/>
    <w:rsid w:val="00A51B5B"/>
    <w:rsid w:val="00A51D4A"/>
    <w:rsid w:val="00A52122"/>
    <w:rsid w:val="00A521E2"/>
    <w:rsid w:val="00A522B5"/>
    <w:rsid w:val="00A5243F"/>
    <w:rsid w:val="00A527BC"/>
    <w:rsid w:val="00A52D11"/>
    <w:rsid w:val="00A52FAF"/>
    <w:rsid w:val="00A53207"/>
    <w:rsid w:val="00A5367B"/>
    <w:rsid w:val="00A53705"/>
    <w:rsid w:val="00A53B88"/>
    <w:rsid w:val="00A53F20"/>
    <w:rsid w:val="00A542D5"/>
    <w:rsid w:val="00A54323"/>
    <w:rsid w:val="00A54516"/>
    <w:rsid w:val="00A54663"/>
    <w:rsid w:val="00A547E9"/>
    <w:rsid w:val="00A549F8"/>
    <w:rsid w:val="00A54AC7"/>
    <w:rsid w:val="00A54CA8"/>
    <w:rsid w:val="00A54D2E"/>
    <w:rsid w:val="00A54DEB"/>
    <w:rsid w:val="00A54ED4"/>
    <w:rsid w:val="00A556BD"/>
    <w:rsid w:val="00A556FA"/>
    <w:rsid w:val="00A55B46"/>
    <w:rsid w:val="00A55EAF"/>
    <w:rsid w:val="00A55F9D"/>
    <w:rsid w:val="00A564DF"/>
    <w:rsid w:val="00A564E3"/>
    <w:rsid w:val="00A56967"/>
    <w:rsid w:val="00A56AAD"/>
    <w:rsid w:val="00A5701C"/>
    <w:rsid w:val="00A571FF"/>
    <w:rsid w:val="00A57222"/>
    <w:rsid w:val="00A572C1"/>
    <w:rsid w:val="00A5764F"/>
    <w:rsid w:val="00A57651"/>
    <w:rsid w:val="00A5767D"/>
    <w:rsid w:val="00A5782A"/>
    <w:rsid w:val="00A57B8E"/>
    <w:rsid w:val="00A57C56"/>
    <w:rsid w:val="00A57C82"/>
    <w:rsid w:val="00A57E23"/>
    <w:rsid w:val="00A606E3"/>
    <w:rsid w:val="00A6075E"/>
    <w:rsid w:val="00A6080C"/>
    <w:rsid w:val="00A60FE1"/>
    <w:rsid w:val="00A614D8"/>
    <w:rsid w:val="00A61892"/>
    <w:rsid w:val="00A61D2B"/>
    <w:rsid w:val="00A61F83"/>
    <w:rsid w:val="00A6201B"/>
    <w:rsid w:val="00A6221F"/>
    <w:rsid w:val="00A62675"/>
    <w:rsid w:val="00A62ADD"/>
    <w:rsid w:val="00A62C44"/>
    <w:rsid w:val="00A63776"/>
    <w:rsid w:val="00A63A13"/>
    <w:rsid w:val="00A63BDC"/>
    <w:rsid w:val="00A63D52"/>
    <w:rsid w:val="00A63E77"/>
    <w:rsid w:val="00A63EBA"/>
    <w:rsid w:val="00A640C6"/>
    <w:rsid w:val="00A6424E"/>
    <w:rsid w:val="00A6425B"/>
    <w:rsid w:val="00A64578"/>
    <w:rsid w:val="00A64664"/>
    <w:rsid w:val="00A6483F"/>
    <w:rsid w:val="00A648CD"/>
    <w:rsid w:val="00A64DEC"/>
    <w:rsid w:val="00A64ED5"/>
    <w:rsid w:val="00A657C7"/>
    <w:rsid w:val="00A65A94"/>
    <w:rsid w:val="00A65B1D"/>
    <w:rsid w:val="00A66259"/>
    <w:rsid w:val="00A662A2"/>
    <w:rsid w:val="00A6645B"/>
    <w:rsid w:val="00A664DA"/>
    <w:rsid w:val="00A665D1"/>
    <w:rsid w:val="00A66616"/>
    <w:rsid w:val="00A6695E"/>
    <w:rsid w:val="00A66C2C"/>
    <w:rsid w:val="00A67394"/>
    <w:rsid w:val="00A67823"/>
    <w:rsid w:val="00A67827"/>
    <w:rsid w:val="00A67BFF"/>
    <w:rsid w:val="00A67C7A"/>
    <w:rsid w:val="00A702FC"/>
    <w:rsid w:val="00A70535"/>
    <w:rsid w:val="00A70A13"/>
    <w:rsid w:val="00A70B53"/>
    <w:rsid w:val="00A70C19"/>
    <w:rsid w:val="00A70C2E"/>
    <w:rsid w:val="00A70D75"/>
    <w:rsid w:val="00A70DD3"/>
    <w:rsid w:val="00A70E64"/>
    <w:rsid w:val="00A712D0"/>
    <w:rsid w:val="00A713F9"/>
    <w:rsid w:val="00A71473"/>
    <w:rsid w:val="00A71823"/>
    <w:rsid w:val="00A71866"/>
    <w:rsid w:val="00A72071"/>
    <w:rsid w:val="00A721ED"/>
    <w:rsid w:val="00A723B7"/>
    <w:rsid w:val="00A72AC1"/>
    <w:rsid w:val="00A72BC1"/>
    <w:rsid w:val="00A72BCF"/>
    <w:rsid w:val="00A72CAB"/>
    <w:rsid w:val="00A72EA1"/>
    <w:rsid w:val="00A73029"/>
    <w:rsid w:val="00A7318D"/>
    <w:rsid w:val="00A7331D"/>
    <w:rsid w:val="00A733DF"/>
    <w:rsid w:val="00A73448"/>
    <w:rsid w:val="00A73450"/>
    <w:rsid w:val="00A734F5"/>
    <w:rsid w:val="00A73BDF"/>
    <w:rsid w:val="00A73E2E"/>
    <w:rsid w:val="00A74128"/>
    <w:rsid w:val="00A743EC"/>
    <w:rsid w:val="00A74437"/>
    <w:rsid w:val="00A74453"/>
    <w:rsid w:val="00A74925"/>
    <w:rsid w:val="00A74ABA"/>
    <w:rsid w:val="00A74E7F"/>
    <w:rsid w:val="00A74E96"/>
    <w:rsid w:val="00A74F33"/>
    <w:rsid w:val="00A7536E"/>
    <w:rsid w:val="00A758D2"/>
    <w:rsid w:val="00A75AEE"/>
    <w:rsid w:val="00A76404"/>
    <w:rsid w:val="00A76577"/>
    <w:rsid w:val="00A765A9"/>
    <w:rsid w:val="00A76620"/>
    <w:rsid w:val="00A76ABC"/>
    <w:rsid w:val="00A76C33"/>
    <w:rsid w:val="00A771A0"/>
    <w:rsid w:val="00A77BD1"/>
    <w:rsid w:val="00A77CB6"/>
    <w:rsid w:val="00A77DDB"/>
    <w:rsid w:val="00A803BB"/>
    <w:rsid w:val="00A8082B"/>
    <w:rsid w:val="00A80AD9"/>
    <w:rsid w:val="00A81DF9"/>
    <w:rsid w:val="00A81E65"/>
    <w:rsid w:val="00A81EB0"/>
    <w:rsid w:val="00A8236F"/>
    <w:rsid w:val="00A8274F"/>
    <w:rsid w:val="00A82755"/>
    <w:rsid w:val="00A8289E"/>
    <w:rsid w:val="00A829EE"/>
    <w:rsid w:val="00A831CF"/>
    <w:rsid w:val="00A834B9"/>
    <w:rsid w:val="00A8359A"/>
    <w:rsid w:val="00A83704"/>
    <w:rsid w:val="00A83A56"/>
    <w:rsid w:val="00A83E39"/>
    <w:rsid w:val="00A83E81"/>
    <w:rsid w:val="00A83F28"/>
    <w:rsid w:val="00A84103"/>
    <w:rsid w:val="00A8424A"/>
    <w:rsid w:val="00A84468"/>
    <w:rsid w:val="00A844A8"/>
    <w:rsid w:val="00A844D6"/>
    <w:rsid w:val="00A8482A"/>
    <w:rsid w:val="00A84AAF"/>
    <w:rsid w:val="00A85340"/>
    <w:rsid w:val="00A85E10"/>
    <w:rsid w:val="00A85F03"/>
    <w:rsid w:val="00A86193"/>
    <w:rsid w:val="00A86477"/>
    <w:rsid w:val="00A869CF"/>
    <w:rsid w:val="00A86AD8"/>
    <w:rsid w:val="00A86B7B"/>
    <w:rsid w:val="00A86E75"/>
    <w:rsid w:val="00A871AC"/>
    <w:rsid w:val="00A87B0E"/>
    <w:rsid w:val="00A87CC3"/>
    <w:rsid w:val="00A90424"/>
    <w:rsid w:val="00A90436"/>
    <w:rsid w:val="00A90673"/>
    <w:rsid w:val="00A908E0"/>
    <w:rsid w:val="00A9091A"/>
    <w:rsid w:val="00A90974"/>
    <w:rsid w:val="00A90A53"/>
    <w:rsid w:val="00A90E8A"/>
    <w:rsid w:val="00A91583"/>
    <w:rsid w:val="00A916D9"/>
    <w:rsid w:val="00A91C48"/>
    <w:rsid w:val="00A91EB0"/>
    <w:rsid w:val="00A91ED0"/>
    <w:rsid w:val="00A9226B"/>
    <w:rsid w:val="00A925FE"/>
    <w:rsid w:val="00A92821"/>
    <w:rsid w:val="00A929CF"/>
    <w:rsid w:val="00A92C27"/>
    <w:rsid w:val="00A936CE"/>
    <w:rsid w:val="00A93721"/>
    <w:rsid w:val="00A937DF"/>
    <w:rsid w:val="00A93856"/>
    <w:rsid w:val="00A93E4C"/>
    <w:rsid w:val="00A941CE"/>
    <w:rsid w:val="00A945D2"/>
    <w:rsid w:val="00A9460A"/>
    <w:rsid w:val="00A94962"/>
    <w:rsid w:val="00A949C9"/>
    <w:rsid w:val="00A94C99"/>
    <w:rsid w:val="00A94D14"/>
    <w:rsid w:val="00A94D50"/>
    <w:rsid w:val="00A94DCC"/>
    <w:rsid w:val="00A94E11"/>
    <w:rsid w:val="00A94EB5"/>
    <w:rsid w:val="00A94F5D"/>
    <w:rsid w:val="00A951CB"/>
    <w:rsid w:val="00A95A64"/>
    <w:rsid w:val="00A95ED1"/>
    <w:rsid w:val="00A96141"/>
    <w:rsid w:val="00A964A0"/>
    <w:rsid w:val="00A96515"/>
    <w:rsid w:val="00A967E7"/>
    <w:rsid w:val="00A9691F"/>
    <w:rsid w:val="00A96A23"/>
    <w:rsid w:val="00A96E22"/>
    <w:rsid w:val="00A975F6"/>
    <w:rsid w:val="00A9790F"/>
    <w:rsid w:val="00A97E69"/>
    <w:rsid w:val="00AA01B9"/>
    <w:rsid w:val="00AA01BD"/>
    <w:rsid w:val="00AA031A"/>
    <w:rsid w:val="00AA053F"/>
    <w:rsid w:val="00AA05C4"/>
    <w:rsid w:val="00AA0621"/>
    <w:rsid w:val="00AA08E2"/>
    <w:rsid w:val="00AA0AE3"/>
    <w:rsid w:val="00AA0BA2"/>
    <w:rsid w:val="00AA0EBC"/>
    <w:rsid w:val="00AA1448"/>
    <w:rsid w:val="00AA1488"/>
    <w:rsid w:val="00AA15DB"/>
    <w:rsid w:val="00AA1C4B"/>
    <w:rsid w:val="00AA1E6B"/>
    <w:rsid w:val="00AA2310"/>
    <w:rsid w:val="00AA2472"/>
    <w:rsid w:val="00AA2746"/>
    <w:rsid w:val="00AA308A"/>
    <w:rsid w:val="00AA385C"/>
    <w:rsid w:val="00AA3886"/>
    <w:rsid w:val="00AA3AFF"/>
    <w:rsid w:val="00AA3DEE"/>
    <w:rsid w:val="00AA418F"/>
    <w:rsid w:val="00AA4263"/>
    <w:rsid w:val="00AA4344"/>
    <w:rsid w:val="00AA4595"/>
    <w:rsid w:val="00AA45EA"/>
    <w:rsid w:val="00AA4762"/>
    <w:rsid w:val="00AA48DF"/>
    <w:rsid w:val="00AA4D28"/>
    <w:rsid w:val="00AA50D6"/>
    <w:rsid w:val="00AA52E9"/>
    <w:rsid w:val="00AA573D"/>
    <w:rsid w:val="00AA5BA1"/>
    <w:rsid w:val="00AA5FAA"/>
    <w:rsid w:val="00AA6200"/>
    <w:rsid w:val="00AA6881"/>
    <w:rsid w:val="00AA68B4"/>
    <w:rsid w:val="00AA69FC"/>
    <w:rsid w:val="00AA6A5F"/>
    <w:rsid w:val="00AA6CBD"/>
    <w:rsid w:val="00AA7325"/>
    <w:rsid w:val="00AA7341"/>
    <w:rsid w:val="00AA78A8"/>
    <w:rsid w:val="00AA7B43"/>
    <w:rsid w:val="00AA7BC2"/>
    <w:rsid w:val="00AA7D59"/>
    <w:rsid w:val="00AA7DAF"/>
    <w:rsid w:val="00AA7F20"/>
    <w:rsid w:val="00AB02D3"/>
    <w:rsid w:val="00AB07C1"/>
    <w:rsid w:val="00AB0C3A"/>
    <w:rsid w:val="00AB0E2A"/>
    <w:rsid w:val="00AB0E86"/>
    <w:rsid w:val="00AB10DC"/>
    <w:rsid w:val="00AB11B6"/>
    <w:rsid w:val="00AB127F"/>
    <w:rsid w:val="00AB13CD"/>
    <w:rsid w:val="00AB14CC"/>
    <w:rsid w:val="00AB17F7"/>
    <w:rsid w:val="00AB1ACE"/>
    <w:rsid w:val="00AB1B6F"/>
    <w:rsid w:val="00AB1E0B"/>
    <w:rsid w:val="00AB1EC5"/>
    <w:rsid w:val="00AB244F"/>
    <w:rsid w:val="00AB24A5"/>
    <w:rsid w:val="00AB2638"/>
    <w:rsid w:val="00AB268C"/>
    <w:rsid w:val="00AB27D4"/>
    <w:rsid w:val="00AB2840"/>
    <w:rsid w:val="00AB2D01"/>
    <w:rsid w:val="00AB2D72"/>
    <w:rsid w:val="00AB2FF9"/>
    <w:rsid w:val="00AB30FE"/>
    <w:rsid w:val="00AB34D8"/>
    <w:rsid w:val="00AB35B8"/>
    <w:rsid w:val="00AB3A09"/>
    <w:rsid w:val="00AB3F24"/>
    <w:rsid w:val="00AB4620"/>
    <w:rsid w:val="00AB47D5"/>
    <w:rsid w:val="00AB4AC0"/>
    <w:rsid w:val="00AB4DFA"/>
    <w:rsid w:val="00AB4F65"/>
    <w:rsid w:val="00AB50BC"/>
    <w:rsid w:val="00AB53AB"/>
    <w:rsid w:val="00AB5712"/>
    <w:rsid w:val="00AB5EC1"/>
    <w:rsid w:val="00AB61A2"/>
    <w:rsid w:val="00AB651B"/>
    <w:rsid w:val="00AB652D"/>
    <w:rsid w:val="00AB66F7"/>
    <w:rsid w:val="00AB6C10"/>
    <w:rsid w:val="00AB6E7E"/>
    <w:rsid w:val="00AB6F28"/>
    <w:rsid w:val="00AB7163"/>
    <w:rsid w:val="00AB7372"/>
    <w:rsid w:val="00AB7909"/>
    <w:rsid w:val="00AB7F9F"/>
    <w:rsid w:val="00AC093B"/>
    <w:rsid w:val="00AC0A82"/>
    <w:rsid w:val="00AC0BB2"/>
    <w:rsid w:val="00AC1321"/>
    <w:rsid w:val="00AC13E2"/>
    <w:rsid w:val="00AC140F"/>
    <w:rsid w:val="00AC14A9"/>
    <w:rsid w:val="00AC1612"/>
    <w:rsid w:val="00AC165C"/>
    <w:rsid w:val="00AC2049"/>
    <w:rsid w:val="00AC20CC"/>
    <w:rsid w:val="00AC24FC"/>
    <w:rsid w:val="00AC25AE"/>
    <w:rsid w:val="00AC26F1"/>
    <w:rsid w:val="00AC2753"/>
    <w:rsid w:val="00AC2887"/>
    <w:rsid w:val="00AC2946"/>
    <w:rsid w:val="00AC2EE1"/>
    <w:rsid w:val="00AC3419"/>
    <w:rsid w:val="00AC34FC"/>
    <w:rsid w:val="00AC37BE"/>
    <w:rsid w:val="00AC387A"/>
    <w:rsid w:val="00AC3EB3"/>
    <w:rsid w:val="00AC47B9"/>
    <w:rsid w:val="00AC4948"/>
    <w:rsid w:val="00AC4F0C"/>
    <w:rsid w:val="00AC5082"/>
    <w:rsid w:val="00AC52BA"/>
    <w:rsid w:val="00AC589B"/>
    <w:rsid w:val="00AC5CEF"/>
    <w:rsid w:val="00AC5EEB"/>
    <w:rsid w:val="00AC60F7"/>
    <w:rsid w:val="00AC67B4"/>
    <w:rsid w:val="00AC6964"/>
    <w:rsid w:val="00AC69F0"/>
    <w:rsid w:val="00AC6A55"/>
    <w:rsid w:val="00AC6BF0"/>
    <w:rsid w:val="00AC6E2E"/>
    <w:rsid w:val="00AC7464"/>
    <w:rsid w:val="00AC7A82"/>
    <w:rsid w:val="00AC7C03"/>
    <w:rsid w:val="00AC7D16"/>
    <w:rsid w:val="00AD01FC"/>
    <w:rsid w:val="00AD0876"/>
    <w:rsid w:val="00AD0E6A"/>
    <w:rsid w:val="00AD1513"/>
    <w:rsid w:val="00AD151B"/>
    <w:rsid w:val="00AD1568"/>
    <w:rsid w:val="00AD16F8"/>
    <w:rsid w:val="00AD179A"/>
    <w:rsid w:val="00AD1A7C"/>
    <w:rsid w:val="00AD1B32"/>
    <w:rsid w:val="00AD1D71"/>
    <w:rsid w:val="00AD235A"/>
    <w:rsid w:val="00AD2AFC"/>
    <w:rsid w:val="00AD2BEB"/>
    <w:rsid w:val="00AD2C53"/>
    <w:rsid w:val="00AD2C85"/>
    <w:rsid w:val="00AD2CFE"/>
    <w:rsid w:val="00AD2D28"/>
    <w:rsid w:val="00AD2D3E"/>
    <w:rsid w:val="00AD2EBC"/>
    <w:rsid w:val="00AD3439"/>
    <w:rsid w:val="00AD3835"/>
    <w:rsid w:val="00AD3D4E"/>
    <w:rsid w:val="00AD3D85"/>
    <w:rsid w:val="00AD4023"/>
    <w:rsid w:val="00AD4561"/>
    <w:rsid w:val="00AD4800"/>
    <w:rsid w:val="00AD48BB"/>
    <w:rsid w:val="00AD4B82"/>
    <w:rsid w:val="00AD4C34"/>
    <w:rsid w:val="00AD4EF8"/>
    <w:rsid w:val="00AD506C"/>
    <w:rsid w:val="00AD5125"/>
    <w:rsid w:val="00AD553A"/>
    <w:rsid w:val="00AD58F6"/>
    <w:rsid w:val="00AD5A40"/>
    <w:rsid w:val="00AD5AE1"/>
    <w:rsid w:val="00AD5F3A"/>
    <w:rsid w:val="00AD6218"/>
    <w:rsid w:val="00AD62A8"/>
    <w:rsid w:val="00AD68A3"/>
    <w:rsid w:val="00AD6A74"/>
    <w:rsid w:val="00AD6AA7"/>
    <w:rsid w:val="00AD7155"/>
    <w:rsid w:val="00AD7233"/>
    <w:rsid w:val="00AD75E3"/>
    <w:rsid w:val="00AD7887"/>
    <w:rsid w:val="00AD7973"/>
    <w:rsid w:val="00AD7AAA"/>
    <w:rsid w:val="00AD7DB5"/>
    <w:rsid w:val="00AD7FB5"/>
    <w:rsid w:val="00AD7FE2"/>
    <w:rsid w:val="00AE021D"/>
    <w:rsid w:val="00AE0261"/>
    <w:rsid w:val="00AE032E"/>
    <w:rsid w:val="00AE0528"/>
    <w:rsid w:val="00AE0677"/>
    <w:rsid w:val="00AE06AF"/>
    <w:rsid w:val="00AE0F9A"/>
    <w:rsid w:val="00AE147F"/>
    <w:rsid w:val="00AE14F3"/>
    <w:rsid w:val="00AE1ADE"/>
    <w:rsid w:val="00AE1BEB"/>
    <w:rsid w:val="00AE1D36"/>
    <w:rsid w:val="00AE2503"/>
    <w:rsid w:val="00AE2543"/>
    <w:rsid w:val="00AE2F4E"/>
    <w:rsid w:val="00AE31AA"/>
    <w:rsid w:val="00AE35FC"/>
    <w:rsid w:val="00AE383A"/>
    <w:rsid w:val="00AE3BFE"/>
    <w:rsid w:val="00AE3C12"/>
    <w:rsid w:val="00AE3EF3"/>
    <w:rsid w:val="00AE3FAB"/>
    <w:rsid w:val="00AE3FD2"/>
    <w:rsid w:val="00AE42C5"/>
    <w:rsid w:val="00AE4700"/>
    <w:rsid w:val="00AE481B"/>
    <w:rsid w:val="00AE4C82"/>
    <w:rsid w:val="00AE5143"/>
    <w:rsid w:val="00AE54C9"/>
    <w:rsid w:val="00AE5739"/>
    <w:rsid w:val="00AE5B99"/>
    <w:rsid w:val="00AE5B9E"/>
    <w:rsid w:val="00AE5C80"/>
    <w:rsid w:val="00AE5E3D"/>
    <w:rsid w:val="00AE6242"/>
    <w:rsid w:val="00AE62BC"/>
    <w:rsid w:val="00AE63B6"/>
    <w:rsid w:val="00AE64FC"/>
    <w:rsid w:val="00AE6C39"/>
    <w:rsid w:val="00AE746C"/>
    <w:rsid w:val="00AE74E3"/>
    <w:rsid w:val="00AE7BC0"/>
    <w:rsid w:val="00AE7C53"/>
    <w:rsid w:val="00AE7CEE"/>
    <w:rsid w:val="00AE7D83"/>
    <w:rsid w:val="00AE7F7A"/>
    <w:rsid w:val="00AF0468"/>
    <w:rsid w:val="00AF07D9"/>
    <w:rsid w:val="00AF083E"/>
    <w:rsid w:val="00AF0AE8"/>
    <w:rsid w:val="00AF1455"/>
    <w:rsid w:val="00AF17AD"/>
    <w:rsid w:val="00AF18A7"/>
    <w:rsid w:val="00AF1A9C"/>
    <w:rsid w:val="00AF1AAE"/>
    <w:rsid w:val="00AF2036"/>
    <w:rsid w:val="00AF243D"/>
    <w:rsid w:val="00AF246E"/>
    <w:rsid w:val="00AF247C"/>
    <w:rsid w:val="00AF26D5"/>
    <w:rsid w:val="00AF2AF4"/>
    <w:rsid w:val="00AF2B6F"/>
    <w:rsid w:val="00AF2D3C"/>
    <w:rsid w:val="00AF2F4B"/>
    <w:rsid w:val="00AF2F79"/>
    <w:rsid w:val="00AF3D8E"/>
    <w:rsid w:val="00AF3FA0"/>
    <w:rsid w:val="00AF4216"/>
    <w:rsid w:val="00AF42B0"/>
    <w:rsid w:val="00AF43A2"/>
    <w:rsid w:val="00AF4616"/>
    <w:rsid w:val="00AF47A0"/>
    <w:rsid w:val="00AF4881"/>
    <w:rsid w:val="00AF4A55"/>
    <w:rsid w:val="00AF4D90"/>
    <w:rsid w:val="00AF4F82"/>
    <w:rsid w:val="00AF519E"/>
    <w:rsid w:val="00AF55C1"/>
    <w:rsid w:val="00AF561A"/>
    <w:rsid w:val="00AF5981"/>
    <w:rsid w:val="00AF5F2E"/>
    <w:rsid w:val="00AF5F95"/>
    <w:rsid w:val="00AF5F9A"/>
    <w:rsid w:val="00AF5FD2"/>
    <w:rsid w:val="00AF6169"/>
    <w:rsid w:val="00AF64D2"/>
    <w:rsid w:val="00AF68DF"/>
    <w:rsid w:val="00AF68FC"/>
    <w:rsid w:val="00AF6B65"/>
    <w:rsid w:val="00AF6FA0"/>
    <w:rsid w:val="00AF75B7"/>
    <w:rsid w:val="00AF75F9"/>
    <w:rsid w:val="00AF776A"/>
    <w:rsid w:val="00AF7CB2"/>
    <w:rsid w:val="00AF7D4B"/>
    <w:rsid w:val="00B00603"/>
    <w:rsid w:val="00B0071C"/>
    <w:rsid w:val="00B00B4F"/>
    <w:rsid w:val="00B00BC7"/>
    <w:rsid w:val="00B00C56"/>
    <w:rsid w:val="00B00E89"/>
    <w:rsid w:val="00B011F6"/>
    <w:rsid w:val="00B014FA"/>
    <w:rsid w:val="00B0161F"/>
    <w:rsid w:val="00B01688"/>
    <w:rsid w:val="00B01782"/>
    <w:rsid w:val="00B018A1"/>
    <w:rsid w:val="00B0195F"/>
    <w:rsid w:val="00B019E2"/>
    <w:rsid w:val="00B01BB1"/>
    <w:rsid w:val="00B020ED"/>
    <w:rsid w:val="00B0220E"/>
    <w:rsid w:val="00B02637"/>
    <w:rsid w:val="00B02951"/>
    <w:rsid w:val="00B0299D"/>
    <w:rsid w:val="00B02A23"/>
    <w:rsid w:val="00B02D96"/>
    <w:rsid w:val="00B02D9A"/>
    <w:rsid w:val="00B0334A"/>
    <w:rsid w:val="00B03386"/>
    <w:rsid w:val="00B03D1C"/>
    <w:rsid w:val="00B03E21"/>
    <w:rsid w:val="00B04061"/>
    <w:rsid w:val="00B04121"/>
    <w:rsid w:val="00B0451F"/>
    <w:rsid w:val="00B048D3"/>
    <w:rsid w:val="00B04962"/>
    <w:rsid w:val="00B054EA"/>
    <w:rsid w:val="00B05A21"/>
    <w:rsid w:val="00B05AEE"/>
    <w:rsid w:val="00B05CE4"/>
    <w:rsid w:val="00B05F13"/>
    <w:rsid w:val="00B061CD"/>
    <w:rsid w:val="00B06205"/>
    <w:rsid w:val="00B06471"/>
    <w:rsid w:val="00B06573"/>
    <w:rsid w:val="00B0672E"/>
    <w:rsid w:val="00B067A2"/>
    <w:rsid w:val="00B06976"/>
    <w:rsid w:val="00B069C0"/>
    <w:rsid w:val="00B06A18"/>
    <w:rsid w:val="00B06C68"/>
    <w:rsid w:val="00B06D63"/>
    <w:rsid w:val="00B0728E"/>
    <w:rsid w:val="00B075D9"/>
    <w:rsid w:val="00B076ED"/>
    <w:rsid w:val="00B0780A"/>
    <w:rsid w:val="00B07AFD"/>
    <w:rsid w:val="00B1001E"/>
    <w:rsid w:val="00B1018F"/>
    <w:rsid w:val="00B1023F"/>
    <w:rsid w:val="00B102B9"/>
    <w:rsid w:val="00B1030F"/>
    <w:rsid w:val="00B1046E"/>
    <w:rsid w:val="00B10ACD"/>
    <w:rsid w:val="00B10C7F"/>
    <w:rsid w:val="00B10D65"/>
    <w:rsid w:val="00B116A1"/>
    <w:rsid w:val="00B118C8"/>
    <w:rsid w:val="00B11AB8"/>
    <w:rsid w:val="00B12041"/>
    <w:rsid w:val="00B122B6"/>
    <w:rsid w:val="00B126F2"/>
    <w:rsid w:val="00B130E8"/>
    <w:rsid w:val="00B1338D"/>
    <w:rsid w:val="00B1341C"/>
    <w:rsid w:val="00B13D5C"/>
    <w:rsid w:val="00B13EC7"/>
    <w:rsid w:val="00B14306"/>
    <w:rsid w:val="00B14454"/>
    <w:rsid w:val="00B14741"/>
    <w:rsid w:val="00B14794"/>
    <w:rsid w:val="00B14DC2"/>
    <w:rsid w:val="00B14FAB"/>
    <w:rsid w:val="00B14FB2"/>
    <w:rsid w:val="00B15271"/>
    <w:rsid w:val="00B154F5"/>
    <w:rsid w:val="00B155DF"/>
    <w:rsid w:val="00B155FF"/>
    <w:rsid w:val="00B1572A"/>
    <w:rsid w:val="00B15D14"/>
    <w:rsid w:val="00B1609E"/>
    <w:rsid w:val="00B162DD"/>
    <w:rsid w:val="00B163FE"/>
    <w:rsid w:val="00B1682B"/>
    <w:rsid w:val="00B16B2C"/>
    <w:rsid w:val="00B172C5"/>
    <w:rsid w:val="00B17490"/>
    <w:rsid w:val="00B17618"/>
    <w:rsid w:val="00B176B2"/>
    <w:rsid w:val="00B17BD7"/>
    <w:rsid w:val="00B204A6"/>
    <w:rsid w:val="00B204BE"/>
    <w:rsid w:val="00B20502"/>
    <w:rsid w:val="00B21B72"/>
    <w:rsid w:val="00B21C36"/>
    <w:rsid w:val="00B22237"/>
    <w:rsid w:val="00B222A0"/>
    <w:rsid w:val="00B22386"/>
    <w:rsid w:val="00B2246D"/>
    <w:rsid w:val="00B228EA"/>
    <w:rsid w:val="00B22D74"/>
    <w:rsid w:val="00B22EED"/>
    <w:rsid w:val="00B23247"/>
    <w:rsid w:val="00B2334F"/>
    <w:rsid w:val="00B23569"/>
    <w:rsid w:val="00B237EE"/>
    <w:rsid w:val="00B23B29"/>
    <w:rsid w:val="00B23D74"/>
    <w:rsid w:val="00B23EDB"/>
    <w:rsid w:val="00B23F76"/>
    <w:rsid w:val="00B2412D"/>
    <w:rsid w:val="00B2430C"/>
    <w:rsid w:val="00B24661"/>
    <w:rsid w:val="00B24669"/>
    <w:rsid w:val="00B24856"/>
    <w:rsid w:val="00B248EE"/>
    <w:rsid w:val="00B249CA"/>
    <w:rsid w:val="00B24A6E"/>
    <w:rsid w:val="00B24AAE"/>
    <w:rsid w:val="00B24C90"/>
    <w:rsid w:val="00B24D41"/>
    <w:rsid w:val="00B24FD9"/>
    <w:rsid w:val="00B24FFB"/>
    <w:rsid w:val="00B2563D"/>
    <w:rsid w:val="00B2581C"/>
    <w:rsid w:val="00B259B5"/>
    <w:rsid w:val="00B259E1"/>
    <w:rsid w:val="00B26356"/>
    <w:rsid w:val="00B2692B"/>
    <w:rsid w:val="00B26956"/>
    <w:rsid w:val="00B269D8"/>
    <w:rsid w:val="00B26DAF"/>
    <w:rsid w:val="00B2708D"/>
    <w:rsid w:val="00B277B7"/>
    <w:rsid w:val="00B27955"/>
    <w:rsid w:val="00B279F8"/>
    <w:rsid w:val="00B27A16"/>
    <w:rsid w:val="00B27B14"/>
    <w:rsid w:val="00B27D27"/>
    <w:rsid w:val="00B3009B"/>
    <w:rsid w:val="00B3056B"/>
    <w:rsid w:val="00B30B1F"/>
    <w:rsid w:val="00B30C8B"/>
    <w:rsid w:val="00B31695"/>
    <w:rsid w:val="00B3183F"/>
    <w:rsid w:val="00B31C19"/>
    <w:rsid w:val="00B31F15"/>
    <w:rsid w:val="00B31FF2"/>
    <w:rsid w:val="00B324AA"/>
    <w:rsid w:val="00B3278F"/>
    <w:rsid w:val="00B33808"/>
    <w:rsid w:val="00B338F1"/>
    <w:rsid w:val="00B33AFB"/>
    <w:rsid w:val="00B33D91"/>
    <w:rsid w:val="00B33FB2"/>
    <w:rsid w:val="00B34A5C"/>
    <w:rsid w:val="00B34AD7"/>
    <w:rsid w:val="00B3552C"/>
    <w:rsid w:val="00B35731"/>
    <w:rsid w:val="00B35926"/>
    <w:rsid w:val="00B36028"/>
    <w:rsid w:val="00B3618C"/>
    <w:rsid w:val="00B367FD"/>
    <w:rsid w:val="00B36AE0"/>
    <w:rsid w:val="00B37669"/>
    <w:rsid w:val="00B3768D"/>
    <w:rsid w:val="00B377D0"/>
    <w:rsid w:val="00B379E9"/>
    <w:rsid w:val="00B37AEC"/>
    <w:rsid w:val="00B37BB7"/>
    <w:rsid w:val="00B37D54"/>
    <w:rsid w:val="00B40338"/>
    <w:rsid w:val="00B40457"/>
    <w:rsid w:val="00B40570"/>
    <w:rsid w:val="00B40912"/>
    <w:rsid w:val="00B409E7"/>
    <w:rsid w:val="00B40AC8"/>
    <w:rsid w:val="00B410ED"/>
    <w:rsid w:val="00B41242"/>
    <w:rsid w:val="00B41484"/>
    <w:rsid w:val="00B416D4"/>
    <w:rsid w:val="00B417D8"/>
    <w:rsid w:val="00B418EF"/>
    <w:rsid w:val="00B41A0A"/>
    <w:rsid w:val="00B41E06"/>
    <w:rsid w:val="00B41F48"/>
    <w:rsid w:val="00B42AD7"/>
    <w:rsid w:val="00B42DDD"/>
    <w:rsid w:val="00B4311A"/>
    <w:rsid w:val="00B439C9"/>
    <w:rsid w:val="00B43B46"/>
    <w:rsid w:val="00B43B69"/>
    <w:rsid w:val="00B43F2B"/>
    <w:rsid w:val="00B43F95"/>
    <w:rsid w:val="00B44126"/>
    <w:rsid w:val="00B4438E"/>
    <w:rsid w:val="00B444EB"/>
    <w:rsid w:val="00B44698"/>
    <w:rsid w:val="00B4491E"/>
    <w:rsid w:val="00B452A5"/>
    <w:rsid w:val="00B4558A"/>
    <w:rsid w:val="00B45BF4"/>
    <w:rsid w:val="00B45D2D"/>
    <w:rsid w:val="00B45FE2"/>
    <w:rsid w:val="00B46164"/>
    <w:rsid w:val="00B46472"/>
    <w:rsid w:val="00B466ED"/>
    <w:rsid w:val="00B46898"/>
    <w:rsid w:val="00B46C4A"/>
    <w:rsid w:val="00B46C68"/>
    <w:rsid w:val="00B46C7E"/>
    <w:rsid w:val="00B46DEB"/>
    <w:rsid w:val="00B46FE0"/>
    <w:rsid w:val="00B472B1"/>
    <w:rsid w:val="00B47A32"/>
    <w:rsid w:val="00B47F83"/>
    <w:rsid w:val="00B501BE"/>
    <w:rsid w:val="00B5034E"/>
    <w:rsid w:val="00B507FB"/>
    <w:rsid w:val="00B50969"/>
    <w:rsid w:val="00B5096A"/>
    <w:rsid w:val="00B50D58"/>
    <w:rsid w:val="00B51194"/>
    <w:rsid w:val="00B5154C"/>
    <w:rsid w:val="00B517BA"/>
    <w:rsid w:val="00B517EB"/>
    <w:rsid w:val="00B518AC"/>
    <w:rsid w:val="00B51D3E"/>
    <w:rsid w:val="00B52506"/>
    <w:rsid w:val="00B527CF"/>
    <w:rsid w:val="00B52A7D"/>
    <w:rsid w:val="00B52BA4"/>
    <w:rsid w:val="00B53112"/>
    <w:rsid w:val="00B53490"/>
    <w:rsid w:val="00B5351A"/>
    <w:rsid w:val="00B536A4"/>
    <w:rsid w:val="00B53A73"/>
    <w:rsid w:val="00B53A90"/>
    <w:rsid w:val="00B53B2F"/>
    <w:rsid w:val="00B53CBD"/>
    <w:rsid w:val="00B53EAC"/>
    <w:rsid w:val="00B53F1F"/>
    <w:rsid w:val="00B54316"/>
    <w:rsid w:val="00B54824"/>
    <w:rsid w:val="00B548B5"/>
    <w:rsid w:val="00B54988"/>
    <w:rsid w:val="00B54DF8"/>
    <w:rsid w:val="00B54E41"/>
    <w:rsid w:val="00B555A1"/>
    <w:rsid w:val="00B55663"/>
    <w:rsid w:val="00B5570D"/>
    <w:rsid w:val="00B55941"/>
    <w:rsid w:val="00B55A35"/>
    <w:rsid w:val="00B56035"/>
    <w:rsid w:val="00B560F3"/>
    <w:rsid w:val="00B561DA"/>
    <w:rsid w:val="00B56356"/>
    <w:rsid w:val="00B56429"/>
    <w:rsid w:val="00B56579"/>
    <w:rsid w:val="00B565BF"/>
    <w:rsid w:val="00B566CB"/>
    <w:rsid w:val="00B567B4"/>
    <w:rsid w:val="00B56C09"/>
    <w:rsid w:val="00B56C18"/>
    <w:rsid w:val="00B56E8A"/>
    <w:rsid w:val="00B57213"/>
    <w:rsid w:val="00B57230"/>
    <w:rsid w:val="00B572B8"/>
    <w:rsid w:val="00B57415"/>
    <w:rsid w:val="00B57503"/>
    <w:rsid w:val="00B5778E"/>
    <w:rsid w:val="00B577F1"/>
    <w:rsid w:val="00B57909"/>
    <w:rsid w:val="00B57A09"/>
    <w:rsid w:val="00B60010"/>
    <w:rsid w:val="00B602FB"/>
    <w:rsid w:val="00B6067E"/>
    <w:rsid w:val="00B607D4"/>
    <w:rsid w:val="00B60874"/>
    <w:rsid w:val="00B608EF"/>
    <w:rsid w:val="00B60BA1"/>
    <w:rsid w:val="00B60DE4"/>
    <w:rsid w:val="00B61121"/>
    <w:rsid w:val="00B61473"/>
    <w:rsid w:val="00B61531"/>
    <w:rsid w:val="00B61AA0"/>
    <w:rsid w:val="00B61E09"/>
    <w:rsid w:val="00B61F95"/>
    <w:rsid w:val="00B61F9C"/>
    <w:rsid w:val="00B62033"/>
    <w:rsid w:val="00B62987"/>
    <w:rsid w:val="00B62FE3"/>
    <w:rsid w:val="00B63060"/>
    <w:rsid w:val="00B63884"/>
    <w:rsid w:val="00B639AB"/>
    <w:rsid w:val="00B63A5F"/>
    <w:rsid w:val="00B63C3F"/>
    <w:rsid w:val="00B641E1"/>
    <w:rsid w:val="00B6421B"/>
    <w:rsid w:val="00B64220"/>
    <w:rsid w:val="00B64512"/>
    <w:rsid w:val="00B64920"/>
    <w:rsid w:val="00B64A8F"/>
    <w:rsid w:val="00B64DD4"/>
    <w:rsid w:val="00B6530A"/>
    <w:rsid w:val="00B653DF"/>
    <w:rsid w:val="00B6566A"/>
    <w:rsid w:val="00B6570D"/>
    <w:rsid w:val="00B65872"/>
    <w:rsid w:val="00B65D1F"/>
    <w:rsid w:val="00B65F17"/>
    <w:rsid w:val="00B660A1"/>
    <w:rsid w:val="00B66396"/>
    <w:rsid w:val="00B66630"/>
    <w:rsid w:val="00B66980"/>
    <w:rsid w:val="00B66BE4"/>
    <w:rsid w:val="00B66D91"/>
    <w:rsid w:val="00B66E1D"/>
    <w:rsid w:val="00B66F64"/>
    <w:rsid w:val="00B670F8"/>
    <w:rsid w:val="00B67143"/>
    <w:rsid w:val="00B67291"/>
    <w:rsid w:val="00B6733A"/>
    <w:rsid w:val="00B674D5"/>
    <w:rsid w:val="00B67764"/>
    <w:rsid w:val="00B67DF3"/>
    <w:rsid w:val="00B67E5C"/>
    <w:rsid w:val="00B7022A"/>
    <w:rsid w:val="00B70338"/>
    <w:rsid w:val="00B70642"/>
    <w:rsid w:val="00B7080A"/>
    <w:rsid w:val="00B70827"/>
    <w:rsid w:val="00B70E04"/>
    <w:rsid w:val="00B7109C"/>
    <w:rsid w:val="00B711EB"/>
    <w:rsid w:val="00B713BC"/>
    <w:rsid w:val="00B7142D"/>
    <w:rsid w:val="00B71EEF"/>
    <w:rsid w:val="00B71F05"/>
    <w:rsid w:val="00B72086"/>
    <w:rsid w:val="00B72164"/>
    <w:rsid w:val="00B7262C"/>
    <w:rsid w:val="00B7271D"/>
    <w:rsid w:val="00B72E75"/>
    <w:rsid w:val="00B732B5"/>
    <w:rsid w:val="00B7363D"/>
    <w:rsid w:val="00B736C8"/>
    <w:rsid w:val="00B73C03"/>
    <w:rsid w:val="00B73EA1"/>
    <w:rsid w:val="00B74252"/>
    <w:rsid w:val="00B74268"/>
    <w:rsid w:val="00B74495"/>
    <w:rsid w:val="00B7490C"/>
    <w:rsid w:val="00B74AA1"/>
    <w:rsid w:val="00B74E5D"/>
    <w:rsid w:val="00B74FAF"/>
    <w:rsid w:val="00B755D6"/>
    <w:rsid w:val="00B7569D"/>
    <w:rsid w:val="00B75C4E"/>
    <w:rsid w:val="00B75D2F"/>
    <w:rsid w:val="00B75D92"/>
    <w:rsid w:val="00B75FA5"/>
    <w:rsid w:val="00B75FB0"/>
    <w:rsid w:val="00B76738"/>
    <w:rsid w:val="00B76764"/>
    <w:rsid w:val="00B771E8"/>
    <w:rsid w:val="00B77762"/>
    <w:rsid w:val="00B77BE4"/>
    <w:rsid w:val="00B77CE7"/>
    <w:rsid w:val="00B800AF"/>
    <w:rsid w:val="00B8049C"/>
    <w:rsid w:val="00B804D3"/>
    <w:rsid w:val="00B8053E"/>
    <w:rsid w:val="00B80603"/>
    <w:rsid w:val="00B8062A"/>
    <w:rsid w:val="00B80AB2"/>
    <w:rsid w:val="00B82128"/>
    <w:rsid w:val="00B8266A"/>
    <w:rsid w:val="00B82774"/>
    <w:rsid w:val="00B82993"/>
    <w:rsid w:val="00B8384E"/>
    <w:rsid w:val="00B83B48"/>
    <w:rsid w:val="00B83E40"/>
    <w:rsid w:val="00B840A6"/>
    <w:rsid w:val="00B84196"/>
    <w:rsid w:val="00B84410"/>
    <w:rsid w:val="00B84687"/>
    <w:rsid w:val="00B84768"/>
    <w:rsid w:val="00B849A4"/>
    <w:rsid w:val="00B84F47"/>
    <w:rsid w:val="00B84FA1"/>
    <w:rsid w:val="00B850D3"/>
    <w:rsid w:val="00B8543B"/>
    <w:rsid w:val="00B85C3E"/>
    <w:rsid w:val="00B85CE9"/>
    <w:rsid w:val="00B86021"/>
    <w:rsid w:val="00B864A1"/>
    <w:rsid w:val="00B865C3"/>
    <w:rsid w:val="00B8665E"/>
    <w:rsid w:val="00B86720"/>
    <w:rsid w:val="00B870FA"/>
    <w:rsid w:val="00B87805"/>
    <w:rsid w:val="00B87B98"/>
    <w:rsid w:val="00B87DFC"/>
    <w:rsid w:val="00B901A8"/>
    <w:rsid w:val="00B901DC"/>
    <w:rsid w:val="00B90872"/>
    <w:rsid w:val="00B908C7"/>
    <w:rsid w:val="00B91087"/>
    <w:rsid w:val="00B916C9"/>
    <w:rsid w:val="00B9171E"/>
    <w:rsid w:val="00B92024"/>
    <w:rsid w:val="00B92070"/>
    <w:rsid w:val="00B9244C"/>
    <w:rsid w:val="00B92465"/>
    <w:rsid w:val="00B924DB"/>
    <w:rsid w:val="00B926C5"/>
    <w:rsid w:val="00B92A02"/>
    <w:rsid w:val="00B92A86"/>
    <w:rsid w:val="00B92BC0"/>
    <w:rsid w:val="00B92D29"/>
    <w:rsid w:val="00B92F08"/>
    <w:rsid w:val="00B93531"/>
    <w:rsid w:val="00B93641"/>
    <w:rsid w:val="00B936B5"/>
    <w:rsid w:val="00B93D83"/>
    <w:rsid w:val="00B93E32"/>
    <w:rsid w:val="00B93FBD"/>
    <w:rsid w:val="00B94059"/>
    <w:rsid w:val="00B940D2"/>
    <w:rsid w:val="00B94417"/>
    <w:rsid w:val="00B94573"/>
    <w:rsid w:val="00B947CF"/>
    <w:rsid w:val="00B94CEA"/>
    <w:rsid w:val="00B95756"/>
    <w:rsid w:val="00B958D4"/>
    <w:rsid w:val="00B95B50"/>
    <w:rsid w:val="00B95C17"/>
    <w:rsid w:val="00B96021"/>
    <w:rsid w:val="00B9611C"/>
    <w:rsid w:val="00B96627"/>
    <w:rsid w:val="00B96780"/>
    <w:rsid w:val="00B967BB"/>
    <w:rsid w:val="00B967D3"/>
    <w:rsid w:val="00B96841"/>
    <w:rsid w:val="00B96BD0"/>
    <w:rsid w:val="00B96D64"/>
    <w:rsid w:val="00B96EE3"/>
    <w:rsid w:val="00B96FC2"/>
    <w:rsid w:val="00B971D0"/>
    <w:rsid w:val="00B97F56"/>
    <w:rsid w:val="00BA0309"/>
    <w:rsid w:val="00BA0698"/>
    <w:rsid w:val="00BA0A04"/>
    <w:rsid w:val="00BA12F6"/>
    <w:rsid w:val="00BA154B"/>
    <w:rsid w:val="00BA21B4"/>
    <w:rsid w:val="00BA2242"/>
    <w:rsid w:val="00BA22F0"/>
    <w:rsid w:val="00BA24D1"/>
    <w:rsid w:val="00BA2642"/>
    <w:rsid w:val="00BA2783"/>
    <w:rsid w:val="00BA2D08"/>
    <w:rsid w:val="00BA2E4C"/>
    <w:rsid w:val="00BA2FA6"/>
    <w:rsid w:val="00BA35D7"/>
    <w:rsid w:val="00BA35E2"/>
    <w:rsid w:val="00BA3667"/>
    <w:rsid w:val="00BA386B"/>
    <w:rsid w:val="00BA38DE"/>
    <w:rsid w:val="00BA3BBC"/>
    <w:rsid w:val="00BA3C8C"/>
    <w:rsid w:val="00BA3DE0"/>
    <w:rsid w:val="00BA4099"/>
    <w:rsid w:val="00BA4115"/>
    <w:rsid w:val="00BA4127"/>
    <w:rsid w:val="00BA437B"/>
    <w:rsid w:val="00BA4BC2"/>
    <w:rsid w:val="00BA4FDA"/>
    <w:rsid w:val="00BA52FD"/>
    <w:rsid w:val="00BA5391"/>
    <w:rsid w:val="00BA53A6"/>
    <w:rsid w:val="00BA5AC8"/>
    <w:rsid w:val="00BA6521"/>
    <w:rsid w:val="00BA69E8"/>
    <w:rsid w:val="00BA6A0B"/>
    <w:rsid w:val="00BA6B54"/>
    <w:rsid w:val="00BA6C92"/>
    <w:rsid w:val="00BA6C99"/>
    <w:rsid w:val="00BA6F27"/>
    <w:rsid w:val="00BA6F5E"/>
    <w:rsid w:val="00BA72CE"/>
    <w:rsid w:val="00BA7939"/>
    <w:rsid w:val="00BA7A31"/>
    <w:rsid w:val="00BA7B85"/>
    <w:rsid w:val="00BA7B9A"/>
    <w:rsid w:val="00BA7E1B"/>
    <w:rsid w:val="00BB0005"/>
    <w:rsid w:val="00BB008E"/>
    <w:rsid w:val="00BB04D4"/>
    <w:rsid w:val="00BB06FF"/>
    <w:rsid w:val="00BB09B3"/>
    <w:rsid w:val="00BB0DB8"/>
    <w:rsid w:val="00BB0E28"/>
    <w:rsid w:val="00BB1517"/>
    <w:rsid w:val="00BB1934"/>
    <w:rsid w:val="00BB22E7"/>
    <w:rsid w:val="00BB23D2"/>
    <w:rsid w:val="00BB2503"/>
    <w:rsid w:val="00BB2ED4"/>
    <w:rsid w:val="00BB2F41"/>
    <w:rsid w:val="00BB306B"/>
    <w:rsid w:val="00BB32C9"/>
    <w:rsid w:val="00BB32FD"/>
    <w:rsid w:val="00BB33BE"/>
    <w:rsid w:val="00BB3978"/>
    <w:rsid w:val="00BB43C5"/>
    <w:rsid w:val="00BB46CF"/>
    <w:rsid w:val="00BB49CB"/>
    <w:rsid w:val="00BB4F5B"/>
    <w:rsid w:val="00BB547B"/>
    <w:rsid w:val="00BB5559"/>
    <w:rsid w:val="00BB60EF"/>
    <w:rsid w:val="00BB61FE"/>
    <w:rsid w:val="00BB6327"/>
    <w:rsid w:val="00BB639A"/>
    <w:rsid w:val="00BB6B03"/>
    <w:rsid w:val="00BB6B06"/>
    <w:rsid w:val="00BB6DD3"/>
    <w:rsid w:val="00BB6EB4"/>
    <w:rsid w:val="00BB7638"/>
    <w:rsid w:val="00BB77D0"/>
    <w:rsid w:val="00BB7B4E"/>
    <w:rsid w:val="00BB7D3F"/>
    <w:rsid w:val="00BB7F82"/>
    <w:rsid w:val="00BC0240"/>
    <w:rsid w:val="00BC0415"/>
    <w:rsid w:val="00BC04CE"/>
    <w:rsid w:val="00BC0599"/>
    <w:rsid w:val="00BC07D6"/>
    <w:rsid w:val="00BC0824"/>
    <w:rsid w:val="00BC08C2"/>
    <w:rsid w:val="00BC0ABF"/>
    <w:rsid w:val="00BC0DED"/>
    <w:rsid w:val="00BC159E"/>
    <w:rsid w:val="00BC185D"/>
    <w:rsid w:val="00BC1C43"/>
    <w:rsid w:val="00BC1E8B"/>
    <w:rsid w:val="00BC1FA0"/>
    <w:rsid w:val="00BC223E"/>
    <w:rsid w:val="00BC2A35"/>
    <w:rsid w:val="00BC2DBE"/>
    <w:rsid w:val="00BC2E5B"/>
    <w:rsid w:val="00BC30D0"/>
    <w:rsid w:val="00BC3357"/>
    <w:rsid w:val="00BC36B7"/>
    <w:rsid w:val="00BC3A08"/>
    <w:rsid w:val="00BC3CC8"/>
    <w:rsid w:val="00BC3D65"/>
    <w:rsid w:val="00BC3F19"/>
    <w:rsid w:val="00BC3F4F"/>
    <w:rsid w:val="00BC3F7F"/>
    <w:rsid w:val="00BC3FFF"/>
    <w:rsid w:val="00BC46B2"/>
    <w:rsid w:val="00BC4A61"/>
    <w:rsid w:val="00BC4A9A"/>
    <w:rsid w:val="00BC4B11"/>
    <w:rsid w:val="00BC4D5B"/>
    <w:rsid w:val="00BC520B"/>
    <w:rsid w:val="00BC553B"/>
    <w:rsid w:val="00BC5813"/>
    <w:rsid w:val="00BC5B7A"/>
    <w:rsid w:val="00BC5F64"/>
    <w:rsid w:val="00BC5FD0"/>
    <w:rsid w:val="00BC61A6"/>
    <w:rsid w:val="00BC6455"/>
    <w:rsid w:val="00BC6613"/>
    <w:rsid w:val="00BC699C"/>
    <w:rsid w:val="00BC6FBD"/>
    <w:rsid w:val="00BC6FE6"/>
    <w:rsid w:val="00BC70C8"/>
    <w:rsid w:val="00BC71B7"/>
    <w:rsid w:val="00BC77AD"/>
    <w:rsid w:val="00BC7924"/>
    <w:rsid w:val="00BC79B5"/>
    <w:rsid w:val="00BC7EF1"/>
    <w:rsid w:val="00BD013F"/>
    <w:rsid w:val="00BD01AD"/>
    <w:rsid w:val="00BD036B"/>
    <w:rsid w:val="00BD0A35"/>
    <w:rsid w:val="00BD0C11"/>
    <w:rsid w:val="00BD0C75"/>
    <w:rsid w:val="00BD0E2B"/>
    <w:rsid w:val="00BD12F5"/>
    <w:rsid w:val="00BD13C3"/>
    <w:rsid w:val="00BD144B"/>
    <w:rsid w:val="00BD18AF"/>
    <w:rsid w:val="00BD194B"/>
    <w:rsid w:val="00BD1A07"/>
    <w:rsid w:val="00BD1A27"/>
    <w:rsid w:val="00BD20BF"/>
    <w:rsid w:val="00BD215E"/>
    <w:rsid w:val="00BD22A9"/>
    <w:rsid w:val="00BD231E"/>
    <w:rsid w:val="00BD2933"/>
    <w:rsid w:val="00BD2DC7"/>
    <w:rsid w:val="00BD2E37"/>
    <w:rsid w:val="00BD2F6C"/>
    <w:rsid w:val="00BD3124"/>
    <w:rsid w:val="00BD31A3"/>
    <w:rsid w:val="00BD332B"/>
    <w:rsid w:val="00BD3330"/>
    <w:rsid w:val="00BD3568"/>
    <w:rsid w:val="00BD3625"/>
    <w:rsid w:val="00BD3742"/>
    <w:rsid w:val="00BD39B9"/>
    <w:rsid w:val="00BD3E77"/>
    <w:rsid w:val="00BD40B3"/>
    <w:rsid w:val="00BD4140"/>
    <w:rsid w:val="00BD439A"/>
    <w:rsid w:val="00BD4797"/>
    <w:rsid w:val="00BD4869"/>
    <w:rsid w:val="00BD4AF5"/>
    <w:rsid w:val="00BD527F"/>
    <w:rsid w:val="00BD57AC"/>
    <w:rsid w:val="00BD5816"/>
    <w:rsid w:val="00BD59B9"/>
    <w:rsid w:val="00BD5AEC"/>
    <w:rsid w:val="00BD5CFB"/>
    <w:rsid w:val="00BD5F8A"/>
    <w:rsid w:val="00BD5F92"/>
    <w:rsid w:val="00BD620B"/>
    <w:rsid w:val="00BD63F9"/>
    <w:rsid w:val="00BD650C"/>
    <w:rsid w:val="00BD6550"/>
    <w:rsid w:val="00BD65A3"/>
    <w:rsid w:val="00BD65F3"/>
    <w:rsid w:val="00BD69A2"/>
    <w:rsid w:val="00BD6BF5"/>
    <w:rsid w:val="00BD6C83"/>
    <w:rsid w:val="00BD6EA1"/>
    <w:rsid w:val="00BD72E0"/>
    <w:rsid w:val="00BD75DE"/>
    <w:rsid w:val="00BD77AD"/>
    <w:rsid w:val="00BD77C3"/>
    <w:rsid w:val="00BD790B"/>
    <w:rsid w:val="00BD791B"/>
    <w:rsid w:val="00BD7B48"/>
    <w:rsid w:val="00BD7F6F"/>
    <w:rsid w:val="00BE008B"/>
    <w:rsid w:val="00BE0424"/>
    <w:rsid w:val="00BE0818"/>
    <w:rsid w:val="00BE0A5B"/>
    <w:rsid w:val="00BE0CFC"/>
    <w:rsid w:val="00BE1060"/>
    <w:rsid w:val="00BE14CA"/>
    <w:rsid w:val="00BE15A8"/>
    <w:rsid w:val="00BE161C"/>
    <w:rsid w:val="00BE19C7"/>
    <w:rsid w:val="00BE1ACB"/>
    <w:rsid w:val="00BE1D10"/>
    <w:rsid w:val="00BE220A"/>
    <w:rsid w:val="00BE2254"/>
    <w:rsid w:val="00BE2288"/>
    <w:rsid w:val="00BE2575"/>
    <w:rsid w:val="00BE2622"/>
    <w:rsid w:val="00BE26B3"/>
    <w:rsid w:val="00BE2726"/>
    <w:rsid w:val="00BE2D21"/>
    <w:rsid w:val="00BE2EF4"/>
    <w:rsid w:val="00BE30B2"/>
    <w:rsid w:val="00BE3164"/>
    <w:rsid w:val="00BE31A0"/>
    <w:rsid w:val="00BE31B6"/>
    <w:rsid w:val="00BE345F"/>
    <w:rsid w:val="00BE361C"/>
    <w:rsid w:val="00BE3AA7"/>
    <w:rsid w:val="00BE3B1D"/>
    <w:rsid w:val="00BE3E60"/>
    <w:rsid w:val="00BE42A3"/>
    <w:rsid w:val="00BE43C9"/>
    <w:rsid w:val="00BE4507"/>
    <w:rsid w:val="00BE4836"/>
    <w:rsid w:val="00BE4B43"/>
    <w:rsid w:val="00BE4D62"/>
    <w:rsid w:val="00BE53C4"/>
    <w:rsid w:val="00BE5690"/>
    <w:rsid w:val="00BE5762"/>
    <w:rsid w:val="00BE580E"/>
    <w:rsid w:val="00BE58E6"/>
    <w:rsid w:val="00BE5AC2"/>
    <w:rsid w:val="00BE5B19"/>
    <w:rsid w:val="00BE5D18"/>
    <w:rsid w:val="00BE5ECC"/>
    <w:rsid w:val="00BE6043"/>
    <w:rsid w:val="00BE677D"/>
    <w:rsid w:val="00BE6A1D"/>
    <w:rsid w:val="00BE6C9F"/>
    <w:rsid w:val="00BE70E8"/>
    <w:rsid w:val="00BE76EE"/>
    <w:rsid w:val="00BE7756"/>
    <w:rsid w:val="00BE7A96"/>
    <w:rsid w:val="00BF02C4"/>
    <w:rsid w:val="00BF0439"/>
    <w:rsid w:val="00BF08E5"/>
    <w:rsid w:val="00BF0ABE"/>
    <w:rsid w:val="00BF1385"/>
    <w:rsid w:val="00BF15EF"/>
    <w:rsid w:val="00BF1C20"/>
    <w:rsid w:val="00BF2457"/>
    <w:rsid w:val="00BF257A"/>
    <w:rsid w:val="00BF25A3"/>
    <w:rsid w:val="00BF28BB"/>
    <w:rsid w:val="00BF29B7"/>
    <w:rsid w:val="00BF2F1D"/>
    <w:rsid w:val="00BF3A90"/>
    <w:rsid w:val="00BF3C3C"/>
    <w:rsid w:val="00BF3D3B"/>
    <w:rsid w:val="00BF3DBD"/>
    <w:rsid w:val="00BF417B"/>
    <w:rsid w:val="00BF4412"/>
    <w:rsid w:val="00BF45A4"/>
    <w:rsid w:val="00BF4A73"/>
    <w:rsid w:val="00BF4D11"/>
    <w:rsid w:val="00BF51ED"/>
    <w:rsid w:val="00BF56CD"/>
    <w:rsid w:val="00BF5794"/>
    <w:rsid w:val="00BF5949"/>
    <w:rsid w:val="00BF5D74"/>
    <w:rsid w:val="00BF5FF8"/>
    <w:rsid w:val="00BF614A"/>
    <w:rsid w:val="00BF6401"/>
    <w:rsid w:val="00BF64D2"/>
    <w:rsid w:val="00BF6657"/>
    <w:rsid w:val="00BF6812"/>
    <w:rsid w:val="00BF6C8B"/>
    <w:rsid w:val="00BF6F5A"/>
    <w:rsid w:val="00BF70AA"/>
    <w:rsid w:val="00BF7848"/>
    <w:rsid w:val="00BF794C"/>
    <w:rsid w:val="00BF799B"/>
    <w:rsid w:val="00BF79C2"/>
    <w:rsid w:val="00BF7B37"/>
    <w:rsid w:val="00BF7CC4"/>
    <w:rsid w:val="00C004B0"/>
    <w:rsid w:val="00C00743"/>
    <w:rsid w:val="00C00894"/>
    <w:rsid w:val="00C013A1"/>
    <w:rsid w:val="00C01414"/>
    <w:rsid w:val="00C014CA"/>
    <w:rsid w:val="00C01A87"/>
    <w:rsid w:val="00C020AF"/>
    <w:rsid w:val="00C021A2"/>
    <w:rsid w:val="00C022DA"/>
    <w:rsid w:val="00C02400"/>
    <w:rsid w:val="00C02B07"/>
    <w:rsid w:val="00C02C43"/>
    <w:rsid w:val="00C033FE"/>
    <w:rsid w:val="00C035BA"/>
    <w:rsid w:val="00C03669"/>
    <w:rsid w:val="00C0460F"/>
    <w:rsid w:val="00C047CF"/>
    <w:rsid w:val="00C04CA0"/>
    <w:rsid w:val="00C04DC6"/>
    <w:rsid w:val="00C04E51"/>
    <w:rsid w:val="00C04E8B"/>
    <w:rsid w:val="00C04EAC"/>
    <w:rsid w:val="00C04F43"/>
    <w:rsid w:val="00C05BC7"/>
    <w:rsid w:val="00C05D21"/>
    <w:rsid w:val="00C05ECA"/>
    <w:rsid w:val="00C0616E"/>
    <w:rsid w:val="00C063D6"/>
    <w:rsid w:val="00C064CB"/>
    <w:rsid w:val="00C06617"/>
    <w:rsid w:val="00C0685E"/>
    <w:rsid w:val="00C07B4A"/>
    <w:rsid w:val="00C07E3D"/>
    <w:rsid w:val="00C10476"/>
    <w:rsid w:val="00C104E1"/>
    <w:rsid w:val="00C1066A"/>
    <w:rsid w:val="00C10D7B"/>
    <w:rsid w:val="00C1169E"/>
    <w:rsid w:val="00C11CA7"/>
    <w:rsid w:val="00C1223D"/>
    <w:rsid w:val="00C1293B"/>
    <w:rsid w:val="00C12B0E"/>
    <w:rsid w:val="00C12B68"/>
    <w:rsid w:val="00C12E37"/>
    <w:rsid w:val="00C12EF5"/>
    <w:rsid w:val="00C12F8D"/>
    <w:rsid w:val="00C13297"/>
    <w:rsid w:val="00C1371D"/>
    <w:rsid w:val="00C13CBB"/>
    <w:rsid w:val="00C13F4A"/>
    <w:rsid w:val="00C145F3"/>
    <w:rsid w:val="00C14B37"/>
    <w:rsid w:val="00C14D1E"/>
    <w:rsid w:val="00C14DEB"/>
    <w:rsid w:val="00C14EB2"/>
    <w:rsid w:val="00C1522B"/>
    <w:rsid w:val="00C1526A"/>
    <w:rsid w:val="00C154EB"/>
    <w:rsid w:val="00C1563F"/>
    <w:rsid w:val="00C15714"/>
    <w:rsid w:val="00C15ED5"/>
    <w:rsid w:val="00C16010"/>
    <w:rsid w:val="00C1645C"/>
    <w:rsid w:val="00C16816"/>
    <w:rsid w:val="00C16BA2"/>
    <w:rsid w:val="00C16CD4"/>
    <w:rsid w:val="00C17127"/>
    <w:rsid w:val="00C173AC"/>
    <w:rsid w:val="00C174A9"/>
    <w:rsid w:val="00C17555"/>
    <w:rsid w:val="00C17810"/>
    <w:rsid w:val="00C17A1E"/>
    <w:rsid w:val="00C17E8D"/>
    <w:rsid w:val="00C20525"/>
    <w:rsid w:val="00C2071D"/>
    <w:rsid w:val="00C20869"/>
    <w:rsid w:val="00C219ED"/>
    <w:rsid w:val="00C21A42"/>
    <w:rsid w:val="00C21A5E"/>
    <w:rsid w:val="00C21DBF"/>
    <w:rsid w:val="00C21E5C"/>
    <w:rsid w:val="00C21F4A"/>
    <w:rsid w:val="00C229C1"/>
    <w:rsid w:val="00C22AA9"/>
    <w:rsid w:val="00C22E86"/>
    <w:rsid w:val="00C22FF8"/>
    <w:rsid w:val="00C236AA"/>
    <w:rsid w:val="00C2376C"/>
    <w:rsid w:val="00C23936"/>
    <w:rsid w:val="00C23A43"/>
    <w:rsid w:val="00C23B19"/>
    <w:rsid w:val="00C240A1"/>
    <w:rsid w:val="00C24355"/>
    <w:rsid w:val="00C24424"/>
    <w:rsid w:val="00C245FA"/>
    <w:rsid w:val="00C249D1"/>
    <w:rsid w:val="00C24CD1"/>
    <w:rsid w:val="00C24CF4"/>
    <w:rsid w:val="00C24E72"/>
    <w:rsid w:val="00C25263"/>
    <w:rsid w:val="00C25448"/>
    <w:rsid w:val="00C25586"/>
    <w:rsid w:val="00C25661"/>
    <w:rsid w:val="00C25707"/>
    <w:rsid w:val="00C258F3"/>
    <w:rsid w:val="00C25A9E"/>
    <w:rsid w:val="00C25C3A"/>
    <w:rsid w:val="00C25C73"/>
    <w:rsid w:val="00C25FE1"/>
    <w:rsid w:val="00C26412"/>
    <w:rsid w:val="00C26B37"/>
    <w:rsid w:val="00C26D13"/>
    <w:rsid w:val="00C26DE7"/>
    <w:rsid w:val="00C2742B"/>
    <w:rsid w:val="00C27881"/>
    <w:rsid w:val="00C278B7"/>
    <w:rsid w:val="00C27F4D"/>
    <w:rsid w:val="00C30460"/>
    <w:rsid w:val="00C30479"/>
    <w:rsid w:val="00C30B25"/>
    <w:rsid w:val="00C30B97"/>
    <w:rsid w:val="00C31797"/>
    <w:rsid w:val="00C3192B"/>
    <w:rsid w:val="00C31CC2"/>
    <w:rsid w:val="00C31E2D"/>
    <w:rsid w:val="00C32A92"/>
    <w:rsid w:val="00C32BC0"/>
    <w:rsid w:val="00C333F6"/>
    <w:rsid w:val="00C33A20"/>
    <w:rsid w:val="00C33CC2"/>
    <w:rsid w:val="00C33EAB"/>
    <w:rsid w:val="00C34349"/>
    <w:rsid w:val="00C3439C"/>
    <w:rsid w:val="00C34808"/>
    <w:rsid w:val="00C34A05"/>
    <w:rsid w:val="00C34E21"/>
    <w:rsid w:val="00C3510E"/>
    <w:rsid w:val="00C352BC"/>
    <w:rsid w:val="00C352F6"/>
    <w:rsid w:val="00C35427"/>
    <w:rsid w:val="00C356AD"/>
    <w:rsid w:val="00C359EC"/>
    <w:rsid w:val="00C35E94"/>
    <w:rsid w:val="00C368BC"/>
    <w:rsid w:val="00C36A89"/>
    <w:rsid w:val="00C36C36"/>
    <w:rsid w:val="00C36E6D"/>
    <w:rsid w:val="00C37D4F"/>
    <w:rsid w:val="00C400C7"/>
    <w:rsid w:val="00C40165"/>
    <w:rsid w:val="00C40219"/>
    <w:rsid w:val="00C4027D"/>
    <w:rsid w:val="00C40603"/>
    <w:rsid w:val="00C409A7"/>
    <w:rsid w:val="00C40C6B"/>
    <w:rsid w:val="00C4115E"/>
    <w:rsid w:val="00C411AB"/>
    <w:rsid w:val="00C41695"/>
    <w:rsid w:val="00C416E6"/>
    <w:rsid w:val="00C4184A"/>
    <w:rsid w:val="00C41A5B"/>
    <w:rsid w:val="00C41E07"/>
    <w:rsid w:val="00C41F32"/>
    <w:rsid w:val="00C4214B"/>
    <w:rsid w:val="00C421AB"/>
    <w:rsid w:val="00C4231C"/>
    <w:rsid w:val="00C425A2"/>
    <w:rsid w:val="00C425CC"/>
    <w:rsid w:val="00C428BC"/>
    <w:rsid w:val="00C43056"/>
    <w:rsid w:val="00C43189"/>
    <w:rsid w:val="00C43377"/>
    <w:rsid w:val="00C43874"/>
    <w:rsid w:val="00C43C22"/>
    <w:rsid w:val="00C44247"/>
    <w:rsid w:val="00C44617"/>
    <w:rsid w:val="00C44648"/>
    <w:rsid w:val="00C4487C"/>
    <w:rsid w:val="00C44A79"/>
    <w:rsid w:val="00C44AEF"/>
    <w:rsid w:val="00C4534D"/>
    <w:rsid w:val="00C4538C"/>
    <w:rsid w:val="00C46375"/>
    <w:rsid w:val="00C46520"/>
    <w:rsid w:val="00C46A29"/>
    <w:rsid w:val="00C46A69"/>
    <w:rsid w:val="00C46C9C"/>
    <w:rsid w:val="00C46ED8"/>
    <w:rsid w:val="00C46FF3"/>
    <w:rsid w:val="00C47010"/>
    <w:rsid w:val="00C478C9"/>
    <w:rsid w:val="00C47A97"/>
    <w:rsid w:val="00C47B27"/>
    <w:rsid w:val="00C47B41"/>
    <w:rsid w:val="00C47ED8"/>
    <w:rsid w:val="00C504D5"/>
    <w:rsid w:val="00C50AB1"/>
    <w:rsid w:val="00C50D1A"/>
    <w:rsid w:val="00C5124E"/>
    <w:rsid w:val="00C513C6"/>
    <w:rsid w:val="00C51486"/>
    <w:rsid w:val="00C5165C"/>
    <w:rsid w:val="00C516DD"/>
    <w:rsid w:val="00C51719"/>
    <w:rsid w:val="00C51909"/>
    <w:rsid w:val="00C5191A"/>
    <w:rsid w:val="00C51B34"/>
    <w:rsid w:val="00C51B7B"/>
    <w:rsid w:val="00C51C2E"/>
    <w:rsid w:val="00C521B9"/>
    <w:rsid w:val="00C52501"/>
    <w:rsid w:val="00C5273C"/>
    <w:rsid w:val="00C52A70"/>
    <w:rsid w:val="00C52F54"/>
    <w:rsid w:val="00C53764"/>
    <w:rsid w:val="00C5378F"/>
    <w:rsid w:val="00C53C27"/>
    <w:rsid w:val="00C53D9A"/>
    <w:rsid w:val="00C53E6F"/>
    <w:rsid w:val="00C54006"/>
    <w:rsid w:val="00C54320"/>
    <w:rsid w:val="00C547B2"/>
    <w:rsid w:val="00C547BC"/>
    <w:rsid w:val="00C54902"/>
    <w:rsid w:val="00C54AE9"/>
    <w:rsid w:val="00C5517C"/>
    <w:rsid w:val="00C55B61"/>
    <w:rsid w:val="00C55CFD"/>
    <w:rsid w:val="00C55F7E"/>
    <w:rsid w:val="00C5649F"/>
    <w:rsid w:val="00C56766"/>
    <w:rsid w:val="00C56773"/>
    <w:rsid w:val="00C567F9"/>
    <w:rsid w:val="00C56A0B"/>
    <w:rsid w:val="00C56A47"/>
    <w:rsid w:val="00C5751F"/>
    <w:rsid w:val="00C57AE6"/>
    <w:rsid w:val="00C57C61"/>
    <w:rsid w:val="00C601BE"/>
    <w:rsid w:val="00C602AF"/>
    <w:rsid w:val="00C604EF"/>
    <w:rsid w:val="00C605AB"/>
    <w:rsid w:val="00C6064A"/>
    <w:rsid w:val="00C60AF8"/>
    <w:rsid w:val="00C60B0C"/>
    <w:rsid w:val="00C60CBB"/>
    <w:rsid w:val="00C60E18"/>
    <w:rsid w:val="00C61456"/>
    <w:rsid w:val="00C61E06"/>
    <w:rsid w:val="00C6215E"/>
    <w:rsid w:val="00C6217A"/>
    <w:rsid w:val="00C6243C"/>
    <w:rsid w:val="00C625C2"/>
    <w:rsid w:val="00C628AA"/>
    <w:rsid w:val="00C62A7E"/>
    <w:rsid w:val="00C62B60"/>
    <w:rsid w:val="00C62B68"/>
    <w:rsid w:val="00C62B74"/>
    <w:rsid w:val="00C62C53"/>
    <w:rsid w:val="00C62DED"/>
    <w:rsid w:val="00C62E0F"/>
    <w:rsid w:val="00C62F24"/>
    <w:rsid w:val="00C63110"/>
    <w:rsid w:val="00C634A6"/>
    <w:rsid w:val="00C635F3"/>
    <w:rsid w:val="00C63657"/>
    <w:rsid w:val="00C6399B"/>
    <w:rsid w:val="00C63A86"/>
    <w:rsid w:val="00C63BC7"/>
    <w:rsid w:val="00C6424D"/>
    <w:rsid w:val="00C645A8"/>
    <w:rsid w:val="00C64928"/>
    <w:rsid w:val="00C652C5"/>
    <w:rsid w:val="00C65473"/>
    <w:rsid w:val="00C65626"/>
    <w:rsid w:val="00C65A6A"/>
    <w:rsid w:val="00C65BC2"/>
    <w:rsid w:val="00C65C3A"/>
    <w:rsid w:val="00C66155"/>
    <w:rsid w:val="00C661FE"/>
    <w:rsid w:val="00C6634E"/>
    <w:rsid w:val="00C664B2"/>
    <w:rsid w:val="00C66773"/>
    <w:rsid w:val="00C667D4"/>
    <w:rsid w:val="00C66CAF"/>
    <w:rsid w:val="00C6709C"/>
    <w:rsid w:val="00C6736A"/>
    <w:rsid w:val="00C679B0"/>
    <w:rsid w:val="00C67AF6"/>
    <w:rsid w:val="00C67BDC"/>
    <w:rsid w:val="00C70318"/>
    <w:rsid w:val="00C70331"/>
    <w:rsid w:val="00C7040A"/>
    <w:rsid w:val="00C707ED"/>
    <w:rsid w:val="00C7093E"/>
    <w:rsid w:val="00C70F8E"/>
    <w:rsid w:val="00C710C4"/>
    <w:rsid w:val="00C71165"/>
    <w:rsid w:val="00C71232"/>
    <w:rsid w:val="00C71A0D"/>
    <w:rsid w:val="00C71FAC"/>
    <w:rsid w:val="00C72120"/>
    <w:rsid w:val="00C7229A"/>
    <w:rsid w:val="00C722AC"/>
    <w:rsid w:val="00C723FC"/>
    <w:rsid w:val="00C72584"/>
    <w:rsid w:val="00C72951"/>
    <w:rsid w:val="00C729D9"/>
    <w:rsid w:val="00C729F9"/>
    <w:rsid w:val="00C72A60"/>
    <w:rsid w:val="00C72CD7"/>
    <w:rsid w:val="00C72D5A"/>
    <w:rsid w:val="00C72F98"/>
    <w:rsid w:val="00C7304B"/>
    <w:rsid w:val="00C732D9"/>
    <w:rsid w:val="00C73364"/>
    <w:rsid w:val="00C73435"/>
    <w:rsid w:val="00C73455"/>
    <w:rsid w:val="00C7352B"/>
    <w:rsid w:val="00C739BC"/>
    <w:rsid w:val="00C73E10"/>
    <w:rsid w:val="00C74266"/>
    <w:rsid w:val="00C745BF"/>
    <w:rsid w:val="00C74713"/>
    <w:rsid w:val="00C7497E"/>
    <w:rsid w:val="00C74C73"/>
    <w:rsid w:val="00C74E5E"/>
    <w:rsid w:val="00C74E83"/>
    <w:rsid w:val="00C75490"/>
    <w:rsid w:val="00C755EE"/>
    <w:rsid w:val="00C7583F"/>
    <w:rsid w:val="00C75944"/>
    <w:rsid w:val="00C759E4"/>
    <w:rsid w:val="00C75DA0"/>
    <w:rsid w:val="00C75F3A"/>
    <w:rsid w:val="00C761B4"/>
    <w:rsid w:val="00C76545"/>
    <w:rsid w:val="00C765DF"/>
    <w:rsid w:val="00C7666C"/>
    <w:rsid w:val="00C76758"/>
    <w:rsid w:val="00C767EF"/>
    <w:rsid w:val="00C76AE3"/>
    <w:rsid w:val="00C76B77"/>
    <w:rsid w:val="00C76BA5"/>
    <w:rsid w:val="00C76E45"/>
    <w:rsid w:val="00C77152"/>
    <w:rsid w:val="00C77349"/>
    <w:rsid w:val="00C7758A"/>
    <w:rsid w:val="00C77739"/>
    <w:rsid w:val="00C77768"/>
    <w:rsid w:val="00C778D1"/>
    <w:rsid w:val="00C7791F"/>
    <w:rsid w:val="00C77F2B"/>
    <w:rsid w:val="00C80324"/>
    <w:rsid w:val="00C8081D"/>
    <w:rsid w:val="00C809FF"/>
    <w:rsid w:val="00C81031"/>
    <w:rsid w:val="00C81165"/>
    <w:rsid w:val="00C812C5"/>
    <w:rsid w:val="00C813D5"/>
    <w:rsid w:val="00C81710"/>
    <w:rsid w:val="00C81933"/>
    <w:rsid w:val="00C8194D"/>
    <w:rsid w:val="00C81A7A"/>
    <w:rsid w:val="00C81B3B"/>
    <w:rsid w:val="00C827A7"/>
    <w:rsid w:val="00C82B38"/>
    <w:rsid w:val="00C82C3A"/>
    <w:rsid w:val="00C82D62"/>
    <w:rsid w:val="00C82E61"/>
    <w:rsid w:val="00C82FC4"/>
    <w:rsid w:val="00C8311C"/>
    <w:rsid w:val="00C831A8"/>
    <w:rsid w:val="00C8323A"/>
    <w:rsid w:val="00C83777"/>
    <w:rsid w:val="00C83B47"/>
    <w:rsid w:val="00C83D63"/>
    <w:rsid w:val="00C83EDC"/>
    <w:rsid w:val="00C842A9"/>
    <w:rsid w:val="00C84487"/>
    <w:rsid w:val="00C84549"/>
    <w:rsid w:val="00C847B5"/>
    <w:rsid w:val="00C84CEA"/>
    <w:rsid w:val="00C84EB7"/>
    <w:rsid w:val="00C85005"/>
    <w:rsid w:val="00C8505B"/>
    <w:rsid w:val="00C853DD"/>
    <w:rsid w:val="00C854B7"/>
    <w:rsid w:val="00C85554"/>
    <w:rsid w:val="00C857F2"/>
    <w:rsid w:val="00C85910"/>
    <w:rsid w:val="00C859A9"/>
    <w:rsid w:val="00C85A04"/>
    <w:rsid w:val="00C85EE5"/>
    <w:rsid w:val="00C86479"/>
    <w:rsid w:val="00C86559"/>
    <w:rsid w:val="00C86980"/>
    <w:rsid w:val="00C86D65"/>
    <w:rsid w:val="00C8720E"/>
    <w:rsid w:val="00C8764A"/>
    <w:rsid w:val="00C8771F"/>
    <w:rsid w:val="00C87C09"/>
    <w:rsid w:val="00C87F13"/>
    <w:rsid w:val="00C87F49"/>
    <w:rsid w:val="00C905B2"/>
    <w:rsid w:val="00C90B59"/>
    <w:rsid w:val="00C91644"/>
    <w:rsid w:val="00C92046"/>
    <w:rsid w:val="00C92609"/>
    <w:rsid w:val="00C926B1"/>
    <w:rsid w:val="00C926E9"/>
    <w:rsid w:val="00C92793"/>
    <w:rsid w:val="00C92A11"/>
    <w:rsid w:val="00C92E56"/>
    <w:rsid w:val="00C92F66"/>
    <w:rsid w:val="00C93007"/>
    <w:rsid w:val="00C93179"/>
    <w:rsid w:val="00C93320"/>
    <w:rsid w:val="00C93F69"/>
    <w:rsid w:val="00C9400B"/>
    <w:rsid w:val="00C9415F"/>
    <w:rsid w:val="00C94324"/>
    <w:rsid w:val="00C943AE"/>
    <w:rsid w:val="00C94499"/>
    <w:rsid w:val="00C948E9"/>
    <w:rsid w:val="00C94F57"/>
    <w:rsid w:val="00C954F7"/>
    <w:rsid w:val="00C95786"/>
    <w:rsid w:val="00C95B68"/>
    <w:rsid w:val="00C95CEA"/>
    <w:rsid w:val="00C95D59"/>
    <w:rsid w:val="00C95ED0"/>
    <w:rsid w:val="00C9603E"/>
    <w:rsid w:val="00C96214"/>
    <w:rsid w:val="00C96320"/>
    <w:rsid w:val="00C964BD"/>
    <w:rsid w:val="00C96551"/>
    <w:rsid w:val="00C96BDE"/>
    <w:rsid w:val="00C9755D"/>
    <w:rsid w:val="00C9785D"/>
    <w:rsid w:val="00C97F22"/>
    <w:rsid w:val="00CA05CA"/>
    <w:rsid w:val="00CA0BB5"/>
    <w:rsid w:val="00CA0BF6"/>
    <w:rsid w:val="00CA0E36"/>
    <w:rsid w:val="00CA101E"/>
    <w:rsid w:val="00CA10B5"/>
    <w:rsid w:val="00CA1564"/>
    <w:rsid w:val="00CA15FF"/>
    <w:rsid w:val="00CA188B"/>
    <w:rsid w:val="00CA1C17"/>
    <w:rsid w:val="00CA2B0D"/>
    <w:rsid w:val="00CA2B26"/>
    <w:rsid w:val="00CA2CFB"/>
    <w:rsid w:val="00CA2F3A"/>
    <w:rsid w:val="00CA36AA"/>
    <w:rsid w:val="00CA371C"/>
    <w:rsid w:val="00CA3979"/>
    <w:rsid w:val="00CA3CD1"/>
    <w:rsid w:val="00CA3ED7"/>
    <w:rsid w:val="00CA3FD8"/>
    <w:rsid w:val="00CA42F9"/>
    <w:rsid w:val="00CA4309"/>
    <w:rsid w:val="00CA442D"/>
    <w:rsid w:val="00CA4562"/>
    <w:rsid w:val="00CA4875"/>
    <w:rsid w:val="00CA4CEC"/>
    <w:rsid w:val="00CA51C4"/>
    <w:rsid w:val="00CA537C"/>
    <w:rsid w:val="00CA5457"/>
    <w:rsid w:val="00CA5655"/>
    <w:rsid w:val="00CA580A"/>
    <w:rsid w:val="00CA5A0C"/>
    <w:rsid w:val="00CA5C19"/>
    <w:rsid w:val="00CA5CD0"/>
    <w:rsid w:val="00CA61D9"/>
    <w:rsid w:val="00CA6231"/>
    <w:rsid w:val="00CA627D"/>
    <w:rsid w:val="00CA6450"/>
    <w:rsid w:val="00CA6564"/>
    <w:rsid w:val="00CA676F"/>
    <w:rsid w:val="00CA688F"/>
    <w:rsid w:val="00CA6E26"/>
    <w:rsid w:val="00CA711C"/>
    <w:rsid w:val="00CA7408"/>
    <w:rsid w:val="00CB0198"/>
    <w:rsid w:val="00CB01DD"/>
    <w:rsid w:val="00CB0491"/>
    <w:rsid w:val="00CB06AA"/>
    <w:rsid w:val="00CB0A3E"/>
    <w:rsid w:val="00CB0BAC"/>
    <w:rsid w:val="00CB12AC"/>
    <w:rsid w:val="00CB13A6"/>
    <w:rsid w:val="00CB16D2"/>
    <w:rsid w:val="00CB1E60"/>
    <w:rsid w:val="00CB1EB4"/>
    <w:rsid w:val="00CB2256"/>
    <w:rsid w:val="00CB24FE"/>
    <w:rsid w:val="00CB2870"/>
    <w:rsid w:val="00CB2CDA"/>
    <w:rsid w:val="00CB3033"/>
    <w:rsid w:val="00CB3826"/>
    <w:rsid w:val="00CB3B68"/>
    <w:rsid w:val="00CB3F45"/>
    <w:rsid w:val="00CB4825"/>
    <w:rsid w:val="00CB4D3D"/>
    <w:rsid w:val="00CB4D5B"/>
    <w:rsid w:val="00CB4F9D"/>
    <w:rsid w:val="00CB521F"/>
    <w:rsid w:val="00CB531A"/>
    <w:rsid w:val="00CB5918"/>
    <w:rsid w:val="00CB5979"/>
    <w:rsid w:val="00CB5BC4"/>
    <w:rsid w:val="00CB5D7A"/>
    <w:rsid w:val="00CB624D"/>
    <w:rsid w:val="00CB6391"/>
    <w:rsid w:val="00CB64BC"/>
    <w:rsid w:val="00CB6640"/>
    <w:rsid w:val="00CB693C"/>
    <w:rsid w:val="00CB6A42"/>
    <w:rsid w:val="00CB7133"/>
    <w:rsid w:val="00CB7204"/>
    <w:rsid w:val="00CB75B0"/>
    <w:rsid w:val="00CB7A73"/>
    <w:rsid w:val="00CB7F8B"/>
    <w:rsid w:val="00CB7F96"/>
    <w:rsid w:val="00CC04ED"/>
    <w:rsid w:val="00CC05D4"/>
    <w:rsid w:val="00CC0761"/>
    <w:rsid w:val="00CC0875"/>
    <w:rsid w:val="00CC0ACA"/>
    <w:rsid w:val="00CC1016"/>
    <w:rsid w:val="00CC1041"/>
    <w:rsid w:val="00CC1114"/>
    <w:rsid w:val="00CC11B9"/>
    <w:rsid w:val="00CC16D9"/>
    <w:rsid w:val="00CC1DC0"/>
    <w:rsid w:val="00CC210B"/>
    <w:rsid w:val="00CC2262"/>
    <w:rsid w:val="00CC2472"/>
    <w:rsid w:val="00CC2952"/>
    <w:rsid w:val="00CC2D1D"/>
    <w:rsid w:val="00CC3283"/>
    <w:rsid w:val="00CC32A5"/>
    <w:rsid w:val="00CC3372"/>
    <w:rsid w:val="00CC3893"/>
    <w:rsid w:val="00CC3D35"/>
    <w:rsid w:val="00CC3DB3"/>
    <w:rsid w:val="00CC4013"/>
    <w:rsid w:val="00CC4335"/>
    <w:rsid w:val="00CC4551"/>
    <w:rsid w:val="00CC455E"/>
    <w:rsid w:val="00CC477F"/>
    <w:rsid w:val="00CC4FF3"/>
    <w:rsid w:val="00CC501A"/>
    <w:rsid w:val="00CC52DA"/>
    <w:rsid w:val="00CC55D3"/>
    <w:rsid w:val="00CC5A43"/>
    <w:rsid w:val="00CC5B89"/>
    <w:rsid w:val="00CC5DB3"/>
    <w:rsid w:val="00CC60F8"/>
    <w:rsid w:val="00CC612F"/>
    <w:rsid w:val="00CC62AD"/>
    <w:rsid w:val="00CC633F"/>
    <w:rsid w:val="00CC64E3"/>
    <w:rsid w:val="00CC6894"/>
    <w:rsid w:val="00CC69DD"/>
    <w:rsid w:val="00CC6AEA"/>
    <w:rsid w:val="00CC6CB6"/>
    <w:rsid w:val="00CC6F63"/>
    <w:rsid w:val="00CC6FC7"/>
    <w:rsid w:val="00CC7002"/>
    <w:rsid w:val="00CC739A"/>
    <w:rsid w:val="00CC747F"/>
    <w:rsid w:val="00CC7BF5"/>
    <w:rsid w:val="00CC7EC3"/>
    <w:rsid w:val="00CD0215"/>
    <w:rsid w:val="00CD088D"/>
    <w:rsid w:val="00CD1221"/>
    <w:rsid w:val="00CD174F"/>
    <w:rsid w:val="00CD1959"/>
    <w:rsid w:val="00CD1F89"/>
    <w:rsid w:val="00CD1FFB"/>
    <w:rsid w:val="00CD218D"/>
    <w:rsid w:val="00CD2241"/>
    <w:rsid w:val="00CD2478"/>
    <w:rsid w:val="00CD276E"/>
    <w:rsid w:val="00CD3281"/>
    <w:rsid w:val="00CD329B"/>
    <w:rsid w:val="00CD32B6"/>
    <w:rsid w:val="00CD372C"/>
    <w:rsid w:val="00CD3D6D"/>
    <w:rsid w:val="00CD3DE5"/>
    <w:rsid w:val="00CD3F29"/>
    <w:rsid w:val="00CD3F93"/>
    <w:rsid w:val="00CD4167"/>
    <w:rsid w:val="00CD4250"/>
    <w:rsid w:val="00CD425C"/>
    <w:rsid w:val="00CD4857"/>
    <w:rsid w:val="00CD4969"/>
    <w:rsid w:val="00CD49E3"/>
    <w:rsid w:val="00CD54DE"/>
    <w:rsid w:val="00CD550F"/>
    <w:rsid w:val="00CD5C91"/>
    <w:rsid w:val="00CD5FFA"/>
    <w:rsid w:val="00CD62CF"/>
    <w:rsid w:val="00CD6373"/>
    <w:rsid w:val="00CD65B6"/>
    <w:rsid w:val="00CD6692"/>
    <w:rsid w:val="00CD69E8"/>
    <w:rsid w:val="00CD6B6F"/>
    <w:rsid w:val="00CD7455"/>
    <w:rsid w:val="00CE0389"/>
    <w:rsid w:val="00CE0433"/>
    <w:rsid w:val="00CE0642"/>
    <w:rsid w:val="00CE0751"/>
    <w:rsid w:val="00CE08E1"/>
    <w:rsid w:val="00CE0A08"/>
    <w:rsid w:val="00CE0BB1"/>
    <w:rsid w:val="00CE0CA9"/>
    <w:rsid w:val="00CE0FAF"/>
    <w:rsid w:val="00CE10DA"/>
    <w:rsid w:val="00CE1450"/>
    <w:rsid w:val="00CE1BD1"/>
    <w:rsid w:val="00CE1C8A"/>
    <w:rsid w:val="00CE1DDC"/>
    <w:rsid w:val="00CE1EE8"/>
    <w:rsid w:val="00CE230F"/>
    <w:rsid w:val="00CE29E4"/>
    <w:rsid w:val="00CE2C8D"/>
    <w:rsid w:val="00CE2FA6"/>
    <w:rsid w:val="00CE348F"/>
    <w:rsid w:val="00CE3A69"/>
    <w:rsid w:val="00CE3B9F"/>
    <w:rsid w:val="00CE3F33"/>
    <w:rsid w:val="00CE4186"/>
    <w:rsid w:val="00CE461C"/>
    <w:rsid w:val="00CE4665"/>
    <w:rsid w:val="00CE473C"/>
    <w:rsid w:val="00CE4882"/>
    <w:rsid w:val="00CE490C"/>
    <w:rsid w:val="00CE4B67"/>
    <w:rsid w:val="00CE5086"/>
    <w:rsid w:val="00CE514E"/>
    <w:rsid w:val="00CE5264"/>
    <w:rsid w:val="00CE5290"/>
    <w:rsid w:val="00CE5680"/>
    <w:rsid w:val="00CE6159"/>
    <w:rsid w:val="00CE63CA"/>
    <w:rsid w:val="00CE6501"/>
    <w:rsid w:val="00CE68CA"/>
    <w:rsid w:val="00CE6AAF"/>
    <w:rsid w:val="00CE6D6C"/>
    <w:rsid w:val="00CE713A"/>
    <w:rsid w:val="00CE71B9"/>
    <w:rsid w:val="00CE764A"/>
    <w:rsid w:val="00CE7C60"/>
    <w:rsid w:val="00CE7E03"/>
    <w:rsid w:val="00CE7E85"/>
    <w:rsid w:val="00CE7E9C"/>
    <w:rsid w:val="00CE7F36"/>
    <w:rsid w:val="00CE7FB7"/>
    <w:rsid w:val="00CF015A"/>
    <w:rsid w:val="00CF015D"/>
    <w:rsid w:val="00CF021C"/>
    <w:rsid w:val="00CF06EB"/>
    <w:rsid w:val="00CF0DA8"/>
    <w:rsid w:val="00CF0EE0"/>
    <w:rsid w:val="00CF11EB"/>
    <w:rsid w:val="00CF1AB3"/>
    <w:rsid w:val="00CF1C43"/>
    <w:rsid w:val="00CF275E"/>
    <w:rsid w:val="00CF2C76"/>
    <w:rsid w:val="00CF3DDD"/>
    <w:rsid w:val="00CF3E46"/>
    <w:rsid w:val="00CF3FB4"/>
    <w:rsid w:val="00CF4180"/>
    <w:rsid w:val="00CF41A5"/>
    <w:rsid w:val="00CF4862"/>
    <w:rsid w:val="00CF4F42"/>
    <w:rsid w:val="00CF542F"/>
    <w:rsid w:val="00CF5556"/>
    <w:rsid w:val="00CF5781"/>
    <w:rsid w:val="00CF5D17"/>
    <w:rsid w:val="00CF5E85"/>
    <w:rsid w:val="00CF615F"/>
    <w:rsid w:val="00CF6380"/>
    <w:rsid w:val="00CF655E"/>
    <w:rsid w:val="00CF676E"/>
    <w:rsid w:val="00CF67E6"/>
    <w:rsid w:val="00CF6A54"/>
    <w:rsid w:val="00CF7200"/>
    <w:rsid w:val="00D0007A"/>
    <w:rsid w:val="00D00405"/>
    <w:rsid w:val="00D00475"/>
    <w:rsid w:val="00D004A3"/>
    <w:rsid w:val="00D0083B"/>
    <w:rsid w:val="00D00999"/>
    <w:rsid w:val="00D00B0E"/>
    <w:rsid w:val="00D00BB3"/>
    <w:rsid w:val="00D0148A"/>
    <w:rsid w:val="00D015FD"/>
    <w:rsid w:val="00D0161E"/>
    <w:rsid w:val="00D01884"/>
    <w:rsid w:val="00D01AAD"/>
    <w:rsid w:val="00D01BF8"/>
    <w:rsid w:val="00D01F4B"/>
    <w:rsid w:val="00D0203A"/>
    <w:rsid w:val="00D02046"/>
    <w:rsid w:val="00D020F4"/>
    <w:rsid w:val="00D02111"/>
    <w:rsid w:val="00D021A7"/>
    <w:rsid w:val="00D02249"/>
    <w:rsid w:val="00D023FE"/>
    <w:rsid w:val="00D02828"/>
    <w:rsid w:val="00D02C6B"/>
    <w:rsid w:val="00D02D77"/>
    <w:rsid w:val="00D030B6"/>
    <w:rsid w:val="00D03556"/>
    <w:rsid w:val="00D035E1"/>
    <w:rsid w:val="00D03665"/>
    <w:rsid w:val="00D03672"/>
    <w:rsid w:val="00D03860"/>
    <w:rsid w:val="00D0400B"/>
    <w:rsid w:val="00D040CA"/>
    <w:rsid w:val="00D044EF"/>
    <w:rsid w:val="00D045B7"/>
    <w:rsid w:val="00D045C4"/>
    <w:rsid w:val="00D045F4"/>
    <w:rsid w:val="00D0474B"/>
    <w:rsid w:val="00D058A7"/>
    <w:rsid w:val="00D05AA5"/>
    <w:rsid w:val="00D05E09"/>
    <w:rsid w:val="00D05F79"/>
    <w:rsid w:val="00D0614D"/>
    <w:rsid w:val="00D06342"/>
    <w:rsid w:val="00D06918"/>
    <w:rsid w:val="00D069A3"/>
    <w:rsid w:val="00D06B2F"/>
    <w:rsid w:val="00D06C32"/>
    <w:rsid w:val="00D07473"/>
    <w:rsid w:val="00D0750A"/>
    <w:rsid w:val="00D07614"/>
    <w:rsid w:val="00D07630"/>
    <w:rsid w:val="00D07980"/>
    <w:rsid w:val="00D07AAE"/>
    <w:rsid w:val="00D07AFC"/>
    <w:rsid w:val="00D07DA8"/>
    <w:rsid w:val="00D07F44"/>
    <w:rsid w:val="00D100AC"/>
    <w:rsid w:val="00D1065A"/>
    <w:rsid w:val="00D1068A"/>
    <w:rsid w:val="00D106AB"/>
    <w:rsid w:val="00D10D3A"/>
    <w:rsid w:val="00D10EB5"/>
    <w:rsid w:val="00D11577"/>
    <w:rsid w:val="00D1182B"/>
    <w:rsid w:val="00D118D1"/>
    <w:rsid w:val="00D11AF2"/>
    <w:rsid w:val="00D11B57"/>
    <w:rsid w:val="00D11CA8"/>
    <w:rsid w:val="00D11EC3"/>
    <w:rsid w:val="00D11F2E"/>
    <w:rsid w:val="00D121F0"/>
    <w:rsid w:val="00D125AD"/>
    <w:rsid w:val="00D126B6"/>
    <w:rsid w:val="00D12A9D"/>
    <w:rsid w:val="00D12C08"/>
    <w:rsid w:val="00D12F08"/>
    <w:rsid w:val="00D13632"/>
    <w:rsid w:val="00D1364C"/>
    <w:rsid w:val="00D13D06"/>
    <w:rsid w:val="00D13E41"/>
    <w:rsid w:val="00D14113"/>
    <w:rsid w:val="00D14476"/>
    <w:rsid w:val="00D144CF"/>
    <w:rsid w:val="00D14548"/>
    <w:rsid w:val="00D1454D"/>
    <w:rsid w:val="00D14AAD"/>
    <w:rsid w:val="00D14C51"/>
    <w:rsid w:val="00D14E48"/>
    <w:rsid w:val="00D15104"/>
    <w:rsid w:val="00D15147"/>
    <w:rsid w:val="00D152CD"/>
    <w:rsid w:val="00D15908"/>
    <w:rsid w:val="00D15B58"/>
    <w:rsid w:val="00D15F80"/>
    <w:rsid w:val="00D164D8"/>
    <w:rsid w:val="00D1661C"/>
    <w:rsid w:val="00D16690"/>
    <w:rsid w:val="00D16D27"/>
    <w:rsid w:val="00D16E6F"/>
    <w:rsid w:val="00D1757B"/>
    <w:rsid w:val="00D17AC0"/>
    <w:rsid w:val="00D17DC6"/>
    <w:rsid w:val="00D17F64"/>
    <w:rsid w:val="00D17FAB"/>
    <w:rsid w:val="00D2048E"/>
    <w:rsid w:val="00D2080D"/>
    <w:rsid w:val="00D208A7"/>
    <w:rsid w:val="00D20C53"/>
    <w:rsid w:val="00D20D54"/>
    <w:rsid w:val="00D20DFF"/>
    <w:rsid w:val="00D20EB4"/>
    <w:rsid w:val="00D210DE"/>
    <w:rsid w:val="00D213E9"/>
    <w:rsid w:val="00D216A5"/>
    <w:rsid w:val="00D21D8D"/>
    <w:rsid w:val="00D22BAA"/>
    <w:rsid w:val="00D22EEE"/>
    <w:rsid w:val="00D22FF9"/>
    <w:rsid w:val="00D232F5"/>
    <w:rsid w:val="00D23333"/>
    <w:rsid w:val="00D2369E"/>
    <w:rsid w:val="00D23D67"/>
    <w:rsid w:val="00D2404A"/>
    <w:rsid w:val="00D24353"/>
    <w:rsid w:val="00D24CE7"/>
    <w:rsid w:val="00D24E8F"/>
    <w:rsid w:val="00D2502B"/>
    <w:rsid w:val="00D25445"/>
    <w:rsid w:val="00D2578F"/>
    <w:rsid w:val="00D25D80"/>
    <w:rsid w:val="00D25F70"/>
    <w:rsid w:val="00D26022"/>
    <w:rsid w:val="00D26163"/>
    <w:rsid w:val="00D2636D"/>
    <w:rsid w:val="00D26665"/>
    <w:rsid w:val="00D26A1D"/>
    <w:rsid w:val="00D26A9D"/>
    <w:rsid w:val="00D26B2C"/>
    <w:rsid w:val="00D26E12"/>
    <w:rsid w:val="00D27325"/>
    <w:rsid w:val="00D2741D"/>
    <w:rsid w:val="00D278A9"/>
    <w:rsid w:val="00D279AA"/>
    <w:rsid w:val="00D27E4B"/>
    <w:rsid w:val="00D30255"/>
    <w:rsid w:val="00D305DF"/>
    <w:rsid w:val="00D307C8"/>
    <w:rsid w:val="00D30AFD"/>
    <w:rsid w:val="00D30FF3"/>
    <w:rsid w:val="00D311E4"/>
    <w:rsid w:val="00D313EE"/>
    <w:rsid w:val="00D31701"/>
    <w:rsid w:val="00D31808"/>
    <w:rsid w:val="00D31F07"/>
    <w:rsid w:val="00D32622"/>
    <w:rsid w:val="00D326F3"/>
    <w:rsid w:val="00D3296E"/>
    <w:rsid w:val="00D32AED"/>
    <w:rsid w:val="00D32C25"/>
    <w:rsid w:val="00D32FE0"/>
    <w:rsid w:val="00D33210"/>
    <w:rsid w:val="00D3338D"/>
    <w:rsid w:val="00D33450"/>
    <w:rsid w:val="00D33596"/>
    <w:rsid w:val="00D3363E"/>
    <w:rsid w:val="00D33762"/>
    <w:rsid w:val="00D3385B"/>
    <w:rsid w:val="00D33B8C"/>
    <w:rsid w:val="00D33CD8"/>
    <w:rsid w:val="00D33DCA"/>
    <w:rsid w:val="00D34453"/>
    <w:rsid w:val="00D344ED"/>
    <w:rsid w:val="00D34A7B"/>
    <w:rsid w:val="00D34CFE"/>
    <w:rsid w:val="00D3524A"/>
    <w:rsid w:val="00D3544E"/>
    <w:rsid w:val="00D35814"/>
    <w:rsid w:val="00D359FE"/>
    <w:rsid w:val="00D361DB"/>
    <w:rsid w:val="00D368C3"/>
    <w:rsid w:val="00D36C48"/>
    <w:rsid w:val="00D36CBD"/>
    <w:rsid w:val="00D36D16"/>
    <w:rsid w:val="00D3705C"/>
    <w:rsid w:val="00D371B3"/>
    <w:rsid w:val="00D373CF"/>
    <w:rsid w:val="00D37586"/>
    <w:rsid w:val="00D37897"/>
    <w:rsid w:val="00D37923"/>
    <w:rsid w:val="00D37D35"/>
    <w:rsid w:val="00D4029D"/>
    <w:rsid w:val="00D406E7"/>
    <w:rsid w:val="00D407BB"/>
    <w:rsid w:val="00D40809"/>
    <w:rsid w:val="00D40994"/>
    <w:rsid w:val="00D40E70"/>
    <w:rsid w:val="00D4108B"/>
    <w:rsid w:val="00D416AA"/>
    <w:rsid w:val="00D419CB"/>
    <w:rsid w:val="00D41ADD"/>
    <w:rsid w:val="00D41D8D"/>
    <w:rsid w:val="00D41ED9"/>
    <w:rsid w:val="00D420E0"/>
    <w:rsid w:val="00D42237"/>
    <w:rsid w:val="00D42591"/>
    <w:rsid w:val="00D42EA7"/>
    <w:rsid w:val="00D4324D"/>
    <w:rsid w:val="00D4351D"/>
    <w:rsid w:val="00D4376B"/>
    <w:rsid w:val="00D43A9D"/>
    <w:rsid w:val="00D43BF2"/>
    <w:rsid w:val="00D43F09"/>
    <w:rsid w:val="00D440C6"/>
    <w:rsid w:val="00D4415F"/>
    <w:rsid w:val="00D44213"/>
    <w:rsid w:val="00D442F0"/>
    <w:rsid w:val="00D44768"/>
    <w:rsid w:val="00D44892"/>
    <w:rsid w:val="00D449AA"/>
    <w:rsid w:val="00D44C36"/>
    <w:rsid w:val="00D44C6F"/>
    <w:rsid w:val="00D450AA"/>
    <w:rsid w:val="00D45430"/>
    <w:rsid w:val="00D4559F"/>
    <w:rsid w:val="00D45BE8"/>
    <w:rsid w:val="00D45C8F"/>
    <w:rsid w:val="00D45CF4"/>
    <w:rsid w:val="00D45F57"/>
    <w:rsid w:val="00D45F7E"/>
    <w:rsid w:val="00D461DA"/>
    <w:rsid w:val="00D46611"/>
    <w:rsid w:val="00D468FB"/>
    <w:rsid w:val="00D46C7C"/>
    <w:rsid w:val="00D46CB3"/>
    <w:rsid w:val="00D46D70"/>
    <w:rsid w:val="00D46E1C"/>
    <w:rsid w:val="00D47620"/>
    <w:rsid w:val="00D47B67"/>
    <w:rsid w:val="00D47BDF"/>
    <w:rsid w:val="00D47CE6"/>
    <w:rsid w:val="00D50025"/>
    <w:rsid w:val="00D50100"/>
    <w:rsid w:val="00D5020F"/>
    <w:rsid w:val="00D50210"/>
    <w:rsid w:val="00D50675"/>
    <w:rsid w:val="00D50A24"/>
    <w:rsid w:val="00D50AD3"/>
    <w:rsid w:val="00D50BA6"/>
    <w:rsid w:val="00D50BBE"/>
    <w:rsid w:val="00D50C3D"/>
    <w:rsid w:val="00D50CC7"/>
    <w:rsid w:val="00D50D2F"/>
    <w:rsid w:val="00D5186B"/>
    <w:rsid w:val="00D5196B"/>
    <w:rsid w:val="00D52F5D"/>
    <w:rsid w:val="00D53081"/>
    <w:rsid w:val="00D5334A"/>
    <w:rsid w:val="00D536E5"/>
    <w:rsid w:val="00D53739"/>
    <w:rsid w:val="00D5428B"/>
    <w:rsid w:val="00D545A9"/>
    <w:rsid w:val="00D54889"/>
    <w:rsid w:val="00D54F28"/>
    <w:rsid w:val="00D55114"/>
    <w:rsid w:val="00D55C45"/>
    <w:rsid w:val="00D55CB6"/>
    <w:rsid w:val="00D55E6F"/>
    <w:rsid w:val="00D56009"/>
    <w:rsid w:val="00D560FF"/>
    <w:rsid w:val="00D563C9"/>
    <w:rsid w:val="00D56405"/>
    <w:rsid w:val="00D56585"/>
    <w:rsid w:val="00D5661B"/>
    <w:rsid w:val="00D56BEB"/>
    <w:rsid w:val="00D56BEF"/>
    <w:rsid w:val="00D5719C"/>
    <w:rsid w:val="00D57211"/>
    <w:rsid w:val="00D577B9"/>
    <w:rsid w:val="00D57926"/>
    <w:rsid w:val="00D57FD6"/>
    <w:rsid w:val="00D600F4"/>
    <w:rsid w:val="00D601C3"/>
    <w:rsid w:val="00D6080A"/>
    <w:rsid w:val="00D60AA6"/>
    <w:rsid w:val="00D60FBB"/>
    <w:rsid w:val="00D613E0"/>
    <w:rsid w:val="00D61F37"/>
    <w:rsid w:val="00D62438"/>
    <w:rsid w:val="00D63029"/>
    <w:rsid w:val="00D6314F"/>
    <w:rsid w:val="00D634FA"/>
    <w:rsid w:val="00D6374A"/>
    <w:rsid w:val="00D638FC"/>
    <w:rsid w:val="00D63DD8"/>
    <w:rsid w:val="00D63E90"/>
    <w:rsid w:val="00D6451C"/>
    <w:rsid w:val="00D646C4"/>
    <w:rsid w:val="00D646DF"/>
    <w:rsid w:val="00D649C2"/>
    <w:rsid w:val="00D64E83"/>
    <w:rsid w:val="00D650A1"/>
    <w:rsid w:val="00D65518"/>
    <w:rsid w:val="00D656CB"/>
    <w:rsid w:val="00D65854"/>
    <w:rsid w:val="00D6599C"/>
    <w:rsid w:val="00D659EB"/>
    <w:rsid w:val="00D65BF7"/>
    <w:rsid w:val="00D65C93"/>
    <w:rsid w:val="00D661B7"/>
    <w:rsid w:val="00D664B6"/>
    <w:rsid w:val="00D6674B"/>
    <w:rsid w:val="00D66850"/>
    <w:rsid w:val="00D66877"/>
    <w:rsid w:val="00D669DD"/>
    <w:rsid w:val="00D66AD2"/>
    <w:rsid w:val="00D66FB9"/>
    <w:rsid w:val="00D6704F"/>
    <w:rsid w:val="00D67781"/>
    <w:rsid w:val="00D67CAC"/>
    <w:rsid w:val="00D67DC0"/>
    <w:rsid w:val="00D67F8A"/>
    <w:rsid w:val="00D703B5"/>
    <w:rsid w:val="00D70409"/>
    <w:rsid w:val="00D704CF"/>
    <w:rsid w:val="00D707FE"/>
    <w:rsid w:val="00D708B5"/>
    <w:rsid w:val="00D708B6"/>
    <w:rsid w:val="00D710F8"/>
    <w:rsid w:val="00D7122B"/>
    <w:rsid w:val="00D71A46"/>
    <w:rsid w:val="00D71CCC"/>
    <w:rsid w:val="00D71DE7"/>
    <w:rsid w:val="00D72009"/>
    <w:rsid w:val="00D721DF"/>
    <w:rsid w:val="00D72FE8"/>
    <w:rsid w:val="00D7336A"/>
    <w:rsid w:val="00D735D6"/>
    <w:rsid w:val="00D73642"/>
    <w:rsid w:val="00D73A43"/>
    <w:rsid w:val="00D73EB5"/>
    <w:rsid w:val="00D743F7"/>
    <w:rsid w:val="00D74515"/>
    <w:rsid w:val="00D74685"/>
    <w:rsid w:val="00D747AA"/>
    <w:rsid w:val="00D748CC"/>
    <w:rsid w:val="00D74BC8"/>
    <w:rsid w:val="00D75376"/>
    <w:rsid w:val="00D75999"/>
    <w:rsid w:val="00D759F0"/>
    <w:rsid w:val="00D75AFB"/>
    <w:rsid w:val="00D75B3A"/>
    <w:rsid w:val="00D75CAA"/>
    <w:rsid w:val="00D75DAC"/>
    <w:rsid w:val="00D75EC6"/>
    <w:rsid w:val="00D75F4C"/>
    <w:rsid w:val="00D76364"/>
    <w:rsid w:val="00D76D29"/>
    <w:rsid w:val="00D76DF1"/>
    <w:rsid w:val="00D76E1E"/>
    <w:rsid w:val="00D77071"/>
    <w:rsid w:val="00D77139"/>
    <w:rsid w:val="00D77172"/>
    <w:rsid w:val="00D771CD"/>
    <w:rsid w:val="00D771F6"/>
    <w:rsid w:val="00D779CF"/>
    <w:rsid w:val="00D77EF9"/>
    <w:rsid w:val="00D80117"/>
    <w:rsid w:val="00D811EF"/>
    <w:rsid w:val="00D815A8"/>
    <w:rsid w:val="00D81613"/>
    <w:rsid w:val="00D816E0"/>
    <w:rsid w:val="00D817AB"/>
    <w:rsid w:val="00D81863"/>
    <w:rsid w:val="00D81982"/>
    <w:rsid w:val="00D8199D"/>
    <w:rsid w:val="00D819E3"/>
    <w:rsid w:val="00D81A45"/>
    <w:rsid w:val="00D81E75"/>
    <w:rsid w:val="00D81F3E"/>
    <w:rsid w:val="00D823C5"/>
    <w:rsid w:val="00D82D74"/>
    <w:rsid w:val="00D82F78"/>
    <w:rsid w:val="00D8315A"/>
    <w:rsid w:val="00D835D3"/>
    <w:rsid w:val="00D837C4"/>
    <w:rsid w:val="00D837CC"/>
    <w:rsid w:val="00D83998"/>
    <w:rsid w:val="00D839BF"/>
    <w:rsid w:val="00D839C4"/>
    <w:rsid w:val="00D83ACF"/>
    <w:rsid w:val="00D83BDC"/>
    <w:rsid w:val="00D840D8"/>
    <w:rsid w:val="00D848DE"/>
    <w:rsid w:val="00D851E9"/>
    <w:rsid w:val="00D8527F"/>
    <w:rsid w:val="00D85A99"/>
    <w:rsid w:val="00D85C97"/>
    <w:rsid w:val="00D8600C"/>
    <w:rsid w:val="00D861F0"/>
    <w:rsid w:val="00D873CD"/>
    <w:rsid w:val="00D8762E"/>
    <w:rsid w:val="00D87923"/>
    <w:rsid w:val="00D87D2C"/>
    <w:rsid w:val="00D87E86"/>
    <w:rsid w:val="00D87F72"/>
    <w:rsid w:val="00D87F9C"/>
    <w:rsid w:val="00D901B2"/>
    <w:rsid w:val="00D905C1"/>
    <w:rsid w:val="00D90A79"/>
    <w:rsid w:val="00D9116B"/>
    <w:rsid w:val="00D911BF"/>
    <w:rsid w:val="00D91581"/>
    <w:rsid w:val="00D91910"/>
    <w:rsid w:val="00D91A82"/>
    <w:rsid w:val="00D91C0F"/>
    <w:rsid w:val="00D924E5"/>
    <w:rsid w:val="00D92659"/>
    <w:rsid w:val="00D926B8"/>
    <w:rsid w:val="00D92CF9"/>
    <w:rsid w:val="00D93804"/>
    <w:rsid w:val="00D93E1B"/>
    <w:rsid w:val="00D9427B"/>
    <w:rsid w:val="00D944F0"/>
    <w:rsid w:val="00D94DB2"/>
    <w:rsid w:val="00D94EE2"/>
    <w:rsid w:val="00D95044"/>
    <w:rsid w:val="00D954CB"/>
    <w:rsid w:val="00D95544"/>
    <w:rsid w:val="00D958C3"/>
    <w:rsid w:val="00D95DDA"/>
    <w:rsid w:val="00D9666A"/>
    <w:rsid w:val="00D96703"/>
    <w:rsid w:val="00D96D36"/>
    <w:rsid w:val="00D9751A"/>
    <w:rsid w:val="00D975F8"/>
    <w:rsid w:val="00D978FA"/>
    <w:rsid w:val="00D97B7C"/>
    <w:rsid w:val="00D97EAC"/>
    <w:rsid w:val="00D97F2F"/>
    <w:rsid w:val="00DA0199"/>
    <w:rsid w:val="00DA066E"/>
    <w:rsid w:val="00DA0845"/>
    <w:rsid w:val="00DA0AD8"/>
    <w:rsid w:val="00DA0B24"/>
    <w:rsid w:val="00DA0BF5"/>
    <w:rsid w:val="00DA0C6B"/>
    <w:rsid w:val="00DA0F3B"/>
    <w:rsid w:val="00DA1665"/>
    <w:rsid w:val="00DA19BE"/>
    <w:rsid w:val="00DA1A80"/>
    <w:rsid w:val="00DA1E36"/>
    <w:rsid w:val="00DA2346"/>
    <w:rsid w:val="00DA2361"/>
    <w:rsid w:val="00DA249A"/>
    <w:rsid w:val="00DA256E"/>
    <w:rsid w:val="00DA25F5"/>
    <w:rsid w:val="00DA2693"/>
    <w:rsid w:val="00DA2836"/>
    <w:rsid w:val="00DA329B"/>
    <w:rsid w:val="00DA33F7"/>
    <w:rsid w:val="00DA3551"/>
    <w:rsid w:val="00DA3570"/>
    <w:rsid w:val="00DA3939"/>
    <w:rsid w:val="00DA3AD2"/>
    <w:rsid w:val="00DA3E70"/>
    <w:rsid w:val="00DA445E"/>
    <w:rsid w:val="00DA46BF"/>
    <w:rsid w:val="00DA494A"/>
    <w:rsid w:val="00DA4A7E"/>
    <w:rsid w:val="00DA51FB"/>
    <w:rsid w:val="00DA5458"/>
    <w:rsid w:val="00DA54D1"/>
    <w:rsid w:val="00DA5597"/>
    <w:rsid w:val="00DA5E67"/>
    <w:rsid w:val="00DA5FFB"/>
    <w:rsid w:val="00DA6047"/>
    <w:rsid w:val="00DA68CE"/>
    <w:rsid w:val="00DA6B85"/>
    <w:rsid w:val="00DA6D23"/>
    <w:rsid w:val="00DA703C"/>
    <w:rsid w:val="00DA703F"/>
    <w:rsid w:val="00DA7045"/>
    <w:rsid w:val="00DA71B6"/>
    <w:rsid w:val="00DA739C"/>
    <w:rsid w:val="00DA75E9"/>
    <w:rsid w:val="00DA78E1"/>
    <w:rsid w:val="00DA7C95"/>
    <w:rsid w:val="00DA7D65"/>
    <w:rsid w:val="00DA7F14"/>
    <w:rsid w:val="00DA7F3E"/>
    <w:rsid w:val="00DA7F4A"/>
    <w:rsid w:val="00DB00CC"/>
    <w:rsid w:val="00DB0514"/>
    <w:rsid w:val="00DB079A"/>
    <w:rsid w:val="00DB0970"/>
    <w:rsid w:val="00DB0DFB"/>
    <w:rsid w:val="00DB0E16"/>
    <w:rsid w:val="00DB109F"/>
    <w:rsid w:val="00DB1A47"/>
    <w:rsid w:val="00DB1E5E"/>
    <w:rsid w:val="00DB1EBA"/>
    <w:rsid w:val="00DB1F9A"/>
    <w:rsid w:val="00DB1FC2"/>
    <w:rsid w:val="00DB22D8"/>
    <w:rsid w:val="00DB3861"/>
    <w:rsid w:val="00DB3919"/>
    <w:rsid w:val="00DB39A5"/>
    <w:rsid w:val="00DB3DA4"/>
    <w:rsid w:val="00DB4181"/>
    <w:rsid w:val="00DB45B2"/>
    <w:rsid w:val="00DB4A3F"/>
    <w:rsid w:val="00DB4B48"/>
    <w:rsid w:val="00DB53EC"/>
    <w:rsid w:val="00DB5412"/>
    <w:rsid w:val="00DB5541"/>
    <w:rsid w:val="00DB55BC"/>
    <w:rsid w:val="00DB5A4A"/>
    <w:rsid w:val="00DB5DC9"/>
    <w:rsid w:val="00DB5E42"/>
    <w:rsid w:val="00DB5EED"/>
    <w:rsid w:val="00DB6054"/>
    <w:rsid w:val="00DB6267"/>
    <w:rsid w:val="00DB6591"/>
    <w:rsid w:val="00DB6600"/>
    <w:rsid w:val="00DB6766"/>
    <w:rsid w:val="00DB6D23"/>
    <w:rsid w:val="00DB6D83"/>
    <w:rsid w:val="00DB70E9"/>
    <w:rsid w:val="00DB727B"/>
    <w:rsid w:val="00DB72FB"/>
    <w:rsid w:val="00DB735C"/>
    <w:rsid w:val="00DB7F78"/>
    <w:rsid w:val="00DC036F"/>
    <w:rsid w:val="00DC05E6"/>
    <w:rsid w:val="00DC0652"/>
    <w:rsid w:val="00DC10BE"/>
    <w:rsid w:val="00DC1229"/>
    <w:rsid w:val="00DC1258"/>
    <w:rsid w:val="00DC1284"/>
    <w:rsid w:val="00DC12C9"/>
    <w:rsid w:val="00DC2086"/>
    <w:rsid w:val="00DC21B3"/>
    <w:rsid w:val="00DC22F7"/>
    <w:rsid w:val="00DC2548"/>
    <w:rsid w:val="00DC2AD2"/>
    <w:rsid w:val="00DC2E07"/>
    <w:rsid w:val="00DC2E9B"/>
    <w:rsid w:val="00DC3295"/>
    <w:rsid w:val="00DC32E2"/>
    <w:rsid w:val="00DC3320"/>
    <w:rsid w:val="00DC37E5"/>
    <w:rsid w:val="00DC39B6"/>
    <w:rsid w:val="00DC3A34"/>
    <w:rsid w:val="00DC3B27"/>
    <w:rsid w:val="00DC3BE2"/>
    <w:rsid w:val="00DC3BEA"/>
    <w:rsid w:val="00DC4214"/>
    <w:rsid w:val="00DC452F"/>
    <w:rsid w:val="00DC47B5"/>
    <w:rsid w:val="00DC4887"/>
    <w:rsid w:val="00DC4A9F"/>
    <w:rsid w:val="00DC4EB1"/>
    <w:rsid w:val="00DC53CC"/>
    <w:rsid w:val="00DC58B6"/>
    <w:rsid w:val="00DC5ADD"/>
    <w:rsid w:val="00DC64C6"/>
    <w:rsid w:val="00DC665B"/>
    <w:rsid w:val="00DC6852"/>
    <w:rsid w:val="00DC689C"/>
    <w:rsid w:val="00DC6B0E"/>
    <w:rsid w:val="00DC6F14"/>
    <w:rsid w:val="00DC7097"/>
    <w:rsid w:val="00DC72F5"/>
    <w:rsid w:val="00DC73C4"/>
    <w:rsid w:val="00DC751B"/>
    <w:rsid w:val="00DC76B8"/>
    <w:rsid w:val="00DC798B"/>
    <w:rsid w:val="00DD0459"/>
    <w:rsid w:val="00DD0626"/>
    <w:rsid w:val="00DD073D"/>
    <w:rsid w:val="00DD0989"/>
    <w:rsid w:val="00DD107F"/>
    <w:rsid w:val="00DD13E8"/>
    <w:rsid w:val="00DD14FA"/>
    <w:rsid w:val="00DD1776"/>
    <w:rsid w:val="00DD179D"/>
    <w:rsid w:val="00DD2152"/>
    <w:rsid w:val="00DD2502"/>
    <w:rsid w:val="00DD26FF"/>
    <w:rsid w:val="00DD279F"/>
    <w:rsid w:val="00DD2940"/>
    <w:rsid w:val="00DD2CF3"/>
    <w:rsid w:val="00DD2F9C"/>
    <w:rsid w:val="00DD331C"/>
    <w:rsid w:val="00DD3498"/>
    <w:rsid w:val="00DD3889"/>
    <w:rsid w:val="00DD3BBF"/>
    <w:rsid w:val="00DD3BE4"/>
    <w:rsid w:val="00DD3C00"/>
    <w:rsid w:val="00DD3C40"/>
    <w:rsid w:val="00DD3F4F"/>
    <w:rsid w:val="00DD425C"/>
    <w:rsid w:val="00DD46AB"/>
    <w:rsid w:val="00DD494F"/>
    <w:rsid w:val="00DD4B97"/>
    <w:rsid w:val="00DD51BC"/>
    <w:rsid w:val="00DD526E"/>
    <w:rsid w:val="00DD55EE"/>
    <w:rsid w:val="00DD59D9"/>
    <w:rsid w:val="00DD5AD6"/>
    <w:rsid w:val="00DD5DDA"/>
    <w:rsid w:val="00DD61BE"/>
    <w:rsid w:val="00DD672B"/>
    <w:rsid w:val="00DD6A20"/>
    <w:rsid w:val="00DD6C93"/>
    <w:rsid w:val="00DD6CA7"/>
    <w:rsid w:val="00DD6DEC"/>
    <w:rsid w:val="00DD7B5E"/>
    <w:rsid w:val="00DD7D72"/>
    <w:rsid w:val="00DE0025"/>
    <w:rsid w:val="00DE0396"/>
    <w:rsid w:val="00DE0447"/>
    <w:rsid w:val="00DE0603"/>
    <w:rsid w:val="00DE066D"/>
    <w:rsid w:val="00DE06AF"/>
    <w:rsid w:val="00DE0CA5"/>
    <w:rsid w:val="00DE0E7D"/>
    <w:rsid w:val="00DE0E88"/>
    <w:rsid w:val="00DE1026"/>
    <w:rsid w:val="00DE1426"/>
    <w:rsid w:val="00DE1970"/>
    <w:rsid w:val="00DE1986"/>
    <w:rsid w:val="00DE1EA6"/>
    <w:rsid w:val="00DE1F68"/>
    <w:rsid w:val="00DE20CC"/>
    <w:rsid w:val="00DE2176"/>
    <w:rsid w:val="00DE2194"/>
    <w:rsid w:val="00DE2754"/>
    <w:rsid w:val="00DE299E"/>
    <w:rsid w:val="00DE29A6"/>
    <w:rsid w:val="00DE2CFC"/>
    <w:rsid w:val="00DE309D"/>
    <w:rsid w:val="00DE323F"/>
    <w:rsid w:val="00DE32ED"/>
    <w:rsid w:val="00DE350E"/>
    <w:rsid w:val="00DE36C1"/>
    <w:rsid w:val="00DE3919"/>
    <w:rsid w:val="00DE3DB8"/>
    <w:rsid w:val="00DE3E9A"/>
    <w:rsid w:val="00DE3EEB"/>
    <w:rsid w:val="00DE41E5"/>
    <w:rsid w:val="00DE4A94"/>
    <w:rsid w:val="00DE4FD7"/>
    <w:rsid w:val="00DE4FE3"/>
    <w:rsid w:val="00DE5395"/>
    <w:rsid w:val="00DE5773"/>
    <w:rsid w:val="00DE58EE"/>
    <w:rsid w:val="00DE5FCB"/>
    <w:rsid w:val="00DE6178"/>
    <w:rsid w:val="00DE6BE3"/>
    <w:rsid w:val="00DE6C4C"/>
    <w:rsid w:val="00DE7007"/>
    <w:rsid w:val="00DE727D"/>
    <w:rsid w:val="00DE7C8F"/>
    <w:rsid w:val="00DE7FE4"/>
    <w:rsid w:val="00DF012F"/>
    <w:rsid w:val="00DF040F"/>
    <w:rsid w:val="00DF043B"/>
    <w:rsid w:val="00DF0982"/>
    <w:rsid w:val="00DF0B0E"/>
    <w:rsid w:val="00DF0BA0"/>
    <w:rsid w:val="00DF13A1"/>
    <w:rsid w:val="00DF15E4"/>
    <w:rsid w:val="00DF16A7"/>
    <w:rsid w:val="00DF183B"/>
    <w:rsid w:val="00DF1B04"/>
    <w:rsid w:val="00DF1B3E"/>
    <w:rsid w:val="00DF1BFE"/>
    <w:rsid w:val="00DF1C8B"/>
    <w:rsid w:val="00DF1C93"/>
    <w:rsid w:val="00DF24DF"/>
    <w:rsid w:val="00DF2A86"/>
    <w:rsid w:val="00DF2AA4"/>
    <w:rsid w:val="00DF2DB2"/>
    <w:rsid w:val="00DF2E52"/>
    <w:rsid w:val="00DF2FD5"/>
    <w:rsid w:val="00DF2FE9"/>
    <w:rsid w:val="00DF37F4"/>
    <w:rsid w:val="00DF3B0B"/>
    <w:rsid w:val="00DF3C56"/>
    <w:rsid w:val="00DF3F96"/>
    <w:rsid w:val="00DF4523"/>
    <w:rsid w:val="00DF4E9A"/>
    <w:rsid w:val="00DF53A7"/>
    <w:rsid w:val="00DF541A"/>
    <w:rsid w:val="00DF547B"/>
    <w:rsid w:val="00DF5522"/>
    <w:rsid w:val="00DF55E2"/>
    <w:rsid w:val="00DF6175"/>
    <w:rsid w:val="00DF6179"/>
    <w:rsid w:val="00DF6180"/>
    <w:rsid w:val="00DF6378"/>
    <w:rsid w:val="00DF658F"/>
    <w:rsid w:val="00DF679E"/>
    <w:rsid w:val="00DF6A46"/>
    <w:rsid w:val="00DF6D88"/>
    <w:rsid w:val="00DF6D9C"/>
    <w:rsid w:val="00DF7570"/>
    <w:rsid w:val="00DF780B"/>
    <w:rsid w:val="00DF79C0"/>
    <w:rsid w:val="00DF7A82"/>
    <w:rsid w:val="00DF7F9B"/>
    <w:rsid w:val="00DF7FB2"/>
    <w:rsid w:val="00E0005E"/>
    <w:rsid w:val="00E0013B"/>
    <w:rsid w:val="00E00518"/>
    <w:rsid w:val="00E005C0"/>
    <w:rsid w:val="00E00FF0"/>
    <w:rsid w:val="00E01431"/>
    <w:rsid w:val="00E0151F"/>
    <w:rsid w:val="00E0167B"/>
    <w:rsid w:val="00E018C8"/>
    <w:rsid w:val="00E01B58"/>
    <w:rsid w:val="00E01B97"/>
    <w:rsid w:val="00E021C3"/>
    <w:rsid w:val="00E025D4"/>
    <w:rsid w:val="00E0274F"/>
    <w:rsid w:val="00E029C2"/>
    <w:rsid w:val="00E030F0"/>
    <w:rsid w:val="00E03409"/>
    <w:rsid w:val="00E03845"/>
    <w:rsid w:val="00E03A8D"/>
    <w:rsid w:val="00E03AEC"/>
    <w:rsid w:val="00E03B2D"/>
    <w:rsid w:val="00E03D56"/>
    <w:rsid w:val="00E03D69"/>
    <w:rsid w:val="00E03DAB"/>
    <w:rsid w:val="00E04122"/>
    <w:rsid w:val="00E041DD"/>
    <w:rsid w:val="00E045F8"/>
    <w:rsid w:val="00E04681"/>
    <w:rsid w:val="00E0478C"/>
    <w:rsid w:val="00E047B6"/>
    <w:rsid w:val="00E04977"/>
    <w:rsid w:val="00E052F2"/>
    <w:rsid w:val="00E052FF"/>
    <w:rsid w:val="00E0549A"/>
    <w:rsid w:val="00E054A3"/>
    <w:rsid w:val="00E05D3D"/>
    <w:rsid w:val="00E0602B"/>
    <w:rsid w:val="00E062E1"/>
    <w:rsid w:val="00E06443"/>
    <w:rsid w:val="00E06941"/>
    <w:rsid w:val="00E06981"/>
    <w:rsid w:val="00E06BBE"/>
    <w:rsid w:val="00E06CDE"/>
    <w:rsid w:val="00E06D81"/>
    <w:rsid w:val="00E06FB5"/>
    <w:rsid w:val="00E06FB9"/>
    <w:rsid w:val="00E079BA"/>
    <w:rsid w:val="00E07EAC"/>
    <w:rsid w:val="00E07F5A"/>
    <w:rsid w:val="00E102AF"/>
    <w:rsid w:val="00E10798"/>
    <w:rsid w:val="00E107D6"/>
    <w:rsid w:val="00E10827"/>
    <w:rsid w:val="00E10977"/>
    <w:rsid w:val="00E10C6D"/>
    <w:rsid w:val="00E11127"/>
    <w:rsid w:val="00E111EF"/>
    <w:rsid w:val="00E11629"/>
    <w:rsid w:val="00E1165C"/>
    <w:rsid w:val="00E11D86"/>
    <w:rsid w:val="00E1259A"/>
    <w:rsid w:val="00E127E2"/>
    <w:rsid w:val="00E128C3"/>
    <w:rsid w:val="00E12A73"/>
    <w:rsid w:val="00E12CF5"/>
    <w:rsid w:val="00E12D29"/>
    <w:rsid w:val="00E12E2F"/>
    <w:rsid w:val="00E12E7D"/>
    <w:rsid w:val="00E13019"/>
    <w:rsid w:val="00E130BA"/>
    <w:rsid w:val="00E1335E"/>
    <w:rsid w:val="00E13399"/>
    <w:rsid w:val="00E13436"/>
    <w:rsid w:val="00E13856"/>
    <w:rsid w:val="00E13D67"/>
    <w:rsid w:val="00E13D9E"/>
    <w:rsid w:val="00E13E0D"/>
    <w:rsid w:val="00E14715"/>
    <w:rsid w:val="00E151C5"/>
    <w:rsid w:val="00E15552"/>
    <w:rsid w:val="00E155A1"/>
    <w:rsid w:val="00E1561D"/>
    <w:rsid w:val="00E15DC5"/>
    <w:rsid w:val="00E16498"/>
    <w:rsid w:val="00E165C3"/>
    <w:rsid w:val="00E168C8"/>
    <w:rsid w:val="00E16976"/>
    <w:rsid w:val="00E1705F"/>
    <w:rsid w:val="00E1716F"/>
    <w:rsid w:val="00E171F8"/>
    <w:rsid w:val="00E172C8"/>
    <w:rsid w:val="00E173B4"/>
    <w:rsid w:val="00E17445"/>
    <w:rsid w:val="00E1786E"/>
    <w:rsid w:val="00E2018F"/>
    <w:rsid w:val="00E20819"/>
    <w:rsid w:val="00E20E60"/>
    <w:rsid w:val="00E20E97"/>
    <w:rsid w:val="00E20FC8"/>
    <w:rsid w:val="00E2107C"/>
    <w:rsid w:val="00E21537"/>
    <w:rsid w:val="00E219B2"/>
    <w:rsid w:val="00E2203A"/>
    <w:rsid w:val="00E2231F"/>
    <w:rsid w:val="00E22764"/>
    <w:rsid w:val="00E22DFC"/>
    <w:rsid w:val="00E2318E"/>
    <w:rsid w:val="00E231C8"/>
    <w:rsid w:val="00E23485"/>
    <w:rsid w:val="00E23A5B"/>
    <w:rsid w:val="00E23BC5"/>
    <w:rsid w:val="00E23C19"/>
    <w:rsid w:val="00E23D76"/>
    <w:rsid w:val="00E23D92"/>
    <w:rsid w:val="00E244F9"/>
    <w:rsid w:val="00E2451F"/>
    <w:rsid w:val="00E24A1D"/>
    <w:rsid w:val="00E24DF5"/>
    <w:rsid w:val="00E25258"/>
    <w:rsid w:val="00E2531D"/>
    <w:rsid w:val="00E25511"/>
    <w:rsid w:val="00E25545"/>
    <w:rsid w:val="00E25AFF"/>
    <w:rsid w:val="00E25B5A"/>
    <w:rsid w:val="00E261F9"/>
    <w:rsid w:val="00E2649D"/>
    <w:rsid w:val="00E26625"/>
    <w:rsid w:val="00E266FE"/>
    <w:rsid w:val="00E268CA"/>
    <w:rsid w:val="00E26F5C"/>
    <w:rsid w:val="00E26F94"/>
    <w:rsid w:val="00E27050"/>
    <w:rsid w:val="00E27072"/>
    <w:rsid w:val="00E271EE"/>
    <w:rsid w:val="00E275A2"/>
    <w:rsid w:val="00E2788D"/>
    <w:rsid w:val="00E27C26"/>
    <w:rsid w:val="00E27CA3"/>
    <w:rsid w:val="00E27CB2"/>
    <w:rsid w:val="00E27D1D"/>
    <w:rsid w:val="00E301D4"/>
    <w:rsid w:val="00E302A3"/>
    <w:rsid w:val="00E30650"/>
    <w:rsid w:val="00E306B6"/>
    <w:rsid w:val="00E30AE0"/>
    <w:rsid w:val="00E30B12"/>
    <w:rsid w:val="00E30C01"/>
    <w:rsid w:val="00E30EA4"/>
    <w:rsid w:val="00E31013"/>
    <w:rsid w:val="00E3117D"/>
    <w:rsid w:val="00E31212"/>
    <w:rsid w:val="00E3145E"/>
    <w:rsid w:val="00E31506"/>
    <w:rsid w:val="00E315A5"/>
    <w:rsid w:val="00E316BE"/>
    <w:rsid w:val="00E3191D"/>
    <w:rsid w:val="00E319B4"/>
    <w:rsid w:val="00E31E37"/>
    <w:rsid w:val="00E3215B"/>
    <w:rsid w:val="00E32BBC"/>
    <w:rsid w:val="00E32F65"/>
    <w:rsid w:val="00E3314C"/>
    <w:rsid w:val="00E33AAE"/>
    <w:rsid w:val="00E33D9C"/>
    <w:rsid w:val="00E343F3"/>
    <w:rsid w:val="00E34777"/>
    <w:rsid w:val="00E34F2A"/>
    <w:rsid w:val="00E34F2E"/>
    <w:rsid w:val="00E35406"/>
    <w:rsid w:val="00E354B0"/>
    <w:rsid w:val="00E35624"/>
    <w:rsid w:val="00E3567C"/>
    <w:rsid w:val="00E35686"/>
    <w:rsid w:val="00E35B00"/>
    <w:rsid w:val="00E35BEA"/>
    <w:rsid w:val="00E35C6A"/>
    <w:rsid w:val="00E35E33"/>
    <w:rsid w:val="00E35E50"/>
    <w:rsid w:val="00E362DD"/>
    <w:rsid w:val="00E3654C"/>
    <w:rsid w:val="00E36BDF"/>
    <w:rsid w:val="00E36C99"/>
    <w:rsid w:val="00E36E2A"/>
    <w:rsid w:val="00E370FA"/>
    <w:rsid w:val="00E37288"/>
    <w:rsid w:val="00E37A49"/>
    <w:rsid w:val="00E37CFB"/>
    <w:rsid w:val="00E37EF1"/>
    <w:rsid w:val="00E401DF"/>
    <w:rsid w:val="00E40337"/>
    <w:rsid w:val="00E40435"/>
    <w:rsid w:val="00E404DC"/>
    <w:rsid w:val="00E404ED"/>
    <w:rsid w:val="00E405A6"/>
    <w:rsid w:val="00E40962"/>
    <w:rsid w:val="00E40AF9"/>
    <w:rsid w:val="00E40F4D"/>
    <w:rsid w:val="00E41365"/>
    <w:rsid w:val="00E417AC"/>
    <w:rsid w:val="00E417C2"/>
    <w:rsid w:val="00E423B8"/>
    <w:rsid w:val="00E4242B"/>
    <w:rsid w:val="00E425D9"/>
    <w:rsid w:val="00E4278E"/>
    <w:rsid w:val="00E427D0"/>
    <w:rsid w:val="00E42912"/>
    <w:rsid w:val="00E42955"/>
    <w:rsid w:val="00E42D63"/>
    <w:rsid w:val="00E42D9B"/>
    <w:rsid w:val="00E42E69"/>
    <w:rsid w:val="00E43300"/>
    <w:rsid w:val="00E43714"/>
    <w:rsid w:val="00E438A1"/>
    <w:rsid w:val="00E439B0"/>
    <w:rsid w:val="00E43B92"/>
    <w:rsid w:val="00E43D98"/>
    <w:rsid w:val="00E43F70"/>
    <w:rsid w:val="00E43F7B"/>
    <w:rsid w:val="00E440D2"/>
    <w:rsid w:val="00E441A5"/>
    <w:rsid w:val="00E444CB"/>
    <w:rsid w:val="00E44517"/>
    <w:rsid w:val="00E4495E"/>
    <w:rsid w:val="00E44B20"/>
    <w:rsid w:val="00E44BDE"/>
    <w:rsid w:val="00E44F88"/>
    <w:rsid w:val="00E45196"/>
    <w:rsid w:val="00E457B0"/>
    <w:rsid w:val="00E45DE3"/>
    <w:rsid w:val="00E45F05"/>
    <w:rsid w:val="00E463A0"/>
    <w:rsid w:val="00E463EB"/>
    <w:rsid w:val="00E46647"/>
    <w:rsid w:val="00E4678E"/>
    <w:rsid w:val="00E46A1A"/>
    <w:rsid w:val="00E46D4C"/>
    <w:rsid w:val="00E46DCC"/>
    <w:rsid w:val="00E46FBB"/>
    <w:rsid w:val="00E472DF"/>
    <w:rsid w:val="00E473F0"/>
    <w:rsid w:val="00E4745E"/>
    <w:rsid w:val="00E477B9"/>
    <w:rsid w:val="00E4790A"/>
    <w:rsid w:val="00E47D63"/>
    <w:rsid w:val="00E502AF"/>
    <w:rsid w:val="00E50407"/>
    <w:rsid w:val="00E50464"/>
    <w:rsid w:val="00E50621"/>
    <w:rsid w:val="00E506D7"/>
    <w:rsid w:val="00E50707"/>
    <w:rsid w:val="00E507F4"/>
    <w:rsid w:val="00E50C9D"/>
    <w:rsid w:val="00E510AF"/>
    <w:rsid w:val="00E51643"/>
    <w:rsid w:val="00E5169B"/>
    <w:rsid w:val="00E516E8"/>
    <w:rsid w:val="00E51AD4"/>
    <w:rsid w:val="00E51DEE"/>
    <w:rsid w:val="00E52200"/>
    <w:rsid w:val="00E52284"/>
    <w:rsid w:val="00E522A8"/>
    <w:rsid w:val="00E5236D"/>
    <w:rsid w:val="00E52591"/>
    <w:rsid w:val="00E52675"/>
    <w:rsid w:val="00E5289E"/>
    <w:rsid w:val="00E53165"/>
    <w:rsid w:val="00E534A1"/>
    <w:rsid w:val="00E5354E"/>
    <w:rsid w:val="00E53554"/>
    <w:rsid w:val="00E53CF9"/>
    <w:rsid w:val="00E53E44"/>
    <w:rsid w:val="00E54358"/>
    <w:rsid w:val="00E54596"/>
    <w:rsid w:val="00E54622"/>
    <w:rsid w:val="00E54704"/>
    <w:rsid w:val="00E54E5C"/>
    <w:rsid w:val="00E54F0D"/>
    <w:rsid w:val="00E551E0"/>
    <w:rsid w:val="00E55AAC"/>
    <w:rsid w:val="00E55AD5"/>
    <w:rsid w:val="00E55B31"/>
    <w:rsid w:val="00E56207"/>
    <w:rsid w:val="00E56363"/>
    <w:rsid w:val="00E5655F"/>
    <w:rsid w:val="00E56C22"/>
    <w:rsid w:val="00E57326"/>
    <w:rsid w:val="00E57339"/>
    <w:rsid w:val="00E57407"/>
    <w:rsid w:val="00E57C4A"/>
    <w:rsid w:val="00E57C64"/>
    <w:rsid w:val="00E57FBE"/>
    <w:rsid w:val="00E60342"/>
    <w:rsid w:val="00E60428"/>
    <w:rsid w:val="00E606A3"/>
    <w:rsid w:val="00E606DC"/>
    <w:rsid w:val="00E6079E"/>
    <w:rsid w:val="00E608A7"/>
    <w:rsid w:val="00E60919"/>
    <w:rsid w:val="00E60C23"/>
    <w:rsid w:val="00E60DD5"/>
    <w:rsid w:val="00E6131C"/>
    <w:rsid w:val="00E616CA"/>
    <w:rsid w:val="00E6199D"/>
    <w:rsid w:val="00E619C6"/>
    <w:rsid w:val="00E61A5D"/>
    <w:rsid w:val="00E61AB3"/>
    <w:rsid w:val="00E61FB2"/>
    <w:rsid w:val="00E620A0"/>
    <w:rsid w:val="00E624DF"/>
    <w:rsid w:val="00E626F4"/>
    <w:rsid w:val="00E62ACF"/>
    <w:rsid w:val="00E63055"/>
    <w:rsid w:val="00E6312F"/>
    <w:rsid w:val="00E6330B"/>
    <w:rsid w:val="00E63740"/>
    <w:rsid w:val="00E6398F"/>
    <w:rsid w:val="00E63A5A"/>
    <w:rsid w:val="00E63BFF"/>
    <w:rsid w:val="00E63C4C"/>
    <w:rsid w:val="00E63D2E"/>
    <w:rsid w:val="00E63EA9"/>
    <w:rsid w:val="00E646D5"/>
    <w:rsid w:val="00E6473F"/>
    <w:rsid w:val="00E64CCE"/>
    <w:rsid w:val="00E64E6C"/>
    <w:rsid w:val="00E64F5A"/>
    <w:rsid w:val="00E64F70"/>
    <w:rsid w:val="00E64F98"/>
    <w:rsid w:val="00E65110"/>
    <w:rsid w:val="00E65159"/>
    <w:rsid w:val="00E654BF"/>
    <w:rsid w:val="00E655FE"/>
    <w:rsid w:val="00E656E6"/>
    <w:rsid w:val="00E65754"/>
    <w:rsid w:val="00E65857"/>
    <w:rsid w:val="00E6586B"/>
    <w:rsid w:val="00E660A9"/>
    <w:rsid w:val="00E6610F"/>
    <w:rsid w:val="00E66207"/>
    <w:rsid w:val="00E66240"/>
    <w:rsid w:val="00E6639C"/>
    <w:rsid w:val="00E66D80"/>
    <w:rsid w:val="00E66D91"/>
    <w:rsid w:val="00E66E3C"/>
    <w:rsid w:val="00E670C8"/>
    <w:rsid w:val="00E67586"/>
    <w:rsid w:val="00E67825"/>
    <w:rsid w:val="00E67B6C"/>
    <w:rsid w:val="00E67D25"/>
    <w:rsid w:val="00E67F1A"/>
    <w:rsid w:val="00E70818"/>
    <w:rsid w:val="00E70F28"/>
    <w:rsid w:val="00E71074"/>
    <w:rsid w:val="00E71278"/>
    <w:rsid w:val="00E71517"/>
    <w:rsid w:val="00E7167B"/>
    <w:rsid w:val="00E71B0B"/>
    <w:rsid w:val="00E71C93"/>
    <w:rsid w:val="00E72023"/>
    <w:rsid w:val="00E720CD"/>
    <w:rsid w:val="00E72576"/>
    <w:rsid w:val="00E72580"/>
    <w:rsid w:val="00E7258A"/>
    <w:rsid w:val="00E725CB"/>
    <w:rsid w:val="00E72AB0"/>
    <w:rsid w:val="00E72AD8"/>
    <w:rsid w:val="00E72D66"/>
    <w:rsid w:val="00E730E3"/>
    <w:rsid w:val="00E73198"/>
    <w:rsid w:val="00E734D8"/>
    <w:rsid w:val="00E7371E"/>
    <w:rsid w:val="00E738E0"/>
    <w:rsid w:val="00E73C41"/>
    <w:rsid w:val="00E73D1C"/>
    <w:rsid w:val="00E73FED"/>
    <w:rsid w:val="00E7400E"/>
    <w:rsid w:val="00E7424B"/>
    <w:rsid w:val="00E74AE3"/>
    <w:rsid w:val="00E75197"/>
    <w:rsid w:val="00E75284"/>
    <w:rsid w:val="00E753DE"/>
    <w:rsid w:val="00E75435"/>
    <w:rsid w:val="00E75641"/>
    <w:rsid w:val="00E75A34"/>
    <w:rsid w:val="00E75B31"/>
    <w:rsid w:val="00E764D9"/>
    <w:rsid w:val="00E7695B"/>
    <w:rsid w:val="00E76D2B"/>
    <w:rsid w:val="00E76E34"/>
    <w:rsid w:val="00E7722C"/>
    <w:rsid w:val="00E773E5"/>
    <w:rsid w:val="00E77A6A"/>
    <w:rsid w:val="00E77ABB"/>
    <w:rsid w:val="00E77B45"/>
    <w:rsid w:val="00E77DEF"/>
    <w:rsid w:val="00E77F1D"/>
    <w:rsid w:val="00E8020C"/>
    <w:rsid w:val="00E805A8"/>
    <w:rsid w:val="00E81314"/>
    <w:rsid w:val="00E81461"/>
    <w:rsid w:val="00E821CF"/>
    <w:rsid w:val="00E8221E"/>
    <w:rsid w:val="00E822E9"/>
    <w:rsid w:val="00E8274B"/>
    <w:rsid w:val="00E82CF9"/>
    <w:rsid w:val="00E8304D"/>
    <w:rsid w:val="00E8352A"/>
    <w:rsid w:val="00E83964"/>
    <w:rsid w:val="00E83C04"/>
    <w:rsid w:val="00E8421F"/>
    <w:rsid w:val="00E842AC"/>
    <w:rsid w:val="00E843F7"/>
    <w:rsid w:val="00E8440F"/>
    <w:rsid w:val="00E845E6"/>
    <w:rsid w:val="00E84624"/>
    <w:rsid w:val="00E846C8"/>
    <w:rsid w:val="00E84811"/>
    <w:rsid w:val="00E8482A"/>
    <w:rsid w:val="00E84B51"/>
    <w:rsid w:val="00E84DCE"/>
    <w:rsid w:val="00E84F57"/>
    <w:rsid w:val="00E85824"/>
    <w:rsid w:val="00E8582D"/>
    <w:rsid w:val="00E859FF"/>
    <w:rsid w:val="00E85A4A"/>
    <w:rsid w:val="00E85AF6"/>
    <w:rsid w:val="00E85D80"/>
    <w:rsid w:val="00E8648D"/>
    <w:rsid w:val="00E864F8"/>
    <w:rsid w:val="00E866A1"/>
    <w:rsid w:val="00E870BD"/>
    <w:rsid w:val="00E872F2"/>
    <w:rsid w:val="00E87476"/>
    <w:rsid w:val="00E874A2"/>
    <w:rsid w:val="00E87A6B"/>
    <w:rsid w:val="00E87CC2"/>
    <w:rsid w:val="00E90144"/>
    <w:rsid w:val="00E9048E"/>
    <w:rsid w:val="00E90493"/>
    <w:rsid w:val="00E90B2B"/>
    <w:rsid w:val="00E90B5A"/>
    <w:rsid w:val="00E90FD2"/>
    <w:rsid w:val="00E91248"/>
    <w:rsid w:val="00E914C9"/>
    <w:rsid w:val="00E91832"/>
    <w:rsid w:val="00E91A88"/>
    <w:rsid w:val="00E91BED"/>
    <w:rsid w:val="00E91E90"/>
    <w:rsid w:val="00E91ED1"/>
    <w:rsid w:val="00E91EFB"/>
    <w:rsid w:val="00E92101"/>
    <w:rsid w:val="00E92256"/>
    <w:rsid w:val="00E926DB"/>
    <w:rsid w:val="00E928A3"/>
    <w:rsid w:val="00E928E0"/>
    <w:rsid w:val="00E92BB1"/>
    <w:rsid w:val="00E92E85"/>
    <w:rsid w:val="00E93338"/>
    <w:rsid w:val="00E93672"/>
    <w:rsid w:val="00E93990"/>
    <w:rsid w:val="00E93A97"/>
    <w:rsid w:val="00E93B17"/>
    <w:rsid w:val="00E940C5"/>
    <w:rsid w:val="00E945E2"/>
    <w:rsid w:val="00E947E4"/>
    <w:rsid w:val="00E94989"/>
    <w:rsid w:val="00E94B78"/>
    <w:rsid w:val="00E94E11"/>
    <w:rsid w:val="00E94E78"/>
    <w:rsid w:val="00E9505B"/>
    <w:rsid w:val="00E9508D"/>
    <w:rsid w:val="00E951A3"/>
    <w:rsid w:val="00E9553A"/>
    <w:rsid w:val="00E956C6"/>
    <w:rsid w:val="00E957D3"/>
    <w:rsid w:val="00E95947"/>
    <w:rsid w:val="00E95C0D"/>
    <w:rsid w:val="00E95D95"/>
    <w:rsid w:val="00E9605F"/>
    <w:rsid w:val="00E9615E"/>
    <w:rsid w:val="00E967CE"/>
    <w:rsid w:val="00E96A2B"/>
    <w:rsid w:val="00E96C9A"/>
    <w:rsid w:val="00E96F46"/>
    <w:rsid w:val="00E96FCF"/>
    <w:rsid w:val="00E972F7"/>
    <w:rsid w:val="00E973DC"/>
    <w:rsid w:val="00E97616"/>
    <w:rsid w:val="00E97716"/>
    <w:rsid w:val="00E977BD"/>
    <w:rsid w:val="00E97EAA"/>
    <w:rsid w:val="00EA0270"/>
    <w:rsid w:val="00EA06EF"/>
    <w:rsid w:val="00EA0940"/>
    <w:rsid w:val="00EA098F"/>
    <w:rsid w:val="00EA0F31"/>
    <w:rsid w:val="00EA11CE"/>
    <w:rsid w:val="00EA1489"/>
    <w:rsid w:val="00EA153A"/>
    <w:rsid w:val="00EA15FB"/>
    <w:rsid w:val="00EA175B"/>
    <w:rsid w:val="00EA21EC"/>
    <w:rsid w:val="00EA2294"/>
    <w:rsid w:val="00EA2516"/>
    <w:rsid w:val="00EA28F2"/>
    <w:rsid w:val="00EA30AE"/>
    <w:rsid w:val="00EA3382"/>
    <w:rsid w:val="00EA34D1"/>
    <w:rsid w:val="00EA3B74"/>
    <w:rsid w:val="00EA4241"/>
    <w:rsid w:val="00EA4282"/>
    <w:rsid w:val="00EA4A47"/>
    <w:rsid w:val="00EA4C99"/>
    <w:rsid w:val="00EA51EC"/>
    <w:rsid w:val="00EA5239"/>
    <w:rsid w:val="00EA53A7"/>
    <w:rsid w:val="00EA5415"/>
    <w:rsid w:val="00EA55BA"/>
    <w:rsid w:val="00EA5881"/>
    <w:rsid w:val="00EA5A95"/>
    <w:rsid w:val="00EA5F08"/>
    <w:rsid w:val="00EA687F"/>
    <w:rsid w:val="00EA6B2C"/>
    <w:rsid w:val="00EA6D5C"/>
    <w:rsid w:val="00EA6D85"/>
    <w:rsid w:val="00EA737D"/>
    <w:rsid w:val="00EA74C6"/>
    <w:rsid w:val="00EA7516"/>
    <w:rsid w:val="00EA7537"/>
    <w:rsid w:val="00EA7865"/>
    <w:rsid w:val="00EA7887"/>
    <w:rsid w:val="00EA7C87"/>
    <w:rsid w:val="00EB0412"/>
    <w:rsid w:val="00EB051D"/>
    <w:rsid w:val="00EB054D"/>
    <w:rsid w:val="00EB17D5"/>
    <w:rsid w:val="00EB1B8D"/>
    <w:rsid w:val="00EB2409"/>
    <w:rsid w:val="00EB2559"/>
    <w:rsid w:val="00EB277B"/>
    <w:rsid w:val="00EB289A"/>
    <w:rsid w:val="00EB2D3F"/>
    <w:rsid w:val="00EB329B"/>
    <w:rsid w:val="00EB3647"/>
    <w:rsid w:val="00EB3731"/>
    <w:rsid w:val="00EB39E8"/>
    <w:rsid w:val="00EB3CDC"/>
    <w:rsid w:val="00EB3DA4"/>
    <w:rsid w:val="00EB3E6F"/>
    <w:rsid w:val="00EB40EF"/>
    <w:rsid w:val="00EB42AC"/>
    <w:rsid w:val="00EB4397"/>
    <w:rsid w:val="00EB4507"/>
    <w:rsid w:val="00EB47C6"/>
    <w:rsid w:val="00EB4B72"/>
    <w:rsid w:val="00EB4C45"/>
    <w:rsid w:val="00EB4EEE"/>
    <w:rsid w:val="00EB50CF"/>
    <w:rsid w:val="00EB5329"/>
    <w:rsid w:val="00EB5616"/>
    <w:rsid w:val="00EB562D"/>
    <w:rsid w:val="00EB5667"/>
    <w:rsid w:val="00EB5FDE"/>
    <w:rsid w:val="00EB6050"/>
    <w:rsid w:val="00EB61E4"/>
    <w:rsid w:val="00EB64BD"/>
    <w:rsid w:val="00EB668E"/>
    <w:rsid w:val="00EB6739"/>
    <w:rsid w:val="00EB685A"/>
    <w:rsid w:val="00EB68DC"/>
    <w:rsid w:val="00EB7405"/>
    <w:rsid w:val="00EB7575"/>
    <w:rsid w:val="00EB79A7"/>
    <w:rsid w:val="00EB7A74"/>
    <w:rsid w:val="00EB7BD2"/>
    <w:rsid w:val="00EB7BE2"/>
    <w:rsid w:val="00EB7C4B"/>
    <w:rsid w:val="00EC084E"/>
    <w:rsid w:val="00EC0DBB"/>
    <w:rsid w:val="00EC0F36"/>
    <w:rsid w:val="00EC11BC"/>
    <w:rsid w:val="00EC16B9"/>
    <w:rsid w:val="00EC1721"/>
    <w:rsid w:val="00EC1ACC"/>
    <w:rsid w:val="00EC1AE7"/>
    <w:rsid w:val="00EC1C75"/>
    <w:rsid w:val="00EC2042"/>
    <w:rsid w:val="00EC2121"/>
    <w:rsid w:val="00EC229A"/>
    <w:rsid w:val="00EC22AA"/>
    <w:rsid w:val="00EC2688"/>
    <w:rsid w:val="00EC27C8"/>
    <w:rsid w:val="00EC2B51"/>
    <w:rsid w:val="00EC2C3A"/>
    <w:rsid w:val="00EC322E"/>
    <w:rsid w:val="00EC3677"/>
    <w:rsid w:val="00EC3707"/>
    <w:rsid w:val="00EC38DD"/>
    <w:rsid w:val="00EC3D62"/>
    <w:rsid w:val="00EC3F49"/>
    <w:rsid w:val="00EC405F"/>
    <w:rsid w:val="00EC42B8"/>
    <w:rsid w:val="00EC438E"/>
    <w:rsid w:val="00EC4511"/>
    <w:rsid w:val="00EC4ABE"/>
    <w:rsid w:val="00EC4D9A"/>
    <w:rsid w:val="00EC4EBD"/>
    <w:rsid w:val="00EC51B3"/>
    <w:rsid w:val="00EC52D6"/>
    <w:rsid w:val="00EC53B8"/>
    <w:rsid w:val="00EC552E"/>
    <w:rsid w:val="00EC589C"/>
    <w:rsid w:val="00EC610E"/>
    <w:rsid w:val="00EC6604"/>
    <w:rsid w:val="00EC6E26"/>
    <w:rsid w:val="00EC7940"/>
    <w:rsid w:val="00EC7D4D"/>
    <w:rsid w:val="00ED03BA"/>
    <w:rsid w:val="00ED0AFB"/>
    <w:rsid w:val="00ED106F"/>
    <w:rsid w:val="00ED1077"/>
    <w:rsid w:val="00ED109C"/>
    <w:rsid w:val="00ED10C8"/>
    <w:rsid w:val="00ED1506"/>
    <w:rsid w:val="00ED156B"/>
    <w:rsid w:val="00ED17B5"/>
    <w:rsid w:val="00ED1A70"/>
    <w:rsid w:val="00ED1B05"/>
    <w:rsid w:val="00ED1F81"/>
    <w:rsid w:val="00ED2393"/>
    <w:rsid w:val="00ED25A9"/>
    <w:rsid w:val="00ED26B8"/>
    <w:rsid w:val="00ED2EBF"/>
    <w:rsid w:val="00ED2EE7"/>
    <w:rsid w:val="00ED2F12"/>
    <w:rsid w:val="00ED31F6"/>
    <w:rsid w:val="00ED3289"/>
    <w:rsid w:val="00ED3570"/>
    <w:rsid w:val="00ED39B6"/>
    <w:rsid w:val="00ED3A92"/>
    <w:rsid w:val="00ED3CC7"/>
    <w:rsid w:val="00ED3E41"/>
    <w:rsid w:val="00ED42A5"/>
    <w:rsid w:val="00ED48EE"/>
    <w:rsid w:val="00ED49F4"/>
    <w:rsid w:val="00ED4D6E"/>
    <w:rsid w:val="00ED4D86"/>
    <w:rsid w:val="00ED52A0"/>
    <w:rsid w:val="00ED5377"/>
    <w:rsid w:val="00ED5C48"/>
    <w:rsid w:val="00ED5D01"/>
    <w:rsid w:val="00ED5FE4"/>
    <w:rsid w:val="00ED654D"/>
    <w:rsid w:val="00ED657A"/>
    <w:rsid w:val="00ED65EE"/>
    <w:rsid w:val="00ED6698"/>
    <w:rsid w:val="00ED71CD"/>
    <w:rsid w:val="00ED74DD"/>
    <w:rsid w:val="00ED7674"/>
    <w:rsid w:val="00ED7806"/>
    <w:rsid w:val="00ED7A57"/>
    <w:rsid w:val="00ED7E79"/>
    <w:rsid w:val="00ED9518"/>
    <w:rsid w:val="00EE0370"/>
    <w:rsid w:val="00EE07E2"/>
    <w:rsid w:val="00EE08BE"/>
    <w:rsid w:val="00EE0A63"/>
    <w:rsid w:val="00EE0E21"/>
    <w:rsid w:val="00EE12A2"/>
    <w:rsid w:val="00EE1514"/>
    <w:rsid w:val="00EE15CF"/>
    <w:rsid w:val="00EE1C30"/>
    <w:rsid w:val="00EE1FB0"/>
    <w:rsid w:val="00EE22F2"/>
    <w:rsid w:val="00EE237E"/>
    <w:rsid w:val="00EE2843"/>
    <w:rsid w:val="00EE2A03"/>
    <w:rsid w:val="00EE2CB1"/>
    <w:rsid w:val="00EE3249"/>
    <w:rsid w:val="00EE3550"/>
    <w:rsid w:val="00EE385D"/>
    <w:rsid w:val="00EE3B4A"/>
    <w:rsid w:val="00EE3B4F"/>
    <w:rsid w:val="00EE434C"/>
    <w:rsid w:val="00EE4D03"/>
    <w:rsid w:val="00EE50DF"/>
    <w:rsid w:val="00EE5AF0"/>
    <w:rsid w:val="00EE5B60"/>
    <w:rsid w:val="00EE5DB5"/>
    <w:rsid w:val="00EE5F64"/>
    <w:rsid w:val="00EE609E"/>
    <w:rsid w:val="00EE62B8"/>
    <w:rsid w:val="00EE6496"/>
    <w:rsid w:val="00EE656D"/>
    <w:rsid w:val="00EE6F22"/>
    <w:rsid w:val="00EE6FED"/>
    <w:rsid w:val="00EE7543"/>
    <w:rsid w:val="00EE7807"/>
    <w:rsid w:val="00EE7A96"/>
    <w:rsid w:val="00EF070A"/>
    <w:rsid w:val="00EF0AED"/>
    <w:rsid w:val="00EF0B97"/>
    <w:rsid w:val="00EF0C92"/>
    <w:rsid w:val="00EF16F1"/>
    <w:rsid w:val="00EF19D6"/>
    <w:rsid w:val="00EF1DF6"/>
    <w:rsid w:val="00EF25F1"/>
    <w:rsid w:val="00EF2636"/>
    <w:rsid w:val="00EF28CE"/>
    <w:rsid w:val="00EF3051"/>
    <w:rsid w:val="00EF3700"/>
    <w:rsid w:val="00EF3EE7"/>
    <w:rsid w:val="00EF3F80"/>
    <w:rsid w:val="00EF3FF1"/>
    <w:rsid w:val="00EF4501"/>
    <w:rsid w:val="00EF4814"/>
    <w:rsid w:val="00EF4AA0"/>
    <w:rsid w:val="00EF4C22"/>
    <w:rsid w:val="00EF4DC1"/>
    <w:rsid w:val="00EF4DCB"/>
    <w:rsid w:val="00EF4E28"/>
    <w:rsid w:val="00EF5210"/>
    <w:rsid w:val="00EF52DF"/>
    <w:rsid w:val="00EF55AE"/>
    <w:rsid w:val="00EF55E7"/>
    <w:rsid w:val="00EF593A"/>
    <w:rsid w:val="00EF5D6F"/>
    <w:rsid w:val="00EF609E"/>
    <w:rsid w:val="00EF61A9"/>
    <w:rsid w:val="00EF6226"/>
    <w:rsid w:val="00EF68A1"/>
    <w:rsid w:val="00EF6970"/>
    <w:rsid w:val="00EF6973"/>
    <w:rsid w:val="00EF6AD2"/>
    <w:rsid w:val="00EF6C1B"/>
    <w:rsid w:val="00EF6DEE"/>
    <w:rsid w:val="00EF7556"/>
    <w:rsid w:val="00EF781F"/>
    <w:rsid w:val="00EF7C9F"/>
    <w:rsid w:val="00EF7CEC"/>
    <w:rsid w:val="00EF7E50"/>
    <w:rsid w:val="00EF7E72"/>
    <w:rsid w:val="00EF7ECA"/>
    <w:rsid w:val="00F00AE3"/>
    <w:rsid w:val="00F00F53"/>
    <w:rsid w:val="00F013AE"/>
    <w:rsid w:val="00F0157A"/>
    <w:rsid w:val="00F01602"/>
    <w:rsid w:val="00F01879"/>
    <w:rsid w:val="00F0191A"/>
    <w:rsid w:val="00F01A44"/>
    <w:rsid w:val="00F01BC5"/>
    <w:rsid w:val="00F02093"/>
    <w:rsid w:val="00F0230F"/>
    <w:rsid w:val="00F02469"/>
    <w:rsid w:val="00F0262B"/>
    <w:rsid w:val="00F02AC0"/>
    <w:rsid w:val="00F02BCB"/>
    <w:rsid w:val="00F02C09"/>
    <w:rsid w:val="00F03380"/>
    <w:rsid w:val="00F03492"/>
    <w:rsid w:val="00F0368E"/>
    <w:rsid w:val="00F038B4"/>
    <w:rsid w:val="00F03BCB"/>
    <w:rsid w:val="00F0411A"/>
    <w:rsid w:val="00F041FD"/>
    <w:rsid w:val="00F04424"/>
    <w:rsid w:val="00F04714"/>
    <w:rsid w:val="00F04ACE"/>
    <w:rsid w:val="00F04CD8"/>
    <w:rsid w:val="00F04E50"/>
    <w:rsid w:val="00F056C0"/>
    <w:rsid w:val="00F058E4"/>
    <w:rsid w:val="00F05ADA"/>
    <w:rsid w:val="00F05CA7"/>
    <w:rsid w:val="00F061C5"/>
    <w:rsid w:val="00F063BF"/>
    <w:rsid w:val="00F06555"/>
    <w:rsid w:val="00F06596"/>
    <w:rsid w:val="00F06CF4"/>
    <w:rsid w:val="00F06D64"/>
    <w:rsid w:val="00F07078"/>
    <w:rsid w:val="00F07113"/>
    <w:rsid w:val="00F072DE"/>
    <w:rsid w:val="00F0747A"/>
    <w:rsid w:val="00F07495"/>
    <w:rsid w:val="00F077B7"/>
    <w:rsid w:val="00F07848"/>
    <w:rsid w:val="00F078DF"/>
    <w:rsid w:val="00F07A9A"/>
    <w:rsid w:val="00F07D10"/>
    <w:rsid w:val="00F1053A"/>
    <w:rsid w:val="00F107F1"/>
    <w:rsid w:val="00F10A35"/>
    <w:rsid w:val="00F1116B"/>
    <w:rsid w:val="00F11372"/>
    <w:rsid w:val="00F1170E"/>
    <w:rsid w:val="00F11B1E"/>
    <w:rsid w:val="00F11FC0"/>
    <w:rsid w:val="00F1203E"/>
    <w:rsid w:val="00F12106"/>
    <w:rsid w:val="00F121AA"/>
    <w:rsid w:val="00F121F3"/>
    <w:rsid w:val="00F12430"/>
    <w:rsid w:val="00F124DE"/>
    <w:rsid w:val="00F12746"/>
    <w:rsid w:val="00F128BF"/>
    <w:rsid w:val="00F12C2F"/>
    <w:rsid w:val="00F12DA7"/>
    <w:rsid w:val="00F12E3E"/>
    <w:rsid w:val="00F12EE1"/>
    <w:rsid w:val="00F13A99"/>
    <w:rsid w:val="00F14052"/>
    <w:rsid w:val="00F140D0"/>
    <w:rsid w:val="00F1433D"/>
    <w:rsid w:val="00F14A2F"/>
    <w:rsid w:val="00F1573C"/>
    <w:rsid w:val="00F15AB7"/>
    <w:rsid w:val="00F15B26"/>
    <w:rsid w:val="00F16665"/>
    <w:rsid w:val="00F16A30"/>
    <w:rsid w:val="00F16C8F"/>
    <w:rsid w:val="00F16D52"/>
    <w:rsid w:val="00F16E9F"/>
    <w:rsid w:val="00F1702B"/>
    <w:rsid w:val="00F17854"/>
    <w:rsid w:val="00F17B6B"/>
    <w:rsid w:val="00F17FFA"/>
    <w:rsid w:val="00F2078B"/>
    <w:rsid w:val="00F20994"/>
    <w:rsid w:val="00F20BB4"/>
    <w:rsid w:val="00F211E4"/>
    <w:rsid w:val="00F21205"/>
    <w:rsid w:val="00F216F9"/>
    <w:rsid w:val="00F217F9"/>
    <w:rsid w:val="00F218D5"/>
    <w:rsid w:val="00F218E4"/>
    <w:rsid w:val="00F21BC0"/>
    <w:rsid w:val="00F21CF3"/>
    <w:rsid w:val="00F21E2B"/>
    <w:rsid w:val="00F21F01"/>
    <w:rsid w:val="00F2288F"/>
    <w:rsid w:val="00F22D71"/>
    <w:rsid w:val="00F230C7"/>
    <w:rsid w:val="00F23267"/>
    <w:rsid w:val="00F23400"/>
    <w:rsid w:val="00F234AD"/>
    <w:rsid w:val="00F2380D"/>
    <w:rsid w:val="00F23A45"/>
    <w:rsid w:val="00F23B8B"/>
    <w:rsid w:val="00F23C04"/>
    <w:rsid w:val="00F23E20"/>
    <w:rsid w:val="00F23F99"/>
    <w:rsid w:val="00F24057"/>
    <w:rsid w:val="00F24196"/>
    <w:rsid w:val="00F24456"/>
    <w:rsid w:val="00F25240"/>
    <w:rsid w:val="00F2539F"/>
    <w:rsid w:val="00F25409"/>
    <w:rsid w:val="00F25866"/>
    <w:rsid w:val="00F25A30"/>
    <w:rsid w:val="00F261E4"/>
    <w:rsid w:val="00F2680C"/>
    <w:rsid w:val="00F26B37"/>
    <w:rsid w:val="00F26B4F"/>
    <w:rsid w:val="00F26CA1"/>
    <w:rsid w:val="00F26F10"/>
    <w:rsid w:val="00F274AE"/>
    <w:rsid w:val="00F276F0"/>
    <w:rsid w:val="00F27D35"/>
    <w:rsid w:val="00F27DAA"/>
    <w:rsid w:val="00F27DD0"/>
    <w:rsid w:val="00F27EE0"/>
    <w:rsid w:val="00F30009"/>
    <w:rsid w:val="00F3022C"/>
    <w:rsid w:val="00F30364"/>
    <w:rsid w:val="00F30558"/>
    <w:rsid w:val="00F30607"/>
    <w:rsid w:val="00F30A45"/>
    <w:rsid w:val="00F3140B"/>
    <w:rsid w:val="00F317A5"/>
    <w:rsid w:val="00F31AFD"/>
    <w:rsid w:val="00F31BAC"/>
    <w:rsid w:val="00F31DA9"/>
    <w:rsid w:val="00F31FA3"/>
    <w:rsid w:val="00F32751"/>
    <w:rsid w:val="00F327B6"/>
    <w:rsid w:val="00F32B67"/>
    <w:rsid w:val="00F32D6F"/>
    <w:rsid w:val="00F32DB7"/>
    <w:rsid w:val="00F330D3"/>
    <w:rsid w:val="00F33168"/>
    <w:rsid w:val="00F332BD"/>
    <w:rsid w:val="00F334FF"/>
    <w:rsid w:val="00F33698"/>
    <w:rsid w:val="00F337B2"/>
    <w:rsid w:val="00F33844"/>
    <w:rsid w:val="00F33A04"/>
    <w:rsid w:val="00F33C61"/>
    <w:rsid w:val="00F33E30"/>
    <w:rsid w:val="00F341EB"/>
    <w:rsid w:val="00F34249"/>
    <w:rsid w:val="00F34328"/>
    <w:rsid w:val="00F34392"/>
    <w:rsid w:val="00F343C3"/>
    <w:rsid w:val="00F34670"/>
    <w:rsid w:val="00F346C3"/>
    <w:rsid w:val="00F34700"/>
    <w:rsid w:val="00F353DE"/>
    <w:rsid w:val="00F35726"/>
    <w:rsid w:val="00F3574E"/>
    <w:rsid w:val="00F35837"/>
    <w:rsid w:val="00F35909"/>
    <w:rsid w:val="00F3621D"/>
    <w:rsid w:val="00F36484"/>
    <w:rsid w:val="00F3668B"/>
    <w:rsid w:val="00F366D9"/>
    <w:rsid w:val="00F3681D"/>
    <w:rsid w:val="00F36B1E"/>
    <w:rsid w:val="00F36BE2"/>
    <w:rsid w:val="00F36C60"/>
    <w:rsid w:val="00F36F08"/>
    <w:rsid w:val="00F37093"/>
    <w:rsid w:val="00F37520"/>
    <w:rsid w:val="00F37B86"/>
    <w:rsid w:val="00F37DA9"/>
    <w:rsid w:val="00F40291"/>
    <w:rsid w:val="00F404FB"/>
    <w:rsid w:val="00F40820"/>
    <w:rsid w:val="00F40BA4"/>
    <w:rsid w:val="00F40C44"/>
    <w:rsid w:val="00F40FA4"/>
    <w:rsid w:val="00F41307"/>
    <w:rsid w:val="00F41471"/>
    <w:rsid w:val="00F41517"/>
    <w:rsid w:val="00F4155D"/>
    <w:rsid w:val="00F41619"/>
    <w:rsid w:val="00F4166E"/>
    <w:rsid w:val="00F41C56"/>
    <w:rsid w:val="00F41CEE"/>
    <w:rsid w:val="00F41D01"/>
    <w:rsid w:val="00F41F82"/>
    <w:rsid w:val="00F42056"/>
    <w:rsid w:val="00F4244B"/>
    <w:rsid w:val="00F4293D"/>
    <w:rsid w:val="00F42BFD"/>
    <w:rsid w:val="00F430C1"/>
    <w:rsid w:val="00F43385"/>
    <w:rsid w:val="00F4378B"/>
    <w:rsid w:val="00F43824"/>
    <w:rsid w:val="00F4394B"/>
    <w:rsid w:val="00F43B52"/>
    <w:rsid w:val="00F43B67"/>
    <w:rsid w:val="00F43E9A"/>
    <w:rsid w:val="00F44053"/>
    <w:rsid w:val="00F4414E"/>
    <w:rsid w:val="00F44245"/>
    <w:rsid w:val="00F44287"/>
    <w:rsid w:val="00F444AF"/>
    <w:rsid w:val="00F44502"/>
    <w:rsid w:val="00F448A8"/>
    <w:rsid w:val="00F448C0"/>
    <w:rsid w:val="00F44A16"/>
    <w:rsid w:val="00F44B7B"/>
    <w:rsid w:val="00F44F4B"/>
    <w:rsid w:val="00F4510A"/>
    <w:rsid w:val="00F452B6"/>
    <w:rsid w:val="00F45723"/>
    <w:rsid w:val="00F45908"/>
    <w:rsid w:val="00F45E06"/>
    <w:rsid w:val="00F460AD"/>
    <w:rsid w:val="00F46220"/>
    <w:rsid w:val="00F462C0"/>
    <w:rsid w:val="00F46517"/>
    <w:rsid w:val="00F46686"/>
    <w:rsid w:val="00F46B10"/>
    <w:rsid w:val="00F46BB3"/>
    <w:rsid w:val="00F46D8C"/>
    <w:rsid w:val="00F46D8F"/>
    <w:rsid w:val="00F46FEB"/>
    <w:rsid w:val="00F4707A"/>
    <w:rsid w:val="00F47099"/>
    <w:rsid w:val="00F47556"/>
    <w:rsid w:val="00F47619"/>
    <w:rsid w:val="00F4777D"/>
    <w:rsid w:val="00F47836"/>
    <w:rsid w:val="00F47898"/>
    <w:rsid w:val="00F4793E"/>
    <w:rsid w:val="00F47A60"/>
    <w:rsid w:val="00F47C5A"/>
    <w:rsid w:val="00F47DCC"/>
    <w:rsid w:val="00F50227"/>
    <w:rsid w:val="00F50D28"/>
    <w:rsid w:val="00F50E58"/>
    <w:rsid w:val="00F51120"/>
    <w:rsid w:val="00F51345"/>
    <w:rsid w:val="00F515D2"/>
    <w:rsid w:val="00F51BAA"/>
    <w:rsid w:val="00F51C18"/>
    <w:rsid w:val="00F51F56"/>
    <w:rsid w:val="00F52063"/>
    <w:rsid w:val="00F521F7"/>
    <w:rsid w:val="00F526D2"/>
    <w:rsid w:val="00F52D5B"/>
    <w:rsid w:val="00F533FA"/>
    <w:rsid w:val="00F53814"/>
    <w:rsid w:val="00F53934"/>
    <w:rsid w:val="00F53B62"/>
    <w:rsid w:val="00F53D03"/>
    <w:rsid w:val="00F542D3"/>
    <w:rsid w:val="00F5463D"/>
    <w:rsid w:val="00F548D6"/>
    <w:rsid w:val="00F54A18"/>
    <w:rsid w:val="00F54B54"/>
    <w:rsid w:val="00F54BA0"/>
    <w:rsid w:val="00F54C28"/>
    <w:rsid w:val="00F54CE4"/>
    <w:rsid w:val="00F54DBA"/>
    <w:rsid w:val="00F54E34"/>
    <w:rsid w:val="00F551A8"/>
    <w:rsid w:val="00F55639"/>
    <w:rsid w:val="00F55730"/>
    <w:rsid w:val="00F56110"/>
    <w:rsid w:val="00F56269"/>
    <w:rsid w:val="00F562FD"/>
    <w:rsid w:val="00F56396"/>
    <w:rsid w:val="00F5652F"/>
    <w:rsid w:val="00F566C0"/>
    <w:rsid w:val="00F567AD"/>
    <w:rsid w:val="00F56B94"/>
    <w:rsid w:val="00F56C9F"/>
    <w:rsid w:val="00F56D9B"/>
    <w:rsid w:val="00F56DED"/>
    <w:rsid w:val="00F56E89"/>
    <w:rsid w:val="00F57115"/>
    <w:rsid w:val="00F57623"/>
    <w:rsid w:val="00F57F31"/>
    <w:rsid w:val="00F604A7"/>
    <w:rsid w:val="00F607D8"/>
    <w:rsid w:val="00F6096E"/>
    <w:rsid w:val="00F6107B"/>
    <w:rsid w:val="00F611E5"/>
    <w:rsid w:val="00F61363"/>
    <w:rsid w:val="00F616D6"/>
    <w:rsid w:val="00F61BA8"/>
    <w:rsid w:val="00F61CA5"/>
    <w:rsid w:val="00F61EA5"/>
    <w:rsid w:val="00F61EC9"/>
    <w:rsid w:val="00F620C0"/>
    <w:rsid w:val="00F62166"/>
    <w:rsid w:val="00F625E2"/>
    <w:rsid w:val="00F625EB"/>
    <w:rsid w:val="00F6268C"/>
    <w:rsid w:val="00F627DB"/>
    <w:rsid w:val="00F62864"/>
    <w:rsid w:val="00F62942"/>
    <w:rsid w:val="00F62A7F"/>
    <w:rsid w:val="00F62AE8"/>
    <w:rsid w:val="00F62D75"/>
    <w:rsid w:val="00F62E21"/>
    <w:rsid w:val="00F6304B"/>
    <w:rsid w:val="00F630FF"/>
    <w:rsid w:val="00F63208"/>
    <w:rsid w:val="00F63693"/>
    <w:rsid w:val="00F63B4C"/>
    <w:rsid w:val="00F63C10"/>
    <w:rsid w:val="00F63CCA"/>
    <w:rsid w:val="00F63F81"/>
    <w:rsid w:val="00F6405A"/>
    <w:rsid w:val="00F6448A"/>
    <w:rsid w:val="00F6479F"/>
    <w:rsid w:val="00F658E6"/>
    <w:rsid w:val="00F65969"/>
    <w:rsid w:val="00F65AEF"/>
    <w:rsid w:val="00F65C54"/>
    <w:rsid w:val="00F66187"/>
    <w:rsid w:val="00F66373"/>
    <w:rsid w:val="00F66ABF"/>
    <w:rsid w:val="00F66C29"/>
    <w:rsid w:val="00F67086"/>
    <w:rsid w:val="00F6738E"/>
    <w:rsid w:val="00F67B98"/>
    <w:rsid w:val="00F702AD"/>
    <w:rsid w:val="00F70546"/>
    <w:rsid w:val="00F70589"/>
    <w:rsid w:val="00F70644"/>
    <w:rsid w:val="00F709D2"/>
    <w:rsid w:val="00F70D4E"/>
    <w:rsid w:val="00F70F11"/>
    <w:rsid w:val="00F711E7"/>
    <w:rsid w:val="00F71A36"/>
    <w:rsid w:val="00F71B21"/>
    <w:rsid w:val="00F71BED"/>
    <w:rsid w:val="00F71CE2"/>
    <w:rsid w:val="00F71F7F"/>
    <w:rsid w:val="00F72045"/>
    <w:rsid w:val="00F721F0"/>
    <w:rsid w:val="00F724B9"/>
    <w:rsid w:val="00F73403"/>
    <w:rsid w:val="00F7349B"/>
    <w:rsid w:val="00F734C5"/>
    <w:rsid w:val="00F739AF"/>
    <w:rsid w:val="00F73C6B"/>
    <w:rsid w:val="00F74348"/>
    <w:rsid w:val="00F7449F"/>
    <w:rsid w:val="00F7458F"/>
    <w:rsid w:val="00F74897"/>
    <w:rsid w:val="00F74991"/>
    <w:rsid w:val="00F74F2A"/>
    <w:rsid w:val="00F751AD"/>
    <w:rsid w:val="00F7521B"/>
    <w:rsid w:val="00F754C3"/>
    <w:rsid w:val="00F75503"/>
    <w:rsid w:val="00F757E1"/>
    <w:rsid w:val="00F75CCF"/>
    <w:rsid w:val="00F75F01"/>
    <w:rsid w:val="00F76377"/>
    <w:rsid w:val="00F76434"/>
    <w:rsid w:val="00F76A1C"/>
    <w:rsid w:val="00F76A62"/>
    <w:rsid w:val="00F77040"/>
    <w:rsid w:val="00F773C1"/>
    <w:rsid w:val="00F77676"/>
    <w:rsid w:val="00F77D3E"/>
    <w:rsid w:val="00F77D4D"/>
    <w:rsid w:val="00F77E72"/>
    <w:rsid w:val="00F8008D"/>
    <w:rsid w:val="00F80203"/>
    <w:rsid w:val="00F805A8"/>
    <w:rsid w:val="00F80C6E"/>
    <w:rsid w:val="00F80DA3"/>
    <w:rsid w:val="00F80F95"/>
    <w:rsid w:val="00F80F97"/>
    <w:rsid w:val="00F8111A"/>
    <w:rsid w:val="00F8115B"/>
    <w:rsid w:val="00F81191"/>
    <w:rsid w:val="00F812D4"/>
    <w:rsid w:val="00F813C6"/>
    <w:rsid w:val="00F81577"/>
    <w:rsid w:val="00F816BC"/>
    <w:rsid w:val="00F818CC"/>
    <w:rsid w:val="00F81938"/>
    <w:rsid w:val="00F822AA"/>
    <w:rsid w:val="00F8246B"/>
    <w:rsid w:val="00F82755"/>
    <w:rsid w:val="00F82787"/>
    <w:rsid w:val="00F82BE3"/>
    <w:rsid w:val="00F82E60"/>
    <w:rsid w:val="00F82F89"/>
    <w:rsid w:val="00F831A2"/>
    <w:rsid w:val="00F833DE"/>
    <w:rsid w:val="00F83498"/>
    <w:rsid w:val="00F83621"/>
    <w:rsid w:val="00F83B1A"/>
    <w:rsid w:val="00F83BCF"/>
    <w:rsid w:val="00F84287"/>
    <w:rsid w:val="00F84DA9"/>
    <w:rsid w:val="00F852E8"/>
    <w:rsid w:val="00F85C9A"/>
    <w:rsid w:val="00F85F74"/>
    <w:rsid w:val="00F85F9F"/>
    <w:rsid w:val="00F86479"/>
    <w:rsid w:val="00F86525"/>
    <w:rsid w:val="00F86DE2"/>
    <w:rsid w:val="00F86F1D"/>
    <w:rsid w:val="00F87DCE"/>
    <w:rsid w:val="00F903AF"/>
    <w:rsid w:val="00F903E2"/>
    <w:rsid w:val="00F908D3"/>
    <w:rsid w:val="00F909C5"/>
    <w:rsid w:val="00F90A74"/>
    <w:rsid w:val="00F90B3C"/>
    <w:rsid w:val="00F90CD2"/>
    <w:rsid w:val="00F91342"/>
    <w:rsid w:val="00F91397"/>
    <w:rsid w:val="00F91A79"/>
    <w:rsid w:val="00F91DCA"/>
    <w:rsid w:val="00F9218A"/>
    <w:rsid w:val="00F9229E"/>
    <w:rsid w:val="00F92501"/>
    <w:rsid w:val="00F92AC3"/>
    <w:rsid w:val="00F92BE3"/>
    <w:rsid w:val="00F93052"/>
    <w:rsid w:val="00F9322B"/>
    <w:rsid w:val="00F935D8"/>
    <w:rsid w:val="00F936DC"/>
    <w:rsid w:val="00F93748"/>
    <w:rsid w:val="00F9377D"/>
    <w:rsid w:val="00F93BF5"/>
    <w:rsid w:val="00F93C46"/>
    <w:rsid w:val="00F93E7B"/>
    <w:rsid w:val="00F93F1F"/>
    <w:rsid w:val="00F94173"/>
    <w:rsid w:val="00F9417B"/>
    <w:rsid w:val="00F945E0"/>
    <w:rsid w:val="00F94605"/>
    <w:rsid w:val="00F94B98"/>
    <w:rsid w:val="00F9517E"/>
    <w:rsid w:val="00F953F2"/>
    <w:rsid w:val="00F95D7B"/>
    <w:rsid w:val="00F95FB0"/>
    <w:rsid w:val="00F962F0"/>
    <w:rsid w:val="00F9685A"/>
    <w:rsid w:val="00F96AC0"/>
    <w:rsid w:val="00F96B0D"/>
    <w:rsid w:val="00F96E3C"/>
    <w:rsid w:val="00F96F14"/>
    <w:rsid w:val="00F971C5"/>
    <w:rsid w:val="00F973DA"/>
    <w:rsid w:val="00FA0139"/>
    <w:rsid w:val="00FA020C"/>
    <w:rsid w:val="00FA02A0"/>
    <w:rsid w:val="00FA0689"/>
    <w:rsid w:val="00FA0894"/>
    <w:rsid w:val="00FA0AEF"/>
    <w:rsid w:val="00FA0C93"/>
    <w:rsid w:val="00FA0EA5"/>
    <w:rsid w:val="00FA0EFD"/>
    <w:rsid w:val="00FA1577"/>
    <w:rsid w:val="00FA16A1"/>
    <w:rsid w:val="00FA1825"/>
    <w:rsid w:val="00FA18D5"/>
    <w:rsid w:val="00FA1BCE"/>
    <w:rsid w:val="00FA1CBB"/>
    <w:rsid w:val="00FA1FFA"/>
    <w:rsid w:val="00FA212D"/>
    <w:rsid w:val="00FA2271"/>
    <w:rsid w:val="00FA2274"/>
    <w:rsid w:val="00FA22E0"/>
    <w:rsid w:val="00FA23F8"/>
    <w:rsid w:val="00FA269D"/>
    <w:rsid w:val="00FA2C1A"/>
    <w:rsid w:val="00FA2F42"/>
    <w:rsid w:val="00FA331C"/>
    <w:rsid w:val="00FA34A2"/>
    <w:rsid w:val="00FA3766"/>
    <w:rsid w:val="00FA3B88"/>
    <w:rsid w:val="00FA3C69"/>
    <w:rsid w:val="00FA3D00"/>
    <w:rsid w:val="00FA3E5F"/>
    <w:rsid w:val="00FA3FB8"/>
    <w:rsid w:val="00FA3FCD"/>
    <w:rsid w:val="00FA407C"/>
    <w:rsid w:val="00FA4691"/>
    <w:rsid w:val="00FA46F9"/>
    <w:rsid w:val="00FA48DC"/>
    <w:rsid w:val="00FA49FB"/>
    <w:rsid w:val="00FA4CB6"/>
    <w:rsid w:val="00FA58DB"/>
    <w:rsid w:val="00FA5988"/>
    <w:rsid w:val="00FA5E1A"/>
    <w:rsid w:val="00FA61DD"/>
    <w:rsid w:val="00FA624F"/>
    <w:rsid w:val="00FA62F2"/>
    <w:rsid w:val="00FA632D"/>
    <w:rsid w:val="00FA6B97"/>
    <w:rsid w:val="00FA73FA"/>
    <w:rsid w:val="00FA753E"/>
    <w:rsid w:val="00FA7649"/>
    <w:rsid w:val="00FA7816"/>
    <w:rsid w:val="00FA787A"/>
    <w:rsid w:val="00FA799E"/>
    <w:rsid w:val="00FB0293"/>
    <w:rsid w:val="00FB02F7"/>
    <w:rsid w:val="00FB0441"/>
    <w:rsid w:val="00FB04BF"/>
    <w:rsid w:val="00FB06A5"/>
    <w:rsid w:val="00FB0B4D"/>
    <w:rsid w:val="00FB13AE"/>
    <w:rsid w:val="00FB1441"/>
    <w:rsid w:val="00FB171F"/>
    <w:rsid w:val="00FB19B6"/>
    <w:rsid w:val="00FB1ABC"/>
    <w:rsid w:val="00FB1AF3"/>
    <w:rsid w:val="00FB1E2D"/>
    <w:rsid w:val="00FB2155"/>
    <w:rsid w:val="00FB22D9"/>
    <w:rsid w:val="00FB22FC"/>
    <w:rsid w:val="00FB2415"/>
    <w:rsid w:val="00FB24E2"/>
    <w:rsid w:val="00FB25F0"/>
    <w:rsid w:val="00FB26D6"/>
    <w:rsid w:val="00FB2832"/>
    <w:rsid w:val="00FB2942"/>
    <w:rsid w:val="00FB2A5E"/>
    <w:rsid w:val="00FB2EF5"/>
    <w:rsid w:val="00FB3026"/>
    <w:rsid w:val="00FB30AA"/>
    <w:rsid w:val="00FB30B0"/>
    <w:rsid w:val="00FB356E"/>
    <w:rsid w:val="00FB3664"/>
    <w:rsid w:val="00FB3968"/>
    <w:rsid w:val="00FB3DA2"/>
    <w:rsid w:val="00FB3ECE"/>
    <w:rsid w:val="00FB4187"/>
    <w:rsid w:val="00FB423B"/>
    <w:rsid w:val="00FB45A3"/>
    <w:rsid w:val="00FB45FA"/>
    <w:rsid w:val="00FB4616"/>
    <w:rsid w:val="00FB477C"/>
    <w:rsid w:val="00FB494F"/>
    <w:rsid w:val="00FB4C06"/>
    <w:rsid w:val="00FB4CA6"/>
    <w:rsid w:val="00FB5133"/>
    <w:rsid w:val="00FB54FF"/>
    <w:rsid w:val="00FB5731"/>
    <w:rsid w:val="00FB5FFC"/>
    <w:rsid w:val="00FB6152"/>
    <w:rsid w:val="00FB6294"/>
    <w:rsid w:val="00FB629D"/>
    <w:rsid w:val="00FB66B4"/>
    <w:rsid w:val="00FB6838"/>
    <w:rsid w:val="00FB6A50"/>
    <w:rsid w:val="00FB6B79"/>
    <w:rsid w:val="00FB6DDE"/>
    <w:rsid w:val="00FB74C8"/>
    <w:rsid w:val="00FB767F"/>
    <w:rsid w:val="00FB76A7"/>
    <w:rsid w:val="00FB7761"/>
    <w:rsid w:val="00FB7CB5"/>
    <w:rsid w:val="00FC03DC"/>
    <w:rsid w:val="00FC04EA"/>
    <w:rsid w:val="00FC0561"/>
    <w:rsid w:val="00FC0807"/>
    <w:rsid w:val="00FC0B2C"/>
    <w:rsid w:val="00FC1035"/>
    <w:rsid w:val="00FC1138"/>
    <w:rsid w:val="00FC11C9"/>
    <w:rsid w:val="00FC1703"/>
    <w:rsid w:val="00FC1C12"/>
    <w:rsid w:val="00FC1F17"/>
    <w:rsid w:val="00FC20B6"/>
    <w:rsid w:val="00FC2392"/>
    <w:rsid w:val="00FC26FE"/>
    <w:rsid w:val="00FC2B28"/>
    <w:rsid w:val="00FC2C58"/>
    <w:rsid w:val="00FC2DA1"/>
    <w:rsid w:val="00FC306D"/>
    <w:rsid w:val="00FC366A"/>
    <w:rsid w:val="00FC406F"/>
    <w:rsid w:val="00FC4085"/>
    <w:rsid w:val="00FC4C34"/>
    <w:rsid w:val="00FC55A6"/>
    <w:rsid w:val="00FC562D"/>
    <w:rsid w:val="00FC5EF6"/>
    <w:rsid w:val="00FC639D"/>
    <w:rsid w:val="00FC63BC"/>
    <w:rsid w:val="00FC688C"/>
    <w:rsid w:val="00FC6C7A"/>
    <w:rsid w:val="00FC6CBA"/>
    <w:rsid w:val="00FC6DF9"/>
    <w:rsid w:val="00FC6DFC"/>
    <w:rsid w:val="00FC6E0A"/>
    <w:rsid w:val="00FC6E26"/>
    <w:rsid w:val="00FC7002"/>
    <w:rsid w:val="00FC720F"/>
    <w:rsid w:val="00FC7343"/>
    <w:rsid w:val="00FC73CF"/>
    <w:rsid w:val="00FC77A4"/>
    <w:rsid w:val="00FC7989"/>
    <w:rsid w:val="00FC7C00"/>
    <w:rsid w:val="00FC7DF9"/>
    <w:rsid w:val="00FC7FC0"/>
    <w:rsid w:val="00FD02C6"/>
    <w:rsid w:val="00FD04B9"/>
    <w:rsid w:val="00FD0566"/>
    <w:rsid w:val="00FD0825"/>
    <w:rsid w:val="00FD0E8A"/>
    <w:rsid w:val="00FD10BD"/>
    <w:rsid w:val="00FD13E2"/>
    <w:rsid w:val="00FD1556"/>
    <w:rsid w:val="00FD1637"/>
    <w:rsid w:val="00FD1CF9"/>
    <w:rsid w:val="00FD1E48"/>
    <w:rsid w:val="00FD1E66"/>
    <w:rsid w:val="00FD2744"/>
    <w:rsid w:val="00FD2A2C"/>
    <w:rsid w:val="00FD306C"/>
    <w:rsid w:val="00FD30B4"/>
    <w:rsid w:val="00FD39AE"/>
    <w:rsid w:val="00FD3A4F"/>
    <w:rsid w:val="00FD3ACA"/>
    <w:rsid w:val="00FD3C44"/>
    <w:rsid w:val="00FD4158"/>
    <w:rsid w:val="00FD41D8"/>
    <w:rsid w:val="00FD48CA"/>
    <w:rsid w:val="00FD5046"/>
    <w:rsid w:val="00FD50A8"/>
    <w:rsid w:val="00FD5705"/>
    <w:rsid w:val="00FD59E0"/>
    <w:rsid w:val="00FD5C7F"/>
    <w:rsid w:val="00FD6946"/>
    <w:rsid w:val="00FD70EF"/>
    <w:rsid w:val="00FD755F"/>
    <w:rsid w:val="00FD7837"/>
    <w:rsid w:val="00FE011C"/>
    <w:rsid w:val="00FE0384"/>
    <w:rsid w:val="00FE0544"/>
    <w:rsid w:val="00FE05FC"/>
    <w:rsid w:val="00FE0697"/>
    <w:rsid w:val="00FE06AA"/>
    <w:rsid w:val="00FE071C"/>
    <w:rsid w:val="00FE0866"/>
    <w:rsid w:val="00FE0981"/>
    <w:rsid w:val="00FE0F04"/>
    <w:rsid w:val="00FE0FBA"/>
    <w:rsid w:val="00FE1263"/>
    <w:rsid w:val="00FE127C"/>
    <w:rsid w:val="00FE13D2"/>
    <w:rsid w:val="00FE14AB"/>
    <w:rsid w:val="00FE17B8"/>
    <w:rsid w:val="00FE19E2"/>
    <w:rsid w:val="00FE19E5"/>
    <w:rsid w:val="00FE1B39"/>
    <w:rsid w:val="00FE2168"/>
    <w:rsid w:val="00FE2533"/>
    <w:rsid w:val="00FE2560"/>
    <w:rsid w:val="00FE26A0"/>
    <w:rsid w:val="00FE26E3"/>
    <w:rsid w:val="00FE2877"/>
    <w:rsid w:val="00FE2A3A"/>
    <w:rsid w:val="00FE3773"/>
    <w:rsid w:val="00FE3AB6"/>
    <w:rsid w:val="00FE42E1"/>
    <w:rsid w:val="00FE43B0"/>
    <w:rsid w:val="00FE43C7"/>
    <w:rsid w:val="00FE43F0"/>
    <w:rsid w:val="00FE45F9"/>
    <w:rsid w:val="00FE46D7"/>
    <w:rsid w:val="00FE4B94"/>
    <w:rsid w:val="00FE4E9D"/>
    <w:rsid w:val="00FE4F81"/>
    <w:rsid w:val="00FE5043"/>
    <w:rsid w:val="00FE52D0"/>
    <w:rsid w:val="00FE5408"/>
    <w:rsid w:val="00FE54CD"/>
    <w:rsid w:val="00FE55DC"/>
    <w:rsid w:val="00FE56F7"/>
    <w:rsid w:val="00FE5719"/>
    <w:rsid w:val="00FE5D62"/>
    <w:rsid w:val="00FE5E88"/>
    <w:rsid w:val="00FE5F6E"/>
    <w:rsid w:val="00FE612A"/>
    <w:rsid w:val="00FE6392"/>
    <w:rsid w:val="00FE63DC"/>
    <w:rsid w:val="00FE6777"/>
    <w:rsid w:val="00FE67FD"/>
    <w:rsid w:val="00FE6802"/>
    <w:rsid w:val="00FE6903"/>
    <w:rsid w:val="00FE695C"/>
    <w:rsid w:val="00FE74E7"/>
    <w:rsid w:val="00FE76AB"/>
    <w:rsid w:val="00FE772B"/>
    <w:rsid w:val="00FE7D47"/>
    <w:rsid w:val="00FE7EFC"/>
    <w:rsid w:val="00FF00AD"/>
    <w:rsid w:val="00FF05BD"/>
    <w:rsid w:val="00FF0635"/>
    <w:rsid w:val="00FF123C"/>
    <w:rsid w:val="00FF13DF"/>
    <w:rsid w:val="00FF13F1"/>
    <w:rsid w:val="00FF1AE8"/>
    <w:rsid w:val="00FF1BE5"/>
    <w:rsid w:val="00FF1EDB"/>
    <w:rsid w:val="00FF2036"/>
    <w:rsid w:val="00FF21A5"/>
    <w:rsid w:val="00FF2348"/>
    <w:rsid w:val="00FF244E"/>
    <w:rsid w:val="00FF2D7D"/>
    <w:rsid w:val="00FF2EB7"/>
    <w:rsid w:val="00FF36ED"/>
    <w:rsid w:val="00FF3727"/>
    <w:rsid w:val="00FF3B50"/>
    <w:rsid w:val="00FF4039"/>
    <w:rsid w:val="00FF41DF"/>
    <w:rsid w:val="00FF4C01"/>
    <w:rsid w:val="00FF4E54"/>
    <w:rsid w:val="00FF5A5A"/>
    <w:rsid w:val="00FF5E14"/>
    <w:rsid w:val="00FF5FAE"/>
    <w:rsid w:val="00FF62BD"/>
    <w:rsid w:val="00FF66B3"/>
    <w:rsid w:val="00FF68B7"/>
    <w:rsid w:val="00FF69A4"/>
    <w:rsid w:val="00FF6A35"/>
    <w:rsid w:val="00FF6B28"/>
    <w:rsid w:val="00FF6C70"/>
    <w:rsid w:val="00FF6C9A"/>
    <w:rsid w:val="00FF7222"/>
    <w:rsid w:val="00FF74CE"/>
    <w:rsid w:val="00FF7506"/>
    <w:rsid w:val="00FF78C0"/>
    <w:rsid w:val="00FF7F30"/>
    <w:rsid w:val="00FF7F6F"/>
    <w:rsid w:val="0102274A"/>
    <w:rsid w:val="011E0881"/>
    <w:rsid w:val="011EE7D1"/>
    <w:rsid w:val="015C0E72"/>
    <w:rsid w:val="0163C521"/>
    <w:rsid w:val="019B6925"/>
    <w:rsid w:val="01A105B8"/>
    <w:rsid w:val="01D1E304"/>
    <w:rsid w:val="01D9A0EC"/>
    <w:rsid w:val="01F0194E"/>
    <w:rsid w:val="01F38AD0"/>
    <w:rsid w:val="02347C6C"/>
    <w:rsid w:val="024C5541"/>
    <w:rsid w:val="0254B417"/>
    <w:rsid w:val="0256BFCB"/>
    <w:rsid w:val="02608D18"/>
    <w:rsid w:val="02A53BA6"/>
    <w:rsid w:val="02D107EE"/>
    <w:rsid w:val="02E0A5C7"/>
    <w:rsid w:val="02E80B59"/>
    <w:rsid w:val="03394AF6"/>
    <w:rsid w:val="0344A676"/>
    <w:rsid w:val="03758A27"/>
    <w:rsid w:val="03821363"/>
    <w:rsid w:val="03BADF7B"/>
    <w:rsid w:val="03CD54E8"/>
    <w:rsid w:val="03E1D026"/>
    <w:rsid w:val="03E2B9C4"/>
    <w:rsid w:val="03F6E27F"/>
    <w:rsid w:val="04088436"/>
    <w:rsid w:val="0420CB58"/>
    <w:rsid w:val="042F7C2D"/>
    <w:rsid w:val="043DEA53"/>
    <w:rsid w:val="046EABC1"/>
    <w:rsid w:val="047FEE6E"/>
    <w:rsid w:val="0494472F"/>
    <w:rsid w:val="04B15E40"/>
    <w:rsid w:val="05241B3A"/>
    <w:rsid w:val="05519A23"/>
    <w:rsid w:val="05635443"/>
    <w:rsid w:val="057BD05F"/>
    <w:rsid w:val="05FE2AA4"/>
    <w:rsid w:val="0605B674"/>
    <w:rsid w:val="0616A713"/>
    <w:rsid w:val="063464B7"/>
    <w:rsid w:val="065BB6BE"/>
    <w:rsid w:val="068F3E2B"/>
    <w:rsid w:val="069345E4"/>
    <w:rsid w:val="06C22553"/>
    <w:rsid w:val="06CD5333"/>
    <w:rsid w:val="06DEB3A0"/>
    <w:rsid w:val="07240F3D"/>
    <w:rsid w:val="07FD1FD8"/>
    <w:rsid w:val="084FA3D0"/>
    <w:rsid w:val="08780DFF"/>
    <w:rsid w:val="088D1A52"/>
    <w:rsid w:val="089784D3"/>
    <w:rsid w:val="08A01008"/>
    <w:rsid w:val="08B09CE4"/>
    <w:rsid w:val="08D8E3A1"/>
    <w:rsid w:val="08F4522C"/>
    <w:rsid w:val="090A4D60"/>
    <w:rsid w:val="0913799A"/>
    <w:rsid w:val="0916CC0A"/>
    <w:rsid w:val="091D137D"/>
    <w:rsid w:val="091D7063"/>
    <w:rsid w:val="0924752C"/>
    <w:rsid w:val="092C2AE3"/>
    <w:rsid w:val="0946D1E3"/>
    <w:rsid w:val="096AE3BA"/>
    <w:rsid w:val="09E76EC6"/>
    <w:rsid w:val="09E89069"/>
    <w:rsid w:val="0A11B021"/>
    <w:rsid w:val="0A719EDB"/>
    <w:rsid w:val="0A74FEBA"/>
    <w:rsid w:val="0A77BC35"/>
    <w:rsid w:val="0A81DB5F"/>
    <w:rsid w:val="0ABA1359"/>
    <w:rsid w:val="0AC6997E"/>
    <w:rsid w:val="0AE84060"/>
    <w:rsid w:val="0B0A6F5C"/>
    <w:rsid w:val="0B513C64"/>
    <w:rsid w:val="0B95F69A"/>
    <w:rsid w:val="0B9C3721"/>
    <w:rsid w:val="0C05376D"/>
    <w:rsid w:val="0C10E5B5"/>
    <w:rsid w:val="0C28F7E7"/>
    <w:rsid w:val="0C773104"/>
    <w:rsid w:val="0C8A7A8C"/>
    <w:rsid w:val="0CCC8A5F"/>
    <w:rsid w:val="0CF02BA8"/>
    <w:rsid w:val="0D333284"/>
    <w:rsid w:val="0D52D215"/>
    <w:rsid w:val="0D6623BD"/>
    <w:rsid w:val="0D772216"/>
    <w:rsid w:val="0DC68BD3"/>
    <w:rsid w:val="0DFA41B2"/>
    <w:rsid w:val="0DFC1359"/>
    <w:rsid w:val="0E01FD64"/>
    <w:rsid w:val="0E1DD4C8"/>
    <w:rsid w:val="0E311813"/>
    <w:rsid w:val="0E60CFBC"/>
    <w:rsid w:val="0E6D06F8"/>
    <w:rsid w:val="0E7A8CF9"/>
    <w:rsid w:val="0EAC417F"/>
    <w:rsid w:val="0ED830FF"/>
    <w:rsid w:val="0EDA16D3"/>
    <w:rsid w:val="0EF39831"/>
    <w:rsid w:val="0F17DE96"/>
    <w:rsid w:val="0F1BB6D8"/>
    <w:rsid w:val="0F3CC2F6"/>
    <w:rsid w:val="0F5F16F4"/>
    <w:rsid w:val="0F74FE73"/>
    <w:rsid w:val="0F8317A2"/>
    <w:rsid w:val="0FBAB56F"/>
    <w:rsid w:val="10600853"/>
    <w:rsid w:val="10CD5F9A"/>
    <w:rsid w:val="112D0DF6"/>
    <w:rsid w:val="114B01B2"/>
    <w:rsid w:val="11562265"/>
    <w:rsid w:val="11AE5E4A"/>
    <w:rsid w:val="11D52507"/>
    <w:rsid w:val="12014D65"/>
    <w:rsid w:val="1204F943"/>
    <w:rsid w:val="121C6855"/>
    <w:rsid w:val="12325C46"/>
    <w:rsid w:val="12AB1727"/>
    <w:rsid w:val="12CCFEF2"/>
    <w:rsid w:val="12E74D7C"/>
    <w:rsid w:val="130DA669"/>
    <w:rsid w:val="1315E8CE"/>
    <w:rsid w:val="132FA028"/>
    <w:rsid w:val="133A458A"/>
    <w:rsid w:val="1341689C"/>
    <w:rsid w:val="136C45FB"/>
    <w:rsid w:val="13717E4F"/>
    <w:rsid w:val="13876E6F"/>
    <w:rsid w:val="1398B32D"/>
    <w:rsid w:val="139CF8BE"/>
    <w:rsid w:val="13A28B54"/>
    <w:rsid w:val="13AD63CC"/>
    <w:rsid w:val="141B4150"/>
    <w:rsid w:val="14391CC0"/>
    <w:rsid w:val="146279A0"/>
    <w:rsid w:val="14A409C7"/>
    <w:rsid w:val="14CEDEEE"/>
    <w:rsid w:val="14DBF748"/>
    <w:rsid w:val="14F0B7E9"/>
    <w:rsid w:val="15024699"/>
    <w:rsid w:val="1539E083"/>
    <w:rsid w:val="15C3AA99"/>
    <w:rsid w:val="15CC02C3"/>
    <w:rsid w:val="15CEC0A1"/>
    <w:rsid w:val="15E159EC"/>
    <w:rsid w:val="16044769"/>
    <w:rsid w:val="161E5547"/>
    <w:rsid w:val="164BA0AC"/>
    <w:rsid w:val="16BAEDE5"/>
    <w:rsid w:val="16BDAB21"/>
    <w:rsid w:val="16E0F4AB"/>
    <w:rsid w:val="16F05B7D"/>
    <w:rsid w:val="1748F98B"/>
    <w:rsid w:val="175BDA3B"/>
    <w:rsid w:val="17604750"/>
    <w:rsid w:val="1763601F"/>
    <w:rsid w:val="17C00A1A"/>
    <w:rsid w:val="1811CDCE"/>
    <w:rsid w:val="1814E799"/>
    <w:rsid w:val="1858EC94"/>
    <w:rsid w:val="1865C389"/>
    <w:rsid w:val="188F872F"/>
    <w:rsid w:val="18C28212"/>
    <w:rsid w:val="18F1C156"/>
    <w:rsid w:val="192C949E"/>
    <w:rsid w:val="193A74AF"/>
    <w:rsid w:val="195B2C30"/>
    <w:rsid w:val="199DFE50"/>
    <w:rsid w:val="19F4652B"/>
    <w:rsid w:val="19F6E616"/>
    <w:rsid w:val="1A35AD96"/>
    <w:rsid w:val="1A463C85"/>
    <w:rsid w:val="1A59F233"/>
    <w:rsid w:val="1A5D4A7B"/>
    <w:rsid w:val="1A60ED2C"/>
    <w:rsid w:val="1A861564"/>
    <w:rsid w:val="1A8C0129"/>
    <w:rsid w:val="1AAE05FD"/>
    <w:rsid w:val="1AF99925"/>
    <w:rsid w:val="1B1A2DD1"/>
    <w:rsid w:val="1B446879"/>
    <w:rsid w:val="1B7E40B0"/>
    <w:rsid w:val="1BA7A0BC"/>
    <w:rsid w:val="1BC0205A"/>
    <w:rsid w:val="1BEF3FEF"/>
    <w:rsid w:val="1C18D5EA"/>
    <w:rsid w:val="1C1BD4B3"/>
    <w:rsid w:val="1C354E2A"/>
    <w:rsid w:val="1C74BA88"/>
    <w:rsid w:val="1CD835D9"/>
    <w:rsid w:val="1CDDBEEC"/>
    <w:rsid w:val="1D4EB60E"/>
    <w:rsid w:val="1D56F599"/>
    <w:rsid w:val="1DF4AE5A"/>
    <w:rsid w:val="1E36786D"/>
    <w:rsid w:val="1E3F5C7D"/>
    <w:rsid w:val="1E5A5490"/>
    <w:rsid w:val="1E670812"/>
    <w:rsid w:val="1E88CE09"/>
    <w:rsid w:val="1F4760C4"/>
    <w:rsid w:val="1F91825A"/>
    <w:rsid w:val="1FB76537"/>
    <w:rsid w:val="20348E46"/>
    <w:rsid w:val="2034E99A"/>
    <w:rsid w:val="2047A7D1"/>
    <w:rsid w:val="2069BAEE"/>
    <w:rsid w:val="2086AE1E"/>
    <w:rsid w:val="20B1C1E5"/>
    <w:rsid w:val="20CFC265"/>
    <w:rsid w:val="21071B60"/>
    <w:rsid w:val="214C613E"/>
    <w:rsid w:val="216015E1"/>
    <w:rsid w:val="21EA5EB4"/>
    <w:rsid w:val="222286E8"/>
    <w:rsid w:val="2238ACA7"/>
    <w:rsid w:val="225DA13E"/>
    <w:rsid w:val="226C9DFE"/>
    <w:rsid w:val="228606AF"/>
    <w:rsid w:val="23049F94"/>
    <w:rsid w:val="232C45D8"/>
    <w:rsid w:val="235443F9"/>
    <w:rsid w:val="23621EDF"/>
    <w:rsid w:val="247032A6"/>
    <w:rsid w:val="247F8256"/>
    <w:rsid w:val="248E1BC1"/>
    <w:rsid w:val="24E2E4E6"/>
    <w:rsid w:val="25071B6D"/>
    <w:rsid w:val="257611A6"/>
    <w:rsid w:val="266A2768"/>
    <w:rsid w:val="26B5FA45"/>
    <w:rsid w:val="26DFCE7E"/>
    <w:rsid w:val="2706A5BF"/>
    <w:rsid w:val="272D6DFB"/>
    <w:rsid w:val="275F154F"/>
    <w:rsid w:val="276EC654"/>
    <w:rsid w:val="278AC5E0"/>
    <w:rsid w:val="27BC73E2"/>
    <w:rsid w:val="27D628A9"/>
    <w:rsid w:val="27F6061A"/>
    <w:rsid w:val="28034A94"/>
    <w:rsid w:val="28325AC8"/>
    <w:rsid w:val="286ECFD7"/>
    <w:rsid w:val="28C86EE9"/>
    <w:rsid w:val="28C905BF"/>
    <w:rsid w:val="28DD92D8"/>
    <w:rsid w:val="29307777"/>
    <w:rsid w:val="2945504B"/>
    <w:rsid w:val="295D2C5F"/>
    <w:rsid w:val="2978FF45"/>
    <w:rsid w:val="297E48D9"/>
    <w:rsid w:val="29820929"/>
    <w:rsid w:val="2995B209"/>
    <w:rsid w:val="299D7B60"/>
    <w:rsid w:val="29A86E49"/>
    <w:rsid w:val="29C73F3F"/>
    <w:rsid w:val="29CB73FF"/>
    <w:rsid w:val="2A01AA16"/>
    <w:rsid w:val="2A03E55D"/>
    <w:rsid w:val="2A1DC9A3"/>
    <w:rsid w:val="2A7B4BEC"/>
    <w:rsid w:val="2ACED7B3"/>
    <w:rsid w:val="2AECAAD5"/>
    <w:rsid w:val="2B1F0208"/>
    <w:rsid w:val="2B896D48"/>
    <w:rsid w:val="2BADC7A7"/>
    <w:rsid w:val="2BD59C7E"/>
    <w:rsid w:val="2BDB9190"/>
    <w:rsid w:val="2C1539C2"/>
    <w:rsid w:val="2C6E2F4B"/>
    <w:rsid w:val="2C8CD727"/>
    <w:rsid w:val="2C98C23A"/>
    <w:rsid w:val="2CA28AFD"/>
    <w:rsid w:val="2D36B351"/>
    <w:rsid w:val="2D4201D6"/>
    <w:rsid w:val="2D721347"/>
    <w:rsid w:val="2D787DC3"/>
    <w:rsid w:val="2DA9151B"/>
    <w:rsid w:val="2DAF32E2"/>
    <w:rsid w:val="2DDCDE57"/>
    <w:rsid w:val="2E15422C"/>
    <w:rsid w:val="2E896BFC"/>
    <w:rsid w:val="2E951A72"/>
    <w:rsid w:val="2F13FD0B"/>
    <w:rsid w:val="2F15A041"/>
    <w:rsid w:val="2F6B27FB"/>
    <w:rsid w:val="2F8FA139"/>
    <w:rsid w:val="2FC0BD50"/>
    <w:rsid w:val="2FC72011"/>
    <w:rsid w:val="300B8358"/>
    <w:rsid w:val="301321C8"/>
    <w:rsid w:val="3051022D"/>
    <w:rsid w:val="307AB9AA"/>
    <w:rsid w:val="3088A9F0"/>
    <w:rsid w:val="30C42931"/>
    <w:rsid w:val="3155D6A3"/>
    <w:rsid w:val="317662D5"/>
    <w:rsid w:val="317B7660"/>
    <w:rsid w:val="31AF25CC"/>
    <w:rsid w:val="31B42091"/>
    <w:rsid w:val="323761D5"/>
    <w:rsid w:val="325A4EEF"/>
    <w:rsid w:val="325E0043"/>
    <w:rsid w:val="326C4903"/>
    <w:rsid w:val="32749206"/>
    <w:rsid w:val="32A2FACE"/>
    <w:rsid w:val="32AB588C"/>
    <w:rsid w:val="32B551F5"/>
    <w:rsid w:val="33087E75"/>
    <w:rsid w:val="330F46E8"/>
    <w:rsid w:val="3384D9AD"/>
    <w:rsid w:val="33913F95"/>
    <w:rsid w:val="33DDE2E4"/>
    <w:rsid w:val="33E8DF9B"/>
    <w:rsid w:val="33EBF7B8"/>
    <w:rsid w:val="341BD9E7"/>
    <w:rsid w:val="345A9CB3"/>
    <w:rsid w:val="34A5A083"/>
    <w:rsid w:val="34B4F36A"/>
    <w:rsid w:val="34C504C9"/>
    <w:rsid w:val="34F268B9"/>
    <w:rsid w:val="34FCEA7C"/>
    <w:rsid w:val="34FD66FE"/>
    <w:rsid w:val="35335C2B"/>
    <w:rsid w:val="356133EC"/>
    <w:rsid w:val="358EE02E"/>
    <w:rsid w:val="35D27EFD"/>
    <w:rsid w:val="35E89C30"/>
    <w:rsid w:val="361BC4CC"/>
    <w:rsid w:val="36B7A9AD"/>
    <w:rsid w:val="36CFAC87"/>
    <w:rsid w:val="36D75885"/>
    <w:rsid w:val="36EA44C9"/>
    <w:rsid w:val="36FB2CCD"/>
    <w:rsid w:val="37B605DD"/>
    <w:rsid w:val="381885A3"/>
    <w:rsid w:val="38561829"/>
    <w:rsid w:val="38B2C4A3"/>
    <w:rsid w:val="38B59F05"/>
    <w:rsid w:val="38E05125"/>
    <w:rsid w:val="38E3D9F8"/>
    <w:rsid w:val="38FCF467"/>
    <w:rsid w:val="3913A32E"/>
    <w:rsid w:val="391C1547"/>
    <w:rsid w:val="394AB0B7"/>
    <w:rsid w:val="397C6395"/>
    <w:rsid w:val="397FC7D6"/>
    <w:rsid w:val="39B39FB8"/>
    <w:rsid w:val="39BF7643"/>
    <w:rsid w:val="3A07D5B2"/>
    <w:rsid w:val="3A3D1BFB"/>
    <w:rsid w:val="3A81D8B6"/>
    <w:rsid w:val="3A874344"/>
    <w:rsid w:val="3AA8CC44"/>
    <w:rsid w:val="3ADAB5BF"/>
    <w:rsid w:val="3B2A03AD"/>
    <w:rsid w:val="3B4F40BE"/>
    <w:rsid w:val="3B609111"/>
    <w:rsid w:val="3B673F75"/>
    <w:rsid w:val="3B76F666"/>
    <w:rsid w:val="3B9AFC14"/>
    <w:rsid w:val="3C092441"/>
    <w:rsid w:val="3C3586C9"/>
    <w:rsid w:val="3C4B22AA"/>
    <w:rsid w:val="3C536ADE"/>
    <w:rsid w:val="3C627467"/>
    <w:rsid w:val="3C68D51D"/>
    <w:rsid w:val="3CA0561E"/>
    <w:rsid w:val="3CC5325C"/>
    <w:rsid w:val="3D3766C3"/>
    <w:rsid w:val="3D7C7C56"/>
    <w:rsid w:val="3D92EA2F"/>
    <w:rsid w:val="3D9C5E6F"/>
    <w:rsid w:val="3DA18140"/>
    <w:rsid w:val="3DD2F699"/>
    <w:rsid w:val="3DF09084"/>
    <w:rsid w:val="3DFC6879"/>
    <w:rsid w:val="3E58BBE5"/>
    <w:rsid w:val="3E6AFB6D"/>
    <w:rsid w:val="3E903A39"/>
    <w:rsid w:val="3EA01480"/>
    <w:rsid w:val="3EA4F313"/>
    <w:rsid w:val="3EC61F65"/>
    <w:rsid w:val="3EE29EC4"/>
    <w:rsid w:val="3F073F04"/>
    <w:rsid w:val="3F59209E"/>
    <w:rsid w:val="3F9C43C1"/>
    <w:rsid w:val="3FA57DD3"/>
    <w:rsid w:val="3FE9E7B7"/>
    <w:rsid w:val="3FF279A4"/>
    <w:rsid w:val="402AF13F"/>
    <w:rsid w:val="40306BF3"/>
    <w:rsid w:val="403E338E"/>
    <w:rsid w:val="406C1D49"/>
    <w:rsid w:val="40854893"/>
    <w:rsid w:val="40E52FD2"/>
    <w:rsid w:val="40EE3707"/>
    <w:rsid w:val="4115781D"/>
    <w:rsid w:val="41224365"/>
    <w:rsid w:val="416325BA"/>
    <w:rsid w:val="4187B485"/>
    <w:rsid w:val="418D19A8"/>
    <w:rsid w:val="4198A5B7"/>
    <w:rsid w:val="41F22182"/>
    <w:rsid w:val="41FABF75"/>
    <w:rsid w:val="420C1005"/>
    <w:rsid w:val="423DEF1B"/>
    <w:rsid w:val="424DBC8C"/>
    <w:rsid w:val="42E07805"/>
    <w:rsid w:val="42E68460"/>
    <w:rsid w:val="42FCA23F"/>
    <w:rsid w:val="436D49DE"/>
    <w:rsid w:val="43AD7700"/>
    <w:rsid w:val="43C7E0DD"/>
    <w:rsid w:val="43E4C6A6"/>
    <w:rsid w:val="43ECFC1A"/>
    <w:rsid w:val="44292138"/>
    <w:rsid w:val="4451FE67"/>
    <w:rsid w:val="44860EA6"/>
    <w:rsid w:val="44A05FD3"/>
    <w:rsid w:val="44BB1F2D"/>
    <w:rsid w:val="44BB9AB5"/>
    <w:rsid w:val="44BD5CC9"/>
    <w:rsid w:val="44D033BB"/>
    <w:rsid w:val="44E61D6D"/>
    <w:rsid w:val="44EED537"/>
    <w:rsid w:val="452505CE"/>
    <w:rsid w:val="4525ED07"/>
    <w:rsid w:val="452B1DB1"/>
    <w:rsid w:val="4580C25C"/>
    <w:rsid w:val="4590E038"/>
    <w:rsid w:val="4590EAB7"/>
    <w:rsid w:val="459465B5"/>
    <w:rsid w:val="45B290D2"/>
    <w:rsid w:val="45FB0853"/>
    <w:rsid w:val="4652F121"/>
    <w:rsid w:val="465F0547"/>
    <w:rsid w:val="4689E198"/>
    <w:rsid w:val="469AC1FC"/>
    <w:rsid w:val="46A3E6FF"/>
    <w:rsid w:val="46B9BFA7"/>
    <w:rsid w:val="46CFE184"/>
    <w:rsid w:val="46DBCEDF"/>
    <w:rsid w:val="46DF8264"/>
    <w:rsid w:val="4708BB9F"/>
    <w:rsid w:val="470BFBE8"/>
    <w:rsid w:val="475CEEC8"/>
    <w:rsid w:val="4785760E"/>
    <w:rsid w:val="47876945"/>
    <w:rsid w:val="47B5D066"/>
    <w:rsid w:val="4806E09D"/>
    <w:rsid w:val="480BB347"/>
    <w:rsid w:val="482FF774"/>
    <w:rsid w:val="48440C80"/>
    <w:rsid w:val="48597C00"/>
    <w:rsid w:val="489FF759"/>
    <w:rsid w:val="48AA24E4"/>
    <w:rsid w:val="48EA6B2D"/>
    <w:rsid w:val="494D2B45"/>
    <w:rsid w:val="49E2BA4E"/>
    <w:rsid w:val="4A02CEF3"/>
    <w:rsid w:val="4A15EE31"/>
    <w:rsid w:val="4A43925E"/>
    <w:rsid w:val="4AA8380A"/>
    <w:rsid w:val="4AC2E336"/>
    <w:rsid w:val="4ACF1E38"/>
    <w:rsid w:val="4ADF8643"/>
    <w:rsid w:val="4AEE39F1"/>
    <w:rsid w:val="4AF8567B"/>
    <w:rsid w:val="4B139D8F"/>
    <w:rsid w:val="4C212A2A"/>
    <w:rsid w:val="4C4FA9EF"/>
    <w:rsid w:val="4C909522"/>
    <w:rsid w:val="4CA66390"/>
    <w:rsid w:val="4CB903DE"/>
    <w:rsid w:val="4CFA706C"/>
    <w:rsid w:val="4D03E6A7"/>
    <w:rsid w:val="4D0E303C"/>
    <w:rsid w:val="4D14D72B"/>
    <w:rsid w:val="4D4A8BA9"/>
    <w:rsid w:val="4D533C12"/>
    <w:rsid w:val="4D7B5F0F"/>
    <w:rsid w:val="4E35211E"/>
    <w:rsid w:val="4E364FE9"/>
    <w:rsid w:val="4E458420"/>
    <w:rsid w:val="4ED36681"/>
    <w:rsid w:val="4ED5CC2C"/>
    <w:rsid w:val="4EE5C8FF"/>
    <w:rsid w:val="4F163177"/>
    <w:rsid w:val="4F290AF5"/>
    <w:rsid w:val="4F51E224"/>
    <w:rsid w:val="4F52D03C"/>
    <w:rsid w:val="4F59C044"/>
    <w:rsid w:val="4F84EF30"/>
    <w:rsid w:val="4F8EF2B3"/>
    <w:rsid w:val="4F90E92D"/>
    <w:rsid w:val="4FB59D4C"/>
    <w:rsid w:val="4FB94037"/>
    <w:rsid w:val="4FC208E4"/>
    <w:rsid w:val="4FE75F1C"/>
    <w:rsid w:val="4FFAFED1"/>
    <w:rsid w:val="5021716A"/>
    <w:rsid w:val="5027CF89"/>
    <w:rsid w:val="50591C6C"/>
    <w:rsid w:val="508449F9"/>
    <w:rsid w:val="5093B182"/>
    <w:rsid w:val="514883B7"/>
    <w:rsid w:val="5171A4DE"/>
    <w:rsid w:val="51A07ADF"/>
    <w:rsid w:val="51A34347"/>
    <w:rsid w:val="51FAC319"/>
    <w:rsid w:val="52295D2E"/>
    <w:rsid w:val="523C9175"/>
    <w:rsid w:val="52487EEF"/>
    <w:rsid w:val="52B54E36"/>
    <w:rsid w:val="52CA5A10"/>
    <w:rsid w:val="52EBA1BD"/>
    <w:rsid w:val="5321BB94"/>
    <w:rsid w:val="53802A13"/>
    <w:rsid w:val="53876822"/>
    <w:rsid w:val="539D0767"/>
    <w:rsid w:val="53B60D40"/>
    <w:rsid w:val="53BA1438"/>
    <w:rsid w:val="53FB05D2"/>
    <w:rsid w:val="5402B4D7"/>
    <w:rsid w:val="5409052A"/>
    <w:rsid w:val="541E0F16"/>
    <w:rsid w:val="5436D62A"/>
    <w:rsid w:val="546A67D3"/>
    <w:rsid w:val="54D3D393"/>
    <w:rsid w:val="5514B64B"/>
    <w:rsid w:val="55398B85"/>
    <w:rsid w:val="55706218"/>
    <w:rsid w:val="557AF9C2"/>
    <w:rsid w:val="5587F4B5"/>
    <w:rsid w:val="55959942"/>
    <w:rsid w:val="559C2887"/>
    <w:rsid w:val="5604B32F"/>
    <w:rsid w:val="564AACB2"/>
    <w:rsid w:val="567B1226"/>
    <w:rsid w:val="572215AD"/>
    <w:rsid w:val="576359AF"/>
    <w:rsid w:val="5787FAE2"/>
    <w:rsid w:val="57C44429"/>
    <w:rsid w:val="57ED8508"/>
    <w:rsid w:val="583C9CCA"/>
    <w:rsid w:val="5854E2E6"/>
    <w:rsid w:val="5855A5DE"/>
    <w:rsid w:val="58569130"/>
    <w:rsid w:val="586D3E0D"/>
    <w:rsid w:val="58738059"/>
    <w:rsid w:val="587CA831"/>
    <w:rsid w:val="589E0D20"/>
    <w:rsid w:val="58CAD27B"/>
    <w:rsid w:val="58E8AE65"/>
    <w:rsid w:val="58E90CE1"/>
    <w:rsid w:val="5907794A"/>
    <w:rsid w:val="59607D24"/>
    <w:rsid w:val="59EC1292"/>
    <w:rsid w:val="5A0A5681"/>
    <w:rsid w:val="5A327926"/>
    <w:rsid w:val="5A38066A"/>
    <w:rsid w:val="5A60833C"/>
    <w:rsid w:val="5A6C353C"/>
    <w:rsid w:val="5A85FEFC"/>
    <w:rsid w:val="5AA26BF3"/>
    <w:rsid w:val="5AB642A6"/>
    <w:rsid w:val="5ACDC3E1"/>
    <w:rsid w:val="5AD0BDA7"/>
    <w:rsid w:val="5AEEEDFE"/>
    <w:rsid w:val="5B5C06FA"/>
    <w:rsid w:val="5BB95DDF"/>
    <w:rsid w:val="5C0E0FB8"/>
    <w:rsid w:val="5C56F512"/>
    <w:rsid w:val="5C6BF6FD"/>
    <w:rsid w:val="5C8F7120"/>
    <w:rsid w:val="5CCF5B89"/>
    <w:rsid w:val="5CEA59F1"/>
    <w:rsid w:val="5CEDA95A"/>
    <w:rsid w:val="5CF2031A"/>
    <w:rsid w:val="5D1A5A68"/>
    <w:rsid w:val="5D44D634"/>
    <w:rsid w:val="5D4DE575"/>
    <w:rsid w:val="5D4F3ED1"/>
    <w:rsid w:val="5E242948"/>
    <w:rsid w:val="5E488826"/>
    <w:rsid w:val="5E8BF883"/>
    <w:rsid w:val="5ECE7DA4"/>
    <w:rsid w:val="5F7348EF"/>
    <w:rsid w:val="5F88208A"/>
    <w:rsid w:val="5F9CE614"/>
    <w:rsid w:val="5FDE1939"/>
    <w:rsid w:val="6004DCC0"/>
    <w:rsid w:val="603FDC66"/>
    <w:rsid w:val="605D6145"/>
    <w:rsid w:val="606B7EB6"/>
    <w:rsid w:val="60D79EDB"/>
    <w:rsid w:val="60D9013B"/>
    <w:rsid w:val="60E060B8"/>
    <w:rsid w:val="61108B33"/>
    <w:rsid w:val="61297683"/>
    <w:rsid w:val="615AC6D6"/>
    <w:rsid w:val="61A121A6"/>
    <w:rsid w:val="61BB5658"/>
    <w:rsid w:val="627500D8"/>
    <w:rsid w:val="628876CF"/>
    <w:rsid w:val="62B2E11E"/>
    <w:rsid w:val="62B711F3"/>
    <w:rsid w:val="62B87B71"/>
    <w:rsid w:val="62BC20C1"/>
    <w:rsid w:val="62F6AE34"/>
    <w:rsid w:val="62FC8CF3"/>
    <w:rsid w:val="630B7DE2"/>
    <w:rsid w:val="634A7F5D"/>
    <w:rsid w:val="634B7945"/>
    <w:rsid w:val="634D26D6"/>
    <w:rsid w:val="63A725B6"/>
    <w:rsid w:val="63E2AD70"/>
    <w:rsid w:val="644F87CA"/>
    <w:rsid w:val="64F4A590"/>
    <w:rsid w:val="64F5C311"/>
    <w:rsid w:val="654C0468"/>
    <w:rsid w:val="656AE02C"/>
    <w:rsid w:val="6584F96F"/>
    <w:rsid w:val="6597474D"/>
    <w:rsid w:val="65B1E5DC"/>
    <w:rsid w:val="65BEE3C6"/>
    <w:rsid w:val="65E1A30E"/>
    <w:rsid w:val="65E36E1F"/>
    <w:rsid w:val="65F4F932"/>
    <w:rsid w:val="661C3F60"/>
    <w:rsid w:val="666E65E9"/>
    <w:rsid w:val="6687EA8C"/>
    <w:rsid w:val="668961F4"/>
    <w:rsid w:val="66BA534A"/>
    <w:rsid w:val="66E59C4E"/>
    <w:rsid w:val="66E7B8F1"/>
    <w:rsid w:val="67437491"/>
    <w:rsid w:val="6772EBB9"/>
    <w:rsid w:val="677F497B"/>
    <w:rsid w:val="679A6742"/>
    <w:rsid w:val="67FD1F0B"/>
    <w:rsid w:val="68075DBB"/>
    <w:rsid w:val="68366FFF"/>
    <w:rsid w:val="683BC23E"/>
    <w:rsid w:val="68524F85"/>
    <w:rsid w:val="68544BF1"/>
    <w:rsid w:val="685551F8"/>
    <w:rsid w:val="68700015"/>
    <w:rsid w:val="68D55943"/>
    <w:rsid w:val="68E9CA16"/>
    <w:rsid w:val="68ED5D39"/>
    <w:rsid w:val="69191C83"/>
    <w:rsid w:val="6934BEDA"/>
    <w:rsid w:val="69F1CC1F"/>
    <w:rsid w:val="69FF8298"/>
    <w:rsid w:val="6A00DA9F"/>
    <w:rsid w:val="6A3EB463"/>
    <w:rsid w:val="6A653274"/>
    <w:rsid w:val="6A8636C8"/>
    <w:rsid w:val="6A8B4866"/>
    <w:rsid w:val="6ABEDFB8"/>
    <w:rsid w:val="6AD48234"/>
    <w:rsid w:val="6ADCE3A8"/>
    <w:rsid w:val="6B4BA3E1"/>
    <w:rsid w:val="6B5D5523"/>
    <w:rsid w:val="6B8C0C6A"/>
    <w:rsid w:val="6B94883F"/>
    <w:rsid w:val="6BBFBE8C"/>
    <w:rsid w:val="6BE86A4F"/>
    <w:rsid w:val="6C0840FC"/>
    <w:rsid w:val="6C449E4C"/>
    <w:rsid w:val="6C55E57A"/>
    <w:rsid w:val="6C60AFC5"/>
    <w:rsid w:val="6C8D5DF1"/>
    <w:rsid w:val="6CBB7945"/>
    <w:rsid w:val="6CD0978C"/>
    <w:rsid w:val="6CF94D6B"/>
    <w:rsid w:val="6D0A5A99"/>
    <w:rsid w:val="6D2BFD31"/>
    <w:rsid w:val="6D32048F"/>
    <w:rsid w:val="6D49CB63"/>
    <w:rsid w:val="6D516B71"/>
    <w:rsid w:val="6D61D2DE"/>
    <w:rsid w:val="6D653005"/>
    <w:rsid w:val="6D960798"/>
    <w:rsid w:val="6DEA74BF"/>
    <w:rsid w:val="6E02F70E"/>
    <w:rsid w:val="6E38161D"/>
    <w:rsid w:val="6E4BE0B2"/>
    <w:rsid w:val="6E8936AE"/>
    <w:rsid w:val="6E982F61"/>
    <w:rsid w:val="6E9C4187"/>
    <w:rsid w:val="6EB426CE"/>
    <w:rsid w:val="6ECB32A5"/>
    <w:rsid w:val="6EECE619"/>
    <w:rsid w:val="6F0D8707"/>
    <w:rsid w:val="6F1A2D7C"/>
    <w:rsid w:val="6F1F98F9"/>
    <w:rsid w:val="6F28D2EB"/>
    <w:rsid w:val="6F406E3B"/>
    <w:rsid w:val="6F51C6E1"/>
    <w:rsid w:val="6F82A320"/>
    <w:rsid w:val="6FA3C989"/>
    <w:rsid w:val="6FE56330"/>
    <w:rsid w:val="6FF12024"/>
    <w:rsid w:val="6FF5E57B"/>
    <w:rsid w:val="7013A418"/>
    <w:rsid w:val="70217495"/>
    <w:rsid w:val="7044C99C"/>
    <w:rsid w:val="708968F0"/>
    <w:rsid w:val="70A20444"/>
    <w:rsid w:val="70D45BF4"/>
    <w:rsid w:val="70E8C739"/>
    <w:rsid w:val="71500A2E"/>
    <w:rsid w:val="71729323"/>
    <w:rsid w:val="71802E6B"/>
    <w:rsid w:val="719B4652"/>
    <w:rsid w:val="71BCE611"/>
    <w:rsid w:val="71D9CA2D"/>
    <w:rsid w:val="71F52F98"/>
    <w:rsid w:val="723406F5"/>
    <w:rsid w:val="72881EEC"/>
    <w:rsid w:val="728EE21C"/>
    <w:rsid w:val="72A8BDAD"/>
    <w:rsid w:val="72AB5829"/>
    <w:rsid w:val="72ABBE0D"/>
    <w:rsid w:val="72B052DD"/>
    <w:rsid w:val="72F4D7F9"/>
    <w:rsid w:val="72F63154"/>
    <w:rsid w:val="72FC7529"/>
    <w:rsid w:val="7367A338"/>
    <w:rsid w:val="73750F15"/>
    <w:rsid w:val="737EB59B"/>
    <w:rsid w:val="7384FB3D"/>
    <w:rsid w:val="73A2815F"/>
    <w:rsid w:val="73CCB0C4"/>
    <w:rsid w:val="73E44F85"/>
    <w:rsid w:val="742C09D1"/>
    <w:rsid w:val="744887B6"/>
    <w:rsid w:val="747A3F86"/>
    <w:rsid w:val="74858072"/>
    <w:rsid w:val="748EAEC9"/>
    <w:rsid w:val="74AE8978"/>
    <w:rsid w:val="74E114B4"/>
    <w:rsid w:val="74F4E495"/>
    <w:rsid w:val="75116485"/>
    <w:rsid w:val="75C30C72"/>
    <w:rsid w:val="75D02983"/>
    <w:rsid w:val="75E12A95"/>
    <w:rsid w:val="760422F8"/>
    <w:rsid w:val="762097FA"/>
    <w:rsid w:val="76411BBC"/>
    <w:rsid w:val="76680F52"/>
    <w:rsid w:val="766DBB8A"/>
    <w:rsid w:val="7691E430"/>
    <w:rsid w:val="76B92601"/>
    <w:rsid w:val="76CDAA45"/>
    <w:rsid w:val="76F8E5CD"/>
    <w:rsid w:val="77307DCF"/>
    <w:rsid w:val="7740A6BC"/>
    <w:rsid w:val="77459A59"/>
    <w:rsid w:val="77737F67"/>
    <w:rsid w:val="7795CBE6"/>
    <w:rsid w:val="77D782C8"/>
    <w:rsid w:val="77F70F82"/>
    <w:rsid w:val="780D85AE"/>
    <w:rsid w:val="78260E84"/>
    <w:rsid w:val="78AFABF5"/>
    <w:rsid w:val="79383386"/>
    <w:rsid w:val="7938A8CF"/>
    <w:rsid w:val="795931D1"/>
    <w:rsid w:val="795EE884"/>
    <w:rsid w:val="79848825"/>
    <w:rsid w:val="798CA5A6"/>
    <w:rsid w:val="79BE7E96"/>
    <w:rsid w:val="79CD93C0"/>
    <w:rsid w:val="79E047E1"/>
    <w:rsid w:val="79E55443"/>
    <w:rsid w:val="7AA941C2"/>
    <w:rsid w:val="7ACDC846"/>
    <w:rsid w:val="7AE1161A"/>
    <w:rsid w:val="7AE2CEE8"/>
    <w:rsid w:val="7B0215A9"/>
    <w:rsid w:val="7B5C6EF1"/>
    <w:rsid w:val="7BCF6017"/>
    <w:rsid w:val="7BEA6360"/>
    <w:rsid w:val="7C060D47"/>
    <w:rsid w:val="7CA7E12B"/>
    <w:rsid w:val="7CBEC13A"/>
    <w:rsid w:val="7CBF6582"/>
    <w:rsid w:val="7CCCD049"/>
    <w:rsid w:val="7D10C548"/>
    <w:rsid w:val="7D176E57"/>
    <w:rsid w:val="7D27297A"/>
    <w:rsid w:val="7D329E58"/>
    <w:rsid w:val="7D3BF9BD"/>
    <w:rsid w:val="7D412C06"/>
    <w:rsid w:val="7D5ED9AB"/>
    <w:rsid w:val="7DA4C6DF"/>
    <w:rsid w:val="7DAEC5DA"/>
    <w:rsid w:val="7DC2EFA2"/>
    <w:rsid w:val="7DE363F4"/>
    <w:rsid w:val="7E148019"/>
    <w:rsid w:val="7E1BE513"/>
    <w:rsid w:val="7E6C5E5A"/>
    <w:rsid w:val="7E739310"/>
    <w:rsid w:val="7ECE7FF2"/>
    <w:rsid w:val="7EDD4684"/>
    <w:rsid w:val="7EECFEFF"/>
    <w:rsid w:val="7EF6AF30"/>
    <w:rsid w:val="7F0F175E"/>
    <w:rsid w:val="7F29E1D1"/>
    <w:rsid w:val="7F41B276"/>
    <w:rsid w:val="7F9983B2"/>
    <w:rsid w:val="7FAED5C6"/>
    <w:rsid w:val="7FB1BB20"/>
    <w:rsid w:val="7FF1BD5B"/>
    <w:rsid w:val="7FF2224C"/>
    <w:rsid w:val="7FFE7A63"/>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CAE14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heme="minorHAnsi" w:hAnsi="Segoe UI" w:cstheme="minorBidi"/>
        <w:lang w:val="da-DK"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qFormat="1"/>
    <w:lsdException w:name="annotation text" w:semiHidden="1"/>
    <w:lsdException w:name="header" w:semiHidden="1"/>
    <w:lsdException w:name="footer" w:semiHidden="1"/>
    <w:lsdException w:name="index heading" w:semiHidden="1"/>
    <w:lsdException w:name="caption" w:semiHidden="1" w:uiPriority="3"/>
    <w:lsdException w:name="table of figures" w:semiHidden="1"/>
    <w:lsdException w:name="envelope address" w:semiHidden="1"/>
    <w:lsdException w:name="envelope return" w:semiHidden="1"/>
    <w:lsdException w:name="footnote reference" w:semiHidden="1" w:qFormat="1"/>
    <w:lsdException w:name="annotation reference" w:semiHidden="1"/>
    <w:lsdException w:name="line number" w:semiHidden="1"/>
    <w:lsdException w:name="page number" w:semiHidden="1"/>
    <w:lsdException w:name="endnote reference" w:semiHidden="1"/>
    <w:lsdException w:name="endnote text" w:semiHidden="1" w:qFormat="1"/>
    <w:lsdException w:name="table of authorities" w:semiHidden="1"/>
    <w:lsdException w:name="macro" w:semiHidden="1"/>
    <w:lsdException w:name="toa heading" w:semiHidden="1"/>
    <w:lsdException w:name="List" w:semiHidden="1"/>
    <w:lsdException w:name="List Bullet" w:semiHidden="1" w:qFormat="1"/>
    <w:lsdException w:name="List Number" w:semiHidden="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qFormat="1"/>
    <w:lsdException w:name="Emphasis" w:uiPriority="4"/>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uiPriority="21" w:qFormat="1"/>
    <w:lsdException w:name="Subtle Reference" w:qFormat="1"/>
    <w:lsdException w:name="Intense Reference" w:uiPriority="32" w:qFormat="1"/>
    <w:lsdException w:name="Book Title" w:qFormat="1"/>
    <w:lsdException w:name="Bibliography" w:semiHidden="1"/>
    <w:lsdException w:name="TOC Heading" w:semiHidden="1" w:uiPriority="39" w:qFormat="1"/>
    <w:lsdException w:name="Plain Table 1" w:uiPriority="41"/>
    <w:lsdException w:name="Grid Table 1 Light" w:uiPriority="46"/>
    <w:lsdException w:name="Grid Table 4 Accent 1" w:uiPriority="49"/>
    <w:lsdException w:name="Grid Table 5 Dark Accent 1"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470388"/>
    <w:pPr>
      <w:spacing w:after="240"/>
      <w:jc w:val="both"/>
    </w:pPr>
    <w:rPr>
      <w:lang w:val="en-GB"/>
    </w:rPr>
  </w:style>
  <w:style w:type="paragraph" w:styleId="Heading1">
    <w:name w:val="heading 1"/>
    <w:basedOn w:val="Normal"/>
    <w:next w:val="Normal"/>
    <w:link w:val="Heading1Char"/>
    <w:uiPriority w:val="9"/>
    <w:qFormat/>
    <w:rsid w:val="004B13A3"/>
    <w:pPr>
      <w:keepNext/>
      <w:keepLines/>
      <w:numPr>
        <w:numId w:val="7"/>
      </w:numPr>
      <w:suppressAutoHyphens/>
      <w:spacing w:before="480" w:line="360" w:lineRule="atLeast"/>
      <w:outlineLvl w:val="0"/>
    </w:pPr>
    <w:rPr>
      <w:rFonts w:eastAsiaTheme="majorEastAsia" w:cs="Arial"/>
      <w:b/>
      <w:sz w:val="28"/>
      <w:szCs w:val="32"/>
    </w:rPr>
  </w:style>
  <w:style w:type="paragraph" w:styleId="Heading2">
    <w:name w:val="heading 2"/>
    <w:basedOn w:val="Normal"/>
    <w:next w:val="Normal"/>
    <w:link w:val="Heading2Char"/>
    <w:uiPriority w:val="9"/>
    <w:qFormat/>
    <w:rsid w:val="00083F7C"/>
    <w:pPr>
      <w:keepNext/>
      <w:keepLines/>
      <w:numPr>
        <w:ilvl w:val="1"/>
        <w:numId w:val="7"/>
      </w:numPr>
      <w:suppressAutoHyphens/>
      <w:spacing w:before="180" w:after="0" w:line="320" w:lineRule="atLeast"/>
      <w:outlineLvl w:val="1"/>
    </w:pPr>
    <w:rPr>
      <w:rFonts w:eastAsiaTheme="majorEastAsia" w:cs="Arial"/>
      <w:b/>
      <w:szCs w:val="26"/>
    </w:rPr>
  </w:style>
  <w:style w:type="paragraph" w:styleId="Heading3">
    <w:name w:val="heading 3"/>
    <w:basedOn w:val="Normal"/>
    <w:next w:val="Normal"/>
    <w:link w:val="Heading3Char"/>
    <w:uiPriority w:val="9"/>
    <w:qFormat/>
    <w:rsid w:val="004B13A3"/>
    <w:pPr>
      <w:keepNext/>
      <w:keepLines/>
      <w:numPr>
        <w:ilvl w:val="2"/>
        <w:numId w:val="7"/>
      </w:numPr>
      <w:suppressAutoHyphens/>
      <w:spacing w:before="180" w:after="0"/>
      <w:outlineLvl w:val="2"/>
    </w:pPr>
    <w:rPr>
      <w:rFonts w:eastAsiaTheme="majorEastAsia" w:cs="Arial"/>
      <w:b/>
      <w:szCs w:val="24"/>
    </w:rPr>
  </w:style>
  <w:style w:type="paragraph" w:styleId="Heading4">
    <w:name w:val="heading 4"/>
    <w:basedOn w:val="Normal"/>
    <w:next w:val="Normal"/>
    <w:link w:val="Heading4Char"/>
    <w:uiPriority w:val="9"/>
    <w:qFormat/>
    <w:rsid w:val="004B13A3"/>
    <w:pPr>
      <w:keepNext/>
      <w:keepLines/>
      <w:numPr>
        <w:ilvl w:val="3"/>
        <w:numId w:val="7"/>
      </w:numPr>
      <w:suppressAutoHyphens/>
      <w:spacing w:before="180" w:after="0"/>
      <w:outlineLvl w:val="3"/>
    </w:pPr>
    <w:rPr>
      <w:rFonts w:eastAsiaTheme="majorEastAsia" w:cs="Arial"/>
      <w:i/>
      <w:iCs/>
    </w:rPr>
  </w:style>
  <w:style w:type="paragraph" w:styleId="Heading5">
    <w:name w:val="heading 5"/>
    <w:basedOn w:val="Normal"/>
    <w:next w:val="Normal"/>
    <w:link w:val="Heading5Char"/>
    <w:uiPriority w:val="9"/>
    <w:qFormat/>
    <w:rsid w:val="004B13A3"/>
    <w:pPr>
      <w:keepNext/>
      <w:keepLines/>
      <w:numPr>
        <w:ilvl w:val="4"/>
        <w:numId w:val="7"/>
      </w:numPr>
      <w:suppressAutoHyphens/>
      <w:spacing w:before="180" w:after="0"/>
      <w:outlineLvl w:val="4"/>
    </w:pPr>
    <w:rPr>
      <w:rFonts w:eastAsiaTheme="majorEastAsia" w:cs="Segoe UI"/>
      <w:u w:val="single"/>
    </w:rPr>
  </w:style>
  <w:style w:type="paragraph" w:styleId="Heading6">
    <w:name w:val="heading 6"/>
    <w:basedOn w:val="Normal"/>
    <w:next w:val="Normal"/>
    <w:link w:val="Heading6Char"/>
    <w:uiPriority w:val="9"/>
    <w:qFormat/>
    <w:rsid w:val="004B13A3"/>
    <w:pPr>
      <w:keepNext/>
      <w:keepLines/>
      <w:numPr>
        <w:ilvl w:val="5"/>
        <w:numId w:val="7"/>
      </w:numPr>
      <w:suppressAutoHyphens/>
      <w:spacing w:before="180" w:after="0"/>
      <w:outlineLvl w:val="5"/>
    </w:pPr>
    <w:rPr>
      <w:rFonts w:eastAsiaTheme="majorEastAsia" w:cs="Segoe UI"/>
    </w:rPr>
  </w:style>
  <w:style w:type="paragraph" w:styleId="Heading7">
    <w:name w:val="heading 7"/>
    <w:basedOn w:val="Normal"/>
    <w:next w:val="Normal"/>
    <w:link w:val="Heading7Char"/>
    <w:uiPriority w:val="9"/>
    <w:qFormat/>
    <w:rsid w:val="004B13A3"/>
    <w:pPr>
      <w:keepNext/>
      <w:keepLines/>
      <w:numPr>
        <w:ilvl w:val="6"/>
        <w:numId w:val="7"/>
      </w:numPr>
      <w:suppressAutoHyphens/>
      <w:spacing w:after="0"/>
      <w:outlineLvl w:val="6"/>
    </w:pPr>
    <w:rPr>
      <w:rFonts w:eastAsiaTheme="majorEastAsia" w:cs="Segoe UI"/>
      <w:iCs/>
    </w:rPr>
  </w:style>
  <w:style w:type="paragraph" w:styleId="Heading8">
    <w:name w:val="heading 8"/>
    <w:basedOn w:val="Normal"/>
    <w:next w:val="Normal"/>
    <w:link w:val="Heading8Char"/>
    <w:uiPriority w:val="9"/>
    <w:qFormat/>
    <w:rsid w:val="004B13A3"/>
    <w:pPr>
      <w:keepNext/>
      <w:keepLines/>
      <w:numPr>
        <w:ilvl w:val="7"/>
        <w:numId w:val="7"/>
      </w:numPr>
      <w:suppressAutoHyphens/>
      <w:spacing w:after="0"/>
      <w:outlineLvl w:val="7"/>
    </w:pPr>
    <w:rPr>
      <w:rFonts w:eastAsiaTheme="majorEastAsia" w:cs="Segoe UI"/>
      <w:szCs w:val="21"/>
    </w:rPr>
  </w:style>
  <w:style w:type="paragraph" w:styleId="Heading9">
    <w:name w:val="heading 9"/>
    <w:basedOn w:val="Normal"/>
    <w:next w:val="Normal"/>
    <w:link w:val="Heading9Char"/>
    <w:uiPriority w:val="9"/>
    <w:qFormat/>
    <w:rsid w:val="00B76738"/>
    <w:pPr>
      <w:keepNext/>
      <w:keepLines/>
      <w:numPr>
        <w:ilvl w:val="8"/>
        <w:numId w:val="7"/>
      </w:numPr>
      <w:suppressAutoHyphens/>
      <w:spacing w:before="480" w:after="300" w:line="880" w:lineRule="atLeast"/>
      <w:jc w:val="right"/>
      <w:outlineLvl w:val="8"/>
    </w:pPr>
    <w:rPr>
      <w:rFonts w:ascii="Segoe UI Light" w:eastAsiaTheme="majorEastAsia" w:hAnsi="Segoe UI Light" w:cs="Segoe UI"/>
      <w:iCs/>
      <w:color w:val="5EC1A0" w:themeColor="accent6"/>
      <w:sz w:val="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rsid w:val="00B76738"/>
  </w:style>
  <w:style w:type="numbering" w:styleId="1ai">
    <w:name w:val="Outline List 1"/>
    <w:basedOn w:val="NoList"/>
    <w:uiPriority w:val="99"/>
    <w:semiHidden/>
    <w:rsid w:val="00B76738"/>
    <w:pPr>
      <w:numPr>
        <w:numId w:val="10"/>
      </w:numPr>
    </w:pPr>
  </w:style>
  <w:style w:type="paragraph" w:styleId="BalloonText">
    <w:name w:val="Balloon Text"/>
    <w:basedOn w:val="Normal"/>
    <w:link w:val="BalloonTextChar"/>
    <w:uiPriority w:val="99"/>
    <w:semiHidden/>
    <w:rsid w:val="00911DE3"/>
    <w:pPr>
      <w:spacing w:after="0" w:line="240" w:lineRule="auto"/>
    </w:pPr>
    <w:rPr>
      <w:rFonts w:cs="Arial"/>
    </w:rPr>
  </w:style>
  <w:style w:type="character" w:customStyle="1" w:styleId="BalloonTextChar">
    <w:name w:val="Balloon Text Char"/>
    <w:basedOn w:val="DefaultParagraphFont"/>
    <w:link w:val="BalloonText"/>
    <w:uiPriority w:val="99"/>
    <w:semiHidden/>
    <w:rsid w:val="00911DE3"/>
    <w:rPr>
      <w:rFonts w:cs="Arial"/>
      <w:lang w:val="en-GB"/>
    </w:rPr>
  </w:style>
  <w:style w:type="paragraph" w:styleId="Bibliography">
    <w:name w:val="Bibliography"/>
    <w:basedOn w:val="Normal"/>
    <w:next w:val="Normal"/>
    <w:uiPriority w:val="99"/>
    <w:semiHidden/>
    <w:rsid w:val="00911DE3"/>
    <w:pPr>
      <w:spacing w:after="0"/>
    </w:pPr>
  </w:style>
  <w:style w:type="paragraph" w:styleId="BlockText">
    <w:name w:val="Block Text"/>
    <w:basedOn w:val="Normal"/>
    <w:uiPriority w:val="99"/>
    <w:semiHidden/>
    <w:rsid w:val="00911DE3"/>
    <w:pPr>
      <w:pBdr>
        <w:top w:val="single" w:sz="2" w:space="10" w:color="C4D5D3" w:themeColor="accent1"/>
        <w:left w:val="single" w:sz="2" w:space="10" w:color="C4D5D3" w:themeColor="accent1"/>
        <w:bottom w:val="single" w:sz="2" w:space="10" w:color="C4D5D3" w:themeColor="accent1"/>
        <w:right w:val="single" w:sz="2" w:space="10" w:color="C4D5D3" w:themeColor="accent1"/>
      </w:pBdr>
      <w:spacing w:after="0"/>
      <w:ind w:left="1152" w:right="1152"/>
    </w:pPr>
    <w:rPr>
      <w:rFonts w:eastAsiaTheme="minorEastAsia" w:cs="Arial"/>
      <w:i/>
      <w:iCs/>
      <w:color w:val="C4D5D3" w:themeColor="accent1"/>
    </w:rPr>
  </w:style>
  <w:style w:type="paragraph" w:styleId="BodyText">
    <w:name w:val="Body Text"/>
    <w:basedOn w:val="Normal"/>
    <w:link w:val="BodyTextChar"/>
    <w:uiPriority w:val="99"/>
    <w:semiHidden/>
    <w:rsid w:val="00911DE3"/>
    <w:pPr>
      <w:spacing w:after="120"/>
    </w:pPr>
  </w:style>
  <w:style w:type="character" w:customStyle="1" w:styleId="BodyTextChar">
    <w:name w:val="Body Text Char"/>
    <w:basedOn w:val="DefaultParagraphFont"/>
    <w:link w:val="BodyText"/>
    <w:uiPriority w:val="99"/>
    <w:semiHidden/>
    <w:rsid w:val="00911DE3"/>
    <w:rPr>
      <w:lang w:val="en-GB"/>
    </w:rPr>
  </w:style>
  <w:style w:type="paragraph" w:styleId="BodyText2">
    <w:name w:val="Body Text 2"/>
    <w:basedOn w:val="Normal"/>
    <w:link w:val="BodyText2Char"/>
    <w:uiPriority w:val="99"/>
    <w:semiHidden/>
    <w:rsid w:val="00911DE3"/>
    <w:pPr>
      <w:spacing w:after="120" w:line="480" w:lineRule="auto"/>
    </w:pPr>
  </w:style>
  <w:style w:type="character" w:customStyle="1" w:styleId="BodyText2Char">
    <w:name w:val="Body Text 2 Char"/>
    <w:basedOn w:val="DefaultParagraphFont"/>
    <w:link w:val="BodyText2"/>
    <w:uiPriority w:val="99"/>
    <w:semiHidden/>
    <w:rsid w:val="00911DE3"/>
    <w:rPr>
      <w:lang w:val="en-GB"/>
    </w:rPr>
  </w:style>
  <w:style w:type="paragraph" w:styleId="BodyText3">
    <w:name w:val="Body Text 3"/>
    <w:basedOn w:val="Normal"/>
    <w:link w:val="BodyText3Char"/>
    <w:uiPriority w:val="99"/>
    <w:semiHidden/>
    <w:rsid w:val="00911DE3"/>
    <w:pPr>
      <w:spacing w:after="120"/>
    </w:pPr>
    <w:rPr>
      <w:sz w:val="16"/>
      <w:szCs w:val="16"/>
    </w:rPr>
  </w:style>
  <w:style w:type="character" w:customStyle="1" w:styleId="BodyText3Char">
    <w:name w:val="Body Text 3 Char"/>
    <w:basedOn w:val="DefaultParagraphFont"/>
    <w:link w:val="BodyText3"/>
    <w:uiPriority w:val="99"/>
    <w:semiHidden/>
    <w:rsid w:val="00911DE3"/>
    <w:rPr>
      <w:sz w:val="16"/>
      <w:szCs w:val="16"/>
      <w:lang w:val="en-GB"/>
    </w:rPr>
  </w:style>
  <w:style w:type="paragraph" w:styleId="BodyTextFirstIndent">
    <w:name w:val="Body Text First Indent"/>
    <w:basedOn w:val="BodyText"/>
    <w:link w:val="BodyTextFirstIndentChar"/>
    <w:uiPriority w:val="99"/>
    <w:semiHidden/>
    <w:rsid w:val="00911DE3"/>
    <w:pPr>
      <w:spacing w:after="0"/>
      <w:ind w:firstLine="360"/>
    </w:pPr>
  </w:style>
  <w:style w:type="character" w:customStyle="1" w:styleId="BodyTextFirstIndentChar">
    <w:name w:val="Body Text First Indent Char"/>
    <w:basedOn w:val="BodyTextChar"/>
    <w:link w:val="BodyTextFirstIndent"/>
    <w:uiPriority w:val="99"/>
    <w:semiHidden/>
    <w:rsid w:val="00911DE3"/>
    <w:rPr>
      <w:lang w:val="en-GB"/>
    </w:rPr>
  </w:style>
  <w:style w:type="paragraph" w:styleId="BodyTextIndent">
    <w:name w:val="Body Text Indent"/>
    <w:basedOn w:val="Normal"/>
    <w:link w:val="BodyTextIndentChar"/>
    <w:uiPriority w:val="99"/>
    <w:semiHidden/>
    <w:rsid w:val="00911DE3"/>
    <w:pPr>
      <w:spacing w:after="120"/>
      <w:ind w:left="283"/>
    </w:pPr>
  </w:style>
  <w:style w:type="character" w:customStyle="1" w:styleId="BodyTextIndentChar">
    <w:name w:val="Body Text Indent Char"/>
    <w:basedOn w:val="DefaultParagraphFont"/>
    <w:link w:val="BodyTextIndent"/>
    <w:uiPriority w:val="99"/>
    <w:semiHidden/>
    <w:rsid w:val="00911DE3"/>
    <w:rPr>
      <w:lang w:val="en-GB"/>
    </w:rPr>
  </w:style>
  <w:style w:type="paragraph" w:styleId="BodyTextFirstIndent2">
    <w:name w:val="Body Text First Indent 2"/>
    <w:basedOn w:val="BodyTextIndent"/>
    <w:link w:val="BodyTextFirstIndent2Char"/>
    <w:uiPriority w:val="99"/>
    <w:semiHidden/>
    <w:rsid w:val="00911DE3"/>
    <w:pPr>
      <w:spacing w:after="0"/>
      <w:ind w:left="360" w:firstLine="360"/>
    </w:pPr>
  </w:style>
  <w:style w:type="character" w:customStyle="1" w:styleId="BodyTextFirstIndent2Char">
    <w:name w:val="Body Text First Indent 2 Char"/>
    <w:basedOn w:val="BodyTextIndentChar"/>
    <w:link w:val="BodyTextFirstIndent2"/>
    <w:uiPriority w:val="99"/>
    <w:semiHidden/>
    <w:rsid w:val="00911DE3"/>
    <w:rPr>
      <w:lang w:val="en-GB"/>
    </w:rPr>
  </w:style>
  <w:style w:type="paragraph" w:styleId="BodyTextIndent2">
    <w:name w:val="Body Text Indent 2"/>
    <w:basedOn w:val="Normal"/>
    <w:link w:val="BodyTextIndent2Char"/>
    <w:uiPriority w:val="99"/>
    <w:semiHidden/>
    <w:rsid w:val="00911DE3"/>
    <w:pPr>
      <w:spacing w:after="120" w:line="480" w:lineRule="auto"/>
      <w:ind w:left="283"/>
    </w:pPr>
  </w:style>
  <w:style w:type="character" w:customStyle="1" w:styleId="BodyTextIndent2Char">
    <w:name w:val="Body Text Indent 2 Char"/>
    <w:basedOn w:val="DefaultParagraphFont"/>
    <w:link w:val="BodyTextIndent2"/>
    <w:uiPriority w:val="99"/>
    <w:semiHidden/>
    <w:rsid w:val="00911DE3"/>
    <w:rPr>
      <w:lang w:val="en-GB"/>
    </w:rPr>
  </w:style>
  <w:style w:type="paragraph" w:styleId="BodyTextIndent3">
    <w:name w:val="Body Text Indent 3"/>
    <w:basedOn w:val="Normal"/>
    <w:link w:val="BodyTextIndent3Char"/>
    <w:uiPriority w:val="99"/>
    <w:semiHidden/>
    <w:rsid w:val="00911DE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11DE3"/>
    <w:rPr>
      <w:sz w:val="16"/>
      <w:szCs w:val="16"/>
      <w:lang w:val="en-GB"/>
    </w:rPr>
  </w:style>
  <w:style w:type="character" w:styleId="BookTitle">
    <w:name w:val="Book Title"/>
    <w:basedOn w:val="DefaultParagraphFont"/>
    <w:uiPriority w:val="99"/>
    <w:semiHidden/>
    <w:qFormat/>
    <w:rsid w:val="00901321"/>
    <w:rPr>
      <w:b/>
      <w:bCs/>
      <w:i/>
      <w:iCs/>
      <w:spacing w:val="5"/>
      <w:lang w:val="en-GB"/>
    </w:rPr>
  </w:style>
  <w:style w:type="paragraph" w:styleId="Caption">
    <w:name w:val="caption"/>
    <w:basedOn w:val="Normal"/>
    <w:next w:val="Normal"/>
    <w:uiPriority w:val="3"/>
    <w:rsid w:val="003C6923"/>
    <w:pPr>
      <w:spacing w:before="60" w:after="60" w:line="260" w:lineRule="atLeast"/>
      <w:contextualSpacing/>
    </w:pPr>
    <w:rPr>
      <w:i/>
      <w:iCs/>
      <w:sz w:val="18"/>
    </w:rPr>
  </w:style>
  <w:style w:type="paragraph" w:styleId="Closing">
    <w:name w:val="Closing"/>
    <w:basedOn w:val="Normal"/>
    <w:link w:val="ClosingChar"/>
    <w:uiPriority w:val="99"/>
    <w:semiHidden/>
    <w:rsid w:val="00911DE3"/>
    <w:pPr>
      <w:spacing w:after="0" w:line="240" w:lineRule="auto"/>
      <w:ind w:left="4252"/>
    </w:pPr>
  </w:style>
  <w:style w:type="character" w:customStyle="1" w:styleId="ClosingChar">
    <w:name w:val="Closing Char"/>
    <w:basedOn w:val="DefaultParagraphFont"/>
    <w:link w:val="Closing"/>
    <w:uiPriority w:val="99"/>
    <w:semiHidden/>
    <w:rsid w:val="00911DE3"/>
    <w:rPr>
      <w:lang w:val="en-GB"/>
    </w:rPr>
  </w:style>
  <w:style w:type="table" w:styleId="ColorfulGrid">
    <w:name w:val="Colorful Grid"/>
    <w:basedOn w:val="TableNormal"/>
    <w:uiPriority w:val="99"/>
    <w:semiHidden/>
    <w:unhideWhenUsed/>
    <w:rsid w:val="00911DE3"/>
    <w:pPr>
      <w:spacing w:line="240" w:lineRule="auto"/>
    </w:pPr>
    <w:rPr>
      <w:color w:val="303030" w:themeColor="text1"/>
    </w:rPr>
    <w:tblPr>
      <w:tblStyleRowBandSize w:val="1"/>
      <w:tblStyleColBandSize w:val="1"/>
      <w:tblBorders>
        <w:insideH w:val="single" w:sz="4" w:space="0" w:color="FFFFFF" w:themeColor="background1"/>
      </w:tblBorders>
    </w:tblPr>
    <w:tcPr>
      <w:shd w:val="clear" w:color="auto" w:fill="D5D5D5" w:themeFill="text1" w:themeFillTint="33"/>
    </w:tcPr>
    <w:tblStylePr w:type="firstRow">
      <w:rPr>
        <w:b/>
        <w:bCs/>
      </w:rPr>
      <w:tblPr/>
      <w:tcPr>
        <w:shd w:val="clear" w:color="auto" w:fill="ACACAC" w:themeFill="text1" w:themeFillTint="66"/>
      </w:tcPr>
    </w:tblStylePr>
    <w:tblStylePr w:type="lastRow">
      <w:rPr>
        <w:b/>
        <w:bCs/>
        <w:color w:val="303030" w:themeColor="text1"/>
      </w:rPr>
      <w:tblPr/>
      <w:tcPr>
        <w:shd w:val="clear" w:color="auto" w:fill="ACACAC" w:themeFill="text1" w:themeFillTint="66"/>
      </w:tcPr>
    </w:tblStylePr>
    <w:tblStylePr w:type="firstCol">
      <w:rPr>
        <w:color w:val="FFFFFF" w:themeColor="background1"/>
      </w:rPr>
      <w:tblPr/>
      <w:tcPr>
        <w:shd w:val="clear" w:color="auto" w:fill="232323" w:themeFill="text1" w:themeFillShade="BF"/>
      </w:tcPr>
    </w:tblStylePr>
    <w:tblStylePr w:type="lastCol">
      <w:rPr>
        <w:color w:val="FFFFFF" w:themeColor="background1"/>
      </w:rPr>
      <w:tblPr/>
      <w:tcPr>
        <w:shd w:val="clear" w:color="auto" w:fill="232323" w:themeFill="text1" w:themeFillShade="BF"/>
      </w:tcPr>
    </w:tblStylePr>
    <w:tblStylePr w:type="band1Vert">
      <w:tblPr/>
      <w:tcPr>
        <w:shd w:val="clear" w:color="auto" w:fill="979797" w:themeFill="text1" w:themeFillTint="7F"/>
      </w:tcPr>
    </w:tblStylePr>
    <w:tblStylePr w:type="band1Horz">
      <w:tblPr/>
      <w:tcPr>
        <w:shd w:val="clear" w:color="auto" w:fill="979797" w:themeFill="text1" w:themeFillTint="7F"/>
      </w:tcPr>
    </w:tblStylePr>
  </w:style>
  <w:style w:type="table" w:styleId="ColorfulGrid-Accent1">
    <w:name w:val="Colorful Grid Accent 1"/>
    <w:basedOn w:val="TableNormal"/>
    <w:uiPriority w:val="99"/>
    <w:semiHidden/>
    <w:unhideWhenUsed/>
    <w:rsid w:val="00911DE3"/>
    <w:pPr>
      <w:spacing w:line="240" w:lineRule="auto"/>
    </w:pPr>
    <w:rPr>
      <w:color w:val="303030" w:themeColor="text1"/>
    </w:rPr>
    <w:tblPr>
      <w:tblStyleRowBandSize w:val="1"/>
      <w:tblStyleColBandSize w:val="1"/>
      <w:tblBorders>
        <w:insideH w:val="single" w:sz="4" w:space="0" w:color="FFFFFF" w:themeColor="background1"/>
      </w:tblBorders>
    </w:tblPr>
    <w:tcPr>
      <w:shd w:val="clear" w:color="auto" w:fill="F3F6F6" w:themeFill="accent1" w:themeFillTint="33"/>
    </w:tcPr>
    <w:tblStylePr w:type="firstRow">
      <w:rPr>
        <w:b/>
        <w:bCs/>
      </w:rPr>
      <w:tblPr/>
      <w:tcPr>
        <w:shd w:val="clear" w:color="auto" w:fill="E7EEED" w:themeFill="accent1" w:themeFillTint="66"/>
      </w:tcPr>
    </w:tblStylePr>
    <w:tblStylePr w:type="lastRow">
      <w:rPr>
        <w:b/>
        <w:bCs/>
        <w:color w:val="303030" w:themeColor="text1"/>
      </w:rPr>
      <w:tblPr/>
      <w:tcPr>
        <w:shd w:val="clear" w:color="auto" w:fill="E7EEED" w:themeFill="accent1" w:themeFillTint="66"/>
      </w:tcPr>
    </w:tblStylePr>
    <w:tblStylePr w:type="firstCol">
      <w:rPr>
        <w:color w:val="FFFFFF" w:themeColor="background1"/>
      </w:rPr>
      <w:tblPr/>
      <w:tcPr>
        <w:shd w:val="clear" w:color="auto" w:fill="88AAA6" w:themeFill="accent1" w:themeFillShade="BF"/>
      </w:tcPr>
    </w:tblStylePr>
    <w:tblStylePr w:type="lastCol">
      <w:rPr>
        <w:color w:val="FFFFFF" w:themeColor="background1"/>
      </w:rPr>
      <w:tblPr/>
      <w:tcPr>
        <w:shd w:val="clear" w:color="auto" w:fill="88AAA6" w:themeFill="accent1" w:themeFillShade="BF"/>
      </w:tcPr>
    </w:tblStylePr>
    <w:tblStylePr w:type="band1Vert">
      <w:tblPr/>
      <w:tcPr>
        <w:shd w:val="clear" w:color="auto" w:fill="E1EAE9" w:themeFill="accent1" w:themeFillTint="7F"/>
      </w:tcPr>
    </w:tblStylePr>
    <w:tblStylePr w:type="band1Horz">
      <w:tblPr/>
      <w:tcPr>
        <w:shd w:val="clear" w:color="auto" w:fill="E1EAE9" w:themeFill="accent1" w:themeFillTint="7F"/>
      </w:tcPr>
    </w:tblStylePr>
  </w:style>
  <w:style w:type="table" w:styleId="ColorfulGrid-Accent2">
    <w:name w:val="Colorful Grid Accent 2"/>
    <w:basedOn w:val="TableNormal"/>
    <w:uiPriority w:val="99"/>
    <w:semiHidden/>
    <w:unhideWhenUsed/>
    <w:rsid w:val="00911DE3"/>
    <w:pPr>
      <w:spacing w:line="240" w:lineRule="auto"/>
    </w:pPr>
    <w:rPr>
      <w:color w:val="303030" w:themeColor="text1"/>
    </w:rPr>
    <w:tblPr>
      <w:tblStyleRowBandSize w:val="1"/>
      <w:tblStyleColBandSize w:val="1"/>
      <w:tblBorders>
        <w:insideH w:val="single" w:sz="4" w:space="0" w:color="FFFFFF" w:themeColor="background1"/>
      </w:tblBorders>
    </w:tblPr>
    <w:tcPr>
      <w:shd w:val="clear" w:color="auto" w:fill="E6EDED" w:themeFill="accent2" w:themeFillTint="33"/>
    </w:tcPr>
    <w:tblStylePr w:type="firstRow">
      <w:rPr>
        <w:b/>
        <w:bCs/>
      </w:rPr>
      <w:tblPr/>
      <w:tcPr>
        <w:shd w:val="clear" w:color="auto" w:fill="CEDCDB" w:themeFill="accent2" w:themeFillTint="66"/>
      </w:tcPr>
    </w:tblStylePr>
    <w:tblStylePr w:type="lastRow">
      <w:rPr>
        <w:b/>
        <w:bCs/>
        <w:color w:val="303030" w:themeColor="text1"/>
      </w:rPr>
      <w:tblPr/>
      <w:tcPr>
        <w:shd w:val="clear" w:color="auto" w:fill="CEDCDB" w:themeFill="accent2" w:themeFillTint="66"/>
      </w:tcPr>
    </w:tblStylePr>
    <w:tblStylePr w:type="firstCol">
      <w:rPr>
        <w:color w:val="FFFFFF" w:themeColor="background1"/>
      </w:rPr>
      <w:tblPr/>
      <w:tcPr>
        <w:shd w:val="clear" w:color="auto" w:fill="5E8481" w:themeFill="accent2" w:themeFillShade="BF"/>
      </w:tcPr>
    </w:tblStylePr>
    <w:tblStylePr w:type="lastCol">
      <w:rPr>
        <w:color w:val="FFFFFF" w:themeColor="background1"/>
      </w:rPr>
      <w:tblPr/>
      <w:tcPr>
        <w:shd w:val="clear" w:color="auto" w:fill="5E8481" w:themeFill="accent2" w:themeFillShade="BF"/>
      </w:tcPr>
    </w:tblStylePr>
    <w:tblStylePr w:type="band1Vert">
      <w:tblPr/>
      <w:tcPr>
        <w:shd w:val="clear" w:color="auto" w:fill="C2D4D2" w:themeFill="accent2" w:themeFillTint="7F"/>
      </w:tcPr>
    </w:tblStylePr>
    <w:tblStylePr w:type="band1Horz">
      <w:tblPr/>
      <w:tcPr>
        <w:shd w:val="clear" w:color="auto" w:fill="C2D4D2" w:themeFill="accent2" w:themeFillTint="7F"/>
      </w:tcPr>
    </w:tblStylePr>
  </w:style>
  <w:style w:type="table" w:styleId="ColorfulGrid-Accent3">
    <w:name w:val="Colorful Grid Accent 3"/>
    <w:basedOn w:val="TableNormal"/>
    <w:uiPriority w:val="99"/>
    <w:semiHidden/>
    <w:unhideWhenUsed/>
    <w:rsid w:val="00911DE3"/>
    <w:pPr>
      <w:spacing w:line="240" w:lineRule="auto"/>
    </w:pPr>
    <w:rPr>
      <w:color w:val="303030" w:themeColor="text1"/>
    </w:rPr>
    <w:tblPr>
      <w:tblStyleRowBandSize w:val="1"/>
      <w:tblStyleColBandSize w:val="1"/>
      <w:tblBorders>
        <w:insideH w:val="single" w:sz="4" w:space="0" w:color="FFFFFF" w:themeColor="background1"/>
      </w:tblBorders>
    </w:tblPr>
    <w:tcPr>
      <w:shd w:val="clear" w:color="auto" w:fill="DEE9E8" w:themeFill="accent3" w:themeFillTint="33"/>
    </w:tcPr>
    <w:tblStylePr w:type="firstRow">
      <w:rPr>
        <w:b/>
        <w:bCs/>
      </w:rPr>
      <w:tblPr/>
      <w:tcPr>
        <w:shd w:val="clear" w:color="auto" w:fill="BDD3D1" w:themeFill="accent3" w:themeFillTint="66"/>
      </w:tcPr>
    </w:tblStylePr>
    <w:tblStylePr w:type="lastRow">
      <w:rPr>
        <w:b/>
        <w:bCs/>
        <w:color w:val="303030" w:themeColor="text1"/>
      </w:rPr>
      <w:tblPr/>
      <w:tcPr>
        <w:shd w:val="clear" w:color="auto" w:fill="BDD3D1" w:themeFill="accent3" w:themeFillTint="66"/>
      </w:tcPr>
    </w:tblStylePr>
    <w:tblStylePr w:type="firstCol">
      <w:rPr>
        <w:color w:val="FFFFFF" w:themeColor="background1"/>
      </w:rPr>
      <w:tblPr/>
      <w:tcPr>
        <w:shd w:val="clear" w:color="auto" w:fill="466966" w:themeFill="accent3" w:themeFillShade="BF"/>
      </w:tcPr>
    </w:tblStylePr>
    <w:tblStylePr w:type="lastCol">
      <w:rPr>
        <w:color w:val="FFFFFF" w:themeColor="background1"/>
      </w:rPr>
      <w:tblPr/>
      <w:tcPr>
        <w:shd w:val="clear" w:color="auto" w:fill="466966" w:themeFill="accent3" w:themeFillShade="BF"/>
      </w:tcPr>
    </w:tblStylePr>
    <w:tblStylePr w:type="band1Vert">
      <w:tblPr/>
      <w:tcPr>
        <w:shd w:val="clear" w:color="auto" w:fill="ACC8C5" w:themeFill="accent3" w:themeFillTint="7F"/>
      </w:tcPr>
    </w:tblStylePr>
    <w:tblStylePr w:type="band1Horz">
      <w:tblPr/>
      <w:tcPr>
        <w:shd w:val="clear" w:color="auto" w:fill="ACC8C5" w:themeFill="accent3" w:themeFillTint="7F"/>
      </w:tcPr>
    </w:tblStylePr>
  </w:style>
  <w:style w:type="table" w:styleId="ColorfulGrid-Accent4">
    <w:name w:val="Colorful Grid Accent 4"/>
    <w:basedOn w:val="TableNormal"/>
    <w:uiPriority w:val="99"/>
    <w:semiHidden/>
    <w:unhideWhenUsed/>
    <w:rsid w:val="00911DE3"/>
    <w:pPr>
      <w:spacing w:line="240" w:lineRule="auto"/>
    </w:pPr>
    <w:rPr>
      <w:color w:val="303030" w:themeColor="text1"/>
    </w:rPr>
    <w:tblPr>
      <w:tblStyleRowBandSize w:val="1"/>
      <w:tblStyleColBandSize w:val="1"/>
      <w:tblBorders>
        <w:insideH w:val="single" w:sz="4" w:space="0" w:color="FFFFFF" w:themeColor="background1"/>
      </w:tblBorders>
    </w:tblPr>
    <w:tcPr>
      <w:shd w:val="clear" w:color="auto" w:fill="D0E8E6" w:themeFill="accent4" w:themeFillTint="33"/>
    </w:tcPr>
    <w:tblStylePr w:type="firstRow">
      <w:rPr>
        <w:b/>
        <w:bCs/>
      </w:rPr>
      <w:tblPr/>
      <w:tcPr>
        <w:shd w:val="clear" w:color="auto" w:fill="A2D2CE" w:themeFill="accent4" w:themeFillTint="66"/>
      </w:tcPr>
    </w:tblStylePr>
    <w:tblStylePr w:type="lastRow">
      <w:rPr>
        <w:b/>
        <w:bCs/>
        <w:color w:val="303030" w:themeColor="text1"/>
      </w:rPr>
      <w:tblPr/>
      <w:tcPr>
        <w:shd w:val="clear" w:color="auto" w:fill="A2D2CE" w:themeFill="accent4" w:themeFillTint="66"/>
      </w:tcPr>
    </w:tblStylePr>
    <w:tblStylePr w:type="firstCol">
      <w:rPr>
        <w:color w:val="FFFFFF" w:themeColor="background1"/>
      </w:rPr>
      <w:tblPr/>
      <w:tcPr>
        <w:shd w:val="clear" w:color="auto" w:fill="285350" w:themeFill="accent4" w:themeFillShade="BF"/>
      </w:tcPr>
    </w:tblStylePr>
    <w:tblStylePr w:type="lastCol">
      <w:rPr>
        <w:color w:val="FFFFFF" w:themeColor="background1"/>
      </w:rPr>
      <w:tblPr/>
      <w:tcPr>
        <w:shd w:val="clear" w:color="auto" w:fill="285350" w:themeFill="accent4" w:themeFillShade="BF"/>
      </w:tcPr>
    </w:tblStylePr>
    <w:tblStylePr w:type="band1Vert">
      <w:tblPr/>
      <w:tcPr>
        <w:shd w:val="clear" w:color="auto" w:fill="8BC7C2" w:themeFill="accent4" w:themeFillTint="7F"/>
      </w:tcPr>
    </w:tblStylePr>
    <w:tblStylePr w:type="band1Horz">
      <w:tblPr/>
      <w:tcPr>
        <w:shd w:val="clear" w:color="auto" w:fill="8BC7C2" w:themeFill="accent4" w:themeFillTint="7F"/>
      </w:tcPr>
    </w:tblStylePr>
  </w:style>
  <w:style w:type="table" w:styleId="ColorfulGrid-Accent5">
    <w:name w:val="Colorful Grid Accent 5"/>
    <w:basedOn w:val="TableNormal"/>
    <w:uiPriority w:val="99"/>
    <w:semiHidden/>
    <w:unhideWhenUsed/>
    <w:rsid w:val="00911DE3"/>
    <w:pPr>
      <w:spacing w:line="240" w:lineRule="auto"/>
    </w:pPr>
    <w:rPr>
      <w:color w:val="303030" w:themeColor="text1"/>
    </w:rPr>
    <w:tblPr>
      <w:tblStyleRowBandSize w:val="1"/>
      <w:tblStyleColBandSize w:val="1"/>
      <w:tblBorders>
        <w:insideH w:val="single" w:sz="4" w:space="0" w:color="FFFFFF" w:themeColor="background1"/>
      </w:tblBorders>
    </w:tblPr>
    <w:tcPr>
      <w:shd w:val="clear" w:color="auto" w:fill="CBE6E4" w:themeFill="accent5" w:themeFillTint="33"/>
    </w:tcPr>
    <w:tblStylePr w:type="firstRow">
      <w:rPr>
        <w:b/>
        <w:bCs/>
      </w:rPr>
      <w:tblPr/>
      <w:tcPr>
        <w:shd w:val="clear" w:color="auto" w:fill="98CEC9" w:themeFill="accent5" w:themeFillTint="66"/>
      </w:tcPr>
    </w:tblStylePr>
    <w:tblStylePr w:type="lastRow">
      <w:rPr>
        <w:b/>
        <w:bCs/>
        <w:color w:val="303030" w:themeColor="text1"/>
      </w:rPr>
      <w:tblPr/>
      <w:tcPr>
        <w:shd w:val="clear" w:color="auto" w:fill="98CEC9" w:themeFill="accent5" w:themeFillTint="66"/>
      </w:tcPr>
    </w:tblStylePr>
    <w:tblStylePr w:type="firstCol">
      <w:rPr>
        <w:color w:val="FFFFFF" w:themeColor="background1"/>
      </w:rPr>
      <w:tblPr/>
      <w:tcPr>
        <w:shd w:val="clear" w:color="auto" w:fill="204340" w:themeFill="accent5" w:themeFillShade="BF"/>
      </w:tcPr>
    </w:tblStylePr>
    <w:tblStylePr w:type="lastCol">
      <w:rPr>
        <w:color w:val="FFFFFF" w:themeColor="background1"/>
      </w:rPr>
      <w:tblPr/>
      <w:tcPr>
        <w:shd w:val="clear" w:color="auto" w:fill="204340" w:themeFill="accent5" w:themeFillShade="BF"/>
      </w:tcPr>
    </w:tblStylePr>
    <w:tblStylePr w:type="band1Vert">
      <w:tblPr/>
      <w:tcPr>
        <w:shd w:val="clear" w:color="auto" w:fill="7FC2BC" w:themeFill="accent5" w:themeFillTint="7F"/>
      </w:tcPr>
    </w:tblStylePr>
    <w:tblStylePr w:type="band1Horz">
      <w:tblPr/>
      <w:tcPr>
        <w:shd w:val="clear" w:color="auto" w:fill="7FC2BC" w:themeFill="accent5" w:themeFillTint="7F"/>
      </w:tcPr>
    </w:tblStylePr>
  </w:style>
  <w:style w:type="table" w:styleId="ColorfulGrid-Accent6">
    <w:name w:val="Colorful Grid Accent 6"/>
    <w:basedOn w:val="TableNormal"/>
    <w:uiPriority w:val="99"/>
    <w:semiHidden/>
    <w:unhideWhenUsed/>
    <w:rsid w:val="00911DE3"/>
    <w:pPr>
      <w:spacing w:line="240" w:lineRule="auto"/>
    </w:pPr>
    <w:rPr>
      <w:color w:val="303030" w:themeColor="text1"/>
    </w:rPr>
    <w:tblPr>
      <w:tblStyleRowBandSize w:val="1"/>
      <w:tblStyleColBandSize w:val="1"/>
      <w:tblBorders>
        <w:insideH w:val="single" w:sz="4" w:space="0" w:color="FFFFFF" w:themeColor="background1"/>
      </w:tblBorders>
    </w:tblPr>
    <w:tcPr>
      <w:shd w:val="clear" w:color="auto" w:fill="DEF2EC" w:themeFill="accent6" w:themeFillTint="33"/>
    </w:tcPr>
    <w:tblStylePr w:type="firstRow">
      <w:rPr>
        <w:b/>
        <w:bCs/>
      </w:rPr>
      <w:tblPr/>
      <w:tcPr>
        <w:shd w:val="clear" w:color="auto" w:fill="BEE6D8" w:themeFill="accent6" w:themeFillTint="66"/>
      </w:tcPr>
    </w:tblStylePr>
    <w:tblStylePr w:type="lastRow">
      <w:rPr>
        <w:b/>
        <w:bCs/>
        <w:color w:val="303030" w:themeColor="text1"/>
      </w:rPr>
      <w:tblPr/>
      <w:tcPr>
        <w:shd w:val="clear" w:color="auto" w:fill="BEE6D8" w:themeFill="accent6" w:themeFillTint="66"/>
      </w:tcPr>
    </w:tblStylePr>
    <w:tblStylePr w:type="firstCol">
      <w:rPr>
        <w:color w:val="FFFFFF" w:themeColor="background1"/>
      </w:rPr>
      <w:tblPr/>
      <w:tcPr>
        <w:shd w:val="clear" w:color="auto" w:fill="3B9A7B" w:themeFill="accent6" w:themeFillShade="BF"/>
      </w:tcPr>
    </w:tblStylePr>
    <w:tblStylePr w:type="lastCol">
      <w:rPr>
        <w:color w:val="FFFFFF" w:themeColor="background1"/>
      </w:rPr>
      <w:tblPr/>
      <w:tcPr>
        <w:shd w:val="clear" w:color="auto" w:fill="3B9A7B" w:themeFill="accent6" w:themeFillShade="BF"/>
      </w:tcPr>
    </w:tblStylePr>
    <w:tblStylePr w:type="band1Vert">
      <w:tblPr/>
      <w:tcPr>
        <w:shd w:val="clear" w:color="auto" w:fill="AEE0CF" w:themeFill="accent6" w:themeFillTint="7F"/>
      </w:tcPr>
    </w:tblStylePr>
    <w:tblStylePr w:type="band1Horz">
      <w:tblPr/>
      <w:tcPr>
        <w:shd w:val="clear" w:color="auto" w:fill="AEE0CF" w:themeFill="accent6" w:themeFillTint="7F"/>
      </w:tcPr>
    </w:tblStylePr>
  </w:style>
  <w:style w:type="table" w:styleId="ColorfulList">
    <w:name w:val="Colorful List"/>
    <w:basedOn w:val="TableNormal"/>
    <w:uiPriority w:val="99"/>
    <w:semiHidden/>
    <w:unhideWhenUsed/>
    <w:rsid w:val="00911DE3"/>
    <w:pPr>
      <w:spacing w:line="240" w:lineRule="auto"/>
    </w:pPr>
    <w:rPr>
      <w:color w:val="303030" w:themeColor="text1"/>
    </w:rPr>
    <w:tblPr>
      <w:tblStyleRowBandSize w:val="1"/>
      <w:tblStyleColBandSize w:val="1"/>
    </w:tblPr>
    <w:tcPr>
      <w:shd w:val="clear" w:color="auto" w:fill="EAEAEA" w:themeFill="text1" w:themeFillTint="19"/>
    </w:tcPr>
    <w:tblStylePr w:type="firstRow">
      <w:rPr>
        <w:b/>
        <w:bCs/>
        <w:color w:val="FFFFFF" w:themeColor="background1"/>
      </w:rPr>
      <w:tblPr/>
      <w:tcPr>
        <w:tcBorders>
          <w:bottom w:val="single" w:sz="12" w:space="0" w:color="FFFFFF" w:themeColor="background1"/>
        </w:tcBorders>
        <w:shd w:val="clear" w:color="auto" w:fill="648D89" w:themeFill="accent2" w:themeFillShade="CC"/>
      </w:tcPr>
    </w:tblStylePr>
    <w:tblStylePr w:type="lastRow">
      <w:rPr>
        <w:b/>
        <w:bCs/>
        <w:color w:val="648D89" w:themeColor="accent2" w:themeShade="CC"/>
      </w:rPr>
      <w:tblPr/>
      <w:tcPr>
        <w:tcBorders>
          <w:top w:val="single" w:sz="12" w:space="0" w:color="30303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BCB" w:themeFill="text1" w:themeFillTint="3F"/>
      </w:tcPr>
    </w:tblStylePr>
    <w:tblStylePr w:type="band1Horz">
      <w:tblPr/>
      <w:tcPr>
        <w:shd w:val="clear" w:color="auto" w:fill="D5D5D5" w:themeFill="text1" w:themeFillTint="33"/>
      </w:tcPr>
    </w:tblStylePr>
  </w:style>
  <w:style w:type="table" w:styleId="ColorfulList-Accent1">
    <w:name w:val="Colorful List Accent 1"/>
    <w:basedOn w:val="TableNormal"/>
    <w:uiPriority w:val="99"/>
    <w:semiHidden/>
    <w:unhideWhenUsed/>
    <w:rsid w:val="00911DE3"/>
    <w:pPr>
      <w:spacing w:line="240" w:lineRule="auto"/>
    </w:pPr>
    <w:rPr>
      <w:color w:val="303030" w:themeColor="text1"/>
    </w:rPr>
    <w:tblPr>
      <w:tblStyleRowBandSize w:val="1"/>
      <w:tblStyleColBandSize w:val="1"/>
    </w:tblPr>
    <w:tcPr>
      <w:shd w:val="clear" w:color="auto" w:fill="F9FBFA" w:themeFill="accent1" w:themeFillTint="19"/>
    </w:tcPr>
    <w:tblStylePr w:type="firstRow">
      <w:rPr>
        <w:b/>
        <w:bCs/>
        <w:color w:val="FFFFFF" w:themeColor="background1"/>
      </w:rPr>
      <w:tblPr/>
      <w:tcPr>
        <w:tcBorders>
          <w:bottom w:val="single" w:sz="12" w:space="0" w:color="FFFFFF" w:themeColor="background1"/>
        </w:tcBorders>
        <w:shd w:val="clear" w:color="auto" w:fill="648D89" w:themeFill="accent2" w:themeFillShade="CC"/>
      </w:tcPr>
    </w:tblStylePr>
    <w:tblStylePr w:type="lastRow">
      <w:rPr>
        <w:b/>
        <w:bCs/>
        <w:color w:val="648D89" w:themeColor="accent2" w:themeShade="CC"/>
      </w:rPr>
      <w:tblPr/>
      <w:tcPr>
        <w:tcBorders>
          <w:top w:val="single" w:sz="12" w:space="0" w:color="30303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4F4" w:themeFill="accent1" w:themeFillTint="3F"/>
      </w:tcPr>
    </w:tblStylePr>
    <w:tblStylePr w:type="band1Horz">
      <w:tblPr/>
      <w:tcPr>
        <w:shd w:val="clear" w:color="auto" w:fill="F3F6F6" w:themeFill="accent1" w:themeFillTint="33"/>
      </w:tcPr>
    </w:tblStylePr>
  </w:style>
  <w:style w:type="table" w:styleId="ColorfulList-Accent2">
    <w:name w:val="Colorful List Accent 2"/>
    <w:basedOn w:val="TableNormal"/>
    <w:uiPriority w:val="99"/>
    <w:semiHidden/>
    <w:unhideWhenUsed/>
    <w:rsid w:val="00911DE3"/>
    <w:pPr>
      <w:spacing w:line="240" w:lineRule="auto"/>
    </w:pPr>
    <w:rPr>
      <w:color w:val="303030" w:themeColor="text1"/>
    </w:rPr>
    <w:tblPr>
      <w:tblStyleRowBandSize w:val="1"/>
      <w:tblStyleColBandSize w:val="1"/>
    </w:tblPr>
    <w:tcPr>
      <w:shd w:val="clear" w:color="auto" w:fill="F3F6F6" w:themeFill="accent2" w:themeFillTint="19"/>
    </w:tcPr>
    <w:tblStylePr w:type="firstRow">
      <w:rPr>
        <w:b/>
        <w:bCs/>
        <w:color w:val="FFFFFF" w:themeColor="background1"/>
      </w:rPr>
      <w:tblPr/>
      <w:tcPr>
        <w:tcBorders>
          <w:bottom w:val="single" w:sz="12" w:space="0" w:color="FFFFFF" w:themeColor="background1"/>
        </w:tcBorders>
        <w:shd w:val="clear" w:color="auto" w:fill="648D89" w:themeFill="accent2" w:themeFillShade="CC"/>
      </w:tcPr>
    </w:tblStylePr>
    <w:tblStylePr w:type="lastRow">
      <w:rPr>
        <w:b/>
        <w:bCs/>
        <w:color w:val="648D89" w:themeColor="accent2" w:themeShade="CC"/>
      </w:rPr>
      <w:tblPr/>
      <w:tcPr>
        <w:tcBorders>
          <w:top w:val="single" w:sz="12" w:space="0" w:color="30303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9E8" w:themeFill="accent2" w:themeFillTint="3F"/>
      </w:tcPr>
    </w:tblStylePr>
    <w:tblStylePr w:type="band1Horz">
      <w:tblPr/>
      <w:tcPr>
        <w:shd w:val="clear" w:color="auto" w:fill="E6EDED" w:themeFill="accent2" w:themeFillTint="33"/>
      </w:tcPr>
    </w:tblStylePr>
  </w:style>
  <w:style w:type="table" w:styleId="ColorfulList-Accent3">
    <w:name w:val="Colorful List Accent 3"/>
    <w:basedOn w:val="TableNormal"/>
    <w:uiPriority w:val="99"/>
    <w:semiHidden/>
    <w:unhideWhenUsed/>
    <w:rsid w:val="00911DE3"/>
    <w:pPr>
      <w:spacing w:line="240" w:lineRule="auto"/>
    </w:pPr>
    <w:rPr>
      <w:color w:val="303030" w:themeColor="text1"/>
    </w:rPr>
    <w:tblPr>
      <w:tblStyleRowBandSize w:val="1"/>
      <w:tblStyleColBandSize w:val="1"/>
    </w:tblPr>
    <w:tcPr>
      <w:shd w:val="clear" w:color="auto" w:fill="EEF4F3" w:themeFill="accent3" w:themeFillTint="19"/>
    </w:tcPr>
    <w:tblStylePr w:type="firstRow">
      <w:rPr>
        <w:b/>
        <w:bCs/>
        <w:color w:val="FFFFFF" w:themeColor="background1"/>
      </w:rPr>
      <w:tblPr/>
      <w:tcPr>
        <w:tcBorders>
          <w:bottom w:val="single" w:sz="12" w:space="0" w:color="FFFFFF" w:themeColor="background1"/>
        </w:tcBorders>
        <w:shd w:val="clear" w:color="auto" w:fill="2B5955" w:themeFill="accent4" w:themeFillShade="CC"/>
      </w:tcPr>
    </w:tblStylePr>
    <w:tblStylePr w:type="lastRow">
      <w:rPr>
        <w:b/>
        <w:bCs/>
        <w:color w:val="2B5955" w:themeColor="accent4" w:themeShade="CC"/>
      </w:rPr>
      <w:tblPr/>
      <w:tcPr>
        <w:tcBorders>
          <w:top w:val="single" w:sz="12" w:space="0" w:color="30303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3E2" w:themeFill="accent3" w:themeFillTint="3F"/>
      </w:tcPr>
    </w:tblStylePr>
    <w:tblStylePr w:type="band1Horz">
      <w:tblPr/>
      <w:tcPr>
        <w:shd w:val="clear" w:color="auto" w:fill="DEE9E8" w:themeFill="accent3" w:themeFillTint="33"/>
      </w:tcPr>
    </w:tblStylePr>
  </w:style>
  <w:style w:type="table" w:styleId="ColorfulList-Accent4">
    <w:name w:val="Colorful List Accent 4"/>
    <w:basedOn w:val="TableNormal"/>
    <w:uiPriority w:val="99"/>
    <w:semiHidden/>
    <w:unhideWhenUsed/>
    <w:rsid w:val="00911DE3"/>
    <w:pPr>
      <w:spacing w:line="240" w:lineRule="auto"/>
    </w:pPr>
    <w:rPr>
      <w:color w:val="303030" w:themeColor="text1"/>
    </w:rPr>
    <w:tblPr>
      <w:tblStyleRowBandSize w:val="1"/>
      <w:tblStyleColBandSize w:val="1"/>
    </w:tblPr>
    <w:tcPr>
      <w:shd w:val="clear" w:color="auto" w:fill="E8F4F2" w:themeFill="accent4" w:themeFillTint="19"/>
    </w:tcPr>
    <w:tblStylePr w:type="firstRow">
      <w:rPr>
        <w:b/>
        <w:bCs/>
        <w:color w:val="FFFFFF" w:themeColor="background1"/>
      </w:rPr>
      <w:tblPr/>
      <w:tcPr>
        <w:tcBorders>
          <w:bottom w:val="single" w:sz="12" w:space="0" w:color="FFFFFF" w:themeColor="background1"/>
        </w:tcBorders>
        <w:shd w:val="clear" w:color="auto" w:fill="4B706D" w:themeFill="accent3" w:themeFillShade="CC"/>
      </w:tcPr>
    </w:tblStylePr>
    <w:tblStylePr w:type="lastRow">
      <w:rPr>
        <w:b/>
        <w:bCs/>
        <w:color w:val="4B706D" w:themeColor="accent3" w:themeShade="CC"/>
      </w:rPr>
      <w:tblPr/>
      <w:tcPr>
        <w:tcBorders>
          <w:top w:val="single" w:sz="12" w:space="0" w:color="30303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3E0" w:themeFill="accent4" w:themeFillTint="3F"/>
      </w:tcPr>
    </w:tblStylePr>
    <w:tblStylePr w:type="band1Horz">
      <w:tblPr/>
      <w:tcPr>
        <w:shd w:val="clear" w:color="auto" w:fill="D0E8E6" w:themeFill="accent4" w:themeFillTint="33"/>
      </w:tcPr>
    </w:tblStylePr>
  </w:style>
  <w:style w:type="table" w:styleId="ColorfulList-Accent5">
    <w:name w:val="Colorful List Accent 5"/>
    <w:basedOn w:val="TableNormal"/>
    <w:uiPriority w:val="99"/>
    <w:semiHidden/>
    <w:unhideWhenUsed/>
    <w:rsid w:val="00911DE3"/>
    <w:pPr>
      <w:spacing w:line="240" w:lineRule="auto"/>
    </w:pPr>
    <w:rPr>
      <w:color w:val="303030" w:themeColor="text1"/>
    </w:rPr>
    <w:tblPr>
      <w:tblStyleRowBandSize w:val="1"/>
      <w:tblStyleColBandSize w:val="1"/>
    </w:tblPr>
    <w:tcPr>
      <w:shd w:val="clear" w:color="auto" w:fill="E5F3F2" w:themeFill="accent5" w:themeFillTint="19"/>
    </w:tcPr>
    <w:tblStylePr w:type="firstRow">
      <w:rPr>
        <w:b/>
        <w:bCs/>
        <w:color w:val="FFFFFF" w:themeColor="background1"/>
      </w:rPr>
      <w:tblPr/>
      <w:tcPr>
        <w:tcBorders>
          <w:bottom w:val="single" w:sz="12" w:space="0" w:color="FFFFFF" w:themeColor="background1"/>
        </w:tcBorders>
        <w:shd w:val="clear" w:color="auto" w:fill="3FA583" w:themeFill="accent6" w:themeFillShade="CC"/>
      </w:tcPr>
    </w:tblStylePr>
    <w:tblStylePr w:type="lastRow">
      <w:rPr>
        <w:b/>
        <w:bCs/>
        <w:color w:val="3FA583" w:themeColor="accent6" w:themeShade="CC"/>
      </w:rPr>
      <w:tblPr/>
      <w:tcPr>
        <w:tcBorders>
          <w:top w:val="single" w:sz="12" w:space="0" w:color="30303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E0DD" w:themeFill="accent5" w:themeFillTint="3F"/>
      </w:tcPr>
    </w:tblStylePr>
    <w:tblStylePr w:type="band1Horz">
      <w:tblPr/>
      <w:tcPr>
        <w:shd w:val="clear" w:color="auto" w:fill="CBE6E4" w:themeFill="accent5" w:themeFillTint="33"/>
      </w:tcPr>
    </w:tblStylePr>
  </w:style>
  <w:style w:type="table" w:styleId="ColorfulList-Accent6">
    <w:name w:val="Colorful List Accent 6"/>
    <w:basedOn w:val="TableNormal"/>
    <w:uiPriority w:val="99"/>
    <w:semiHidden/>
    <w:unhideWhenUsed/>
    <w:rsid w:val="00911DE3"/>
    <w:pPr>
      <w:spacing w:line="240" w:lineRule="auto"/>
    </w:pPr>
    <w:rPr>
      <w:color w:val="303030" w:themeColor="text1"/>
    </w:rPr>
    <w:tblPr>
      <w:tblStyleRowBandSize w:val="1"/>
      <w:tblStyleColBandSize w:val="1"/>
    </w:tblPr>
    <w:tcPr>
      <w:shd w:val="clear" w:color="auto" w:fill="EFF9F5" w:themeFill="accent6" w:themeFillTint="19"/>
    </w:tcPr>
    <w:tblStylePr w:type="firstRow">
      <w:rPr>
        <w:b/>
        <w:bCs/>
        <w:color w:val="FFFFFF" w:themeColor="background1"/>
      </w:rPr>
      <w:tblPr/>
      <w:tcPr>
        <w:tcBorders>
          <w:bottom w:val="single" w:sz="12" w:space="0" w:color="FFFFFF" w:themeColor="background1"/>
        </w:tcBorders>
        <w:shd w:val="clear" w:color="auto" w:fill="224744" w:themeFill="accent5" w:themeFillShade="CC"/>
      </w:tcPr>
    </w:tblStylePr>
    <w:tblStylePr w:type="lastRow">
      <w:rPr>
        <w:b/>
        <w:bCs/>
        <w:color w:val="224744" w:themeColor="accent5" w:themeShade="CC"/>
      </w:rPr>
      <w:tblPr/>
      <w:tcPr>
        <w:tcBorders>
          <w:top w:val="single" w:sz="12" w:space="0" w:color="30303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FE7" w:themeFill="accent6" w:themeFillTint="3F"/>
      </w:tcPr>
    </w:tblStylePr>
    <w:tblStylePr w:type="band1Horz">
      <w:tblPr/>
      <w:tcPr>
        <w:shd w:val="clear" w:color="auto" w:fill="DEF2EC" w:themeFill="accent6" w:themeFillTint="33"/>
      </w:tcPr>
    </w:tblStylePr>
  </w:style>
  <w:style w:type="table" w:styleId="ColorfulShading">
    <w:name w:val="Colorful Shading"/>
    <w:basedOn w:val="TableNormal"/>
    <w:uiPriority w:val="99"/>
    <w:semiHidden/>
    <w:unhideWhenUsed/>
    <w:rsid w:val="00911DE3"/>
    <w:pPr>
      <w:spacing w:line="240" w:lineRule="auto"/>
    </w:pPr>
    <w:rPr>
      <w:color w:val="303030" w:themeColor="text1"/>
    </w:rPr>
    <w:tblPr>
      <w:tblStyleRowBandSize w:val="1"/>
      <w:tblStyleColBandSize w:val="1"/>
      <w:tblBorders>
        <w:top w:val="single" w:sz="24" w:space="0" w:color="86A9A6" w:themeColor="accent2"/>
        <w:left w:val="single" w:sz="4" w:space="0" w:color="303030" w:themeColor="text1"/>
        <w:bottom w:val="single" w:sz="4" w:space="0" w:color="303030" w:themeColor="text1"/>
        <w:right w:val="single" w:sz="4" w:space="0" w:color="303030" w:themeColor="text1"/>
        <w:insideH w:val="single" w:sz="4" w:space="0" w:color="FFFFFF" w:themeColor="background1"/>
        <w:insideV w:val="single" w:sz="4" w:space="0" w:color="FFFFFF" w:themeColor="background1"/>
      </w:tblBorders>
    </w:tblPr>
    <w:tcPr>
      <w:shd w:val="clear" w:color="auto" w:fill="EAEAEA" w:themeFill="text1" w:themeFillTint="19"/>
    </w:tcPr>
    <w:tblStylePr w:type="firstRow">
      <w:rPr>
        <w:b/>
        <w:bCs/>
      </w:rPr>
      <w:tblPr/>
      <w:tcPr>
        <w:tcBorders>
          <w:top w:val="nil"/>
          <w:left w:val="nil"/>
          <w:bottom w:val="single" w:sz="24" w:space="0" w:color="86A9A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1C1C" w:themeFill="text1" w:themeFillShade="99"/>
      </w:tcPr>
    </w:tblStylePr>
    <w:tblStylePr w:type="firstCol">
      <w:rPr>
        <w:color w:val="FFFFFF" w:themeColor="background1"/>
      </w:rPr>
      <w:tblPr/>
      <w:tcPr>
        <w:tcBorders>
          <w:top w:val="nil"/>
          <w:left w:val="nil"/>
          <w:bottom w:val="nil"/>
          <w:right w:val="nil"/>
          <w:insideH w:val="single" w:sz="4" w:space="0" w:color="1C1C1C" w:themeColor="text1" w:themeShade="99"/>
          <w:insideV w:val="nil"/>
        </w:tcBorders>
        <w:shd w:val="clear" w:color="auto" w:fill="1C1C1C"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32323" w:themeFill="text1" w:themeFillShade="BF"/>
      </w:tcPr>
    </w:tblStylePr>
    <w:tblStylePr w:type="band1Vert">
      <w:tblPr/>
      <w:tcPr>
        <w:shd w:val="clear" w:color="auto" w:fill="ACACAC" w:themeFill="text1" w:themeFillTint="66"/>
      </w:tcPr>
    </w:tblStylePr>
    <w:tblStylePr w:type="band1Horz">
      <w:tblPr/>
      <w:tcPr>
        <w:shd w:val="clear" w:color="auto" w:fill="979797" w:themeFill="text1" w:themeFillTint="7F"/>
      </w:tcPr>
    </w:tblStylePr>
    <w:tblStylePr w:type="neCell">
      <w:rPr>
        <w:color w:val="303030" w:themeColor="text1"/>
      </w:rPr>
    </w:tblStylePr>
    <w:tblStylePr w:type="nwCell">
      <w:rPr>
        <w:color w:val="303030" w:themeColor="text1"/>
      </w:rPr>
    </w:tblStylePr>
  </w:style>
  <w:style w:type="table" w:styleId="ColorfulShading-Accent1">
    <w:name w:val="Colorful Shading Accent 1"/>
    <w:basedOn w:val="TableNormal"/>
    <w:uiPriority w:val="99"/>
    <w:semiHidden/>
    <w:unhideWhenUsed/>
    <w:rsid w:val="00911DE3"/>
    <w:pPr>
      <w:spacing w:line="240" w:lineRule="auto"/>
    </w:pPr>
    <w:rPr>
      <w:color w:val="303030" w:themeColor="text1"/>
    </w:rPr>
    <w:tblPr>
      <w:tblStyleRowBandSize w:val="1"/>
      <w:tblStyleColBandSize w:val="1"/>
      <w:tblBorders>
        <w:top w:val="single" w:sz="24" w:space="0" w:color="86A9A6" w:themeColor="accent2"/>
        <w:left w:val="single" w:sz="4" w:space="0" w:color="C4D5D3" w:themeColor="accent1"/>
        <w:bottom w:val="single" w:sz="4" w:space="0" w:color="C4D5D3" w:themeColor="accent1"/>
        <w:right w:val="single" w:sz="4" w:space="0" w:color="C4D5D3" w:themeColor="accent1"/>
        <w:insideH w:val="single" w:sz="4" w:space="0" w:color="FFFFFF" w:themeColor="background1"/>
        <w:insideV w:val="single" w:sz="4" w:space="0" w:color="FFFFFF" w:themeColor="background1"/>
      </w:tblBorders>
    </w:tblPr>
    <w:tcPr>
      <w:shd w:val="clear" w:color="auto" w:fill="F9FBFA" w:themeFill="accent1" w:themeFillTint="19"/>
    </w:tcPr>
    <w:tblStylePr w:type="firstRow">
      <w:rPr>
        <w:b/>
        <w:bCs/>
      </w:rPr>
      <w:tblPr/>
      <w:tcPr>
        <w:tcBorders>
          <w:top w:val="nil"/>
          <w:left w:val="nil"/>
          <w:bottom w:val="single" w:sz="24" w:space="0" w:color="86A9A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8F8A" w:themeFill="accent1" w:themeFillShade="99"/>
      </w:tcPr>
    </w:tblStylePr>
    <w:tblStylePr w:type="firstCol">
      <w:rPr>
        <w:color w:val="FFFFFF" w:themeColor="background1"/>
      </w:rPr>
      <w:tblPr/>
      <w:tcPr>
        <w:tcBorders>
          <w:top w:val="nil"/>
          <w:left w:val="nil"/>
          <w:bottom w:val="nil"/>
          <w:right w:val="nil"/>
          <w:insideH w:val="single" w:sz="4" w:space="0" w:color="668F8A" w:themeColor="accent1" w:themeShade="99"/>
          <w:insideV w:val="nil"/>
        </w:tcBorders>
        <w:shd w:val="clear" w:color="auto" w:fill="668F8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68F8A" w:themeFill="accent1" w:themeFillShade="99"/>
      </w:tcPr>
    </w:tblStylePr>
    <w:tblStylePr w:type="band1Vert">
      <w:tblPr/>
      <w:tcPr>
        <w:shd w:val="clear" w:color="auto" w:fill="E7EEED" w:themeFill="accent1" w:themeFillTint="66"/>
      </w:tcPr>
    </w:tblStylePr>
    <w:tblStylePr w:type="band1Horz">
      <w:tblPr/>
      <w:tcPr>
        <w:shd w:val="clear" w:color="auto" w:fill="E1EAE9" w:themeFill="accent1" w:themeFillTint="7F"/>
      </w:tcPr>
    </w:tblStylePr>
    <w:tblStylePr w:type="neCell">
      <w:rPr>
        <w:color w:val="303030" w:themeColor="text1"/>
      </w:rPr>
    </w:tblStylePr>
    <w:tblStylePr w:type="nwCell">
      <w:rPr>
        <w:color w:val="303030" w:themeColor="text1"/>
      </w:rPr>
    </w:tblStylePr>
  </w:style>
  <w:style w:type="table" w:styleId="ColorfulShading-Accent2">
    <w:name w:val="Colorful Shading Accent 2"/>
    <w:basedOn w:val="TableNormal"/>
    <w:uiPriority w:val="99"/>
    <w:semiHidden/>
    <w:unhideWhenUsed/>
    <w:rsid w:val="00911DE3"/>
    <w:pPr>
      <w:spacing w:line="240" w:lineRule="auto"/>
    </w:pPr>
    <w:rPr>
      <w:color w:val="303030" w:themeColor="text1"/>
    </w:rPr>
    <w:tblPr>
      <w:tblStyleRowBandSize w:val="1"/>
      <w:tblStyleColBandSize w:val="1"/>
      <w:tblBorders>
        <w:top w:val="single" w:sz="24" w:space="0" w:color="86A9A6" w:themeColor="accent2"/>
        <w:left w:val="single" w:sz="4" w:space="0" w:color="86A9A6" w:themeColor="accent2"/>
        <w:bottom w:val="single" w:sz="4" w:space="0" w:color="86A9A6" w:themeColor="accent2"/>
        <w:right w:val="single" w:sz="4" w:space="0" w:color="86A9A6" w:themeColor="accent2"/>
        <w:insideH w:val="single" w:sz="4" w:space="0" w:color="FFFFFF" w:themeColor="background1"/>
        <w:insideV w:val="single" w:sz="4" w:space="0" w:color="FFFFFF" w:themeColor="background1"/>
      </w:tblBorders>
    </w:tblPr>
    <w:tcPr>
      <w:shd w:val="clear" w:color="auto" w:fill="F3F6F6" w:themeFill="accent2" w:themeFillTint="19"/>
    </w:tcPr>
    <w:tblStylePr w:type="firstRow">
      <w:rPr>
        <w:b/>
        <w:bCs/>
      </w:rPr>
      <w:tblPr/>
      <w:tcPr>
        <w:tcBorders>
          <w:top w:val="nil"/>
          <w:left w:val="nil"/>
          <w:bottom w:val="single" w:sz="24" w:space="0" w:color="86A9A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6A67" w:themeFill="accent2" w:themeFillShade="99"/>
      </w:tcPr>
    </w:tblStylePr>
    <w:tblStylePr w:type="firstCol">
      <w:rPr>
        <w:color w:val="FFFFFF" w:themeColor="background1"/>
      </w:rPr>
      <w:tblPr/>
      <w:tcPr>
        <w:tcBorders>
          <w:top w:val="nil"/>
          <w:left w:val="nil"/>
          <w:bottom w:val="nil"/>
          <w:right w:val="nil"/>
          <w:insideH w:val="single" w:sz="4" w:space="0" w:color="4B6A67" w:themeColor="accent2" w:themeShade="99"/>
          <w:insideV w:val="nil"/>
        </w:tcBorders>
        <w:shd w:val="clear" w:color="auto" w:fill="4B6A6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B6A67" w:themeFill="accent2" w:themeFillShade="99"/>
      </w:tcPr>
    </w:tblStylePr>
    <w:tblStylePr w:type="band1Vert">
      <w:tblPr/>
      <w:tcPr>
        <w:shd w:val="clear" w:color="auto" w:fill="CEDCDB" w:themeFill="accent2" w:themeFillTint="66"/>
      </w:tcPr>
    </w:tblStylePr>
    <w:tblStylePr w:type="band1Horz">
      <w:tblPr/>
      <w:tcPr>
        <w:shd w:val="clear" w:color="auto" w:fill="C2D4D2" w:themeFill="accent2" w:themeFillTint="7F"/>
      </w:tcPr>
    </w:tblStylePr>
    <w:tblStylePr w:type="neCell">
      <w:rPr>
        <w:color w:val="303030" w:themeColor="text1"/>
      </w:rPr>
    </w:tblStylePr>
    <w:tblStylePr w:type="nwCell">
      <w:rPr>
        <w:color w:val="303030" w:themeColor="text1"/>
      </w:rPr>
    </w:tblStylePr>
  </w:style>
  <w:style w:type="table" w:styleId="ColorfulShading-Accent3">
    <w:name w:val="Colorful Shading Accent 3"/>
    <w:basedOn w:val="TableNormal"/>
    <w:uiPriority w:val="99"/>
    <w:semiHidden/>
    <w:unhideWhenUsed/>
    <w:rsid w:val="00911DE3"/>
    <w:pPr>
      <w:spacing w:line="240" w:lineRule="auto"/>
    </w:pPr>
    <w:rPr>
      <w:color w:val="303030" w:themeColor="text1"/>
    </w:rPr>
    <w:tblPr>
      <w:tblStyleRowBandSize w:val="1"/>
      <w:tblStyleColBandSize w:val="1"/>
      <w:tblBorders>
        <w:top w:val="single" w:sz="24" w:space="0" w:color="36706B" w:themeColor="accent4"/>
        <w:left w:val="single" w:sz="4" w:space="0" w:color="5E8D89" w:themeColor="accent3"/>
        <w:bottom w:val="single" w:sz="4" w:space="0" w:color="5E8D89" w:themeColor="accent3"/>
        <w:right w:val="single" w:sz="4" w:space="0" w:color="5E8D89" w:themeColor="accent3"/>
        <w:insideH w:val="single" w:sz="4" w:space="0" w:color="FFFFFF" w:themeColor="background1"/>
        <w:insideV w:val="single" w:sz="4" w:space="0" w:color="FFFFFF" w:themeColor="background1"/>
      </w:tblBorders>
    </w:tblPr>
    <w:tcPr>
      <w:shd w:val="clear" w:color="auto" w:fill="EEF4F3" w:themeFill="accent3" w:themeFillTint="19"/>
    </w:tcPr>
    <w:tblStylePr w:type="firstRow">
      <w:rPr>
        <w:b/>
        <w:bCs/>
      </w:rPr>
      <w:tblPr/>
      <w:tcPr>
        <w:tcBorders>
          <w:top w:val="nil"/>
          <w:left w:val="nil"/>
          <w:bottom w:val="single" w:sz="24" w:space="0" w:color="36706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85452" w:themeFill="accent3" w:themeFillShade="99"/>
      </w:tcPr>
    </w:tblStylePr>
    <w:tblStylePr w:type="firstCol">
      <w:rPr>
        <w:color w:val="FFFFFF" w:themeColor="background1"/>
      </w:rPr>
      <w:tblPr/>
      <w:tcPr>
        <w:tcBorders>
          <w:top w:val="nil"/>
          <w:left w:val="nil"/>
          <w:bottom w:val="nil"/>
          <w:right w:val="nil"/>
          <w:insideH w:val="single" w:sz="4" w:space="0" w:color="385452" w:themeColor="accent3" w:themeShade="99"/>
          <w:insideV w:val="nil"/>
        </w:tcBorders>
        <w:shd w:val="clear" w:color="auto" w:fill="38545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85452" w:themeFill="accent3" w:themeFillShade="99"/>
      </w:tcPr>
    </w:tblStylePr>
    <w:tblStylePr w:type="band1Vert">
      <w:tblPr/>
      <w:tcPr>
        <w:shd w:val="clear" w:color="auto" w:fill="BDD3D1" w:themeFill="accent3" w:themeFillTint="66"/>
      </w:tcPr>
    </w:tblStylePr>
    <w:tblStylePr w:type="band1Horz">
      <w:tblPr/>
      <w:tcPr>
        <w:shd w:val="clear" w:color="auto" w:fill="ACC8C5" w:themeFill="accent3" w:themeFillTint="7F"/>
      </w:tcPr>
    </w:tblStylePr>
  </w:style>
  <w:style w:type="table" w:styleId="ColorfulShading-Accent4">
    <w:name w:val="Colorful Shading Accent 4"/>
    <w:basedOn w:val="TableNormal"/>
    <w:uiPriority w:val="99"/>
    <w:semiHidden/>
    <w:unhideWhenUsed/>
    <w:rsid w:val="00911DE3"/>
    <w:pPr>
      <w:spacing w:line="240" w:lineRule="auto"/>
    </w:pPr>
    <w:rPr>
      <w:color w:val="303030" w:themeColor="text1"/>
    </w:rPr>
    <w:tblPr>
      <w:tblStyleRowBandSize w:val="1"/>
      <w:tblStyleColBandSize w:val="1"/>
      <w:tblBorders>
        <w:top w:val="single" w:sz="24" w:space="0" w:color="5E8D89" w:themeColor="accent3"/>
        <w:left w:val="single" w:sz="4" w:space="0" w:color="36706B" w:themeColor="accent4"/>
        <w:bottom w:val="single" w:sz="4" w:space="0" w:color="36706B" w:themeColor="accent4"/>
        <w:right w:val="single" w:sz="4" w:space="0" w:color="36706B" w:themeColor="accent4"/>
        <w:insideH w:val="single" w:sz="4" w:space="0" w:color="FFFFFF" w:themeColor="background1"/>
        <w:insideV w:val="single" w:sz="4" w:space="0" w:color="FFFFFF" w:themeColor="background1"/>
      </w:tblBorders>
    </w:tblPr>
    <w:tcPr>
      <w:shd w:val="clear" w:color="auto" w:fill="E8F4F2" w:themeFill="accent4" w:themeFillTint="19"/>
    </w:tcPr>
    <w:tblStylePr w:type="firstRow">
      <w:rPr>
        <w:b/>
        <w:bCs/>
      </w:rPr>
      <w:tblPr/>
      <w:tcPr>
        <w:tcBorders>
          <w:top w:val="nil"/>
          <w:left w:val="nil"/>
          <w:bottom w:val="single" w:sz="24" w:space="0" w:color="5E8D8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4340" w:themeFill="accent4" w:themeFillShade="99"/>
      </w:tcPr>
    </w:tblStylePr>
    <w:tblStylePr w:type="firstCol">
      <w:rPr>
        <w:color w:val="FFFFFF" w:themeColor="background1"/>
      </w:rPr>
      <w:tblPr/>
      <w:tcPr>
        <w:tcBorders>
          <w:top w:val="nil"/>
          <w:left w:val="nil"/>
          <w:bottom w:val="nil"/>
          <w:right w:val="nil"/>
          <w:insideH w:val="single" w:sz="4" w:space="0" w:color="204340" w:themeColor="accent4" w:themeShade="99"/>
          <w:insideV w:val="nil"/>
        </w:tcBorders>
        <w:shd w:val="clear" w:color="auto" w:fill="20434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04340" w:themeFill="accent4" w:themeFillShade="99"/>
      </w:tcPr>
    </w:tblStylePr>
    <w:tblStylePr w:type="band1Vert">
      <w:tblPr/>
      <w:tcPr>
        <w:shd w:val="clear" w:color="auto" w:fill="A2D2CE" w:themeFill="accent4" w:themeFillTint="66"/>
      </w:tcPr>
    </w:tblStylePr>
    <w:tblStylePr w:type="band1Horz">
      <w:tblPr/>
      <w:tcPr>
        <w:shd w:val="clear" w:color="auto" w:fill="8BC7C2" w:themeFill="accent4" w:themeFillTint="7F"/>
      </w:tcPr>
    </w:tblStylePr>
    <w:tblStylePr w:type="neCell">
      <w:rPr>
        <w:color w:val="303030" w:themeColor="text1"/>
      </w:rPr>
    </w:tblStylePr>
    <w:tblStylePr w:type="nwCell">
      <w:rPr>
        <w:color w:val="303030" w:themeColor="text1"/>
      </w:rPr>
    </w:tblStylePr>
  </w:style>
  <w:style w:type="table" w:styleId="ColorfulShading-Accent5">
    <w:name w:val="Colorful Shading Accent 5"/>
    <w:basedOn w:val="TableNormal"/>
    <w:uiPriority w:val="99"/>
    <w:semiHidden/>
    <w:unhideWhenUsed/>
    <w:rsid w:val="00911DE3"/>
    <w:pPr>
      <w:spacing w:line="240" w:lineRule="auto"/>
    </w:pPr>
    <w:rPr>
      <w:color w:val="303030" w:themeColor="text1"/>
    </w:rPr>
    <w:tblPr>
      <w:tblStyleRowBandSize w:val="1"/>
      <w:tblStyleColBandSize w:val="1"/>
      <w:tblBorders>
        <w:top w:val="single" w:sz="24" w:space="0" w:color="5EC1A0" w:themeColor="accent6"/>
        <w:left w:val="single" w:sz="4" w:space="0" w:color="2B5A56" w:themeColor="accent5"/>
        <w:bottom w:val="single" w:sz="4" w:space="0" w:color="2B5A56" w:themeColor="accent5"/>
        <w:right w:val="single" w:sz="4" w:space="0" w:color="2B5A56" w:themeColor="accent5"/>
        <w:insideH w:val="single" w:sz="4" w:space="0" w:color="FFFFFF" w:themeColor="background1"/>
        <w:insideV w:val="single" w:sz="4" w:space="0" w:color="FFFFFF" w:themeColor="background1"/>
      </w:tblBorders>
    </w:tblPr>
    <w:tcPr>
      <w:shd w:val="clear" w:color="auto" w:fill="E5F3F2" w:themeFill="accent5" w:themeFillTint="19"/>
    </w:tcPr>
    <w:tblStylePr w:type="firstRow">
      <w:rPr>
        <w:b/>
        <w:bCs/>
      </w:rPr>
      <w:tblPr/>
      <w:tcPr>
        <w:tcBorders>
          <w:top w:val="nil"/>
          <w:left w:val="nil"/>
          <w:bottom w:val="single" w:sz="24" w:space="0" w:color="5EC1A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533" w:themeFill="accent5" w:themeFillShade="99"/>
      </w:tcPr>
    </w:tblStylePr>
    <w:tblStylePr w:type="firstCol">
      <w:rPr>
        <w:color w:val="FFFFFF" w:themeColor="background1"/>
      </w:rPr>
      <w:tblPr/>
      <w:tcPr>
        <w:tcBorders>
          <w:top w:val="nil"/>
          <w:left w:val="nil"/>
          <w:bottom w:val="nil"/>
          <w:right w:val="nil"/>
          <w:insideH w:val="single" w:sz="4" w:space="0" w:color="193533" w:themeColor="accent5" w:themeShade="99"/>
          <w:insideV w:val="nil"/>
        </w:tcBorders>
        <w:shd w:val="clear" w:color="auto" w:fill="19353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3533" w:themeFill="accent5" w:themeFillShade="99"/>
      </w:tcPr>
    </w:tblStylePr>
    <w:tblStylePr w:type="band1Vert">
      <w:tblPr/>
      <w:tcPr>
        <w:shd w:val="clear" w:color="auto" w:fill="98CEC9" w:themeFill="accent5" w:themeFillTint="66"/>
      </w:tcPr>
    </w:tblStylePr>
    <w:tblStylePr w:type="band1Horz">
      <w:tblPr/>
      <w:tcPr>
        <w:shd w:val="clear" w:color="auto" w:fill="7FC2BC" w:themeFill="accent5" w:themeFillTint="7F"/>
      </w:tcPr>
    </w:tblStylePr>
    <w:tblStylePr w:type="neCell">
      <w:rPr>
        <w:color w:val="303030" w:themeColor="text1"/>
      </w:rPr>
    </w:tblStylePr>
    <w:tblStylePr w:type="nwCell">
      <w:rPr>
        <w:color w:val="303030" w:themeColor="text1"/>
      </w:rPr>
    </w:tblStylePr>
  </w:style>
  <w:style w:type="table" w:styleId="ColorfulShading-Accent6">
    <w:name w:val="Colorful Shading Accent 6"/>
    <w:basedOn w:val="TableNormal"/>
    <w:uiPriority w:val="99"/>
    <w:semiHidden/>
    <w:unhideWhenUsed/>
    <w:rsid w:val="00911DE3"/>
    <w:pPr>
      <w:spacing w:line="240" w:lineRule="auto"/>
    </w:pPr>
    <w:rPr>
      <w:color w:val="303030" w:themeColor="text1"/>
    </w:rPr>
    <w:tblPr>
      <w:tblStyleRowBandSize w:val="1"/>
      <w:tblStyleColBandSize w:val="1"/>
      <w:tblBorders>
        <w:top w:val="single" w:sz="24" w:space="0" w:color="2B5A56" w:themeColor="accent5"/>
        <w:left w:val="single" w:sz="4" w:space="0" w:color="5EC1A0" w:themeColor="accent6"/>
        <w:bottom w:val="single" w:sz="4" w:space="0" w:color="5EC1A0" w:themeColor="accent6"/>
        <w:right w:val="single" w:sz="4" w:space="0" w:color="5EC1A0" w:themeColor="accent6"/>
        <w:insideH w:val="single" w:sz="4" w:space="0" w:color="FFFFFF" w:themeColor="background1"/>
        <w:insideV w:val="single" w:sz="4" w:space="0" w:color="FFFFFF" w:themeColor="background1"/>
      </w:tblBorders>
    </w:tblPr>
    <w:tcPr>
      <w:shd w:val="clear" w:color="auto" w:fill="EFF9F5" w:themeFill="accent6" w:themeFillTint="19"/>
    </w:tcPr>
    <w:tblStylePr w:type="firstRow">
      <w:rPr>
        <w:b/>
        <w:bCs/>
      </w:rPr>
      <w:tblPr/>
      <w:tcPr>
        <w:tcBorders>
          <w:top w:val="nil"/>
          <w:left w:val="nil"/>
          <w:bottom w:val="single" w:sz="24" w:space="0" w:color="2B5A5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7C62" w:themeFill="accent6" w:themeFillShade="99"/>
      </w:tcPr>
    </w:tblStylePr>
    <w:tblStylePr w:type="firstCol">
      <w:rPr>
        <w:color w:val="FFFFFF" w:themeColor="background1"/>
      </w:rPr>
      <w:tblPr/>
      <w:tcPr>
        <w:tcBorders>
          <w:top w:val="nil"/>
          <w:left w:val="nil"/>
          <w:bottom w:val="nil"/>
          <w:right w:val="nil"/>
          <w:insideH w:val="single" w:sz="4" w:space="0" w:color="307C62" w:themeColor="accent6" w:themeShade="99"/>
          <w:insideV w:val="nil"/>
        </w:tcBorders>
        <w:shd w:val="clear" w:color="auto" w:fill="307C6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07C62" w:themeFill="accent6" w:themeFillShade="99"/>
      </w:tcPr>
    </w:tblStylePr>
    <w:tblStylePr w:type="band1Vert">
      <w:tblPr/>
      <w:tcPr>
        <w:shd w:val="clear" w:color="auto" w:fill="BEE6D8" w:themeFill="accent6" w:themeFillTint="66"/>
      </w:tcPr>
    </w:tblStylePr>
    <w:tblStylePr w:type="band1Horz">
      <w:tblPr/>
      <w:tcPr>
        <w:shd w:val="clear" w:color="auto" w:fill="AEE0CF" w:themeFill="accent6" w:themeFillTint="7F"/>
      </w:tcPr>
    </w:tblStylePr>
    <w:tblStylePr w:type="neCell">
      <w:rPr>
        <w:color w:val="303030" w:themeColor="text1"/>
      </w:rPr>
    </w:tblStylePr>
    <w:tblStylePr w:type="nwCell">
      <w:rPr>
        <w:color w:val="303030" w:themeColor="text1"/>
      </w:rPr>
    </w:tblStylePr>
  </w:style>
  <w:style w:type="character" w:styleId="CommentReference">
    <w:name w:val="annotation reference"/>
    <w:basedOn w:val="DefaultParagraphFont"/>
    <w:uiPriority w:val="99"/>
    <w:semiHidden/>
    <w:rsid w:val="00911DE3"/>
    <w:rPr>
      <w:sz w:val="16"/>
      <w:szCs w:val="16"/>
      <w:lang w:val="en-GB"/>
    </w:rPr>
  </w:style>
  <w:style w:type="paragraph" w:styleId="CommentText">
    <w:name w:val="annotation text"/>
    <w:basedOn w:val="Normal"/>
    <w:link w:val="CommentTextChar"/>
    <w:uiPriority w:val="99"/>
    <w:rsid w:val="00911DE3"/>
    <w:pPr>
      <w:spacing w:after="0" w:line="240" w:lineRule="auto"/>
    </w:pPr>
  </w:style>
  <w:style w:type="character" w:customStyle="1" w:styleId="CommentTextChar">
    <w:name w:val="Comment Text Char"/>
    <w:basedOn w:val="DefaultParagraphFont"/>
    <w:link w:val="CommentText"/>
    <w:uiPriority w:val="99"/>
    <w:rsid w:val="00911DE3"/>
    <w:rPr>
      <w:lang w:val="en-GB"/>
    </w:rPr>
  </w:style>
  <w:style w:type="paragraph" w:styleId="CommentSubject">
    <w:name w:val="annotation subject"/>
    <w:basedOn w:val="CommentText"/>
    <w:next w:val="CommentText"/>
    <w:link w:val="CommentSubjectChar"/>
    <w:uiPriority w:val="99"/>
    <w:semiHidden/>
    <w:rsid w:val="00911DE3"/>
    <w:rPr>
      <w:b/>
      <w:bCs/>
    </w:rPr>
  </w:style>
  <w:style w:type="character" w:customStyle="1" w:styleId="CommentSubjectChar">
    <w:name w:val="Comment Subject Char"/>
    <w:basedOn w:val="CommentTextChar"/>
    <w:link w:val="CommentSubject"/>
    <w:uiPriority w:val="99"/>
    <w:semiHidden/>
    <w:rsid w:val="00911DE3"/>
    <w:rPr>
      <w:b/>
      <w:bCs/>
      <w:lang w:val="en-GB"/>
    </w:rPr>
  </w:style>
  <w:style w:type="table" w:styleId="DarkList">
    <w:name w:val="Dark List"/>
    <w:basedOn w:val="TableNormal"/>
    <w:uiPriority w:val="99"/>
    <w:semiHidden/>
    <w:unhideWhenUsed/>
    <w:rsid w:val="00911DE3"/>
    <w:pPr>
      <w:spacing w:line="240" w:lineRule="auto"/>
    </w:pPr>
    <w:rPr>
      <w:color w:val="FFFFFF" w:themeColor="background1"/>
    </w:rPr>
    <w:tblPr>
      <w:tblStyleRowBandSize w:val="1"/>
      <w:tblStyleColBandSize w:val="1"/>
    </w:tblPr>
    <w:tcPr>
      <w:shd w:val="clear" w:color="auto" w:fill="303030" w:themeFill="text1"/>
    </w:tcPr>
    <w:tblStylePr w:type="firstRow">
      <w:rPr>
        <w:b/>
        <w:bCs/>
      </w:rPr>
      <w:tblPr/>
      <w:tcPr>
        <w:tcBorders>
          <w:top w:val="nil"/>
          <w:left w:val="nil"/>
          <w:bottom w:val="single" w:sz="18" w:space="0" w:color="FFFFFF" w:themeColor="background1"/>
          <w:right w:val="nil"/>
          <w:insideH w:val="nil"/>
          <w:insideV w:val="nil"/>
        </w:tcBorders>
        <w:shd w:val="clear" w:color="auto" w:fill="303030" w:themeFill="text1"/>
      </w:tcPr>
    </w:tblStylePr>
    <w:tblStylePr w:type="lastRow">
      <w:tblPr/>
      <w:tcPr>
        <w:tcBorders>
          <w:top w:val="single" w:sz="18" w:space="0" w:color="FFFFFF" w:themeColor="background1"/>
          <w:left w:val="nil"/>
          <w:bottom w:val="nil"/>
          <w:right w:val="nil"/>
          <w:insideH w:val="nil"/>
          <w:insideV w:val="nil"/>
        </w:tcBorders>
        <w:shd w:val="clear" w:color="auto" w:fill="171717"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32323"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32323" w:themeFill="text1" w:themeFillShade="BF"/>
      </w:tcPr>
    </w:tblStylePr>
    <w:tblStylePr w:type="band1Vert">
      <w:tblPr/>
      <w:tcPr>
        <w:tcBorders>
          <w:top w:val="nil"/>
          <w:left w:val="nil"/>
          <w:bottom w:val="nil"/>
          <w:right w:val="nil"/>
          <w:insideH w:val="nil"/>
          <w:insideV w:val="nil"/>
        </w:tcBorders>
        <w:shd w:val="clear" w:color="auto" w:fill="232323" w:themeFill="text1" w:themeFillShade="BF"/>
      </w:tcPr>
    </w:tblStylePr>
    <w:tblStylePr w:type="band1Horz">
      <w:tblPr/>
      <w:tcPr>
        <w:tcBorders>
          <w:top w:val="nil"/>
          <w:left w:val="nil"/>
          <w:bottom w:val="nil"/>
          <w:right w:val="nil"/>
          <w:insideH w:val="nil"/>
          <w:insideV w:val="nil"/>
        </w:tcBorders>
        <w:shd w:val="clear" w:color="auto" w:fill="232323" w:themeFill="text1" w:themeFillShade="BF"/>
      </w:tcPr>
    </w:tblStylePr>
  </w:style>
  <w:style w:type="table" w:styleId="DarkList-Accent1">
    <w:name w:val="Dark List Accent 1"/>
    <w:basedOn w:val="TableNormal"/>
    <w:uiPriority w:val="99"/>
    <w:semiHidden/>
    <w:unhideWhenUsed/>
    <w:rsid w:val="00911DE3"/>
    <w:pPr>
      <w:spacing w:line="240" w:lineRule="auto"/>
    </w:pPr>
    <w:rPr>
      <w:color w:val="FFFFFF" w:themeColor="background1"/>
    </w:rPr>
    <w:tblPr>
      <w:tblStyleRowBandSize w:val="1"/>
      <w:tblStyleColBandSize w:val="1"/>
    </w:tblPr>
    <w:tcPr>
      <w:shd w:val="clear" w:color="auto" w:fill="C4D5D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03030" w:themeFill="text1"/>
      </w:tcPr>
    </w:tblStylePr>
    <w:tblStylePr w:type="lastRow">
      <w:tblPr/>
      <w:tcPr>
        <w:tcBorders>
          <w:top w:val="single" w:sz="18" w:space="0" w:color="FFFFFF" w:themeColor="background1"/>
          <w:left w:val="nil"/>
          <w:bottom w:val="nil"/>
          <w:right w:val="nil"/>
          <w:insideH w:val="nil"/>
          <w:insideV w:val="nil"/>
        </w:tcBorders>
        <w:shd w:val="clear" w:color="auto" w:fill="54767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8AAA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8AAA6" w:themeFill="accent1" w:themeFillShade="BF"/>
      </w:tcPr>
    </w:tblStylePr>
    <w:tblStylePr w:type="band1Vert">
      <w:tblPr/>
      <w:tcPr>
        <w:tcBorders>
          <w:top w:val="nil"/>
          <w:left w:val="nil"/>
          <w:bottom w:val="nil"/>
          <w:right w:val="nil"/>
          <w:insideH w:val="nil"/>
          <w:insideV w:val="nil"/>
        </w:tcBorders>
        <w:shd w:val="clear" w:color="auto" w:fill="88AAA6" w:themeFill="accent1" w:themeFillShade="BF"/>
      </w:tcPr>
    </w:tblStylePr>
    <w:tblStylePr w:type="band1Horz">
      <w:tblPr/>
      <w:tcPr>
        <w:tcBorders>
          <w:top w:val="nil"/>
          <w:left w:val="nil"/>
          <w:bottom w:val="nil"/>
          <w:right w:val="nil"/>
          <w:insideH w:val="nil"/>
          <w:insideV w:val="nil"/>
        </w:tcBorders>
        <w:shd w:val="clear" w:color="auto" w:fill="88AAA6" w:themeFill="accent1" w:themeFillShade="BF"/>
      </w:tcPr>
    </w:tblStylePr>
  </w:style>
  <w:style w:type="table" w:styleId="DarkList-Accent2">
    <w:name w:val="Dark List Accent 2"/>
    <w:basedOn w:val="TableNormal"/>
    <w:uiPriority w:val="99"/>
    <w:semiHidden/>
    <w:unhideWhenUsed/>
    <w:rsid w:val="00911DE3"/>
    <w:pPr>
      <w:spacing w:line="240" w:lineRule="auto"/>
    </w:pPr>
    <w:rPr>
      <w:color w:val="FFFFFF" w:themeColor="background1"/>
    </w:rPr>
    <w:tblPr>
      <w:tblStyleRowBandSize w:val="1"/>
      <w:tblStyleColBandSize w:val="1"/>
    </w:tblPr>
    <w:tcPr>
      <w:shd w:val="clear" w:color="auto" w:fill="86A9A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03030" w:themeFill="text1"/>
      </w:tcPr>
    </w:tblStylePr>
    <w:tblStylePr w:type="lastRow">
      <w:tblPr/>
      <w:tcPr>
        <w:tcBorders>
          <w:top w:val="single" w:sz="18" w:space="0" w:color="FFFFFF" w:themeColor="background1"/>
          <w:left w:val="nil"/>
          <w:bottom w:val="nil"/>
          <w:right w:val="nil"/>
          <w:insideH w:val="nil"/>
          <w:insideV w:val="nil"/>
        </w:tcBorders>
        <w:shd w:val="clear" w:color="auto" w:fill="3E585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E848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E8481" w:themeFill="accent2" w:themeFillShade="BF"/>
      </w:tcPr>
    </w:tblStylePr>
    <w:tblStylePr w:type="band1Vert">
      <w:tblPr/>
      <w:tcPr>
        <w:tcBorders>
          <w:top w:val="nil"/>
          <w:left w:val="nil"/>
          <w:bottom w:val="nil"/>
          <w:right w:val="nil"/>
          <w:insideH w:val="nil"/>
          <w:insideV w:val="nil"/>
        </w:tcBorders>
        <w:shd w:val="clear" w:color="auto" w:fill="5E8481" w:themeFill="accent2" w:themeFillShade="BF"/>
      </w:tcPr>
    </w:tblStylePr>
    <w:tblStylePr w:type="band1Horz">
      <w:tblPr/>
      <w:tcPr>
        <w:tcBorders>
          <w:top w:val="nil"/>
          <w:left w:val="nil"/>
          <w:bottom w:val="nil"/>
          <w:right w:val="nil"/>
          <w:insideH w:val="nil"/>
          <w:insideV w:val="nil"/>
        </w:tcBorders>
        <w:shd w:val="clear" w:color="auto" w:fill="5E8481" w:themeFill="accent2" w:themeFillShade="BF"/>
      </w:tcPr>
    </w:tblStylePr>
  </w:style>
  <w:style w:type="table" w:styleId="DarkList-Accent3">
    <w:name w:val="Dark List Accent 3"/>
    <w:basedOn w:val="TableNormal"/>
    <w:uiPriority w:val="99"/>
    <w:semiHidden/>
    <w:unhideWhenUsed/>
    <w:rsid w:val="00911DE3"/>
    <w:pPr>
      <w:spacing w:line="240" w:lineRule="auto"/>
    </w:pPr>
    <w:rPr>
      <w:color w:val="FFFFFF" w:themeColor="background1"/>
    </w:rPr>
    <w:tblPr>
      <w:tblStyleRowBandSize w:val="1"/>
      <w:tblStyleColBandSize w:val="1"/>
    </w:tblPr>
    <w:tcPr>
      <w:shd w:val="clear" w:color="auto" w:fill="5E8D8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03030" w:themeFill="text1"/>
      </w:tcPr>
    </w:tblStylePr>
    <w:tblStylePr w:type="lastRow">
      <w:tblPr/>
      <w:tcPr>
        <w:tcBorders>
          <w:top w:val="single" w:sz="18" w:space="0" w:color="FFFFFF" w:themeColor="background1"/>
          <w:left w:val="nil"/>
          <w:bottom w:val="nil"/>
          <w:right w:val="nil"/>
          <w:insideH w:val="nil"/>
          <w:insideV w:val="nil"/>
        </w:tcBorders>
        <w:shd w:val="clear" w:color="auto" w:fill="2E464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6696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66966" w:themeFill="accent3" w:themeFillShade="BF"/>
      </w:tcPr>
    </w:tblStylePr>
    <w:tblStylePr w:type="band1Vert">
      <w:tblPr/>
      <w:tcPr>
        <w:tcBorders>
          <w:top w:val="nil"/>
          <w:left w:val="nil"/>
          <w:bottom w:val="nil"/>
          <w:right w:val="nil"/>
          <w:insideH w:val="nil"/>
          <w:insideV w:val="nil"/>
        </w:tcBorders>
        <w:shd w:val="clear" w:color="auto" w:fill="466966" w:themeFill="accent3" w:themeFillShade="BF"/>
      </w:tcPr>
    </w:tblStylePr>
    <w:tblStylePr w:type="band1Horz">
      <w:tblPr/>
      <w:tcPr>
        <w:tcBorders>
          <w:top w:val="nil"/>
          <w:left w:val="nil"/>
          <w:bottom w:val="nil"/>
          <w:right w:val="nil"/>
          <w:insideH w:val="nil"/>
          <w:insideV w:val="nil"/>
        </w:tcBorders>
        <w:shd w:val="clear" w:color="auto" w:fill="466966" w:themeFill="accent3" w:themeFillShade="BF"/>
      </w:tcPr>
    </w:tblStylePr>
  </w:style>
  <w:style w:type="table" w:styleId="DarkList-Accent4">
    <w:name w:val="Dark List Accent 4"/>
    <w:basedOn w:val="TableNormal"/>
    <w:uiPriority w:val="99"/>
    <w:semiHidden/>
    <w:unhideWhenUsed/>
    <w:rsid w:val="00911DE3"/>
    <w:pPr>
      <w:spacing w:line="240" w:lineRule="auto"/>
    </w:pPr>
    <w:rPr>
      <w:color w:val="FFFFFF" w:themeColor="background1"/>
    </w:rPr>
    <w:tblPr>
      <w:tblStyleRowBandSize w:val="1"/>
      <w:tblStyleColBandSize w:val="1"/>
    </w:tblPr>
    <w:tcPr>
      <w:shd w:val="clear" w:color="auto" w:fill="36706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03030" w:themeFill="text1"/>
      </w:tcPr>
    </w:tblStylePr>
    <w:tblStylePr w:type="lastRow">
      <w:tblPr/>
      <w:tcPr>
        <w:tcBorders>
          <w:top w:val="single" w:sz="18" w:space="0" w:color="FFFFFF" w:themeColor="background1"/>
          <w:left w:val="nil"/>
          <w:bottom w:val="nil"/>
          <w:right w:val="nil"/>
          <w:insideH w:val="nil"/>
          <w:insideV w:val="nil"/>
        </w:tcBorders>
        <w:shd w:val="clear" w:color="auto" w:fill="1B373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8535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85350" w:themeFill="accent4" w:themeFillShade="BF"/>
      </w:tcPr>
    </w:tblStylePr>
    <w:tblStylePr w:type="band1Vert">
      <w:tblPr/>
      <w:tcPr>
        <w:tcBorders>
          <w:top w:val="nil"/>
          <w:left w:val="nil"/>
          <w:bottom w:val="nil"/>
          <w:right w:val="nil"/>
          <w:insideH w:val="nil"/>
          <w:insideV w:val="nil"/>
        </w:tcBorders>
        <w:shd w:val="clear" w:color="auto" w:fill="285350" w:themeFill="accent4" w:themeFillShade="BF"/>
      </w:tcPr>
    </w:tblStylePr>
    <w:tblStylePr w:type="band1Horz">
      <w:tblPr/>
      <w:tcPr>
        <w:tcBorders>
          <w:top w:val="nil"/>
          <w:left w:val="nil"/>
          <w:bottom w:val="nil"/>
          <w:right w:val="nil"/>
          <w:insideH w:val="nil"/>
          <w:insideV w:val="nil"/>
        </w:tcBorders>
        <w:shd w:val="clear" w:color="auto" w:fill="285350" w:themeFill="accent4" w:themeFillShade="BF"/>
      </w:tcPr>
    </w:tblStylePr>
  </w:style>
  <w:style w:type="table" w:styleId="DarkList-Accent5">
    <w:name w:val="Dark List Accent 5"/>
    <w:basedOn w:val="TableNormal"/>
    <w:uiPriority w:val="99"/>
    <w:semiHidden/>
    <w:unhideWhenUsed/>
    <w:rsid w:val="00911DE3"/>
    <w:pPr>
      <w:spacing w:line="240" w:lineRule="auto"/>
    </w:pPr>
    <w:rPr>
      <w:color w:val="FFFFFF" w:themeColor="background1"/>
    </w:rPr>
    <w:tblPr>
      <w:tblStyleRowBandSize w:val="1"/>
      <w:tblStyleColBandSize w:val="1"/>
    </w:tblPr>
    <w:tcPr>
      <w:shd w:val="clear" w:color="auto" w:fill="2B5A5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03030" w:themeFill="text1"/>
      </w:tcPr>
    </w:tblStylePr>
    <w:tblStylePr w:type="lastRow">
      <w:tblPr/>
      <w:tcPr>
        <w:tcBorders>
          <w:top w:val="single" w:sz="18" w:space="0" w:color="FFFFFF" w:themeColor="background1"/>
          <w:left w:val="nil"/>
          <w:bottom w:val="nil"/>
          <w:right w:val="nil"/>
          <w:insideH w:val="nil"/>
          <w:insideV w:val="nil"/>
        </w:tcBorders>
        <w:shd w:val="clear" w:color="auto" w:fill="152C2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0434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04340" w:themeFill="accent5" w:themeFillShade="BF"/>
      </w:tcPr>
    </w:tblStylePr>
    <w:tblStylePr w:type="band1Vert">
      <w:tblPr/>
      <w:tcPr>
        <w:tcBorders>
          <w:top w:val="nil"/>
          <w:left w:val="nil"/>
          <w:bottom w:val="nil"/>
          <w:right w:val="nil"/>
          <w:insideH w:val="nil"/>
          <w:insideV w:val="nil"/>
        </w:tcBorders>
        <w:shd w:val="clear" w:color="auto" w:fill="204340" w:themeFill="accent5" w:themeFillShade="BF"/>
      </w:tcPr>
    </w:tblStylePr>
    <w:tblStylePr w:type="band1Horz">
      <w:tblPr/>
      <w:tcPr>
        <w:tcBorders>
          <w:top w:val="nil"/>
          <w:left w:val="nil"/>
          <w:bottom w:val="nil"/>
          <w:right w:val="nil"/>
          <w:insideH w:val="nil"/>
          <w:insideV w:val="nil"/>
        </w:tcBorders>
        <w:shd w:val="clear" w:color="auto" w:fill="204340" w:themeFill="accent5" w:themeFillShade="BF"/>
      </w:tcPr>
    </w:tblStylePr>
  </w:style>
  <w:style w:type="table" w:styleId="DarkList-Accent6">
    <w:name w:val="Dark List Accent 6"/>
    <w:basedOn w:val="TableNormal"/>
    <w:uiPriority w:val="99"/>
    <w:semiHidden/>
    <w:unhideWhenUsed/>
    <w:rsid w:val="00911DE3"/>
    <w:pPr>
      <w:spacing w:line="240" w:lineRule="auto"/>
    </w:pPr>
    <w:rPr>
      <w:color w:val="FFFFFF" w:themeColor="background1"/>
    </w:rPr>
    <w:tblPr>
      <w:tblStyleRowBandSize w:val="1"/>
      <w:tblStyleColBandSize w:val="1"/>
    </w:tblPr>
    <w:tcPr>
      <w:shd w:val="clear" w:color="auto" w:fill="5EC1A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03030" w:themeFill="text1"/>
      </w:tcPr>
    </w:tblStylePr>
    <w:tblStylePr w:type="lastRow">
      <w:tblPr/>
      <w:tcPr>
        <w:tcBorders>
          <w:top w:val="single" w:sz="18" w:space="0" w:color="FFFFFF" w:themeColor="background1"/>
          <w:left w:val="nil"/>
          <w:bottom w:val="nil"/>
          <w:right w:val="nil"/>
          <w:insideH w:val="nil"/>
          <w:insideV w:val="nil"/>
        </w:tcBorders>
        <w:shd w:val="clear" w:color="auto" w:fill="27665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B9A7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B9A7B" w:themeFill="accent6" w:themeFillShade="BF"/>
      </w:tcPr>
    </w:tblStylePr>
    <w:tblStylePr w:type="band1Vert">
      <w:tblPr/>
      <w:tcPr>
        <w:tcBorders>
          <w:top w:val="nil"/>
          <w:left w:val="nil"/>
          <w:bottom w:val="nil"/>
          <w:right w:val="nil"/>
          <w:insideH w:val="nil"/>
          <w:insideV w:val="nil"/>
        </w:tcBorders>
        <w:shd w:val="clear" w:color="auto" w:fill="3B9A7B" w:themeFill="accent6" w:themeFillShade="BF"/>
      </w:tcPr>
    </w:tblStylePr>
    <w:tblStylePr w:type="band1Horz">
      <w:tblPr/>
      <w:tcPr>
        <w:tcBorders>
          <w:top w:val="nil"/>
          <w:left w:val="nil"/>
          <w:bottom w:val="nil"/>
          <w:right w:val="nil"/>
          <w:insideH w:val="nil"/>
          <w:insideV w:val="nil"/>
        </w:tcBorders>
        <w:shd w:val="clear" w:color="auto" w:fill="3B9A7B" w:themeFill="accent6" w:themeFillShade="BF"/>
      </w:tcPr>
    </w:tblStylePr>
  </w:style>
  <w:style w:type="paragraph" w:styleId="Date">
    <w:name w:val="Date"/>
    <w:basedOn w:val="Normal"/>
    <w:next w:val="Normal"/>
    <w:link w:val="DateChar"/>
    <w:uiPriority w:val="99"/>
    <w:semiHidden/>
    <w:rsid w:val="00911DE3"/>
    <w:pPr>
      <w:spacing w:after="0"/>
    </w:pPr>
  </w:style>
  <w:style w:type="character" w:customStyle="1" w:styleId="DateChar">
    <w:name w:val="Date Char"/>
    <w:basedOn w:val="DefaultParagraphFont"/>
    <w:link w:val="Date"/>
    <w:uiPriority w:val="99"/>
    <w:semiHidden/>
    <w:rsid w:val="00911DE3"/>
    <w:rPr>
      <w:lang w:val="en-GB"/>
    </w:rPr>
  </w:style>
  <w:style w:type="paragraph" w:styleId="DocumentMap">
    <w:name w:val="Document Map"/>
    <w:basedOn w:val="Normal"/>
    <w:link w:val="DocumentMapChar"/>
    <w:uiPriority w:val="99"/>
    <w:semiHidden/>
    <w:rsid w:val="00911DE3"/>
    <w:pPr>
      <w:spacing w:after="0" w:line="240" w:lineRule="auto"/>
    </w:pPr>
    <w:rPr>
      <w:rFonts w:cs="Arial"/>
      <w:sz w:val="16"/>
      <w:szCs w:val="16"/>
    </w:rPr>
  </w:style>
  <w:style w:type="character" w:customStyle="1" w:styleId="DocumentMapChar">
    <w:name w:val="Document Map Char"/>
    <w:basedOn w:val="DefaultParagraphFont"/>
    <w:link w:val="DocumentMap"/>
    <w:uiPriority w:val="99"/>
    <w:semiHidden/>
    <w:rsid w:val="00911DE3"/>
    <w:rPr>
      <w:rFonts w:cs="Arial"/>
      <w:sz w:val="16"/>
      <w:szCs w:val="16"/>
      <w:lang w:val="en-GB"/>
    </w:rPr>
  </w:style>
  <w:style w:type="paragraph" w:styleId="E-mailSignature">
    <w:name w:val="E-mail Signature"/>
    <w:basedOn w:val="Normal"/>
    <w:link w:val="E-mailSignatureChar"/>
    <w:uiPriority w:val="99"/>
    <w:semiHidden/>
    <w:rsid w:val="00911DE3"/>
    <w:pPr>
      <w:spacing w:after="0" w:line="240" w:lineRule="auto"/>
    </w:pPr>
  </w:style>
  <w:style w:type="character" w:customStyle="1" w:styleId="E-mailSignatureChar">
    <w:name w:val="E-mail Signature Char"/>
    <w:basedOn w:val="DefaultParagraphFont"/>
    <w:link w:val="E-mailSignature"/>
    <w:uiPriority w:val="99"/>
    <w:semiHidden/>
    <w:rsid w:val="00911DE3"/>
    <w:rPr>
      <w:lang w:val="en-GB"/>
    </w:rPr>
  </w:style>
  <w:style w:type="character" w:styleId="Emphasis">
    <w:name w:val="Emphasis"/>
    <w:basedOn w:val="DefaultParagraphFont"/>
    <w:uiPriority w:val="8"/>
    <w:semiHidden/>
    <w:rsid w:val="001C49EE"/>
    <w:rPr>
      <w:i/>
      <w:iCs/>
      <w:lang w:val="en-GB"/>
    </w:rPr>
  </w:style>
  <w:style w:type="character" w:styleId="EndnoteReference">
    <w:name w:val="endnote reference"/>
    <w:basedOn w:val="DefaultParagraphFont"/>
    <w:uiPriority w:val="99"/>
    <w:semiHidden/>
    <w:rsid w:val="00911DE3"/>
    <w:rPr>
      <w:vertAlign w:val="superscript"/>
      <w:lang w:val="en-GB"/>
    </w:rPr>
  </w:style>
  <w:style w:type="paragraph" w:styleId="EndnoteText">
    <w:name w:val="endnote text"/>
    <w:basedOn w:val="Normal"/>
    <w:link w:val="EndnoteTextChar"/>
    <w:uiPriority w:val="99"/>
    <w:semiHidden/>
    <w:qFormat/>
    <w:rsid w:val="00901321"/>
    <w:pPr>
      <w:spacing w:after="0" w:line="240" w:lineRule="auto"/>
      <w:ind w:left="113" w:hanging="113"/>
    </w:pPr>
  </w:style>
  <w:style w:type="character" w:customStyle="1" w:styleId="EndnoteTextChar">
    <w:name w:val="Endnote Text Char"/>
    <w:basedOn w:val="DefaultParagraphFont"/>
    <w:link w:val="EndnoteText"/>
    <w:uiPriority w:val="99"/>
    <w:semiHidden/>
    <w:rsid w:val="00901321"/>
    <w:rPr>
      <w:lang w:val="en-GB"/>
    </w:rPr>
  </w:style>
  <w:style w:type="paragraph" w:styleId="EnvelopeAddress">
    <w:name w:val="envelope address"/>
    <w:basedOn w:val="Normal"/>
    <w:uiPriority w:val="99"/>
    <w:semiHidden/>
    <w:rsid w:val="00911DE3"/>
    <w:pPr>
      <w:framePr w:w="7920" w:h="1980" w:hRule="exact" w:hSpace="141" w:wrap="auto" w:hAnchor="page" w:xAlign="center" w:yAlign="bottom"/>
      <w:spacing w:after="0" w:line="240" w:lineRule="auto"/>
      <w:ind w:left="2880"/>
    </w:pPr>
    <w:rPr>
      <w:rFonts w:eastAsiaTheme="majorEastAsia" w:cs="Arial"/>
      <w:sz w:val="24"/>
      <w:szCs w:val="24"/>
    </w:rPr>
  </w:style>
  <w:style w:type="paragraph" w:styleId="EnvelopeReturn">
    <w:name w:val="envelope return"/>
    <w:basedOn w:val="Normal"/>
    <w:uiPriority w:val="99"/>
    <w:semiHidden/>
    <w:rsid w:val="00911DE3"/>
    <w:pPr>
      <w:spacing w:after="0" w:line="240" w:lineRule="auto"/>
    </w:pPr>
    <w:rPr>
      <w:rFonts w:eastAsiaTheme="majorEastAsia" w:cs="Arial"/>
    </w:rPr>
  </w:style>
  <w:style w:type="character" w:styleId="FollowedHyperlink">
    <w:name w:val="FollowedHyperlink"/>
    <w:basedOn w:val="DefaultParagraphFont"/>
    <w:uiPriority w:val="14"/>
    <w:semiHidden/>
    <w:rsid w:val="00911DE3"/>
    <w:rPr>
      <w:color w:val="800080" w:themeColor="followedHyperlink"/>
      <w:u w:val="single"/>
      <w:lang w:val="en-GB"/>
    </w:rPr>
  </w:style>
  <w:style w:type="paragraph" w:styleId="Footer">
    <w:name w:val="footer"/>
    <w:basedOn w:val="Normal"/>
    <w:link w:val="FooterChar"/>
    <w:uiPriority w:val="99"/>
    <w:rsid w:val="00AF0AE8"/>
    <w:pPr>
      <w:spacing w:after="0" w:line="200" w:lineRule="atLeast"/>
    </w:pPr>
    <w:rPr>
      <w:color w:val="636466"/>
      <w:sz w:val="16"/>
    </w:rPr>
  </w:style>
  <w:style w:type="character" w:customStyle="1" w:styleId="FooterChar">
    <w:name w:val="Footer Char"/>
    <w:basedOn w:val="DefaultParagraphFont"/>
    <w:link w:val="Footer"/>
    <w:uiPriority w:val="99"/>
    <w:rsid w:val="00AF0AE8"/>
    <w:rPr>
      <w:color w:val="636466"/>
      <w:sz w:val="16"/>
      <w:lang w:val="en-GB"/>
    </w:rPr>
  </w:style>
  <w:style w:type="character" w:styleId="FootnoteReference">
    <w:name w:val="footnote reference"/>
    <w:aliases w:val="ftref,16 Point,Superscript 6 Point,Знак сноски-FN,Normal + Font:9 Point,Superscript 3 Point Times,BVI fnr, BVI fnr,Footnote,Footnote Reference Number,Footnote Reference_LVL6,Footnote Reference_LVL61,Footnote Reference_LVL62,SUPERS,Ref"/>
    <w:basedOn w:val="DefaultParagraphFont"/>
    <w:link w:val="BVIfnrCharCar1CarChar"/>
    <w:uiPriority w:val="99"/>
    <w:qFormat/>
    <w:rsid w:val="00911DE3"/>
    <w:rPr>
      <w:vertAlign w:val="superscript"/>
      <w:lang w:val="en-GB"/>
    </w:rPr>
  </w:style>
  <w:style w:type="paragraph" w:styleId="FootnoteText">
    <w:name w:val="footnote text"/>
    <w:aliases w:val="fn,Footnote Text Char1 Char1,Footnote Text Char Char Char1,Footnote Text Char1 Char Char,Footnote Text Char Char Char Char,Footnote Text Char Char Char Char Char Char Char,Footnote Text1,Footnote Text1 Char,Footnote Text2,FOOTNOTES"/>
    <w:basedOn w:val="Normal"/>
    <w:link w:val="FootnoteTextChar"/>
    <w:uiPriority w:val="99"/>
    <w:qFormat/>
    <w:rsid w:val="00D1661C"/>
    <w:pPr>
      <w:spacing w:after="0" w:line="200" w:lineRule="atLeast"/>
      <w:ind w:left="113" w:hanging="113"/>
    </w:pPr>
    <w:rPr>
      <w:sz w:val="16"/>
    </w:rPr>
  </w:style>
  <w:style w:type="character" w:customStyle="1" w:styleId="FootnoteTextChar">
    <w:name w:val="Footnote Text Char"/>
    <w:aliases w:val="fn Char,Footnote Text Char1 Char1 Char,Footnote Text Char Char Char1 Char,Footnote Text Char1 Char Char Char,Footnote Text Char Char Char Char Char,Footnote Text Char Char Char Char Char Char Char Char,Footnote Text1 Char1"/>
    <w:basedOn w:val="DefaultParagraphFont"/>
    <w:link w:val="FootnoteText"/>
    <w:uiPriority w:val="99"/>
    <w:rsid w:val="00F1702B"/>
    <w:rPr>
      <w:sz w:val="16"/>
      <w:lang w:val="en-GB"/>
    </w:rPr>
  </w:style>
  <w:style w:type="table" w:styleId="GridTable1Light">
    <w:name w:val="Grid Table 1 Light"/>
    <w:basedOn w:val="TableNormal"/>
    <w:uiPriority w:val="46"/>
    <w:rsid w:val="00911DE3"/>
    <w:pPr>
      <w:spacing w:line="240" w:lineRule="auto"/>
    </w:pPr>
    <w:tblPr>
      <w:tblStyleRowBandSize w:val="1"/>
      <w:tblStyleColBandSize w:val="1"/>
      <w:tblBorders>
        <w:top w:val="single" w:sz="4" w:space="0" w:color="ACACAC" w:themeColor="text1" w:themeTint="66"/>
        <w:left w:val="single" w:sz="4" w:space="0" w:color="ACACAC" w:themeColor="text1" w:themeTint="66"/>
        <w:bottom w:val="single" w:sz="4" w:space="0" w:color="ACACAC" w:themeColor="text1" w:themeTint="66"/>
        <w:right w:val="single" w:sz="4" w:space="0" w:color="ACACAC" w:themeColor="text1" w:themeTint="66"/>
        <w:insideH w:val="single" w:sz="4" w:space="0" w:color="ACACAC" w:themeColor="text1" w:themeTint="66"/>
        <w:insideV w:val="single" w:sz="4" w:space="0" w:color="ACACAC" w:themeColor="text1" w:themeTint="66"/>
      </w:tblBorders>
    </w:tblPr>
    <w:tblStylePr w:type="firstRow">
      <w:rPr>
        <w:b/>
        <w:bCs/>
      </w:rPr>
      <w:tblPr/>
      <w:tcPr>
        <w:tcBorders>
          <w:bottom w:val="single" w:sz="12" w:space="0" w:color="828282" w:themeColor="text1" w:themeTint="99"/>
        </w:tcBorders>
      </w:tcPr>
    </w:tblStylePr>
    <w:tblStylePr w:type="lastRow">
      <w:rPr>
        <w:b/>
        <w:bCs/>
      </w:rPr>
      <w:tblPr/>
      <w:tcPr>
        <w:tcBorders>
          <w:top w:val="double" w:sz="2" w:space="0" w:color="828282"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9"/>
    <w:rsid w:val="00911DE3"/>
    <w:pPr>
      <w:spacing w:line="240" w:lineRule="auto"/>
    </w:pPr>
    <w:tblPr>
      <w:tblStyleRowBandSize w:val="1"/>
      <w:tblStyleColBandSize w:val="1"/>
      <w:tblBorders>
        <w:top w:val="single" w:sz="4" w:space="0" w:color="E7EEED" w:themeColor="accent1" w:themeTint="66"/>
        <w:left w:val="single" w:sz="4" w:space="0" w:color="E7EEED" w:themeColor="accent1" w:themeTint="66"/>
        <w:bottom w:val="single" w:sz="4" w:space="0" w:color="E7EEED" w:themeColor="accent1" w:themeTint="66"/>
        <w:right w:val="single" w:sz="4" w:space="0" w:color="E7EEED" w:themeColor="accent1" w:themeTint="66"/>
        <w:insideH w:val="single" w:sz="4" w:space="0" w:color="E7EEED" w:themeColor="accent1" w:themeTint="66"/>
        <w:insideV w:val="single" w:sz="4" w:space="0" w:color="E7EEED" w:themeColor="accent1" w:themeTint="66"/>
      </w:tblBorders>
    </w:tblPr>
    <w:tblStylePr w:type="firstRow">
      <w:rPr>
        <w:b/>
        <w:bCs/>
      </w:rPr>
      <w:tblPr/>
      <w:tcPr>
        <w:tcBorders>
          <w:bottom w:val="single" w:sz="12" w:space="0" w:color="DBE5E4" w:themeColor="accent1" w:themeTint="99"/>
        </w:tcBorders>
      </w:tcPr>
    </w:tblStylePr>
    <w:tblStylePr w:type="lastRow">
      <w:rPr>
        <w:b/>
        <w:bCs/>
      </w:rPr>
      <w:tblPr/>
      <w:tcPr>
        <w:tcBorders>
          <w:top w:val="double" w:sz="2" w:space="0" w:color="DBE5E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9"/>
    <w:rsid w:val="00911DE3"/>
    <w:pPr>
      <w:spacing w:line="240" w:lineRule="auto"/>
    </w:pPr>
    <w:tblPr>
      <w:tblStyleRowBandSize w:val="1"/>
      <w:tblStyleColBandSize w:val="1"/>
      <w:tblBorders>
        <w:top w:val="single" w:sz="4" w:space="0" w:color="CEDCDB" w:themeColor="accent2" w:themeTint="66"/>
        <w:left w:val="single" w:sz="4" w:space="0" w:color="CEDCDB" w:themeColor="accent2" w:themeTint="66"/>
        <w:bottom w:val="single" w:sz="4" w:space="0" w:color="CEDCDB" w:themeColor="accent2" w:themeTint="66"/>
        <w:right w:val="single" w:sz="4" w:space="0" w:color="CEDCDB" w:themeColor="accent2" w:themeTint="66"/>
        <w:insideH w:val="single" w:sz="4" w:space="0" w:color="CEDCDB" w:themeColor="accent2" w:themeTint="66"/>
        <w:insideV w:val="single" w:sz="4" w:space="0" w:color="CEDCDB" w:themeColor="accent2" w:themeTint="66"/>
      </w:tblBorders>
    </w:tblPr>
    <w:tblStylePr w:type="firstRow">
      <w:rPr>
        <w:b/>
        <w:bCs/>
      </w:rPr>
      <w:tblPr/>
      <w:tcPr>
        <w:tcBorders>
          <w:bottom w:val="single" w:sz="12" w:space="0" w:color="B6CBC9" w:themeColor="accent2" w:themeTint="99"/>
        </w:tcBorders>
      </w:tcPr>
    </w:tblStylePr>
    <w:tblStylePr w:type="lastRow">
      <w:rPr>
        <w:b/>
        <w:bCs/>
      </w:rPr>
      <w:tblPr/>
      <w:tcPr>
        <w:tcBorders>
          <w:top w:val="double" w:sz="2" w:space="0" w:color="B6CBC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9"/>
    <w:rsid w:val="00911DE3"/>
    <w:pPr>
      <w:spacing w:line="240" w:lineRule="auto"/>
    </w:pPr>
    <w:tblPr>
      <w:tblStyleRowBandSize w:val="1"/>
      <w:tblStyleColBandSize w:val="1"/>
      <w:tblBorders>
        <w:top w:val="single" w:sz="4" w:space="0" w:color="BDD3D1" w:themeColor="accent3" w:themeTint="66"/>
        <w:left w:val="single" w:sz="4" w:space="0" w:color="BDD3D1" w:themeColor="accent3" w:themeTint="66"/>
        <w:bottom w:val="single" w:sz="4" w:space="0" w:color="BDD3D1" w:themeColor="accent3" w:themeTint="66"/>
        <w:right w:val="single" w:sz="4" w:space="0" w:color="BDD3D1" w:themeColor="accent3" w:themeTint="66"/>
        <w:insideH w:val="single" w:sz="4" w:space="0" w:color="BDD3D1" w:themeColor="accent3" w:themeTint="66"/>
        <w:insideV w:val="single" w:sz="4" w:space="0" w:color="BDD3D1" w:themeColor="accent3" w:themeTint="66"/>
      </w:tblBorders>
    </w:tblPr>
    <w:tblStylePr w:type="firstRow">
      <w:rPr>
        <w:b/>
        <w:bCs/>
      </w:rPr>
      <w:tblPr/>
      <w:tcPr>
        <w:tcBorders>
          <w:bottom w:val="single" w:sz="12" w:space="0" w:color="9CBDBA" w:themeColor="accent3" w:themeTint="99"/>
        </w:tcBorders>
      </w:tcPr>
    </w:tblStylePr>
    <w:tblStylePr w:type="lastRow">
      <w:rPr>
        <w:b/>
        <w:bCs/>
      </w:rPr>
      <w:tblPr/>
      <w:tcPr>
        <w:tcBorders>
          <w:top w:val="double" w:sz="2" w:space="0" w:color="9CBDB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9"/>
    <w:rsid w:val="00911DE3"/>
    <w:pPr>
      <w:spacing w:line="240" w:lineRule="auto"/>
    </w:pPr>
    <w:tblPr>
      <w:tblStyleRowBandSize w:val="1"/>
      <w:tblStyleColBandSize w:val="1"/>
      <w:tblBorders>
        <w:top w:val="single" w:sz="4" w:space="0" w:color="A2D2CE" w:themeColor="accent4" w:themeTint="66"/>
        <w:left w:val="single" w:sz="4" w:space="0" w:color="A2D2CE" w:themeColor="accent4" w:themeTint="66"/>
        <w:bottom w:val="single" w:sz="4" w:space="0" w:color="A2D2CE" w:themeColor="accent4" w:themeTint="66"/>
        <w:right w:val="single" w:sz="4" w:space="0" w:color="A2D2CE" w:themeColor="accent4" w:themeTint="66"/>
        <w:insideH w:val="single" w:sz="4" w:space="0" w:color="A2D2CE" w:themeColor="accent4" w:themeTint="66"/>
        <w:insideV w:val="single" w:sz="4" w:space="0" w:color="A2D2CE" w:themeColor="accent4" w:themeTint="66"/>
      </w:tblBorders>
    </w:tblPr>
    <w:tblStylePr w:type="firstRow">
      <w:rPr>
        <w:b/>
        <w:bCs/>
      </w:rPr>
      <w:tblPr/>
      <w:tcPr>
        <w:tcBorders>
          <w:bottom w:val="single" w:sz="12" w:space="0" w:color="73BBB5" w:themeColor="accent4" w:themeTint="99"/>
        </w:tcBorders>
      </w:tcPr>
    </w:tblStylePr>
    <w:tblStylePr w:type="lastRow">
      <w:rPr>
        <w:b/>
        <w:bCs/>
      </w:rPr>
      <w:tblPr/>
      <w:tcPr>
        <w:tcBorders>
          <w:top w:val="double" w:sz="2" w:space="0" w:color="73BBB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9"/>
    <w:rsid w:val="00911DE3"/>
    <w:pPr>
      <w:spacing w:line="240" w:lineRule="auto"/>
    </w:pPr>
    <w:tblPr>
      <w:tblStyleRowBandSize w:val="1"/>
      <w:tblStyleColBandSize w:val="1"/>
      <w:tblBorders>
        <w:top w:val="single" w:sz="4" w:space="0" w:color="98CEC9" w:themeColor="accent5" w:themeTint="66"/>
        <w:left w:val="single" w:sz="4" w:space="0" w:color="98CEC9" w:themeColor="accent5" w:themeTint="66"/>
        <w:bottom w:val="single" w:sz="4" w:space="0" w:color="98CEC9" w:themeColor="accent5" w:themeTint="66"/>
        <w:right w:val="single" w:sz="4" w:space="0" w:color="98CEC9" w:themeColor="accent5" w:themeTint="66"/>
        <w:insideH w:val="single" w:sz="4" w:space="0" w:color="98CEC9" w:themeColor="accent5" w:themeTint="66"/>
        <w:insideV w:val="single" w:sz="4" w:space="0" w:color="98CEC9" w:themeColor="accent5" w:themeTint="66"/>
      </w:tblBorders>
    </w:tblPr>
    <w:tblStylePr w:type="firstRow">
      <w:rPr>
        <w:b/>
        <w:bCs/>
      </w:rPr>
      <w:tblPr/>
      <w:tcPr>
        <w:tcBorders>
          <w:bottom w:val="single" w:sz="12" w:space="0" w:color="65B5AE" w:themeColor="accent5" w:themeTint="99"/>
        </w:tcBorders>
      </w:tcPr>
    </w:tblStylePr>
    <w:tblStylePr w:type="lastRow">
      <w:rPr>
        <w:b/>
        <w:bCs/>
      </w:rPr>
      <w:tblPr/>
      <w:tcPr>
        <w:tcBorders>
          <w:top w:val="double" w:sz="2" w:space="0" w:color="65B5A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9"/>
    <w:rsid w:val="00911DE3"/>
    <w:pPr>
      <w:spacing w:line="240" w:lineRule="auto"/>
    </w:pPr>
    <w:tblPr>
      <w:tblStyleRowBandSize w:val="1"/>
      <w:tblStyleColBandSize w:val="1"/>
      <w:tblBorders>
        <w:top w:val="single" w:sz="4" w:space="0" w:color="BEE6D8" w:themeColor="accent6" w:themeTint="66"/>
        <w:left w:val="single" w:sz="4" w:space="0" w:color="BEE6D8" w:themeColor="accent6" w:themeTint="66"/>
        <w:bottom w:val="single" w:sz="4" w:space="0" w:color="BEE6D8" w:themeColor="accent6" w:themeTint="66"/>
        <w:right w:val="single" w:sz="4" w:space="0" w:color="BEE6D8" w:themeColor="accent6" w:themeTint="66"/>
        <w:insideH w:val="single" w:sz="4" w:space="0" w:color="BEE6D8" w:themeColor="accent6" w:themeTint="66"/>
        <w:insideV w:val="single" w:sz="4" w:space="0" w:color="BEE6D8" w:themeColor="accent6" w:themeTint="66"/>
      </w:tblBorders>
    </w:tblPr>
    <w:tblStylePr w:type="firstRow">
      <w:rPr>
        <w:b/>
        <w:bCs/>
      </w:rPr>
      <w:tblPr/>
      <w:tcPr>
        <w:tcBorders>
          <w:bottom w:val="single" w:sz="12" w:space="0" w:color="9ED9C5" w:themeColor="accent6" w:themeTint="99"/>
        </w:tcBorders>
      </w:tcPr>
    </w:tblStylePr>
    <w:tblStylePr w:type="lastRow">
      <w:rPr>
        <w:b/>
        <w:bCs/>
      </w:rPr>
      <w:tblPr/>
      <w:tcPr>
        <w:tcBorders>
          <w:top w:val="double" w:sz="2" w:space="0" w:color="9ED9C5"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9"/>
    <w:rsid w:val="00911DE3"/>
    <w:pPr>
      <w:spacing w:line="240" w:lineRule="auto"/>
    </w:pPr>
    <w:tblPr>
      <w:tblStyleRowBandSize w:val="1"/>
      <w:tblStyleColBandSize w:val="1"/>
      <w:tblBorders>
        <w:top w:val="single" w:sz="2" w:space="0" w:color="828282" w:themeColor="text1" w:themeTint="99"/>
        <w:bottom w:val="single" w:sz="2" w:space="0" w:color="828282" w:themeColor="text1" w:themeTint="99"/>
        <w:insideH w:val="single" w:sz="2" w:space="0" w:color="828282" w:themeColor="text1" w:themeTint="99"/>
        <w:insideV w:val="single" w:sz="2" w:space="0" w:color="828282" w:themeColor="text1" w:themeTint="99"/>
      </w:tblBorders>
    </w:tblPr>
    <w:tblStylePr w:type="firstRow">
      <w:rPr>
        <w:b/>
        <w:bCs/>
      </w:rPr>
      <w:tblPr/>
      <w:tcPr>
        <w:tcBorders>
          <w:top w:val="nil"/>
          <w:bottom w:val="single" w:sz="12" w:space="0" w:color="828282" w:themeColor="text1" w:themeTint="99"/>
          <w:insideH w:val="nil"/>
          <w:insideV w:val="nil"/>
        </w:tcBorders>
        <w:shd w:val="clear" w:color="auto" w:fill="FFFFFF" w:themeFill="background1"/>
      </w:tcPr>
    </w:tblStylePr>
    <w:tblStylePr w:type="lastRow">
      <w:rPr>
        <w:b/>
        <w:bCs/>
      </w:rPr>
      <w:tblPr/>
      <w:tcPr>
        <w:tcBorders>
          <w:top w:val="double" w:sz="2" w:space="0" w:color="828282"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D5D5" w:themeFill="text1" w:themeFillTint="33"/>
      </w:tcPr>
    </w:tblStylePr>
    <w:tblStylePr w:type="band1Horz">
      <w:tblPr/>
      <w:tcPr>
        <w:shd w:val="clear" w:color="auto" w:fill="D5D5D5" w:themeFill="text1" w:themeFillTint="33"/>
      </w:tcPr>
    </w:tblStylePr>
  </w:style>
  <w:style w:type="table" w:styleId="GridTable2-Accent1">
    <w:name w:val="Grid Table 2 Accent 1"/>
    <w:basedOn w:val="TableNormal"/>
    <w:uiPriority w:val="99"/>
    <w:rsid w:val="00911DE3"/>
    <w:pPr>
      <w:spacing w:line="240" w:lineRule="auto"/>
    </w:pPr>
    <w:tblPr>
      <w:tblStyleRowBandSize w:val="1"/>
      <w:tblStyleColBandSize w:val="1"/>
      <w:tblBorders>
        <w:top w:val="single" w:sz="2" w:space="0" w:color="DBE5E4" w:themeColor="accent1" w:themeTint="99"/>
        <w:bottom w:val="single" w:sz="2" w:space="0" w:color="DBE5E4" w:themeColor="accent1" w:themeTint="99"/>
        <w:insideH w:val="single" w:sz="2" w:space="0" w:color="DBE5E4" w:themeColor="accent1" w:themeTint="99"/>
        <w:insideV w:val="single" w:sz="2" w:space="0" w:color="DBE5E4" w:themeColor="accent1" w:themeTint="99"/>
      </w:tblBorders>
    </w:tblPr>
    <w:tblStylePr w:type="firstRow">
      <w:rPr>
        <w:b/>
        <w:bCs/>
      </w:rPr>
      <w:tblPr/>
      <w:tcPr>
        <w:tcBorders>
          <w:top w:val="nil"/>
          <w:bottom w:val="single" w:sz="12" w:space="0" w:color="DBE5E4" w:themeColor="accent1" w:themeTint="99"/>
          <w:insideH w:val="nil"/>
          <w:insideV w:val="nil"/>
        </w:tcBorders>
        <w:shd w:val="clear" w:color="auto" w:fill="FFFFFF" w:themeFill="background1"/>
      </w:tcPr>
    </w:tblStylePr>
    <w:tblStylePr w:type="lastRow">
      <w:rPr>
        <w:b/>
        <w:bCs/>
      </w:rPr>
      <w:tblPr/>
      <w:tcPr>
        <w:tcBorders>
          <w:top w:val="double" w:sz="2" w:space="0" w:color="DBE5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6F6" w:themeFill="accent1" w:themeFillTint="33"/>
      </w:tcPr>
    </w:tblStylePr>
    <w:tblStylePr w:type="band1Horz">
      <w:tblPr/>
      <w:tcPr>
        <w:shd w:val="clear" w:color="auto" w:fill="F3F6F6" w:themeFill="accent1" w:themeFillTint="33"/>
      </w:tcPr>
    </w:tblStylePr>
  </w:style>
  <w:style w:type="table" w:styleId="GridTable2-Accent2">
    <w:name w:val="Grid Table 2 Accent 2"/>
    <w:basedOn w:val="TableNormal"/>
    <w:uiPriority w:val="99"/>
    <w:rsid w:val="00911DE3"/>
    <w:pPr>
      <w:spacing w:line="240" w:lineRule="auto"/>
    </w:pPr>
    <w:tblPr>
      <w:tblStyleRowBandSize w:val="1"/>
      <w:tblStyleColBandSize w:val="1"/>
      <w:tblBorders>
        <w:top w:val="single" w:sz="2" w:space="0" w:color="B6CBC9" w:themeColor="accent2" w:themeTint="99"/>
        <w:bottom w:val="single" w:sz="2" w:space="0" w:color="B6CBC9" w:themeColor="accent2" w:themeTint="99"/>
        <w:insideH w:val="single" w:sz="2" w:space="0" w:color="B6CBC9" w:themeColor="accent2" w:themeTint="99"/>
        <w:insideV w:val="single" w:sz="2" w:space="0" w:color="B6CBC9" w:themeColor="accent2" w:themeTint="99"/>
      </w:tblBorders>
    </w:tblPr>
    <w:tblStylePr w:type="firstRow">
      <w:rPr>
        <w:b/>
        <w:bCs/>
      </w:rPr>
      <w:tblPr/>
      <w:tcPr>
        <w:tcBorders>
          <w:top w:val="nil"/>
          <w:bottom w:val="single" w:sz="12" w:space="0" w:color="B6CBC9" w:themeColor="accent2" w:themeTint="99"/>
          <w:insideH w:val="nil"/>
          <w:insideV w:val="nil"/>
        </w:tcBorders>
        <w:shd w:val="clear" w:color="auto" w:fill="FFFFFF" w:themeFill="background1"/>
      </w:tcPr>
    </w:tblStylePr>
    <w:tblStylePr w:type="lastRow">
      <w:rPr>
        <w:b/>
        <w:bCs/>
      </w:rPr>
      <w:tblPr/>
      <w:tcPr>
        <w:tcBorders>
          <w:top w:val="double" w:sz="2" w:space="0" w:color="B6CBC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DED" w:themeFill="accent2" w:themeFillTint="33"/>
      </w:tcPr>
    </w:tblStylePr>
    <w:tblStylePr w:type="band1Horz">
      <w:tblPr/>
      <w:tcPr>
        <w:shd w:val="clear" w:color="auto" w:fill="E6EDED" w:themeFill="accent2" w:themeFillTint="33"/>
      </w:tcPr>
    </w:tblStylePr>
  </w:style>
  <w:style w:type="table" w:styleId="GridTable2-Accent3">
    <w:name w:val="Grid Table 2 Accent 3"/>
    <w:basedOn w:val="TableNormal"/>
    <w:uiPriority w:val="99"/>
    <w:rsid w:val="00911DE3"/>
    <w:pPr>
      <w:spacing w:line="240" w:lineRule="auto"/>
    </w:pPr>
    <w:tblPr>
      <w:tblStyleRowBandSize w:val="1"/>
      <w:tblStyleColBandSize w:val="1"/>
      <w:tblBorders>
        <w:top w:val="single" w:sz="2" w:space="0" w:color="9CBDBA" w:themeColor="accent3" w:themeTint="99"/>
        <w:bottom w:val="single" w:sz="2" w:space="0" w:color="9CBDBA" w:themeColor="accent3" w:themeTint="99"/>
        <w:insideH w:val="single" w:sz="2" w:space="0" w:color="9CBDBA" w:themeColor="accent3" w:themeTint="99"/>
        <w:insideV w:val="single" w:sz="2" w:space="0" w:color="9CBDBA" w:themeColor="accent3" w:themeTint="99"/>
      </w:tblBorders>
    </w:tblPr>
    <w:tblStylePr w:type="firstRow">
      <w:rPr>
        <w:b/>
        <w:bCs/>
      </w:rPr>
      <w:tblPr/>
      <w:tcPr>
        <w:tcBorders>
          <w:top w:val="nil"/>
          <w:bottom w:val="single" w:sz="12" w:space="0" w:color="9CBDBA" w:themeColor="accent3" w:themeTint="99"/>
          <w:insideH w:val="nil"/>
          <w:insideV w:val="nil"/>
        </w:tcBorders>
        <w:shd w:val="clear" w:color="auto" w:fill="FFFFFF" w:themeFill="background1"/>
      </w:tcPr>
    </w:tblStylePr>
    <w:tblStylePr w:type="lastRow">
      <w:rPr>
        <w:b/>
        <w:bCs/>
      </w:rPr>
      <w:tblPr/>
      <w:tcPr>
        <w:tcBorders>
          <w:top w:val="double" w:sz="2" w:space="0" w:color="9CBDB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9E8" w:themeFill="accent3" w:themeFillTint="33"/>
      </w:tcPr>
    </w:tblStylePr>
    <w:tblStylePr w:type="band1Horz">
      <w:tblPr/>
      <w:tcPr>
        <w:shd w:val="clear" w:color="auto" w:fill="DEE9E8" w:themeFill="accent3" w:themeFillTint="33"/>
      </w:tcPr>
    </w:tblStylePr>
  </w:style>
  <w:style w:type="table" w:styleId="GridTable2-Accent4">
    <w:name w:val="Grid Table 2 Accent 4"/>
    <w:basedOn w:val="TableNormal"/>
    <w:uiPriority w:val="99"/>
    <w:rsid w:val="00911DE3"/>
    <w:pPr>
      <w:spacing w:line="240" w:lineRule="auto"/>
    </w:pPr>
    <w:tblPr>
      <w:tblStyleRowBandSize w:val="1"/>
      <w:tblStyleColBandSize w:val="1"/>
      <w:tblBorders>
        <w:top w:val="single" w:sz="2" w:space="0" w:color="73BBB5" w:themeColor="accent4" w:themeTint="99"/>
        <w:bottom w:val="single" w:sz="2" w:space="0" w:color="73BBB5" w:themeColor="accent4" w:themeTint="99"/>
        <w:insideH w:val="single" w:sz="2" w:space="0" w:color="73BBB5" w:themeColor="accent4" w:themeTint="99"/>
        <w:insideV w:val="single" w:sz="2" w:space="0" w:color="73BBB5" w:themeColor="accent4" w:themeTint="99"/>
      </w:tblBorders>
    </w:tblPr>
    <w:tblStylePr w:type="firstRow">
      <w:rPr>
        <w:b/>
        <w:bCs/>
      </w:rPr>
      <w:tblPr/>
      <w:tcPr>
        <w:tcBorders>
          <w:top w:val="nil"/>
          <w:bottom w:val="single" w:sz="12" w:space="0" w:color="73BBB5" w:themeColor="accent4" w:themeTint="99"/>
          <w:insideH w:val="nil"/>
          <w:insideV w:val="nil"/>
        </w:tcBorders>
        <w:shd w:val="clear" w:color="auto" w:fill="FFFFFF" w:themeFill="background1"/>
      </w:tcPr>
    </w:tblStylePr>
    <w:tblStylePr w:type="lastRow">
      <w:rPr>
        <w:b/>
        <w:bCs/>
      </w:rPr>
      <w:tblPr/>
      <w:tcPr>
        <w:tcBorders>
          <w:top w:val="double" w:sz="2" w:space="0" w:color="73BBB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8E6" w:themeFill="accent4" w:themeFillTint="33"/>
      </w:tcPr>
    </w:tblStylePr>
    <w:tblStylePr w:type="band1Horz">
      <w:tblPr/>
      <w:tcPr>
        <w:shd w:val="clear" w:color="auto" w:fill="D0E8E6" w:themeFill="accent4" w:themeFillTint="33"/>
      </w:tcPr>
    </w:tblStylePr>
  </w:style>
  <w:style w:type="table" w:styleId="GridTable2-Accent5">
    <w:name w:val="Grid Table 2 Accent 5"/>
    <w:basedOn w:val="TableNormal"/>
    <w:uiPriority w:val="99"/>
    <w:rsid w:val="00911DE3"/>
    <w:pPr>
      <w:spacing w:line="240" w:lineRule="auto"/>
    </w:pPr>
    <w:tblPr>
      <w:tblStyleRowBandSize w:val="1"/>
      <w:tblStyleColBandSize w:val="1"/>
      <w:tblBorders>
        <w:top w:val="single" w:sz="2" w:space="0" w:color="65B5AE" w:themeColor="accent5" w:themeTint="99"/>
        <w:bottom w:val="single" w:sz="2" w:space="0" w:color="65B5AE" w:themeColor="accent5" w:themeTint="99"/>
        <w:insideH w:val="single" w:sz="2" w:space="0" w:color="65B5AE" w:themeColor="accent5" w:themeTint="99"/>
        <w:insideV w:val="single" w:sz="2" w:space="0" w:color="65B5AE" w:themeColor="accent5" w:themeTint="99"/>
      </w:tblBorders>
    </w:tblPr>
    <w:tblStylePr w:type="firstRow">
      <w:rPr>
        <w:b/>
        <w:bCs/>
      </w:rPr>
      <w:tblPr/>
      <w:tcPr>
        <w:tcBorders>
          <w:top w:val="nil"/>
          <w:bottom w:val="single" w:sz="12" w:space="0" w:color="65B5AE" w:themeColor="accent5" w:themeTint="99"/>
          <w:insideH w:val="nil"/>
          <w:insideV w:val="nil"/>
        </w:tcBorders>
        <w:shd w:val="clear" w:color="auto" w:fill="FFFFFF" w:themeFill="background1"/>
      </w:tcPr>
    </w:tblStylePr>
    <w:tblStylePr w:type="lastRow">
      <w:rPr>
        <w:b/>
        <w:bCs/>
      </w:rPr>
      <w:tblPr/>
      <w:tcPr>
        <w:tcBorders>
          <w:top w:val="double" w:sz="2" w:space="0" w:color="65B5A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BE6E4" w:themeFill="accent5" w:themeFillTint="33"/>
      </w:tcPr>
    </w:tblStylePr>
    <w:tblStylePr w:type="band1Horz">
      <w:tblPr/>
      <w:tcPr>
        <w:shd w:val="clear" w:color="auto" w:fill="CBE6E4" w:themeFill="accent5" w:themeFillTint="33"/>
      </w:tcPr>
    </w:tblStylePr>
  </w:style>
  <w:style w:type="table" w:styleId="GridTable2-Accent6">
    <w:name w:val="Grid Table 2 Accent 6"/>
    <w:basedOn w:val="TableNormal"/>
    <w:uiPriority w:val="99"/>
    <w:rsid w:val="00911DE3"/>
    <w:pPr>
      <w:spacing w:line="240" w:lineRule="auto"/>
    </w:pPr>
    <w:tblPr>
      <w:tblStyleRowBandSize w:val="1"/>
      <w:tblStyleColBandSize w:val="1"/>
      <w:tblBorders>
        <w:top w:val="single" w:sz="2" w:space="0" w:color="9ED9C5" w:themeColor="accent6" w:themeTint="99"/>
        <w:bottom w:val="single" w:sz="2" w:space="0" w:color="9ED9C5" w:themeColor="accent6" w:themeTint="99"/>
        <w:insideH w:val="single" w:sz="2" w:space="0" w:color="9ED9C5" w:themeColor="accent6" w:themeTint="99"/>
        <w:insideV w:val="single" w:sz="2" w:space="0" w:color="9ED9C5" w:themeColor="accent6" w:themeTint="99"/>
      </w:tblBorders>
    </w:tblPr>
    <w:tblStylePr w:type="firstRow">
      <w:rPr>
        <w:b/>
        <w:bCs/>
      </w:rPr>
      <w:tblPr/>
      <w:tcPr>
        <w:tcBorders>
          <w:top w:val="nil"/>
          <w:bottom w:val="single" w:sz="12" w:space="0" w:color="9ED9C5" w:themeColor="accent6" w:themeTint="99"/>
          <w:insideH w:val="nil"/>
          <w:insideV w:val="nil"/>
        </w:tcBorders>
        <w:shd w:val="clear" w:color="auto" w:fill="FFFFFF" w:themeFill="background1"/>
      </w:tcPr>
    </w:tblStylePr>
    <w:tblStylePr w:type="lastRow">
      <w:rPr>
        <w:b/>
        <w:bCs/>
      </w:rPr>
      <w:tblPr/>
      <w:tcPr>
        <w:tcBorders>
          <w:top w:val="double" w:sz="2" w:space="0" w:color="9ED9C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2EC" w:themeFill="accent6" w:themeFillTint="33"/>
      </w:tcPr>
    </w:tblStylePr>
    <w:tblStylePr w:type="band1Horz">
      <w:tblPr/>
      <w:tcPr>
        <w:shd w:val="clear" w:color="auto" w:fill="DEF2EC" w:themeFill="accent6" w:themeFillTint="33"/>
      </w:tcPr>
    </w:tblStylePr>
  </w:style>
  <w:style w:type="table" w:styleId="GridTable3">
    <w:name w:val="Grid Table 3"/>
    <w:basedOn w:val="TableNormal"/>
    <w:uiPriority w:val="99"/>
    <w:rsid w:val="00911DE3"/>
    <w:pPr>
      <w:spacing w:line="240" w:lineRule="auto"/>
    </w:pPr>
    <w:tblPr>
      <w:tblStyleRowBandSize w:val="1"/>
      <w:tblStyleColBandSize w:val="1"/>
      <w:tblBorders>
        <w:top w:val="single" w:sz="4" w:space="0" w:color="828282" w:themeColor="text1" w:themeTint="99"/>
        <w:left w:val="single" w:sz="4" w:space="0" w:color="828282" w:themeColor="text1" w:themeTint="99"/>
        <w:bottom w:val="single" w:sz="4" w:space="0" w:color="828282" w:themeColor="text1" w:themeTint="99"/>
        <w:right w:val="single" w:sz="4" w:space="0" w:color="828282" w:themeColor="text1" w:themeTint="99"/>
        <w:insideH w:val="single" w:sz="4" w:space="0" w:color="828282" w:themeColor="text1" w:themeTint="99"/>
        <w:insideV w:val="single" w:sz="4" w:space="0" w:color="828282"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D5D5" w:themeFill="text1" w:themeFillTint="33"/>
      </w:tcPr>
    </w:tblStylePr>
    <w:tblStylePr w:type="band1Horz">
      <w:tblPr/>
      <w:tcPr>
        <w:shd w:val="clear" w:color="auto" w:fill="D5D5D5" w:themeFill="text1" w:themeFillTint="33"/>
      </w:tcPr>
    </w:tblStylePr>
    <w:tblStylePr w:type="neCell">
      <w:tblPr/>
      <w:tcPr>
        <w:tcBorders>
          <w:bottom w:val="single" w:sz="4" w:space="0" w:color="828282" w:themeColor="text1" w:themeTint="99"/>
        </w:tcBorders>
      </w:tcPr>
    </w:tblStylePr>
    <w:tblStylePr w:type="nwCell">
      <w:tblPr/>
      <w:tcPr>
        <w:tcBorders>
          <w:bottom w:val="single" w:sz="4" w:space="0" w:color="828282" w:themeColor="text1" w:themeTint="99"/>
        </w:tcBorders>
      </w:tcPr>
    </w:tblStylePr>
    <w:tblStylePr w:type="seCell">
      <w:tblPr/>
      <w:tcPr>
        <w:tcBorders>
          <w:top w:val="single" w:sz="4" w:space="0" w:color="828282" w:themeColor="text1" w:themeTint="99"/>
        </w:tcBorders>
      </w:tcPr>
    </w:tblStylePr>
    <w:tblStylePr w:type="swCell">
      <w:tblPr/>
      <w:tcPr>
        <w:tcBorders>
          <w:top w:val="single" w:sz="4" w:space="0" w:color="828282" w:themeColor="text1" w:themeTint="99"/>
        </w:tcBorders>
      </w:tcPr>
    </w:tblStylePr>
  </w:style>
  <w:style w:type="table" w:styleId="GridTable3-Accent1">
    <w:name w:val="Grid Table 3 Accent 1"/>
    <w:basedOn w:val="TableNormal"/>
    <w:uiPriority w:val="99"/>
    <w:rsid w:val="00911DE3"/>
    <w:pPr>
      <w:spacing w:line="240" w:lineRule="auto"/>
    </w:pPr>
    <w:tblPr>
      <w:tblStyleRowBandSize w:val="1"/>
      <w:tblStyleColBandSize w:val="1"/>
      <w:tblBorders>
        <w:top w:val="single" w:sz="4" w:space="0" w:color="DBE5E4" w:themeColor="accent1" w:themeTint="99"/>
        <w:left w:val="single" w:sz="4" w:space="0" w:color="DBE5E4" w:themeColor="accent1" w:themeTint="99"/>
        <w:bottom w:val="single" w:sz="4" w:space="0" w:color="DBE5E4" w:themeColor="accent1" w:themeTint="99"/>
        <w:right w:val="single" w:sz="4" w:space="0" w:color="DBE5E4" w:themeColor="accent1" w:themeTint="99"/>
        <w:insideH w:val="single" w:sz="4" w:space="0" w:color="DBE5E4" w:themeColor="accent1" w:themeTint="99"/>
        <w:insideV w:val="single" w:sz="4" w:space="0" w:color="DBE5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6F6" w:themeFill="accent1" w:themeFillTint="33"/>
      </w:tcPr>
    </w:tblStylePr>
    <w:tblStylePr w:type="band1Horz">
      <w:tblPr/>
      <w:tcPr>
        <w:shd w:val="clear" w:color="auto" w:fill="F3F6F6" w:themeFill="accent1" w:themeFillTint="33"/>
      </w:tcPr>
    </w:tblStylePr>
    <w:tblStylePr w:type="neCell">
      <w:tblPr/>
      <w:tcPr>
        <w:tcBorders>
          <w:bottom w:val="single" w:sz="4" w:space="0" w:color="DBE5E4" w:themeColor="accent1" w:themeTint="99"/>
        </w:tcBorders>
      </w:tcPr>
    </w:tblStylePr>
    <w:tblStylePr w:type="nwCell">
      <w:tblPr/>
      <w:tcPr>
        <w:tcBorders>
          <w:bottom w:val="single" w:sz="4" w:space="0" w:color="DBE5E4" w:themeColor="accent1" w:themeTint="99"/>
        </w:tcBorders>
      </w:tcPr>
    </w:tblStylePr>
    <w:tblStylePr w:type="seCell">
      <w:tblPr/>
      <w:tcPr>
        <w:tcBorders>
          <w:top w:val="single" w:sz="4" w:space="0" w:color="DBE5E4" w:themeColor="accent1" w:themeTint="99"/>
        </w:tcBorders>
      </w:tcPr>
    </w:tblStylePr>
    <w:tblStylePr w:type="swCell">
      <w:tblPr/>
      <w:tcPr>
        <w:tcBorders>
          <w:top w:val="single" w:sz="4" w:space="0" w:color="DBE5E4" w:themeColor="accent1" w:themeTint="99"/>
        </w:tcBorders>
      </w:tcPr>
    </w:tblStylePr>
  </w:style>
  <w:style w:type="table" w:styleId="GridTable3-Accent2">
    <w:name w:val="Grid Table 3 Accent 2"/>
    <w:basedOn w:val="TableNormal"/>
    <w:uiPriority w:val="99"/>
    <w:rsid w:val="00911DE3"/>
    <w:pPr>
      <w:spacing w:line="240" w:lineRule="auto"/>
    </w:pPr>
    <w:tblPr>
      <w:tblStyleRowBandSize w:val="1"/>
      <w:tblStyleColBandSize w:val="1"/>
      <w:tblBorders>
        <w:top w:val="single" w:sz="4" w:space="0" w:color="B6CBC9" w:themeColor="accent2" w:themeTint="99"/>
        <w:left w:val="single" w:sz="4" w:space="0" w:color="B6CBC9" w:themeColor="accent2" w:themeTint="99"/>
        <w:bottom w:val="single" w:sz="4" w:space="0" w:color="B6CBC9" w:themeColor="accent2" w:themeTint="99"/>
        <w:right w:val="single" w:sz="4" w:space="0" w:color="B6CBC9" w:themeColor="accent2" w:themeTint="99"/>
        <w:insideH w:val="single" w:sz="4" w:space="0" w:color="B6CBC9" w:themeColor="accent2" w:themeTint="99"/>
        <w:insideV w:val="single" w:sz="4" w:space="0" w:color="B6CBC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DED" w:themeFill="accent2" w:themeFillTint="33"/>
      </w:tcPr>
    </w:tblStylePr>
    <w:tblStylePr w:type="band1Horz">
      <w:tblPr/>
      <w:tcPr>
        <w:shd w:val="clear" w:color="auto" w:fill="E6EDED" w:themeFill="accent2" w:themeFillTint="33"/>
      </w:tcPr>
    </w:tblStylePr>
    <w:tblStylePr w:type="neCell">
      <w:tblPr/>
      <w:tcPr>
        <w:tcBorders>
          <w:bottom w:val="single" w:sz="4" w:space="0" w:color="B6CBC9" w:themeColor="accent2" w:themeTint="99"/>
        </w:tcBorders>
      </w:tcPr>
    </w:tblStylePr>
    <w:tblStylePr w:type="nwCell">
      <w:tblPr/>
      <w:tcPr>
        <w:tcBorders>
          <w:bottom w:val="single" w:sz="4" w:space="0" w:color="B6CBC9" w:themeColor="accent2" w:themeTint="99"/>
        </w:tcBorders>
      </w:tcPr>
    </w:tblStylePr>
    <w:tblStylePr w:type="seCell">
      <w:tblPr/>
      <w:tcPr>
        <w:tcBorders>
          <w:top w:val="single" w:sz="4" w:space="0" w:color="B6CBC9" w:themeColor="accent2" w:themeTint="99"/>
        </w:tcBorders>
      </w:tcPr>
    </w:tblStylePr>
    <w:tblStylePr w:type="swCell">
      <w:tblPr/>
      <w:tcPr>
        <w:tcBorders>
          <w:top w:val="single" w:sz="4" w:space="0" w:color="B6CBC9" w:themeColor="accent2" w:themeTint="99"/>
        </w:tcBorders>
      </w:tcPr>
    </w:tblStylePr>
  </w:style>
  <w:style w:type="table" w:styleId="GridTable3-Accent3">
    <w:name w:val="Grid Table 3 Accent 3"/>
    <w:basedOn w:val="TableNormal"/>
    <w:uiPriority w:val="99"/>
    <w:rsid w:val="00911DE3"/>
    <w:pPr>
      <w:spacing w:line="240" w:lineRule="auto"/>
    </w:pPr>
    <w:tblPr>
      <w:tblStyleRowBandSize w:val="1"/>
      <w:tblStyleColBandSize w:val="1"/>
      <w:tblBorders>
        <w:top w:val="single" w:sz="4" w:space="0" w:color="9CBDBA" w:themeColor="accent3" w:themeTint="99"/>
        <w:left w:val="single" w:sz="4" w:space="0" w:color="9CBDBA" w:themeColor="accent3" w:themeTint="99"/>
        <w:bottom w:val="single" w:sz="4" w:space="0" w:color="9CBDBA" w:themeColor="accent3" w:themeTint="99"/>
        <w:right w:val="single" w:sz="4" w:space="0" w:color="9CBDBA" w:themeColor="accent3" w:themeTint="99"/>
        <w:insideH w:val="single" w:sz="4" w:space="0" w:color="9CBDBA" w:themeColor="accent3" w:themeTint="99"/>
        <w:insideV w:val="single" w:sz="4" w:space="0" w:color="9CBDB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9E8" w:themeFill="accent3" w:themeFillTint="33"/>
      </w:tcPr>
    </w:tblStylePr>
    <w:tblStylePr w:type="band1Horz">
      <w:tblPr/>
      <w:tcPr>
        <w:shd w:val="clear" w:color="auto" w:fill="DEE9E8" w:themeFill="accent3" w:themeFillTint="33"/>
      </w:tcPr>
    </w:tblStylePr>
    <w:tblStylePr w:type="neCell">
      <w:tblPr/>
      <w:tcPr>
        <w:tcBorders>
          <w:bottom w:val="single" w:sz="4" w:space="0" w:color="9CBDBA" w:themeColor="accent3" w:themeTint="99"/>
        </w:tcBorders>
      </w:tcPr>
    </w:tblStylePr>
    <w:tblStylePr w:type="nwCell">
      <w:tblPr/>
      <w:tcPr>
        <w:tcBorders>
          <w:bottom w:val="single" w:sz="4" w:space="0" w:color="9CBDBA" w:themeColor="accent3" w:themeTint="99"/>
        </w:tcBorders>
      </w:tcPr>
    </w:tblStylePr>
    <w:tblStylePr w:type="seCell">
      <w:tblPr/>
      <w:tcPr>
        <w:tcBorders>
          <w:top w:val="single" w:sz="4" w:space="0" w:color="9CBDBA" w:themeColor="accent3" w:themeTint="99"/>
        </w:tcBorders>
      </w:tcPr>
    </w:tblStylePr>
    <w:tblStylePr w:type="swCell">
      <w:tblPr/>
      <w:tcPr>
        <w:tcBorders>
          <w:top w:val="single" w:sz="4" w:space="0" w:color="9CBDBA" w:themeColor="accent3" w:themeTint="99"/>
        </w:tcBorders>
      </w:tcPr>
    </w:tblStylePr>
  </w:style>
  <w:style w:type="table" w:styleId="GridTable3-Accent4">
    <w:name w:val="Grid Table 3 Accent 4"/>
    <w:basedOn w:val="TableNormal"/>
    <w:uiPriority w:val="99"/>
    <w:rsid w:val="00911DE3"/>
    <w:pPr>
      <w:spacing w:line="240" w:lineRule="auto"/>
    </w:pPr>
    <w:tblPr>
      <w:tblStyleRowBandSize w:val="1"/>
      <w:tblStyleColBandSize w:val="1"/>
      <w:tblBorders>
        <w:top w:val="single" w:sz="4" w:space="0" w:color="73BBB5" w:themeColor="accent4" w:themeTint="99"/>
        <w:left w:val="single" w:sz="4" w:space="0" w:color="73BBB5" w:themeColor="accent4" w:themeTint="99"/>
        <w:bottom w:val="single" w:sz="4" w:space="0" w:color="73BBB5" w:themeColor="accent4" w:themeTint="99"/>
        <w:right w:val="single" w:sz="4" w:space="0" w:color="73BBB5" w:themeColor="accent4" w:themeTint="99"/>
        <w:insideH w:val="single" w:sz="4" w:space="0" w:color="73BBB5" w:themeColor="accent4" w:themeTint="99"/>
        <w:insideV w:val="single" w:sz="4" w:space="0" w:color="73BBB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8E6" w:themeFill="accent4" w:themeFillTint="33"/>
      </w:tcPr>
    </w:tblStylePr>
    <w:tblStylePr w:type="band1Horz">
      <w:tblPr/>
      <w:tcPr>
        <w:shd w:val="clear" w:color="auto" w:fill="D0E8E6" w:themeFill="accent4" w:themeFillTint="33"/>
      </w:tcPr>
    </w:tblStylePr>
    <w:tblStylePr w:type="neCell">
      <w:tblPr/>
      <w:tcPr>
        <w:tcBorders>
          <w:bottom w:val="single" w:sz="4" w:space="0" w:color="73BBB5" w:themeColor="accent4" w:themeTint="99"/>
        </w:tcBorders>
      </w:tcPr>
    </w:tblStylePr>
    <w:tblStylePr w:type="nwCell">
      <w:tblPr/>
      <w:tcPr>
        <w:tcBorders>
          <w:bottom w:val="single" w:sz="4" w:space="0" w:color="73BBB5" w:themeColor="accent4" w:themeTint="99"/>
        </w:tcBorders>
      </w:tcPr>
    </w:tblStylePr>
    <w:tblStylePr w:type="seCell">
      <w:tblPr/>
      <w:tcPr>
        <w:tcBorders>
          <w:top w:val="single" w:sz="4" w:space="0" w:color="73BBB5" w:themeColor="accent4" w:themeTint="99"/>
        </w:tcBorders>
      </w:tcPr>
    </w:tblStylePr>
    <w:tblStylePr w:type="swCell">
      <w:tblPr/>
      <w:tcPr>
        <w:tcBorders>
          <w:top w:val="single" w:sz="4" w:space="0" w:color="73BBB5" w:themeColor="accent4" w:themeTint="99"/>
        </w:tcBorders>
      </w:tcPr>
    </w:tblStylePr>
  </w:style>
  <w:style w:type="table" w:styleId="GridTable3-Accent5">
    <w:name w:val="Grid Table 3 Accent 5"/>
    <w:basedOn w:val="TableNormal"/>
    <w:uiPriority w:val="99"/>
    <w:rsid w:val="00911DE3"/>
    <w:pPr>
      <w:spacing w:line="240" w:lineRule="auto"/>
    </w:pPr>
    <w:tblPr>
      <w:tblStyleRowBandSize w:val="1"/>
      <w:tblStyleColBandSize w:val="1"/>
      <w:tblBorders>
        <w:top w:val="single" w:sz="4" w:space="0" w:color="65B5AE" w:themeColor="accent5" w:themeTint="99"/>
        <w:left w:val="single" w:sz="4" w:space="0" w:color="65B5AE" w:themeColor="accent5" w:themeTint="99"/>
        <w:bottom w:val="single" w:sz="4" w:space="0" w:color="65B5AE" w:themeColor="accent5" w:themeTint="99"/>
        <w:right w:val="single" w:sz="4" w:space="0" w:color="65B5AE" w:themeColor="accent5" w:themeTint="99"/>
        <w:insideH w:val="single" w:sz="4" w:space="0" w:color="65B5AE" w:themeColor="accent5" w:themeTint="99"/>
        <w:insideV w:val="single" w:sz="4" w:space="0" w:color="65B5A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E6E4" w:themeFill="accent5" w:themeFillTint="33"/>
      </w:tcPr>
    </w:tblStylePr>
    <w:tblStylePr w:type="band1Horz">
      <w:tblPr/>
      <w:tcPr>
        <w:shd w:val="clear" w:color="auto" w:fill="CBE6E4" w:themeFill="accent5" w:themeFillTint="33"/>
      </w:tcPr>
    </w:tblStylePr>
    <w:tblStylePr w:type="neCell">
      <w:tblPr/>
      <w:tcPr>
        <w:tcBorders>
          <w:bottom w:val="single" w:sz="4" w:space="0" w:color="65B5AE" w:themeColor="accent5" w:themeTint="99"/>
        </w:tcBorders>
      </w:tcPr>
    </w:tblStylePr>
    <w:tblStylePr w:type="nwCell">
      <w:tblPr/>
      <w:tcPr>
        <w:tcBorders>
          <w:bottom w:val="single" w:sz="4" w:space="0" w:color="65B5AE" w:themeColor="accent5" w:themeTint="99"/>
        </w:tcBorders>
      </w:tcPr>
    </w:tblStylePr>
    <w:tblStylePr w:type="seCell">
      <w:tblPr/>
      <w:tcPr>
        <w:tcBorders>
          <w:top w:val="single" w:sz="4" w:space="0" w:color="65B5AE" w:themeColor="accent5" w:themeTint="99"/>
        </w:tcBorders>
      </w:tcPr>
    </w:tblStylePr>
    <w:tblStylePr w:type="swCell">
      <w:tblPr/>
      <w:tcPr>
        <w:tcBorders>
          <w:top w:val="single" w:sz="4" w:space="0" w:color="65B5AE" w:themeColor="accent5" w:themeTint="99"/>
        </w:tcBorders>
      </w:tcPr>
    </w:tblStylePr>
  </w:style>
  <w:style w:type="table" w:styleId="GridTable3-Accent6">
    <w:name w:val="Grid Table 3 Accent 6"/>
    <w:basedOn w:val="TableNormal"/>
    <w:uiPriority w:val="99"/>
    <w:rsid w:val="00911DE3"/>
    <w:pPr>
      <w:spacing w:line="240" w:lineRule="auto"/>
    </w:pPr>
    <w:tblPr>
      <w:tblStyleRowBandSize w:val="1"/>
      <w:tblStyleColBandSize w:val="1"/>
      <w:tblBorders>
        <w:top w:val="single" w:sz="4" w:space="0" w:color="9ED9C5" w:themeColor="accent6" w:themeTint="99"/>
        <w:left w:val="single" w:sz="4" w:space="0" w:color="9ED9C5" w:themeColor="accent6" w:themeTint="99"/>
        <w:bottom w:val="single" w:sz="4" w:space="0" w:color="9ED9C5" w:themeColor="accent6" w:themeTint="99"/>
        <w:right w:val="single" w:sz="4" w:space="0" w:color="9ED9C5" w:themeColor="accent6" w:themeTint="99"/>
        <w:insideH w:val="single" w:sz="4" w:space="0" w:color="9ED9C5" w:themeColor="accent6" w:themeTint="99"/>
        <w:insideV w:val="single" w:sz="4" w:space="0" w:color="9ED9C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2EC" w:themeFill="accent6" w:themeFillTint="33"/>
      </w:tcPr>
    </w:tblStylePr>
    <w:tblStylePr w:type="band1Horz">
      <w:tblPr/>
      <w:tcPr>
        <w:shd w:val="clear" w:color="auto" w:fill="DEF2EC" w:themeFill="accent6" w:themeFillTint="33"/>
      </w:tcPr>
    </w:tblStylePr>
    <w:tblStylePr w:type="neCell">
      <w:tblPr/>
      <w:tcPr>
        <w:tcBorders>
          <w:bottom w:val="single" w:sz="4" w:space="0" w:color="9ED9C5" w:themeColor="accent6" w:themeTint="99"/>
        </w:tcBorders>
      </w:tcPr>
    </w:tblStylePr>
    <w:tblStylePr w:type="nwCell">
      <w:tblPr/>
      <w:tcPr>
        <w:tcBorders>
          <w:bottom w:val="single" w:sz="4" w:space="0" w:color="9ED9C5" w:themeColor="accent6" w:themeTint="99"/>
        </w:tcBorders>
      </w:tcPr>
    </w:tblStylePr>
    <w:tblStylePr w:type="seCell">
      <w:tblPr/>
      <w:tcPr>
        <w:tcBorders>
          <w:top w:val="single" w:sz="4" w:space="0" w:color="9ED9C5" w:themeColor="accent6" w:themeTint="99"/>
        </w:tcBorders>
      </w:tcPr>
    </w:tblStylePr>
    <w:tblStylePr w:type="swCell">
      <w:tblPr/>
      <w:tcPr>
        <w:tcBorders>
          <w:top w:val="single" w:sz="4" w:space="0" w:color="9ED9C5" w:themeColor="accent6" w:themeTint="99"/>
        </w:tcBorders>
      </w:tcPr>
    </w:tblStylePr>
  </w:style>
  <w:style w:type="table" w:styleId="GridTable4">
    <w:name w:val="Grid Table 4"/>
    <w:basedOn w:val="TableNormal"/>
    <w:uiPriority w:val="99"/>
    <w:rsid w:val="00911DE3"/>
    <w:pPr>
      <w:spacing w:line="240" w:lineRule="auto"/>
    </w:pPr>
    <w:tblPr>
      <w:tblStyleRowBandSize w:val="1"/>
      <w:tblStyleColBandSize w:val="1"/>
      <w:tblBorders>
        <w:top w:val="single" w:sz="4" w:space="0" w:color="828282" w:themeColor="text1" w:themeTint="99"/>
        <w:left w:val="single" w:sz="4" w:space="0" w:color="828282" w:themeColor="text1" w:themeTint="99"/>
        <w:bottom w:val="single" w:sz="4" w:space="0" w:color="828282" w:themeColor="text1" w:themeTint="99"/>
        <w:right w:val="single" w:sz="4" w:space="0" w:color="828282" w:themeColor="text1" w:themeTint="99"/>
        <w:insideH w:val="single" w:sz="4" w:space="0" w:color="828282" w:themeColor="text1" w:themeTint="99"/>
        <w:insideV w:val="single" w:sz="4" w:space="0" w:color="828282" w:themeColor="text1" w:themeTint="99"/>
      </w:tblBorders>
    </w:tblPr>
    <w:tblStylePr w:type="firstRow">
      <w:rPr>
        <w:b/>
        <w:bCs/>
        <w:color w:val="FFFFFF" w:themeColor="background1"/>
      </w:rPr>
      <w:tblPr/>
      <w:tcPr>
        <w:tcBorders>
          <w:top w:val="single" w:sz="4" w:space="0" w:color="303030" w:themeColor="text1"/>
          <w:left w:val="single" w:sz="4" w:space="0" w:color="303030" w:themeColor="text1"/>
          <w:bottom w:val="single" w:sz="4" w:space="0" w:color="303030" w:themeColor="text1"/>
          <w:right w:val="single" w:sz="4" w:space="0" w:color="303030" w:themeColor="text1"/>
          <w:insideH w:val="nil"/>
          <w:insideV w:val="nil"/>
        </w:tcBorders>
        <w:shd w:val="clear" w:color="auto" w:fill="303030" w:themeFill="text1"/>
      </w:tcPr>
    </w:tblStylePr>
    <w:tblStylePr w:type="lastRow">
      <w:rPr>
        <w:b/>
        <w:bCs/>
      </w:rPr>
      <w:tblPr/>
      <w:tcPr>
        <w:tcBorders>
          <w:top w:val="double" w:sz="4" w:space="0" w:color="303030" w:themeColor="text1"/>
        </w:tcBorders>
      </w:tcPr>
    </w:tblStylePr>
    <w:tblStylePr w:type="firstCol">
      <w:rPr>
        <w:b/>
        <w:bCs/>
      </w:rPr>
    </w:tblStylePr>
    <w:tblStylePr w:type="lastCol">
      <w:rPr>
        <w:b/>
        <w:bCs/>
      </w:rPr>
    </w:tblStylePr>
    <w:tblStylePr w:type="band1Vert">
      <w:tblPr/>
      <w:tcPr>
        <w:shd w:val="clear" w:color="auto" w:fill="D5D5D5" w:themeFill="text1" w:themeFillTint="33"/>
      </w:tcPr>
    </w:tblStylePr>
    <w:tblStylePr w:type="band1Horz">
      <w:tblPr/>
      <w:tcPr>
        <w:shd w:val="clear" w:color="auto" w:fill="D5D5D5" w:themeFill="text1" w:themeFillTint="33"/>
      </w:tcPr>
    </w:tblStylePr>
  </w:style>
  <w:style w:type="table" w:styleId="GridTable4-Accent1">
    <w:name w:val="Grid Table 4 Accent 1"/>
    <w:basedOn w:val="TableNormal"/>
    <w:uiPriority w:val="49"/>
    <w:rsid w:val="00911DE3"/>
    <w:pPr>
      <w:spacing w:line="240" w:lineRule="auto"/>
    </w:pPr>
    <w:tblPr>
      <w:tblStyleRowBandSize w:val="1"/>
      <w:tblStyleColBandSize w:val="1"/>
      <w:tblBorders>
        <w:top w:val="single" w:sz="4" w:space="0" w:color="DBE5E4" w:themeColor="accent1" w:themeTint="99"/>
        <w:left w:val="single" w:sz="4" w:space="0" w:color="DBE5E4" w:themeColor="accent1" w:themeTint="99"/>
        <w:bottom w:val="single" w:sz="4" w:space="0" w:color="DBE5E4" w:themeColor="accent1" w:themeTint="99"/>
        <w:right w:val="single" w:sz="4" w:space="0" w:color="DBE5E4" w:themeColor="accent1" w:themeTint="99"/>
        <w:insideH w:val="single" w:sz="4" w:space="0" w:color="DBE5E4" w:themeColor="accent1" w:themeTint="99"/>
        <w:insideV w:val="single" w:sz="4" w:space="0" w:color="DBE5E4" w:themeColor="accent1" w:themeTint="99"/>
      </w:tblBorders>
    </w:tblPr>
    <w:tblStylePr w:type="firstRow">
      <w:rPr>
        <w:b/>
        <w:bCs/>
        <w:color w:val="FFFFFF" w:themeColor="background1"/>
      </w:rPr>
      <w:tblPr/>
      <w:tcPr>
        <w:tcBorders>
          <w:top w:val="single" w:sz="4" w:space="0" w:color="C4D5D3" w:themeColor="accent1"/>
          <w:left w:val="single" w:sz="4" w:space="0" w:color="C4D5D3" w:themeColor="accent1"/>
          <w:bottom w:val="single" w:sz="4" w:space="0" w:color="C4D5D3" w:themeColor="accent1"/>
          <w:right w:val="single" w:sz="4" w:space="0" w:color="C4D5D3" w:themeColor="accent1"/>
          <w:insideH w:val="nil"/>
          <w:insideV w:val="nil"/>
        </w:tcBorders>
        <w:shd w:val="clear" w:color="auto" w:fill="C4D5D3" w:themeFill="accent1"/>
      </w:tcPr>
    </w:tblStylePr>
    <w:tblStylePr w:type="lastRow">
      <w:rPr>
        <w:b/>
        <w:bCs/>
      </w:rPr>
      <w:tblPr/>
      <w:tcPr>
        <w:tcBorders>
          <w:top w:val="double" w:sz="4" w:space="0" w:color="C4D5D3" w:themeColor="accent1"/>
        </w:tcBorders>
      </w:tcPr>
    </w:tblStylePr>
    <w:tblStylePr w:type="firstCol">
      <w:rPr>
        <w:b/>
        <w:bCs/>
      </w:rPr>
    </w:tblStylePr>
    <w:tblStylePr w:type="lastCol">
      <w:rPr>
        <w:b/>
        <w:bCs/>
      </w:rPr>
    </w:tblStylePr>
    <w:tblStylePr w:type="band1Vert">
      <w:tblPr/>
      <w:tcPr>
        <w:shd w:val="clear" w:color="auto" w:fill="F3F6F6" w:themeFill="accent1" w:themeFillTint="33"/>
      </w:tcPr>
    </w:tblStylePr>
    <w:tblStylePr w:type="band1Horz">
      <w:tblPr/>
      <w:tcPr>
        <w:shd w:val="clear" w:color="auto" w:fill="F3F6F6" w:themeFill="accent1" w:themeFillTint="33"/>
      </w:tcPr>
    </w:tblStylePr>
  </w:style>
  <w:style w:type="table" w:styleId="GridTable4-Accent2">
    <w:name w:val="Grid Table 4 Accent 2"/>
    <w:basedOn w:val="TableNormal"/>
    <w:uiPriority w:val="99"/>
    <w:rsid w:val="00911DE3"/>
    <w:pPr>
      <w:spacing w:line="240" w:lineRule="auto"/>
    </w:pPr>
    <w:tblPr>
      <w:tblStyleRowBandSize w:val="1"/>
      <w:tblStyleColBandSize w:val="1"/>
      <w:tblBorders>
        <w:top w:val="single" w:sz="4" w:space="0" w:color="B6CBC9" w:themeColor="accent2" w:themeTint="99"/>
        <w:left w:val="single" w:sz="4" w:space="0" w:color="B6CBC9" w:themeColor="accent2" w:themeTint="99"/>
        <w:bottom w:val="single" w:sz="4" w:space="0" w:color="B6CBC9" w:themeColor="accent2" w:themeTint="99"/>
        <w:right w:val="single" w:sz="4" w:space="0" w:color="B6CBC9" w:themeColor="accent2" w:themeTint="99"/>
        <w:insideH w:val="single" w:sz="4" w:space="0" w:color="B6CBC9" w:themeColor="accent2" w:themeTint="99"/>
        <w:insideV w:val="single" w:sz="4" w:space="0" w:color="B6CBC9" w:themeColor="accent2" w:themeTint="99"/>
      </w:tblBorders>
    </w:tblPr>
    <w:tblStylePr w:type="firstRow">
      <w:rPr>
        <w:b/>
        <w:bCs/>
        <w:color w:val="FFFFFF" w:themeColor="background1"/>
      </w:rPr>
      <w:tblPr/>
      <w:tcPr>
        <w:tcBorders>
          <w:top w:val="single" w:sz="4" w:space="0" w:color="86A9A6" w:themeColor="accent2"/>
          <w:left w:val="single" w:sz="4" w:space="0" w:color="86A9A6" w:themeColor="accent2"/>
          <w:bottom w:val="single" w:sz="4" w:space="0" w:color="86A9A6" w:themeColor="accent2"/>
          <w:right w:val="single" w:sz="4" w:space="0" w:color="86A9A6" w:themeColor="accent2"/>
          <w:insideH w:val="nil"/>
          <w:insideV w:val="nil"/>
        </w:tcBorders>
        <w:shd w:val="clear" w:color="auto" w:fill="86A9A6" w:themeFill="accent2"/>
      </w:tcPr>
    </w:tblStylePr>
    <w:tblStylePr w:type="lastRow">
      <w:rPr>
        <w:b/>
        <w:bCs/>
      </w:rPr>
      <w:tblPr/>
      <w:tcPr>
        <w:tcBorders>
          <w:top w:val="double" w:sz="4" w:space="0" w:color="86A9A6" w:themeColor="accent2"/>
        </w:tcBorders>
      </w:tcPr>
    </w:tblStylePr>
    <w:tblStylePr w:type="firstCol">
      <w:rPr>
        <w:b/>
        <w:bCs/>
      </w:rPr>
    </w:tblStylePr>
    <w:tblStylePr w:type="lastCol">
      <w:rPr>
        <w:b/>
        <w:bCs/>
      </w:rPr>
    </w:tblStylePr>
    <w:tblStylePr w:type="band1Vert">
      <w:tblPr/>
      <w:tcPr>
        <w:shd w:val="clear" w:color="auto" w:fill="E6EDED" w:themeFill="accent2" w:themeFillTint="33"/>
      </w:tcPr>
    </w:tblStylePr>
    <w:tblStylePr w:type="band1Horz">
      <w:tblPr/>
      <w:tcPr>
        <w:shd w:val="clear" w:color="auto" w:fill="E6EDED" w:themeFill="accent2" w:themeFillTint="33"/>
      </w:tcPr>
    </w:tblStylePr>
  </w:style>
  <w:style w:type="table" w:styleId="GridTable4-Accent3">
    <w:name w:val="Grid Table 4 Accent 3"/>
    <w:basedOn w:val="TableNormal"/>
    <w:uiPriority w:val="99"/>
    <w:rsid w:val="00911DE3"/>
    <w:pPr>
      <w:spacing w:line="240" w:lineRule="auto"/>
    </w:pPr>
    <w:tblPr>
      <w:tblStyleRowBandSize w:val="1"/>
      <w:tblStyleColBandSize w:val="1"/>
      <w:tblBorders>
        <w:top w:val="single" w:sz="4" w:space="0" w:color="9CBDBA" w:themeColor="accent3" w:themeTint="99"/>
        <w:left w:val="single" w:sz="4" w:space="0" w:color="9CBDBA" w:themeColor="accent3" w:themeTint="99"/>
        <w:bottom w:val="single" w:sz="4" w:space="0" w:color="9CBDBA" w:themeColor="accent3" w:themeTint="99"/>
        <w:right w:val="single" w:sz="4" w:space="0" w:color="9CBDBA" w:themeColor="accent3" w:themeTint="99"/>
        <w:insideH w:val="single" w:sz="4" w:space="0" w:color="9CBDBA" w:themeColor="accent3" w:themeTint="99"/>
        <w:insideV w:val="single" w:sz="4" w:space="0" w:color="9CBDBA" w:themeColor="accent3" w:themeTint="99"/>
      </w:tblBorders>
    </w:tblPr>
    <w:tblStylePr w:type="firstRow">
      <w:rPr>
        <w:b/>
        <w:bCs/>
        <w:color w:val="FFFFFF" w:themeColor="background1"/>
      </w:rPr>
      <w:tblPr/>
      <w:tcPr>
        <w:tcBorders>
          <w:top w:val="single" w:sz="4" w:space="0" w:color="5E8D89" w:themeColor="accent3"/>
          <w:left w:val="single" w:sz="4" w:space="0" w:color="5E8D89" w:themeColor="accent3"/>
          <w:bottom w:val="single" w:sz="4" w:space="0" w:color="5E8D89" w:themeColor="accent3"/>
          <w:right w:val="single" w:sz="4" w:space="0" w:color="5E8D89" w:themeColor="accent3"/>
          <w:insideH w:val="nil"/>
          <w:insideV w:val="nil"/>
        </w:tcBorders>
        <w:shd w:val="clear" w:color="auto" w:fill="5E8D89" w:themeFill="accent3"/>
      </w:tcPr>
    </w:tblStylePr>
    <w:tblStylePr w:type="lastRow">
      <w:rPr>
        <w:b/>
        <w:bCs/>
      </w:rPr>
      <w:tblPr/>
      <w:tcPr>
        <w:tcBorders>
          <w:top w:val="double" w:sz="4" w:space="0" w:color="5E8D89" w:themeColor="accent3"/>
        </w:tcBorders>
      </w:tcPr>
    </w:tblStylePr>
    <w:tblStylePr w:type="firstCol">
      <w:rPr>
        <w:b/>
        <w:bCs/>
      </w:rPr>
    </w:tblStylePr>
    <w:tblStylePr w:type="lastCol">
      <w:rPr>
        <w:b/>
        <w:bCs/>
      </w:rPr>
    </w:tblStylePr>
    <w:tblStylePr w:type="band1Vert">
      <w:tblPr/>
      <w:tcPr>
        <w:shd w:val="clear" w:color="auto" w:fill="DEE9E8" w:themeFill="accent3" w:themeFillTint="33"/>
      </w:tcPr>
    </w:tblStylePr>
    <w:tblStylePr w:type="band1Horz">
      <w:tblPr/>
      <w:tcPr>
        <w:shd w:val="clear" w:color="auto" w:fill="DEE9E8" w:themeFill="accent3" w:themeFillTint="33"/>
      </w:tcPr>
    </w:tblStylePr>
  </w:style>
  <w:style w:type="table" w:styleId="GridTable4-Accent4">
    <w:name w:val="Grid Table 4 Accent 4"/>
    <w:basedOn w:val="TableNormal"/>
    <w:uiPriority w:val="99"/>
    <w:rsid w:val="00911DE3"/>
    <w:pPr>
      <w:spacing w:line="240" w:lineRule="auto"/>
    </w:pPr>
    <w:tblPr>
      <w:tblStyleRowBandSize w:val="1"/>
      <w:tblStyleColBandSize w:val="1"/>
      <w:tblBorders>
        <w:top w:val="single" w:sz="4" w:space="0" w:color="73BBB5" w:themeColor="accent4" w:themeTint="99"/>
        <w:left w:val="single" w:sz="4" w:space="0" w:color="73BBB5" w:themeColor="accent4" w:themeTint="99"/>
        <w:bottom w:val="single" w:sz="4" w:space="0" w:color="73BBB5" w:themeColor="accent4" w:themeTint="99"/>
        <w:right w:val="single" w:sz="4" w:space="0" w:color="73BBB5" w:themeColor="accent4" w:themeTint="99"/>
        <w:insideH w:val="single" w:sz="4" w:space="0" w:color="73BBB5" w:themeColor="accent4" w:themeTint="99"/>
        <w:insideV w:val="single" w:sz="4" w:space="0" w:color="73BBB5" w:themeColor="accent4" w:themeTint="99"/>
      </w:tblBorders>
    </w:tblPr>
    <w:tblStylePr w:type="firstRow">
      <w:rPr>
        <w:b/>
        <w:bCs/>
        <w:color w:val="FFFFFF" w:themeColor="background1"/>
      </w:rPr>
      <w:tblPr/>
      <w:tcPr>
        <w:tcBorders>
          <w:top w:val="single" w:sz="4" w:space="0" w:color="36706B" w:themeColor="accent4"/>
          <w:left w:val="single" w:sz="4" w:space="0" w:color="36706B" w:themeColor="accent4"/>
          <w:bottom w:val="single" w:sz="4" w:space="0" w:color="36706B" w:themeColor="accent4"/>
          <w:right w:val="single" w:sz="4" w:space="0" w:color="36706B" w:themeColor="accent4"/>
          <w:insideH w:val="nil"/>
          <w:insideV w:val="nil"/>
        </w:tcBorders>
        <w:shd w:val="clear" w:color="auto" w:fill="36706B" w:themeFill="accent4"/>
      </w:tcPr>
    </w:tblStylePr>
    <w:tblStylePr w:type="lastRow">
      <w:rPr>
        <w:b/>
        <w:bCs/>
      </w:rPr>
      <w:tblPr/>
      <w:tcPr>
        <w:tcBorders>
          <w:top w:val="double" w:sz="4" w:space="0" w:color="36706B" w:themeColor="accent4"/>
        </w:tcBorders>
      </w:tcPr>
    </w:tblStylePr>
    <w:tblStylePr w:type="firstCol">
      <w:rPr>
        <w:b/>
        <w:bCs/>
      </w:rPr>
    </w:tblStylePr>
    <w:tblStylePr w:type="lastCol">
      <w:rPr>
        <w:b/>
        <w:bCs/>
      </w:rPr>
    </w:tblStylePr>
    <w:tblStylePr w:type="band1Vert">
      <w:tblPr/>
      <w:tcPr>
        <w:shd w:val="clear" w:color="auto" w:fill="D0E8E6" w:themeFill="accent4" w:themeFillTint="33"/>
      </w:tcPr>
    </w:tblStylePr>
    <w:tblStylePr w:type="band1Horz">
      <w:tblPr/>
      <w:tcPr>
        <w:shd w:val="clear" w:color="auto" w:fill="D0E8E6" w:themeFill="accent4" w:themeFillTint="33"/>
      </w:tcPr>
    </w:tblStylePr>
  </w:style>
  <w:style w:type="table" w:styleId="GridTable4-Accent5">
    <w:name w:val="Grid Table 4 Accent 5"/>
    <w:basedOn w:val="TableNormal"/>
    <w:uiPriority w:val="99"/>
    <w:rsid w:val="00911DE3"/>
    <w:pPr>
      <w:spacing w:line="240" w:lineRule="auto"/>
    </w:pPr>
    <w:tblPr>
      <w:tblStyleRowBandSize w:val="1"/>
      <w:tblStyleColBandSize w:val="1"/>
      <w:tblBorders>
        <w:top w:val="single" w:sz="4" w:space="0" w:color="65B5AE" w:themeColor="accent5" w:themeTint="99"/>
        <w:left w:val="single" w:sz="4" w:space="0" w:color="65B5AE" w:themeColor="accent5" w:themeTint="99"/>
        <w:bottom w:val="single" w:sz="4" w:space="0" w:color="65B5AE" w:themeColor="accent5" w:themeTint="99"/>
        <w:right w:val="single" w:sz="4" w:space="0" w:color="65B5AE" w:themeColor="accent5" w:themeTint="99"/>
        <w:insideH w:val="single" w:sz="4" w:space="0" w:color="65B5AE" w:themeColor="accent5" w:themeTint="99"/>
        <w:insideV w:val="single" w:sz="4" w:space="0" w:color="65B5AE" w:themeColor="accent5" w:themeTint="99"/>
      </w:tblBorders>
    </w:tblPr>
    <w:tblStylePr w:type="firstRow">
      <w:rPr>
        <w:b/>
        <w:bCs/>
        <w:color w:val="FFFFFF" w:themeColor="background1"/>
      </w:rPr>
      <w:tblPr/>
      <w:tcPr>
        <w:tcBorders>
          <w:top w:val="single" w:sz="4" w:space="0" w:color="2B5A56" w:themeColor="accent5"/>
          <w:left w:val="single" w:sz="4" w:space="0" w:color="2B5A56" w:themeColor="accent5"/>
          <w:bottom w:val="single" w:sz="4" w:space="0" w:color="2B5A56" w:themeColor="accent5"/>
          <w:right w:val="single" w:sz="4" w:space="0" w:color="2B5A56" w:themeColor="accent5"/>
          <w:insideH w:val="nil"/>
          <w:insideV w:val="nil"/>
        </w:tcBorders>
        <w:shd w:val="clear" w:color="auto" w:fill="2B5A56" w:themeFill="accent5"/>
      </w:tcPr>
    </w:tblStylePr>
    <w:tblStylePr w:type="lastRow">
      <w:rPr>
        <w:b/>
        <w:bCs/>
      </w:rPr>
      <w:tblPr/>
      <w:tcPr>
        <w:tcBorders>
          <w:top w:val="double" w:sz="4" w:space="0" w:color="2B5A56" w:themeColor="accent5"/>
        </w:tcBorders>
      </w:tcPr>
    </w:tblStylePr>
    <w:tblStylePr w:type="firstCol">
      <w:rPr>
        <w:b/>
        <w:bCs/>
      </w:rPr>
    </w:tblStylePr>
    <w:tblStylePr w:type="lastCol">
      <w:rPr>
        <w:b/>
        <w:bCs/>
      </w:rPr>
    </w:tblStylePr>
    <w:tblStylePr w:type="band1Vert">
      <w:tblPr/>
      <w:tcPr>
        <w:shd w:val="clear" w:color="auto" w:fill="CBE6E4" w:themeFill="accent5" w:themeFillTint="33"/>
      </w:tcPr>
    </w:tblStylePr>
    <w:tblStylePr w:type="band1Horz">
      <w:tblPr/>
      <w:tcPr>
        <w:shd w:val="clear" w:color="auto" w:fill="CBE6E4" w:themeFill="accent5" w:themeFillTint="33"/>
      </w:tcPr>
    </w:tblStylePr>
  </w:style>
  <w:style w:type="table" w:styleId="GridTable4-Accent6">
    <w:name w:val="Grid Table 4 Accent 6"/>
    <w:basedOn w:val="TableNormal"/>
    <w:uiPriority w:val="99"/>
    <w:rsid w:val="00911DE3"/>
    <w:pPr>
      <w:spacing w:line="240" w:lineRule="auto"/>
    </w:pPr>
    <w:tblPr>
      <w:tblStyleRowBandSize w:val="1"/>
      <w:tblStyleColBandSize w:val="1"/>
      <w:tblBorders>
        <w:top w:val="single" w:sz="4" w:space="0" w:color="9ED9C5" w:themeColor="accent6" w:themeTint="99"/>
        <w:left w:val="single" w:sz="4" w:space="0" w:color="9ED9C5" w:themeColor="accent6" w:themeTint="99"/>
        <w:bottom w:val="single" w:sz="4" w:space="0" w:color="9ED9C5" w:themeColor="accent6" w:themeTint="99"/>
        <w:right w:val="single" w:sz="4" w:space="0" w:color="9ED9C5" w:themeColor="accent6" w:themeTint="99"/>
        <w:insideH w:val="single" w:sz="4" w:space="0" w:color="9ED9C5" w:themeColor="accent6" w:themeTint="99"/>
        <w:insideV w:val="single" w:sz="4" w:space="0" w:color="9ED9C5" w:themeColor="accent6" w:themeTint="99"/>
      </w:tblBorders>
    </w:tblPr>
    <w:tblStylePr w:type="firstRow">
      <w:rPr>
        <w:b/>
        <w:bCs/>
        <w:color w:val="FFFFFF" w:themeColor="background1"/>
      </w:rPr>
      <w:tblPr/>
      <w:tcPr>
        <w:tcBorders>
          <w:top w:val="single" w:sz="4" w:space="0" w:color="5EC1A0" w:themeColor="accent6"/>
          <w:left w:val="single" w:sz="4" w:space="0" w:color="5EC1A0" w:themeColor="accent6"/>
          <w:bottom w:val="single" w:sz="4" w:space="0" w:color="5EC1A0" w:themeColor="accent6"/>
          <w:right w:val="single" w:sz="4" w:space="0" w:color="5EC1A0" w:themeColor="accent6"/>
          <w:insideH w:val="nil"/>
          <w:insideV w:val="nil"/>
        </w:tcBorders>
        <w:shd w:val="clear" w:color="auto" w:fill="5EC1A0" w:themeFill="accent6"/>
      </w:tcPr>
    </w:tblStylePr>
    <w:tblStylePr w:type="lastRow">
      <w:rPr>
        <w:b/>
        <w:bCs/>
      </w:rPr>
      <w:tblPr/>
      <w:tcPr>
        <w:tcBorders>
          <w:top w:val="double" w:sz="4" w:space="0" w:color="5EC1A0" w:themeColor="accent6"/>
        </w:tcBorders>
      </w:tcPr>
    </w:tblStylePr>
    <w:tblStylePr w:type="firstCol">
      <w:rPr>
        <w:b/>
        <w:bCs/>
      </w:rPr>
    </w:tblStylePr>
    <w:tblStylePr w:type="lastCol">
      <w:rPr>
        <w:b/>
        <w:bCs/>
      </w:rPr>
    </w:tblStylePr>
    <w:tblStylePr w:type="band1Vert">
      <w:tblPr/>
      <w:tcPr>
        <w:shd w:val="clear" w:color="auto" w:fill="DEF2EC" w:themeFill="accent6" w:themeFillTint="33"/>
      </w:tcPr>
    </w:tblStylePr>
    <w:tblStylePr w:type="band1Horz">
      <w:tblPr/>
      <w:tcPr>
        <w:shd w:val="clear" w:color="auto" w:fill="DEF2EC" w:themeFill="accent6" w:themeFillTint="33"/>
      </w:tcPr>
    </w:tblStylePr>
  </w:style>
  <w:style w:type="table" w:styleId="GridTable5Dark">
    <w:name w:val="Grid Table 5 Dark"/>
    <w:basedOn w:val="TableNormal"/>
    <w:uiPriority w:val="99"/>
    <w:rsid w:val="00911DE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D5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0303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0303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0303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03030" w:themeFill="text1"/>
      </w:tcPr>
    </w:tblStylePr>
    <w:tblStylePr w:type="band1Vert">
      <w:tblPr/>
      <w:tcPr>
        <w:shd w:val="clear" w:color="auto" w:fill="ACACAC" w:themeFill="text1" w:themeFillTint="66"/>
      </w:tcPr>
    </w:tblStylePr>
    <w:tblStylePr w:type="band1Horz">
      <w:tblPr/>
      <w:tcPr>
        <w:shd w:val="clear" w:color="auto" w:fill="ACACAC" w:themeFill="text1" w:themeFillTint="66"/>
      </w:tcPr>
    </w:tblStylePr>
  </w:style>
  <w:style w:type="table" w:styleId="GridTable5Dark-Accent1">
    <w:name w:val="Grid Table 5 Dark Accent 1"/>
    <w:basedOn w:val="TableNormal"/>
    <w:uiPriority w:val="50"/>
    <w:rsid w:val="00911DE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6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4D5D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4D5D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4D5D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4D5D3" w:themeFill="accent1"/>
      </w:tcPr>
    </w:tblStylePr>
    <w:tblStylePr w:type="band1Vert">
      <w:tblPr/>
      <w:tcPr>
        <w:shd w:val="clear" w:color="auto" w:fill="E7EEED" w:themeFill="accent1" w:themeFillTint="66"/>
      </w:tcPr>
    </w:tblStylePr>
    <w:tblStylePr w:type="band1Horz">
      <w:tblPr/>
      <w:tcPr>
        <w:shd w:val="clear" w:color="auto" w:fill="E7EEED" w:themeFill="accent1" w:themeFillTint="66"/>
      </w:tcPr>
    </w:tblStylePr>
  </w:style>
  <w:style w:type="table" w:styleId="GridTable5Dark-Accent2">
    <w:name w:val="Grid Table 5 Dark Accent 2"/>
    <w:basedOn w:val="TableNormal"/>
    <w:uiPriority w:val="99"/>
    <w:rsid w:val="00911DE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DE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A9A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A9A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A9A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A9A6" w:themeFill="accent2"/>
      </w:tcPr>
    </w:tblStylePr>
    <w:tblStylePr w:type="band1Vert">
      <w:tblPr/>
      <w:tcPr>
        <w:shd w:val="clear" w:color="auto" w:fill="CEDCDB" w:themeFill="accent2" w:themeFillTint="66"/>
      </w:tcPr>
    </w:tblStylePr>
    <w:tblStylePr w:type="band1Horz">
      <w:tblPr/>
      <w:tcPr>
        <w:shd w:val="clear" w:color="auto" w:fill="CEDCDB" w:themeFill="accent2" w:themeFillTint="66"/>
      </w:tcPr>
    </w:tblStylePr>
  </w:style>
  <w:style w:type="table" w:styleId="GridTable5Dark-Accent3">
    <w:name w:val="Grid Table 5 Dark Accent 3"/>
    <w:basedOn w:val="TableNormal"/>
    <w:uiPriority w:val="99"/>
    <w:rsid w:val="00911DE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9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8D8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8D8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8D8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8D89" w:themeFill="accent3"/>
      </w:tcPr>
    </w:tblStylePr>
    <w:tblStylePr w:type="band1Vert">
      <w:tblPr/>
      <w:tcPr>
        <w:shd w:val="clear" w:color="auto" w:fill="BDD3D1" w:themeFill="accent3" w:themeFillTint="66"/>
      </w:tcPr>
    </w:tblStylePr>
    <w:tblStylePr w:type="band1Horz">
      <w:tblPr/>
      <w:tcPr>
        <w:shd w:val="clear" w:color="auto" w:fill="BDD3D1" w:themeFill="accent3" w:themeFillTint="66"/>
      </w:tcPr>
    </w:tblStylePr>
  </w:style>
  <w:style w:type="table" w:styleId="GridTable5Dark-Accent4">
    <w:name w:val="Grid Table 5 Dark Accent 4"/>
    <w:basedOn w:val="TableNormal"/>
    <w:uiPriority w:val="99"/>
    <w:rsid w:val="00911DE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8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706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706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706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706B" w:themeFill="accent4"/>
      </w:tcPr>
    </w:tblStylePr>
    <w:tblStylePr w:type="band1Vert">
      <w:tblPr/>
      <w:tcPr>
        <w:shd w:val="clear" w:color="auto" w:fill="A2D2CE" w:themeFill="accent4" w:themeFillTint="66"/>
      </w:tcPr>
    </w:tblStylePr>
    <w:tblStylePr w:type="band1Horz">
      <w:tblPr/>
      <w:tcPr>
        <w:shd w:val="clear" w:color="auto" w:fill="A2D2CE" w:themeFill="accent4" w:themeFillTint="66"/>
      </w:tcPr>
    </w:tblStylePr>
  </w:style>
  <w:style w:type="table" w:styleId="GridTable5Dark-Accent5">
    <w:name w:val="Grid Table 5 Dark Accent 5"/>
    <w:basedOn w:val="TableNormal"/>
    <w:uiPriority w:val="99"/>
    <w:rsid w:val="00911DE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E6E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A5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A5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A5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A56" w:themeFill="accent5"/>
      </w:tcPr>
    </w:tblStylePr>
    <w:tblStylePr w:type="band1Vert">
      <w:tblPr/>
      <w:tcPr>
        <w:shd w:val="clear" w:color="auto" w:fill="98CEC9" w:themeFill="accent5" w:themeFillTint="66"/>
      </w:tcPr>
    </w:tblStylePr>
    <w:tblStylePr w:type="band1Horz">
      <w:tblPr/>
      <w:tcPr>
        <w:shd w:val="clear" w:color="auto" w:fill="98CEC9" w:themeFill="accent5" w:themeFillTint="66"/>
      </w:tcPr>
    </w:tblStylePr>
  </w:style>
  <w:style w:type="table" w:styleId="GridTable5Dark-Accent6">
    <w:name w:val="Grid Table 5 Dark Accent 6"/>
    <w:basedOn w:val="TableNormal"/>
    <w:uiPriority w:val="99"/>
    <w:rsid w:val="00911DE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2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1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1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1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1A0" w:themeFill="accent6"/>
      </w:tcPr>
    </w:tblStylePr>
    <w:tblStylePr w:type="band1Vert">
      <w:tblPr/>
      <w:tcPr>
        <w:shd w:val="clear" w:color="auto" w:fill="BEE6D8" w:themeFill="accent6" w:themeFillTint="66"/>
      </w:tcPr>
    </w:tblStylePr>
    <w:tblStylePr w:type="band1Horz">
      <w:tblPr/>
      <w:tcPr>
        <w:shd w:val="clear" w:color="auto" w:fill="BEE6D8" w:themeFill="accent6" w:themeFillTint="66"/>
      </w:tcPr>
    </w:tblStylePr>
  </w:style>
  <w:style w:type="table" w:styleId="GridTable6Colorful">
    <w:name w:val="Grid Table 6 Colorful"/>
    <w:basedOn w:val="TableNormal"/>
    <w:uiPriority w:val="99"/>
    <w:rsid w:val="00911DE3"/>
    <w:pPr>
      <w:spacing w:line="240" w:lineRule="auto"/>
    </w:pPr>
    <w:rPr>
      <w:color w:val="303030" w:themeColor="text1"/>
    </w:rPr>
    <w:tblPr>
      <w:tblStyleRowBandSize w:val="1"/>
      <w:tblStyleColBandSize w:val="1"/>
      <w:tblBorders>
        <w:top w:val="single" w:sz="4" w:space="0" w:color="828282" w:themeColor="text1" w:themeTint="99"/>
        <w:left w:val="single" w:sz="4" w:space="0" w:color="828282" w:themeColor="text1" w:themeTint="99"/>
        <w:bottom w:val="single" w:sz="4" w:space="0" w:color="828282" w:themeColor="text1" w:themeTint="99"/>
        <w:right w:val="single" w:sz="4" w:space="0" w:color="828282" w:themeColor="text1" w:themeTint="99"/>
        <w:insideH w:val="single" w:sz="4" w:space="0" w:color="828282" w:themeColor="text1" w:themeTint="99"/>
        <w:insideV w:val="single" w:sz="4" w:space="0" w:color="828282" w:themeColor="text1" w:themeTint="99"/>
      </w:tblBorders>
    </w:tblPr>
    <w:tblStylePr w:type="firstRow">
      <w:rPr>
        <w:b/>
        <w:bCs/>
      </w:rPr>
      <w:tblPr/>
      <w:tcPr>
        <w:tcBorders>
          <w:bottom w:val="single" w:sz="12" w:space="0" w:color="828282" w:themeColor="text1" w:themeTint="99"/>
        </w:tcBorders>
      </w:tcPr>
    </w:tblStylePr>
    <w:tblStylePr w:type="lastRow">
      <w:rPr>
        <w:b/>
        <w:bCs/>
      </w:rPr>
      <w:tblPr/>
      <w:tcPr>
        <w:tcBorders>
          <w:top w:val="double" w:sz="4" w:space="0" w:color="828282" w:themeColor="text1" w:themeTint="99"/>
        </w:tcBorders>
      </w:tcPr>
    </w:tblStylePr>
    <w:tblStylePr w:type="firstCol">
      <w:rPr>
        <w:b/>
        <w:bCs/>
      </w:rPr>
    </w:tblStylePr>
    <w:tblStylePr w:type="lastCol">
      <w:rPr>
        <w:b/>
        <w:bCs/>
      </w:rPr>
    </w:tblStylePr>
    <w:tblStylePr w:type="band1Vert">
      <w:tblPr/>
      <w:tcPr>
        <w:shd w:val="clear" w:color="auto" w:fill="D5D5D5" w:themeFill="text1" w:themeFillTint="33"/>
      </w:tcPr>
    </w:tblStylePr>
    <w:tblStylePr w:type="band1Horz">
      <w:tblPr/>
      <w:tcPr>
        <w:shd w:val="clear" w:color="auto" w:fill="D5D5D5" w:themeFill="text1" w:themeFillTint="33"/>
      </w:tcPr>
    </w:tblStylePr>
  </w:style>
  <w:style w:type="table" w:styleId="GridTable6Colorful-Accent1">
    <w:name w:val="Grid Table 6 Colorful Accent 1"/>
    <w:basedOn w:val="TableNormal"/>
    <w:uiPriority w:val="99"/>
    <w:rsid w:val="00911DE3"/>
    <w:pPr>
      <w:spacing w:line="240" w:lineRule="auto"/>
    </w:pPr>
    <w:rPr>
      <w:color w:val="88AAA6" w:themeColor="accent1" w:themeShade="BF"/>
    </w:rPr>
    <w:tblPr>
      <w:tblStyleRowBandSize w:val="1"/>
      <w:tblStyleColBandSize w:val="1"/>
      <w:tblBorders>
        <w:top w:val="single" w:sz="4" w:space="0" w:color="DBE5E4" w:themeColor="accent1" w:themeTint="99"/>
        <w:left w:val="single" w:sz="4" w:space="0" w:color="DBE5E4" w:themeColor="accent1" w:themeTint="99"/>
        <w:bottom w:val="single" w:sz="4" w:space="0" w:color="DBE5E4" w:themeColor="accent1" w:themeTint="99"/>
        <w:right w:val="single" w:sz="4" w:space="0" w:color="DBE5E4" w:themeColor="accent1" w:themeTint="99"/>
        <w:insideH w:val="single" w:sz="4" w:space="0" w:color="DBE5E4" w:themeColor="accent1" w:themeTint="99"/>
        <w:insideV w:val="single" w:sz="4" w:space="0" w:color="DBE5E4" w:themeColor="accent1" w:themeTint="99"/>
      </w:tblBorders>
    </w:tblPr>
    <w:tblStylePr w:type="firstRow">
      <w:rPr>
        <w:b/>
        <w:bCs/>
      </w:rPr>
      <w:tblPr/>
      <w:tcPr>
        <w:tcBorders>
          <w:bottom w:val="single" w:sz="12" w:space="0" w:color="DBE5E4" w:themeColor="accent1" w:themeTint="99"/>
        </w:tcBorders>
      </w:tcPr>
    </w:tblStylePr>
    <w:tblStylePr w:type="lastRow">
      <w:rPr>
        <w:b/>
        <w:bCs/>
      </w:rPr>
      <w:tblPr/>
      <w:tcPr>
        <w:tcBorders>
          <w:top w:val="double" w:sz="4" w:space="0" w:color="DBE5E4" w:themeColor="accent1" w:themeTint="99"/>
        </w:tcBorders>
      </w:tcPr>
    </w:tblStylePr>
    <w:tblStylePr w:type="firstCol">
      <w:rPr>
        <w:b/>
        <w:bCs/>
      </w:rPr>
    </w:tblStylePr>
    <w:tblStylePr w:type="lastCol">
      <w:rPr>
        <w:b/>
        <w:bCs/>
      </w:rPr>
    </w:tblStylePr>
    <w:tblStylePr w:type="band1Vert">
      <w:tblPr/>
      <w:tcPr>
        <w:shd w:val="clear" w:color="auto" w:fill="F3F6F6" w:themeFill="accent1" w:themeFillTint="33"/>
      </w:tcPr>
    </w:tblStylePr>
    <w:tblStylePr w:type="band1Horz">
      <w:tblPr/>
      <w:tcPr>
        <w:shd w:val="clear" w:color="auto" w:fill="F3F6F6" w:themeFill="accent1" w:themeFillTint="33"/>
      </w:tcPr>
    </w:tblStylePr>
  </w:style>
  <w:style w:type="table" w:styleId="GridTable6Colorful-Accent2">
    <w:name w:val="Grid Table 6 Colorful Accent 2"/>
    <w:basedOn w:val="TableNormal"/>
    <w:uiPriority w:val="99"/>
    <w:rsid w:val="00911DE3"/>
    <w:pPr>
      <w:spacing w:line="240" w:lineRule="auto"/>
    </w:pPr>
    <w:rPr>
      <w:color w:val="5E8481" w:themeColor="accent2" w:themeShade="BF"/>
    </w:rPr>
    <w:tblPr>
      <w:tblStyleRowBandSize w:val="1"/>
      <w:tblStyleColBandSize w:val="1"/>
      <w:tblBorders>
        <w:top w:val="single" w:sz="4" w:space="0" w:color="B6CBC9" w:themeColor="accent2" w:themeTint="99"/>
        <w:left w:val="single" w:sz="4" w:space="0" w:color="B6CBC9" w:themeColor="accent2" w:themeTint="99"/>
        <w:bottom w:val="single" w:sz="4" w:space="0" w:color="B6CBC9" w:themeColor="accent2" w:themeTint="99"/>
        <w:right w:val="single" w:sz="4" w:space="0" w:color="B6CBC9" w:themeColor="accent2" w:themeTint="99"/>
        <w:insideH w:val="single" w:sz="4" w:space="0" w:color="B6CBC9" w:themeColor="accent2" w:themeTint="99"/>
        <w:insideV w:val="single" w:sz="4" w:space="0" w:color="B6CBC9" w:themeColor="accent2" w:themeTint="99"/>
      </w:tblBorders>
    </w:tblPr>
    <w:tblStylePr w:type="firstRow">
      <w:rPr>
        <w:b/>
        <w:bCs/>
      </w:rPr>
      <w:tblPr/>
      <w:tcPr>
        <w:tcBorders>
          <w:bottom w:val="single" w:sz="12" w:space="0" w:color="B6CBC9" w:themeColor="accent2" w:themeTint="99"/>
        </w:tcBorders>
      </w:tcPr>
    </w:tblStylePr>
    <w:tblStylePr w:type="lastRow">
      <w:rPr>
        <w:b/>
        <w:bCs/>
      </w:rPr>
      <w:tblPr/>
      <w:tcPr>
        <w:tcBorders>
          <w:top w:val="double" w:sz="4" w:space="0" w:color="B6CBC9" w:themeColor="accent2" w:themeTint="99"/>
        </w:tcBorders>
      </w:tcPr>
    </w:tblStylePr>
    <w:tblStylePr w:type="firstCol">
      <w:rPr>
        <w:b/>
        <w:bCs/>
      </w:rPr>
    </w:tblStylePr>
    <w:tblStylePr w:type="lastCol">
      <w:rPr>
        <w:b/>
        <w:bCs/>
      </w:rPr>
    </w:tblStylePr>
    <w:tblStylePr w:type="band1Vert">
      <w:tblPr/>
      <w:tcPr>
        <w:shd w:val="clear" w:color="auto" w:fill="E6EDED" w:themeFill="accent2" w:themeFillTint="33"/>
      </w:tcPr>
    </w:tblStylePr>
    <w:tblStylePr w:type="band1Horz">
      <w:tblPr/>
      <w:tcPr>
        <w:shd w:val="clear" w:color="auto" w:fill="E6EDED" w:themeFill="accent2" w:themeFillTint="33"/>
      </w:tcPr>
    </w:tblStylePr>
  </w:style>
  <w:style w:type="table" w:styleId="GridTable6Colorful-Accent3">
    <w:name w:val="Grid Table 6 Colorful Accent 3"/>
    <w:basedOn w:val="TableNormal"/>
    <w:uiPriority w:val="99"/>
    <w:rsid w:val="00911DE3"/>
    <w:pPr>
      <w:spacing w:line="240" w:lineRule="auto"/>
    </w:pPr>
    <w:rPr>
      <w:color w:val="466966" w:themeColor="accent3" w:themeShade="BF"/>
    </w:rPr>
    <w:tblPr>
      <w:tblStyleRowBandSize w:val="1"/>
      <w:tblStyleColBandSize w:val="1"/>
      <w:tblBorders>
        <w:top w:val="single" w:sz="4" w:space="0" w:color="9CBDBA" w:themeColor="accent3" w:themeTint="99"/>
        <w:left w:val="single" w:sz="4" w:space="0" w:color="9CBDBA" w:themeColor="accent3" w:themeTint="99"/>
        <w:bottom w:val="single" w:sz="4" w:space="0" w:color="9CBDBA" w:themeColor="accent3" w:themeTint="99"/>
        <w:right w:val="single" w:sz="4" w:space="0" w:color="9CBDBA" w:themeColor="accent3" w:themeTint="99"/>
        <w:insideH w:val="single" w:sz="4" w:space="0" w:color="9CBDBA" w:themeColor="accent3" w:themeTint="99"/>
        <w:insideV w:val="single" w:sz="4" w:space="0" w:color="9CBDBA" w:themeColor="accent3" w:themeTint="99"/>
      </w:tblBorders>
    </w:tblPr>
    <w:tblStylePr w:type="firstRow">
      <w:rPr>
        <w:b/>
        <w:bCs/>
      </w:rPr>
      <w:tblPr/>
      <w:tcPr>
        <w:tcBorders>
          <w:bottom w:val="single" w:sz="12" w:space="0" w:color="9CBDBA" w:themeColor="accent3" w:themeTint="99"/>
        </w:tcBorders>
      </w:tcPr>
    </w:tblStylePr>
    <w:tblStylePr w:type="lastRow">
      <w:rPr>
        <w:b/>
        <w:bCs/>
      </w:rPr>
      <w:tblPr/>
      <w:tcPr>
        <w:tcBorders>
          <w:top w:val="double" w:sz="4" w:space="0" w:color="9CBDBA" w:themeColor="accent3" w:themeTint="99"/>
        </w:tcBorders>
      </w:tcPr>
    </w:tblStylePr>
    <w:tblStylePr w:type="firstCol">
      <w:rPr>
        <w:b/>
        <w:bCs/>
      </w:rPr>
    </w:tblStylePr>
    <w:tblStylePr w:type="lastCol">
      <w:rPr>
        <w:b/>
        <w:bCs/>
      </w:rPr>
    </w:tblStylePr>
    <w:tblStylePr w:type="band1Vert">
      <w:tblPr/>
      <w:tcPr>
        <w:shd w:val="clear" w:color="auto" w:fill="DEE9E8" w:themeFill="accent3" w:themeFillTint="33"/>
      </w:tcPr>
    </w:tblStylePr>
    <w:tblStylePr w:type="band1Horz">
      <w:tblPr/>
      <w:tcPr>
        <w:shd w:val="clear" w:color="auto" w:fill="DEE9E8" w:themeFill="accent3" w:themeFillTint="33"/>
      </w:tcPr>
    </w:tblStylePr>
  </w:style>
  <w:style w:type="table" w:styleId="GridTable6Colorful-Accent4">
    <w:name w:val="Grid Table 6 Colorful Accent 4"/>
    <w:basedOn w:val="TableNormal"/>
    <w:uiPriority w:val="99"/>
    <w:rsid w:val="00911DE3"/>
    <w:pPr>
      <w:spacing w:line="240" w:lineRule="auto"/>
    </w:pPr>
    <w:rPr>
      <w:color w:val="285350" w:themeColor="accent4" w:themeShade="BF"/>
    </w:rPr>
    <w:tblPr>
      <w:tblStyleRowBandSize w:val="1"/>
      <w:tblStyleColBandSize w:val="1"/>
      <w:tblBorders>
        <w:top w:val="single" w:sz="4" w:space="0" w:color="73BBB5" w:themeColor="accent4" w:themeTint="99"/>
        <w:left w:val="single" w:sz="4" w:space="0" w:color="73BBB5" w:themeColor="accent4" w:themeTint="99"/>
        <w:bottom w:val="single" w:sz="4" w:space="0" w:color="73BBB5" w:themeColor="accent4" w:themeTint="99"/>
        <w:right w:val="single" w:sz="4" w:space="0" w:color="73BBB5" w:themeColor="accent4" w:themeTint="99"/>
        <w:insideH w:val="single" w:sz="4" w:space="0" w:color="73BBB5" w:themeColor="accent4" w:themeTint="99"/>
        <w:insideV w:val="single" w:sz="4" w:space="0" w:color="73BBB5" w:themeColor="accent4" w:themeTint="99"/>
      </w:tblBorders>
    </w:tblPr>
    <w:tblStylePr w:type="firstRow">
      <w:rPr>
        <w:b/>
        <w:bCs/>
      </w:rPr>
      <w:tblPr/>
      <w:tcPr>
        <w:tcBorders>
          <w:bottom w:val="single" w:sz="12" w:space="0" w:color="73BBB5" w:themeColor="accent4" w:themeTint="99"/>
        </w:tcBorders>
      </w:tcPr>
    </w:tblStylePr>
    <w:tblStylePr w:type="lastRow">
      <w:rPr>
        <w:b/>
        <w:bCs/>
      </w:rPr>
      <w:tblPr/>
      <w:tcPr>
        <w:tcBorders>
          <w:top w:val="double" w:sz="4" w:space="0" w:color="73BBB5" w:themeColor="accent4" w:themeTint="99"/>
        </w:tcBorders>
      </w:tcPr>
    </w:tblStylePr>
    <w:tblStylePr w:type="firstCol">
      <w:rPr>
        <w:b/>
        <w:bCs/>
      </w:rPr>
    </w:tblStylePr>
    <w:tblStylePr w:type="lastCol">
      <w:rPr>
        <w:b/>
        <w:bCs/>
      </w:rPr>
    </w:tblStylePr>
    <w:tblStylePr w:type="band1Vert">
      <w:tblPr/>
      <w:tcPr>
        <w:shd w:val="clear" w:color="auto" w:fill="D0E8E6" w:themeFill="accent4" w:themeFillTint="33"/>
      </w:tcPr>
    </w:tblStylePr>
    <w:tblStylePr w:type="band1Horz">
      <w:tblPr/>
      <w:tcPr>
        <w:shd w:val="clear" w:color="auto" w:fill="D0E8E6" w:themeFill="accent4" w:themeFillTint="33"/>
      </w:tcPr>
    </w:tblStylePr>
  </w:style>
  <w:style w:type="table" w:styleId="GridTable6Colorful-Accent5">
    <w:name w:val="Grid Table 6 Colorful Accent 5"/>
    <w:basedOn w:val="TableNormal"/>
    <w:uiPriority w:val="99"/>
    <w:rsid w:val="00911DE3"/>
    <w:pPr>
      <w:spacing w:line="240" w:lineRule="auto"/>
    </w:pPr>
    <w:rPr>
      <w:color w:val="204340" w:themeColor="accent5" w:themeShade="BF"/>
    </w:rPr>
    <w:tblPr>
      <w:tblStyleRowBandSize w:val="1"/>
      <w:tblStyleColBandSize w:val="1"/>
      <w:tblBorders>
        <w:top w:val="single" w:sz="4" w:space="0" w:color="65B5AE" w:themeColor="accent5" w:themeTint="99"/>
        <w:left w:val="single" w:sz="4" w:space="0" w:color="65B5AE" w:themeColor="accent5" w:themeTint="99"/>
        <w:bottom w:val="single" w:sz="4" w:space="0" w:color="65B5AE" w:themeColor="accent5" w:themeTint="99"/>
        <w:right w:val="single" w:sz="4" w:space="0" w:color="65B5AE" w:themeColor="accent5" w:themeTint="99"/>
        <w:insideH w:val="single" w:sz="4" w:space="0" w:color="65B5AE" w:themeColor="accent5" w:themeTint="99"/>
        <w:insideV w:val="single" w:sz="4" w:space="0" w:color="65B5AE" w:themeColor="accent5" w:themeTint="99"/>
      </w:tblBorders>
    </w:tblPr>
    <w:tblStylePr w:type="firstRow">
      <w:rPr>
        <w:b/>
        <w:bCs/>
      </w:rPr>
      <w:tblPr/>
      <w:tcPr>
        <w:tcBorders>
          <w:bottom w:val="single" w:sz="12" w:space="0" w:color="65B5AE" w:themeColor="accent5" w:themeTint="99"/>
        </w:tcBorders>
      </w:tcPr>
    </w:tblStylePr>
    <w:tblStylePr w:type="lastRow">
      <w:rPr>
        <w:b/>
        <w:bCs/>
      </w:rPr>
      <w:tblPr/>
      <w:tcPr>
        <w:tcBorders>
          <w:top w:val="double" w:sz="4" w:space="0" w:color="65B5AE" w:themeColor="accent5" w:themeTint="99"/>
        </w:tcBorders>
      </w:tcPr>
    </w:tblStylePr>
    <w:tblStylePr w:type="firstCol">
      <w:rPr>
        <w:b/>
        <w:bCs/>
      </w:rPr>
    </w:tblStylePr>
    <w:tblStylePr w:type="lastCol">
      <w:rPr>
        <w:b/>
        <w:bCs/>
      </w:rPr>
    </w:tblStylePr>
    <w:tblStylePr w:type="band1Vert">
      <w:tblPr/>
      <w:tcPr>
        <w:shd w:val="clear" w:color="auto" w:fill="CBE6E4" w:themeFill="accent5" w:themeFillTint="33"/>
      </w:tcPr>
    </w:tblStylePr>
    <w:tblStylePr w:type="band1Horz">
      <w:tblPr/>
      <w:tcPr>
        <w:shd w:val="clear" w:color="auto" w:fill="CBE6E4" w:themeFill="accent5" w:themeFillTint="33"/>
      </w:tcPr>
    </w:tblStylePr>
  </w:style>
  <w:style w:type="table" w:styleId="GridTable6Colorful-Accent6">
    <w:name w:val="Grid Table 6 Colorful Accent 6"/>
    <w:basedOn w:val="TableNormal"/>
    <w:uiPriority w:val="99"/>
    <w:rsid w:val="00911DE3"/>
    <w:pPr>
      <w:spacing w:line="240" w:lineRule="auto"/>
    </w:pPr>
    <w:rPr>
      <w:color w:val="3B9A7B" w:themeColor="accent6" w:themeShade="BF"/>
    </w:rPr>
    <w:tblPr>
      <w:tblStyleRowBandSize w:val="1"/>
      <w:tblStyleColBandSize w:val="1"/>
      <w:tblBorders>
        <w:top w:val="single" w:sz="4" w:space="0" w:color="9ED9C5" w:themeColor="accent6" w:themeTint="99"/>
        <w:left w:val="single" w:sz="4" w:space="0" w:color="9ED9C5" w:themeColor="accent6" w:themeTint="99"/>
        <w:bottom w:val="single" w:sz="4" w:space="0" w:color="9ED9C5" w:themeColor="accent6" w:themeTint="99"/>
        <w:right w:val="single" w:sz="4" w:space="0" w:color="9ED9C5" w:themeColor="accent6" w:themeTint="99"/>
        <w:insideH w:val="single" w:sz="4" w:space="0" w:color="9ED9C5" w:themeColor="accent6" w:themeTint="99"/>
        <w:insideV w:val="single" w:sz="4" w:space="0" w:color="9ED9C5" w:themeColor="accent6" w:themeTint="99"/>
      </w:tblBorders>
    </w:tblPr>
    <w:tblStylePr w:type="firstRow">
      <w:rPr>
        <w:b/>
        <w:bCs/>
      </w:rPr>
      <w:tblPr/>
      <w:tcPr>
        <w:tcBorders>
          <w:bottom w:val="single" w:sz="12" w:space="0" w:color="9ED9C5" w:themeColor="accent6" w:themeTint="99"/>
        </w:tcBorders>
      </w:tcPr>
    </w:tblStylePr>
    <w:tblStylePr w:type="lastRow">
      <w:rPr>
        <w:b/>
        <w:bCs/>
      </w:rPr>
      <w:tblPr/>
      <w:tcPr>
        <w:tcBorders>
          <w:top w:val="double" w:sz="4" w:space="0" w:color="9ED9C5" w:themeColor="accent6" w:themeTint="99"/>
        </w:tcBorders>
      </w:tcPr>
    </w:tblStylePr>
    <w:tblStylePr w:type="firstCol">
      <w:rPr>
        <w:b/>
        <w:bCs/>
      </w:rPr>
    </w:tblStylePr>
    <w:tblStylePr w:type="lastCol">
      <w:rPr>
        <w:b/>
        <w:bCs/>
      </w:rPr>
    </w:tblStylePr>
    <w:tblStylePr w:type="band1Vert">
      <w:tblPr/>
      <w:tcPr>
        <w:shd w:val="clear" w:color="auto" w:fill="DEF2EC" w:themeFill="accent6" w:themeFillTint="33"/>
      </w:tcPr>
    </w:tblStylePr>
    <w:tblStylePr w:type="band1Horz">
      <w:tblPr/>
      <w:tcPr>
        <w:shd w:val="clear" w:color="auto" w:fill="DEF2EC" w:themeFill="accent6" w:themeFillTint="33"/>
      </w:tcPr>
    </w:tblStylePr>
  </w:style>
  <w:style w:type="table" w:styleId="GridTable7Colorful">
    <w:name w:val="Grid Table 7 Colorful"/>
    <w:basedOn w:val="TableNormal"/>
    <w:uiPriority w:val="99"/>
    <w:rsid w:val="00911DE3"/>
    <w:pPr>
      <w:spacing w:line="240" w:lineRule="auto"/>
    </w:pPr>
    <w:rPr>
      <w:color w:val="303030" w:themeColor="text1"/>
    </w:rPr>
    <w:tblPr>
      <w:tblStyleRowBandSize w:val="1"/>
      <w:tblStyleColBandSize w:val="1"/>
      <w:tblBorders>
        <w:top w:val="single" w:sz="4" w:space="0" w:color="828282" w:themeColor="text1" w:themeTint="99"/>
        <w:left w:val="single" w:sz="4" w:space="0" w:color="828282" w:themeColor="text1" w:themeTint="99"/>
        <w:bottom w:val="single" w:sz="4" w:space="0" w:color="828282" w:themeColor="text1" w:themeTint="99"/>
        <w:right w:val="single" w:sz="4" w:space="0" w:color="828282" w:themeColor="text1" w:themeTint="99"/>
        <w:insideH w:val="single" w:sz="4" w:space="0" w:color="828282" w:themeColor="text1" w:themeTint="99"/>
        <w:insideV w:val="single" w:sz="4" w:space="0" w:color="828282"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D5D5" w:themeFill="text1" w:themeFillTint="33"/>
      </w:tcPr>
    </w:tblStylePr>
    <w:tblStylePr w:type="band1Horz">
      <w:tblPr/>
      <w:tcPr>
        <w:shd w:val="clear" w:color="auto" w:fill="D5D5D5" w:themeFill="text1" w:themeFillTint="33"/>
      </w:tcPr>
    </w:tblStylePr>
    <w:tblStylePr w:type="neCell">
      <w:tblPr/>
      <w:tcPr>
        <w:tcBorders>
          <w:bottom w:val="single" w:sz="4" w:space="0" w:color="828282" w:themeColor="text1" w:themeTint="99"/>
        </w:tcBorders>
      </w:tcPr>
    </w:tblStylePr>
    <w:tblStylePr w:type="nwCell">
      <w:tblPr/>
      <w:tcPr>
        <w:tcBorders>
          <w:bottom w:val="single" w:sz="4" w:space="0" w:color="828282" w:themeColor="text1" w:themeTint="99"/>
        </w:tcBorders>
      </w:tcPr>
    </w:tblStylePr>
    <w:tblStylePr w:type="seCell">
      <w:tblPr/>
      <w:tcPr>
        <w:tcBorders>
          <w:top w:val="single" w:sz="4" w:space="0" w:color="828282" w:themeColor="text1" w:themeTint="99"/>
        </w:tcBorders>
      </w:tcPr>
    </w:tblStylePr>
    <w:tblStylePr w:type="swCell">
      <w:tblPr/>
      <w:tcPr>
        <w:tcBorders>
          <w:top w:val="single" w:sz="4" w:space="0" w:color="828282" w:themeColor="text1" w:themeTint="99"/>
        </w:tcBorders>
      </w:tcPr>
    </w:tblStylePr>
  </w:style>
  <w:style w:type="table" w:styleId="GridTable7Colorful-Accent1">
    <w:name w:val="Grid Table 7 Colorful Accent 1"/>
    <w:basedOn w:val="TableNormal"/>
    <w:uiPriority w:val="99"/>
    <w:rsid w:val="00911DE3"/>
    <w:pPr>
      <w:spacing w:line="240" w:lineRule="auto"/>
    </w:pPr>
    <w:rPr>
      <w:color w:val="88AAA6" w:themeColor="accent1" w:themeShade="BF"/>
    </w:rPr>
    <w:tblPr>
      <w:tblStyleRowBandSize w:val="1"/>
      <w:tblStyleColBandSize w:val="1"/>
      <w:tblBorders>
        <w:top w:val="single" w:sz="4" w:space="0" w:color="DBE5E4" w:themeColor="accent1" w:themeTint="99"/>
        <w:left w:val="single" w:sz="4" w:space="0" w:color="DBE5E4" w:themeColor="accent1" w:themeTint="99"/>
        <w:bottom w:val="single" w:sz="4" w:space="0" w:color="DBE5E4" w:themeColor="accent1" w:themeTint="99"/>
        <w:right w:val="single" w:sz="4" w:space="0" w:color="DBE5E4" w:themeColor="accent1" w:themeTint="99"/>
        <w:insideH w:val="single" w:sz="4" w:space="0" w:color="DBE5E4" w:themeColor="accent1" w:themeTint="99"/>
        <w:insideV w:val="single" w:sz="4" w:space="0" w:color="DBE5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6F6" w:themeFill="accent1" w:themeFillTint="33"/>
      </w:tcPr>
    </w:tblStylePr>
    <w:tblStylePr w:type="band1Horz">
      <w:tblPr/>
      <w:tcPr>
        <w:shd w:val="clear" w:color="auto" w:fill="F3F6F6" w:themeFill="accent1" w:themeFillTint="33"/>
      </w:tcPr>
    </w:tblStylePr>
    <w:tblStylePr w:type="neCell">
      <w:tblPr/>
      <w:tcPr>
        <w:tcBorders>
          <w:bottom w:val="single" w:sz="4" w:space="0" w:color="DBE5E4" w:themeColor="accent1" w:themeTint="99"/>
        </w:tcBorders>
      </w:tcPr>
    </w:tblStylePr>
    <w:tblStylePr w:type="nwCell">
      <w:tblPr/>
      <w:tcPr>
        <w:tcBorders>
          <w:bottom w:val="single" w:sz="4" w:space="0" w:color="DBE5E4" w:themeColor="accent1" w:themeTint="99"/>
        </w:tcBorders>
      </w:tcPr>
    </w:tblStylePr>
    <w:tblStylePr w:type="seCell">
      <w:tblPr/>
      <w:tcPr>
        <w:tcBorders>
          <w:top w:val="single" w:sz="4" w:space="0" w:color="DBE5E4" w:themeColor="accent1" w:themeTint="99"/>
        </w:tcBorders>
      </w:tcPr>
    </w:tblStylePr>
    <w:tblStylePr w:type="swCell">
      <w:tblPr/>
      <w:tcPr>
        <w:tcBorders>
          <w:top w:val="single" w:sz="4" w:space="0" w:color="DBE5E4" w:themeColor="accent1" w:themeTint="99"/>
        </w:tcBorders>
      </w:tcPr>
    </w:tblStylePr>
  </w:style>
  <w:style w:type="table" w:styleId="GridTable7Colorful-Accent2">
    <w:name w:val="Grid Table 7 Colorful Accent 2"/>
    <w:basedOn w:val="TableNormal"/>
    <w:uiPriority w:val="99"/>
    <w:rsid w:val="00911DE3"/>
    <w:pPr>
      <w:spacing w:line="240" w:lineRule="auto"/>
    </w:pPr>
    <w:rPr>
      <w:color w:val="5E8481" w:themeColor="accent2" w:themeShade="BF"/>
    </w:rPr>
    <w:tblPr>
      <w:tblStyleRowBandSize w:val="1"/>
      <w:tblStyleColBandSize w:val="1"/>
      <w:tblBorders>
        <w:top w:val="single" w:sz="4" w:space="0" w:color="B6CBC9" w:themeColor="accent2" w:themeTint="99"/>
        <w:left w:val="single" w:sz="4" w:space="0" w:color="B6CBC9" w:themeColor="accent2" w:themeTint="99"/>
        <w:bottom w:val="single" w:sz="4" w:space="0" w:color="B6CBC9" w:themeColor="accent2" w:themeTint="99"/>
        <w:right w:val="single" w:sz="4" w:space="0" w:color="B6CBC9" w:themeColor="accent2" w:themeTint="99"/>
        <w:insideH w:val="single" w:sz="4" w:space="0" w:color="B6CBC9" w:themeColor="accent2" w:themeTint="99"/>
        <w:insideV w:val="single" w:sz="4" w:space="0" w:color="B6CBC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DED" w:themeFill="accent2" w:themeFillTint="33"/>
      </w:tcPr>
    </w:tblStylePr>
    <w:tblStylePr w:type="band1Horz">
      <w:tblPr/>
      <w:tcPr>
        <w:shd w:val="clear" w:color="auto" w:fill="E6EDED" w:themeFill="accent2" w:themeFillTint="33"/>
      </w:tcPr>
    </w:tblStylePr>
    <w:tblStylePr w:type="neCell">
      <w:tblPr/>
      <w:tcPr>
        <w:tcBorders>
          <w:bottom w:val="single" w:sz="4" w:space="0" w:color="B6CBC9" w:themeColor="accent2" w:themeTint="99"/>
        </w:tcBorders>
      </w:tcPr>
    </w:tblStylePr>
    <w:tblStylePr w:type="nwCell">
      <w:tblPr/>
      <w:tcPr>
        <w:tcBorders>
          <w:bottom w:val="single" w:sz="4" w:space="0" w:color="B6CBC9" w:themeColor="accent2" w:themeTint="99"/>
        </w:tcBorders>
      </w:tcPr>
    </w:tblStylePr>
    <w:tblStylePr w:type="seCell">
      <w:tblPr/>
      <w:tcPr>
        <w:tcBorders>
          <w:top w:val="single" w:sz="4" w:space="0" w:color="B6CBC9" w:themeColor="accent2" w:themeTint="99"/>
        </w:tcBorders>
      </w:tcPr>
    </w:tblStylePr>
    <w:tblStylePr w:type="swCell">
      <w:tblPr/>
      <w:tcPr>
        <w:tcBorders>
          <w:top w:val="single" w:sz="4" w:space="0" w:color="B6CBC9" w:themeColor="accent2" w:themeTint="99"/>
        </w:tcBorders>
      </w:tcPr>
    </w:tblStylePr>
  </w:style>
  <w:style w:type="table" w:styleId="GridTable7Colorful-Accent3">
    <w:name w:val="Grid Table 7 Colorful Accent 3"/>
    <w:basedOn w:val="TableNormal"/>
    <w:uiPriority w:val="99"/>
    <w:rsid w:val="00911DE3"/>
    <w:pPr>
      <w:spacing w:line="240" w:lineRule="auto"/>
    </w:pPr>
    <w:rPr>
      <w:color w:val="466966" w:themeColor="accent3" w:themeShade="BF"/>
    </w:rPr>
    <w:tblPr>
      <w:tblStyleRowBandSize w:val="1"/>
      <w:tblStyleColBandSize w:val="1"/>
      <w:tblBorders>
        <w:top w:val="single" w:sz="4" w:space="0" w:color="9CBDBA" w:themeColor="accent3" w:themeTint="99"/>
        <w:left w:val="single" w:sz="4" w:space="0" w:color="9CBDBA" w:themeColor="accent3" w:themeTint="99"/>
        <w:bottom w:val="single" w:sz="4" w:space="0" w:color="9CBDBA" w:themeColor="accent3" w:themeTint="99"/>
        <w:right w:val="single" w:sz="4" w:space="0" w:color="9CBDBA" w:themeColor="accent3" w:themeTint="99"/>
        <w:insideH w:val="single" w:sz="4" w:space="0" w:color="9CBDBA" w:themeColor="accent3" w:themeTint="99"/>
        <w:insideV w:val="single" w:sz="4" w:space="0" w:color="9CBDB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9E8" w:themeFill="accent3" w:themeFillTint="33"/>
      </w:tcPr>
    </w:tblStylePr>
    <w:tblStylePr w:type="band1Horz">
      <w:tblPr/>
      <w:tcPr>
        <w:shd w:val="clear" w:color="auto" w:fill="DEE9E8" w:themeFill="accent3" w:themeFillTint="33"/>
      </w:tcPr>
    </w:tblStylePr>
    <w:tblStylePr w:type="neCell">
      <w:tblPr/>
      <w:tcPr>
        <w:tcBorders>
          <w:bottom w:val="single" w:sz="4" w:space="0" w:color="9CBDBA" w:themeColor="accent3" w:themeTint="99"/>
        </w:tcBorders>
      </w:tcPr>
    </w:tblStylePr>
    <w:tblStylePr w:type="nwCell">
      <w:tblPr/>
      <w:tcPr>
        <w:tcBorders>
          <w:bottom w:val="single" w:sz="4" w:space="0" w:color="9CBDBA" w:themeColor="accent3" w:themeTint="99"/>
        </w:tcBorders>
      </w:tcPr>
    </w:tblStylePr>
    <w:tblStylePr w:type="seCell">
      <w:tblPr/>
      <w:tcPr>
        <w:tcBorders>
          <w:top w:val="single" w:sz="4" w:space="0" w:color="9CBDBA" w:themeColor="accent3" w:themeTint="99"/>
        </w:tcBorders>
      </w:tcPr>
    </w:tblStylePr>
    <w:tblStylePr w:type="swCell">
      <w:tblPr/>
      <w:tcPr>
        <w:tcBorders>
          <w:top w:val="single" w:sz="4" w:space="0" w:color="9CBDBA" w:themeColor="accent3" w:themeTint="99"/>
        </w:tcBorders>
      </w:tcPr>
    </w:tblStylePr>
  </w:style>
  <w:style w:type="table" w:styleId="GridTable7Colorful-Accent4">
    <w:name w:val="Grid Table 7 Colorful Accent 4"/>
    <w:basedOn w:val="TableNormal"/>
    <w:uiPriority w:val="99"/>
    <w:rsid w:val="00911DE3"/>
    <w:pPr>
      <w:spacing w:line="240" w:lineRule="auto"/>
    </w:pPr>
    <w:rPr>
      <w:color w:val="285350" w:themeColor="accent4" w:themeShade="BF"/>
    </w:rPr>
    <w:tblPr>
      <w:tblStyleRowBandSize w:val="1"/>
      <w:tblStyleColBandSize w:val="1"/>
      <w:tblBorders>
        <w:top w:val="single" w:sz="4" w:space="0" w:color="73BBB5" w:themeColor="accent4" w:themeTint="99"/>
        <w:left w:val="single" w:sz="4" w:space="0" w:color="73BBB5" w:themeColor="accent4" w:themeTint="99"/>
        <w:bottom w:val="single" w:sz="4" w:space="0" w:color="73BBB5" w:themeColor="accent4" w:themeTint="99"/>
        <w:right w:val="single" w:sz="4" w:space="0" w:color="73BBB5" w:themeColor="accent4" w:themeTint="99"/>
        <w:insideH w:val="single" w:sz="4" w:space="0" w:color="73BBB5" w:themeColor="accent4" w:themeTint="99"/>
        <w:insideV w:val="single" w:sz="4" w:space="0" w:color="73BBB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8E6" w:themeFill="accent4" w:themeFillTint="33"/>
      </w:tcPr>
    </w:tblStylePr>
    <w:tblStylePr w:type="band1Horz">
      <w:tblPr/>
      <w:tcPr>
        <w:shd w:val="clear" w:color="auto" w:fill="D0E8E6" w:themeFill="accent4" w:themeFillTint="33"/>
      </w:tcPr>
    </w:tblStylePr>
    <w:tblStylePr w:type="neCell">
      <w:tblPr/>
      <w:tcPr>
        <w:tcBorders>
          <w:bottom w:val="single" w:sz="4" w:space="0" w:color="73BBB5" w:themeColor="accent4" w:themeTint="99"/>
        </w:tcBorders>
      </w:tcPr>
    </w:tblStylePr>
    <w:tblStylePr w:type="nwCell">
      <w:tblPr/>
      <w:tcPr>
        <w:tcBorders>
          <w:bottom w:val="single" w:sz="4" w:space="0" w:color="73BBB5" w:themeColor="accent4" w:themeTint="99"/>
        </w:tcBorders>
      </w:tcPr>
    </w:tblStylePr>
    <w:tblStylePr w:type="seCell">
      <w:tblPr/>
      <w:tcPr>
        <w:tcBorders>
          <w:top w:val="single" w:sz="4" w:space="0" w:color="73BBB5" w:themeColor="accent4" w:themeTint="99"/>
        </w:tcBorders>
      </w:tcPr>
    </w:tblStylePr>
    <w:tblStylePr w:type="swCell">
      <w:tblPr/>
      <w:tcPr>
        <w:tcBorders>
          <w:top w:val="single" w:sz="4" w:space="0" w:color="73BBB5" w:themeColor="accent4" w:themeTint="99"/>
        </w:tcBorders>
      </w:tcPr>
    </w:tblStylePr>
  </w:style>
  <w:style w:type="table" w:styleId="GridTable7Colorful-Accent5">
    <w:name w:val="Grid Table 7 Colorful Accent 5"/>
    <w:basedOn w:val="TableNormal"/>
    <w:uiPriority w:val="99"/>
    <w:rsid w:val="00911DE3"/>
    <w:pPr>
      <w:spacing w:line="240" w:lineRule="auto"/>
    </w:pPr>
    <w:rPr>
      <w:color w:val="204340" w:themeColor="accent5" w:themeShade="BF"/>
    </w:rPr>
    <w:tblPr>
      <w:tblStyleRowBandSize w:val="1"/>
      <w:tblStyleColBandSize w:val="1"/>
      <w:tblBorders>
        <w:top w:val="single" w:sz="4" w:space="0" w:color="65B5AE" w:themeColor="accent5" w:themeTint="99"/>
        <w:left w:val="single" w:sz="4" w:space="0" w:color="65B5AE" w:themeColor="accent5" w:themeTint="99"/>
        <w:bottom w:val="single" w:sz="4" w:space="0" w:color="65B5AE" w:themeColor="accent5" w:themeTint="99"/>
        <w:right w:val="single" w:sz="4" w:space="0" w:color="65B5AE" w:themeColor="accent5" w:themeTint="99"/>
        <w:insideH w:val="single" w:sz="4" w:space="0" w:color="65B5AE" w:themeColor="accent5" w:themeTint="99"/>
        <w:insideV w:val="single" w:sz="4" w:space="0" w:color="65B5A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E6E4" w:themeFill="accent5" w:themeFillTint="33"/>
      </w:tcPr>
    </w:tblStylePr>
    <w:tblStylePr w:type="band1Horz">
      <w:tblPr/>
      <w:tcPr>
        <w:shd w:val="clear" w:color="auto" w:fill="CBE6E4" w:themeFill="accent5" w:themeFillTint="33"/>
      </w:tcPr>
    </w:tblStylePr>
    <w:tblStylePr w:type="neCell">
      <w:tblPr/>
      <w:tcPr>
        <w:tcBorders>
          <w:bottom w:val="single" w:sz="4" w:space="0" w:color="65B5AE" w:themeColor="accent5" w:themeTint="99"/>
        </w:tcBorders>
      </w:tcPr>
    </w:tblStylePr>
    <w:tblStylePr w:type="nwCell">
      <w:tblPr/>
      <w:tcPr>
        <w:tcBorders>
          <w:bottom w:val="single" w:sz="4" w:space="0" w:color="65B5AE" w:themeColor="accent5" w:themeTint="99"/>
        </w:tcBorders>
      </w:tcPr>
    </w:tblStylePr>
    <w:tblStylePr w:type="seCell">
      <w:tblPr/>
      <w:tcPr>
        <w:tcBorders>
          <w:top w:val="single" w:sz="4" w:space="0" w:color="65B5AE" w:themeColor="accent5" w:themeTint="99"/>
        </w:tcBorders>
      </w:tcPr>
    </w:tblStylePr>
    <w:tblStylePr w:type="swCell">
      <w:tblPr/>
      <w:tcPr>
        <w:tcBorders>
          <w:top w:val="single" w:sz="4" w:space="0" w:color="65B5AE" w:themeColor="accent5" w:themeTint="99"/>
        </w:tcBorders>
      </w:tcPr>
    </w:tblStylePr>
  </w:style>
  <w:style w:type="table" w:styleId="GridTable7Colorful-Accent6">
    <w:name w:val="Grid Table 7 Colorful Accent 6"/>
    <w:basedOn w:val="TableNormal"/>
    <w:uiPriority w:val="99"/>
    <w:rsid w:val="00911DE3"/>
    <w:pPr>
      <w:spacing w:line="240" w:lineRule="auto"/>
    </w:pPr>
    <w:rPr>
      <w:color w:val="3B9A7B" w:themeColor="accent6" w:themeShade="BF"/>
    </w:rPr>
    <w:tblPr>
      <w:tblStyleRowBandSize w:val="1"/>
      <w:tblStyleColBandSize w:val="1"/>
      <w:tblBorders>
        <w:top w:val="single" w:sz="4" w:space="0" w:color="9ED9C5" w:themeColor="accent6" w:themeTint="99"/>
        <w:left w:val="single" w:sz="4" w:space="0" w:color="9ED9C5" w:themeColor="accent6" w:themeTint="99"/>
        <w:bottom w:val="single" w:sz="4" w:space="0" w:color="9ED9C5" w:themeColor="accent6" w:themeTint="99"/>
        <w:right w:val="single" w:sz="4" w:space="0" w:color="9ED9C5" w:themeColor="accent6" w:themeTint="99"/>
        <w:insideH w:val="single" w:sz="4" w:space="0" w:color="9ED9C5" w:themeColor="accent6" w:themeTint="99"/>
        <w:insideV w:val="single" w:sz="4" w:space="0" w:color="9ED9C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2EC" w:themeFill="accent6" w:themeFillTint="33"/>
      </w:tcPr>
    </w:tblStylePr>
    <w:tblStylePr w:type="band1Horz">
      <w:tblPr/>
      <w:tcPr>
        <w:shd w:val="clear" w:color="auto" w:fill="DEF2EC" w:themeFill="accent6" w:themeFillTint="33"/>
      </w:tcPr>
    </w:tblStylePr>
    <w:tblStylePr w:type="neCell">
      <w:tblPr/>
      <w:tcPr>
        <w:tcBorders>
          <w:bottom w:val="single" w:sz="4" w:space="0" w:color="9ED9C5" w:themeColor="accent6" w:themeTint="99"/>
        </w:tcBorders>
      </w:tcPr>
    </w:tblStylePr>
    <w:tblStylePr w:type="nwCell">
      <w:tblPr/>
      <w:tcPr>
        <w:tcBorders>
          <w:bottom w:val="single" w:sz="4" w:space="0" w:color="9ED9C5" w:themeColor="accent6" w:themeTint="99"/>
        </w:tcBorders>
      </w:tcPr>
    </w:tblStylePr>
    <w:tblStylePr w:type="seCell">
      <w:tblPr/>
      <w:tcPr>
        <w:tcBorders>
          <w:top w:val="single" w:sz="4" w:space="0" w:color="9ED9C5" w:themeColor="accent6" w:themeTint="99"/>
        </w:tcBorders>
      </w:tcPr>
    </w:tblStylePr>
    <w:tblStylePr w:type="swCell">
      <w:tblPr/>
      <w:tcPr>
        <w:tcBorders>
          <w:top w:val="single" w:sz="4" w:space="0" w:color="9ED9C5" w:themeColor="accent6" w:themeTint="99"/>
        </w:tcBorders>
      </w:tcPr>
    </w:tblStylePr>
  </w:style>
  <w:style w:type="character" w:styleId="Hashtag">
    <w:name w:val="Hashtag"/>
    <w:basedOn w:val="DefaultParagraphFont"/>
    <w:uiPriority w:val="99"/>
    <w:semiHidden/>
    <w:rsid w:val="00911DE3"/>
    <w:rPr>
      <w:color w:val="2B579A"/>
      <w:shd w:val="clear" w:color="auto" w:fill="E1DFDD"/>
      <w:lang w:val="en-GB"/>
    </w:rPr>
  </w:style>
  <w:style w:type="paragraph" w:styleId="Header">
    <w:name w:val="header"/>
    <w:basedOn w:val="Normal"/>
    <w:link w:val="HeaderChar"/>
    <w:uiPriority w:val="99"/>
    <w:rsid w:val="00F12746"/>
    <w:pPr>
      <w:spacing w:after="0" w:line="200" w:lineRule="atLeast"/>
    </w:pPr>
    <w:rPr>
      <w:sz w:val="16"/>
    </w:rPr>
  </w:style>
  <w:style w:type="character" w:customStyle="1" w:styleId="HeaderChar">
    <w:name w:val="Header Char"/>
    <w:basedOn w:val="DefaultParagraphFont"/>
    <w:link w:val="Header"/>
    <w:uiPriority w:val="99"/>
    <w:rsid w:val="00F12746"/>
    <w:rPr>
      <w:sz w:val="16"/>
      <w:lang w:val="en-GB"/>
    </w:rPr>
  </w:style>
  <w:style w:type="character" w:customStyle="1" w:styleId="Heading1Char">
    <w:name w:val="Heading 1 Char"/>
    <w:basedOn w:val="DefaultParagraphFont"/>
    <w:link w:val="Heading1"/>
    <w:uiPriority w:val="9"/>
    <w:rsid w:val="004B13A3"/>
    <w:rPr>
      <w:rFonts w:eastAsiaTheme="majorEastAsia" w:cs="Arial"/>
      <w:b/>
      <w:sz w:val="28"/>
      <w:szCs w:val="32"/>
      <w:lang w:val="en-GB"/>
    </w:rPr>
  </w:style>
  <w:style w:type="character" w:customStyle="1" w:styleId="Heading2Char">
    <w:name w:val="Heading 2 Char"/>
    <w:basedOn w:val="DefaultParagraphFont"/>
    <w:link w:val="Heading2"/>
    <w:uiPriority w:val="9"/>
    <w:rsid w:val="00083F7C"/>
    <w:rPr>
      <w:rFonts w:eastAsiaTheme="majorEastAsia" w:cs="Arial"/>
      <w:b/>
      <w:szCs w:val="26"/>
      <w:lang w:val="en-GB"/>
    </w:rPr>
  </w:style>
  <w:style w:type="character" w:customStyle="1" w:styleId="Heading3Char">
    <w:name w:val="Heading 3 Char"/>
    <w:basedOn w:val="DefaultParagraphFont"/>
    <w:link w:val="Heading3"/>
    <w:uiPriority w:val="9"/>
    <w:rsid w:val="004B13A3"/>
    <w:rPr>
      <w:rFonts w:eastAsiaTheme="majorEastAsia" w:cs="Arial"/>
      <w:b/>
      <w:szCs w:val="24"/>
      <w:lang w:val="en-GB"/>
    </w:rPr>
  </w:style>
  <w:style w:type="character" w:customStyle="1" w:styleId="Heading4Char">
    <w:name w:val="Heading 4 Char"/>
    <w:basedOn w:val="DefaultParagraphFont"/>
    <w:link w:val="Heading4"/>
    <w:uiPriority w:val="9"/>
    <w:rsid w:val="00083F49"/>
    <w:rPr>
      <w:rFonts w:eastAsiaTheme="majorEastAsia" w:cs="Arial"/>
      <w:i/>
      <w:iCs/>
      <w:lang w:val="en-GB"/>
    </w:rPr>
  </w:style>
  <w:style w:type="character" w:customStyle="1" w:styleId="Heading5Char">
    <w:name w:val="Heading 5 Char"/>
    <w:basedOn w:val="DefaultParagraphFont"/>
    <w:link w:val="Heading5"/>
    <w:uiPriority w:val="9"/>
    <w:rsid w:val="00083F49"/>
    <w:rPr>
      <w:rFonts w:eastAsiaTheme="majorEastAsia" w:cs="Segoe UI"/>
      <w:u w:val="single"/>
      <w:lang w:val="en-GB"/>
    </w:rPr>
  </w:style>
  <w:style w:type="character" w:customStyle="1" w:styleId="Heading6Char">
    <w:name w:val="Heading 6 Char"/>
    <w:basedOn w:val="DefaultParagraphFont"/>
    <w:link w:val="Heading6"/>
    <w:uiPriority w:val="9"/>
    <w:rsid w:val="00B76738"/>
    <w:rPr>
      <w:rFonts w:eastAsiaTheme="majorEastAsia" w:cs="Segoe UI"/>
      <w:lang w:val="en-GB"/>
    </w:rPr>
  </w:style>
  <w:style w:type="character" w:customStyle="1" w:styleId="Heading7Char">
    <w:name w:val="Heading 7 Char"/>
    <w:basedOn w:val="DefaultParagraphFont"/>
    <w:link w:val="Heading7"/>
    <w:uiPriority w:val="9"/>
    <w:rsid w:val="004B13A3"/>
    <w:rPr>
      <w:rFonts w:eastAsiaTheme="majorEastAsia" w:cs="Segoe UI"/>
      <w:iCs/>
      <w:lang w:val="en-GB"/>
    </w:rPr>
  </w:style>
  <w:style w:type="character" w:customStyle="1" w:styleId="Heading8Char">
    <w:name w:val="Heading 8 Char"/>
    <w:basedOn w:val="DefaultParagraphFont"/>
    <w:link w:val="Heading8"/>
    <w:uiPriority w:val="9"/>
    <w:rsid w:val="004B13A3"/>
    <w:rPr>
      <w:rFonts w:eastAsiaTheme="majorEastAsia" w:cs="Segoe UI"/>
      <w:szCs w:val="21"/>
      <w:lang w:val="en-GB"/>
    </w:rPr>
  </w:style>
  <w:style w:type="character" w:customStyle="1" w:styleId="Heading9Char">
    <w:name w:val="Heading 9 Char"/>
    <w:basedOn w:val="DefaultParagraphFont"/>
    <w:link w:val="Heading9"/>
    <w:uiPriority w:val="9"/>
    <w:rsid w:val="00B76738"/>
    <w:rPr>
      <w:rFonts w:ascii="Segoe UI Light" w:eastAsiaTheme="majorEastAsia" w:hAnsi="Segoe UI Light" w:cs="Segoe UI"/>
      <w:iCs/>
      <w:color w:val="5EC1A0" w:themeColor="accent6"/>
      <w:sz w:val="80"/>
      <w:szCs w:val="21"/>
      <w:lang w:val="en-GB"/>
    </w:rPr>
  </w:style>
  <w:style w:type="character" w:styleId="HTMLAcronym">
    <w:name w:val="HTML Acronym"/>
    <w:basedOn w:val="DefaultParagraphFont"/>
    <w:uiPriority w:val="99"/>
    <w:semiHidden/>
    <w:rsid w:val="00911DE3"/>
    <w:rPr>
      <w:lang w:val="en-GB"/>
    </w:rPr>
  </w:style>
  <w:style w:type="paragraph" w:styleId="HTMLAddress">
    <w:name w:val="HTML Address"/>
    <w:basedOn w:val="Normal"/>
    <w:link w:val="HTMLAddressChar"/>
    <w:uiPriority w:val="99"/>
    <w:semiHidden/>
    <w:rsid w:val="00911DE3"/>
    <w:pPr>
      <w:spacing w:after="0" w:line="240" w:lineRule="auto"/>
    </w:pPr>
    <w:rPr>
      <w:i/>
      <w:iCs/>
    </w:rPr>
  </w:style>
  <w:style w:type="character" w:customStyle="1" w:styleId="HTMLAddressChar">
    <w:name w:val="HTML Address Char"/>
    <w:basedOn w:val="DefaultParagraphFont"/>
    <w:link w:val="HTMLAddress"/>
    <w:uiPriority w:val="99"/>
    <w:semiHidden/>
    <w:rsid w:val="00911DE3"/>
    <w:rPr>
      <w:i/>
      <w:iCs/>
      <w:lang w:val="en-GB"/>
    </w:rPr>
  </w:style>
  <w:style w:type="character" w:styleId="HTMLCite">
    <w:name w:val="HTML Cite"/>
    <w:basedOn w:val="DefaultParagraphFont"/>
    <w:uiPriority w:val="99"/>
    <w:semiHidden/>
    <w:rsid w:val="00911DE3"/>
    <w:rPr>
      <w:i/>
      <w:iCs/>
      <w:lang w:val="en-GB"/>
    </w:rPr>
  </w:style>
  <w:style w:type="character" w:styleId="HTMLCode">
    <w:name w:val="HTML Code"/>
    <w:basedOn w:val="DefaultParagraphFont"/>
    <w:uiPriority w:val="99"/>
    <w:semiHidden/>
    <w:rsid w:val="00911DE3"/>
    <w:rPr>
      <w:rFonts w:ascii="Segoe UI" w:hAnsi="Segoe UI" w:cs="Segoe UI"/>
      <w:sz w:val="20"/>
      <w:szCs w:val="20"/>
      <w:lang w:val="en-GB"/>
    </w:rPr>
  </w:style>
  <w:style w:type="character" w:styleId="HTMLDefinition">
    <w:name w:val="HTML Definition"/>
    <w:basedOn w:val="DefaultParagraphFont"/>
    <w:uiPriority w:val="99"/>
    <w:semiHidden/>
    <w:rsid w:val="00911DE3"/>
    <w:rPr>
      <w:i/>
      <w:iCs/>
      <w:lang w:val="en-GB"/>
    </w:rPr>
  </w:style>
  <w:style w:type="character" w:styleId="HTMLKeyboard">
    <w:name w:val="HTML Keyboard"/>
    <w:basedOn w:val="DefaultParagraphFont"/>
    <w:uiPriority w:val="99"/>
    <w:semiHidden/>
    <w:rsid w:val="00911DE3"/>
    <w:rPr>
      <w:rFonts w:ascii="Segoe UI" w:hAnsi="Segoe UI" w:cs="Segoe UI"/>
      <w:sz w:val="20"/>
      <w:szCs w:val="20"/>
      <w:lang w:val="en-GB"/>
    </w:rPr>
  </w:style>
  <w:style w:type="paragraph" w:styleId="HTMLPreformatted">
    <w:name w:val="HTML Preformatted"/>
    <w:basedOn w:val="Normal"/>
    <w:link w:val="HTMLPreformattedChar"/>
    <w:uiPriority w:val="99"/>
    <w:semiHidden/>
    <w:rsid w:val="00911DE3"/>
    <w:pPr>
      <w:spacing w:after="0" w:line="240" w:lineRule="auto"/>
    </w:pPr>
    <w:rPr>
      <w:rFonts w:cs="Arial"/>
    </w:rPr>
  </w:style>
  <w:style w:type="character" w:customStyle="1" w:styleId="HTMLPreformattedChar">
    <w:name w:val="HTML Preformatted Char"/>
    <w:basedOn w:val="DefaultParagraphFont"/>
    <w:link w:val="HTMLPreformatted"/>
    <w:uiPriority w:val="99"/>
    <w:semiHidden/>
    <w:rsid w:val="00911DE3"/>
    <w:rPr>
      <w:rFonts w:cs="Arial"/>
      <w:lang w:val="en-GB"/>
    </w:rPr>
  </w:style>
  <w:style w:type="character" w:styleId="HTMLSample">
    <w:name w:val="HTML Sample"/>
    <w:basedOn w:val="DefaultParagraphFont"/>
    <w:uiPriority w:val="99"/>
    <w:semiHidden/>
    <w:rsid w:val="00911DE3"/>
    <w:rPr>
      <w:rFonts w:ascii="Segoe UI" w:hAnsi="Segoe UI" w:cs="Segoe UI"/>
      <w:sz w:val="24"/>
      <w:szCs w:val="24"/>
      <w:lang w:val="en-GB"/>
    </w:rPr>
  </w:style>
  <w:style w:type="character" w:styleId="HTMLTypewriter">
    <w:name w:val="HTML Typewriter"/>
    <w:basedOn w:val="DefaultParagraphFont"/>
    <w:uiPriority w:val="99"/>
    <w:semiHidden/>
    <w:rsid w:val="00911DE3"/>
    <w:rPr>
      <w:rFonts w:ascii="Segoe UI" w:hAnsi="Segoe UI" w:cs="Segoe UI"/>
      <w:sz w:val="20"/>
      <w:szCs w:val="20"/>
      <w:lang w:val="en-GB"/>
    </w:rPr>
  </w:style>
  <w:style w:type="character" w:styleId="HTMLVariable">
    <w:name w:val="HTML Variable"/>
    <w:basedOn w:val="DefaultParagraphFont"/>
    <w:uiPriority w:val="99"/>
    <w:semiHidden/>
    <w:rsid w:val="00911DE3"/>
    <w:rPr>
      <w:i/>
      <w:iCs/>
      <w:lang w:val="en-GB"/>
    </w:rPr>
  </w:style>
  <w:style w:type="character" w:styleId="Hyperlink">
    <w:name w:val="Hyperlink"/>
    <w:basedOn w:val="DefaultParagraphFont"/>
    <w:uiPriority w:val="99"/>
    <w:rsid w:val="00911DE3"/>
    <w:rPr>
      <w:color w:val="1B10F8" w:themeColor="hyperlink"/>
      <w:u w:val="single"/>
      <w:lang w:val="en-GB"/>
    </w:rPr>
  </w:style>
  <w:style w:type="paragraph" w:styleId="Index1">
    <w:name w:val="index 1"/>
    <w:basedOn w:val="Normal"/>
    <w:next w:val="Normal"/>
    <w:autoRedefine/>
    <w:uiPriority w:val="99"/>
    <w:semiHidden/>
    <w:rsid w:val="00911DE3"/>
    <w:pPr>
      <w:spacing w:after="0" w:line="240" w:lineRule="auto"/>
      <w:ind w:left="200" w:hanging="200"/>
    </w:pPr>
  </w:style>
  <w:style w:type="paragraph" w:styleId="Index2">
    <w:name w:val="index 2"/>
    <w:basedOn w:val="Normal"/>
    <w:next w:val="Normal"/>
    <w:autoRedefine/>
    <w:uiPriority w:val="99"/>
    <w:semiHidden/>
    <w:rsid w:val="00911DE3"/>
    <w:pPr>
      <w:spacing w:after="0" w:line="240" w:lineRule="auto"/>
      <w:ind w:left="400" w:hanging="200"/>
    </w:pPr>
  </w:style>
  <w:style w:type="paragraph" w:styleId="Index3">
    <w:name w:val="index 3"/>
    <w:basedOn w:val="Normal"/>
    <w:next w:val="Normal"/>
    <w:autoRedefine/>
    <w:uiPriority w:val="99"/>
    <w:semiHidden/>
    <w:rsid w:val="00911DE3"/>
    <w:pPr>
      <w:spacing w:after="0" w:line="240" w:lineRule="auto"/>
      <w:ind w:left="600" w:hanging="200"/>
    </w:pPr>
  </w:style>
  <w:style w:type="paragraph" w:styleId="Index4">
    <w:name w:val="index 4"/>
    <w:basedOn w:val="Normal"/>
    <w:next w:val="Normal"/>
    <w:autoRedefine/>
    <w:uiPriority w:val="99"/>
    <w:semiHidden/>
    <w:rsid w:val="00911DE3"/>
    <w:pPr>
      <w:spacing w:after="0" w:line="240" w:lineRule="auto"/>
      <w:ind w:left="800" w:hanging="200"/>
    </w:pPr>
  </w:style>
  <w:style w:type="paragraph" w:styleId="Index5">
    <w:name w:val="index 5"/>
    <w:basedOn w:val="Normal"/>
    <w:next w:val="Normal"/>
    <w:autoRedefine/>
    <w:uiPriority w:val="99"/>
    <w:semiHidden/>
    <w:rsid w:val="00911DE3"/>
    <w:pPr>
      <w:spacing w:after="0" w:line="240" w:lineRule="auto"/>
      <w:ind w:left="1000" w:hanging="200"/>
    </w:pPr>
  </w:style>
  <w:style w:type="paragraph" w:styleId="Index6">
    <w:name w:val="index 6"/>
    <w:basedOn w:val="Normal"/>
    <w:next w:val="Normal"/>
    <w:autoRedefine/>
    <w:uiPriority w:val="99"/>
    <w:semiHidden/>
    <w:rsid w:val="00911DE3"/>
    <w:pPr>
      <w:spacing w:after="0" w:line="240" w:lineRule="auto"/>
      <w:ind w:left="1200" w:hanging="200"/>
    </w:pPr>
  </w:style>
  <w:style w:type="paragraph" w:styleId="Index7">
    <w:name w:val="index 7"/>
    <w:basedOn w:val="Normal"/>
    <w:next w:val="Normal"/>
    <w:autoRedefine/>
    <w:uiPriority w:val="99"/>
    <w:semiHidden/>
    <w:rsid w:val="00911DE3"/>
    <w:pPr>
      <w:spacing w:after="0" w:line="240" w:lineRule="auto"/>
      <w:ind w:left="1400" w:hanging="200"/>
    </w:pPr>
  </w:style>
  <w:style w:type="paragraph" w:styleId="Index8">
    <w:name w:val="index 8"/>
    <w:basedOn w:val="Normal"/>
    <w:next w:val="Normal"/>
    <w:autoRedefine/>
    <w:uiPriority w:val="99"/>
    <w:semiHidden/>
    <w:rsid w:val="00911DE3"/>
    <w:pPr>
      <w:spacing w:after="0" w:line="240" w:lineRule="auto"/>
      <w:ind w:left="1600" w:hanging="200"/>
    </w:pPr>
  </w:style>
  <w:style w:type="paragraph" w:styleId="Index9">
    <w:name w:val="index 9"/>
    <w:basedOn w:val="Normal"/>
    <w:next w:val="Normal"/>
    <w:autoRedefine/>
    <w:uiPriority w:val="99"/>
    <w:semiHidden/>
    <w:rsid w:val="00911DE3"/>
    <w:pPr>
      <w:spacing w:after="0" w:line="240" w:lineRule="auto"/>
      <w:ind w:left="1800" w:hanging="200"/>
    </w:pPr>
  </w:style>
  <w:style w:type="paragraph" w:styleId="IndexHeading">
    <w:name w:val="index heading"/>
    <w:basedOn w:val="Normal"/>
    <w:next w:val="Index1"/>
    <w:uiPriority w:val="99"/>
    <w:semiHidden/>
    <w:rsid w:val="00911DE3"/>
    <w:pPr>
      <w:spacing w:after="0"/>
    </w:pPr>
    <w:rPr>
      <w:rFonts w:eastAsiaTheme="majorEastAsia" w:cs="Arial"/>
      <w:b/>
      <w:bCs/>
    </w:rPr>
  </w:style>
  <w:style w:type="character" w:styleId="IntenseEmphasis">
    <w:name w:val="Intense Emphasis"/>
    <w:basedOn w:val="DefaultParagraphFont"/>
    <w:uiPriority w:val="21"/>
    <w:qFormat/>
    <w:rsid w:val="00901321"/>
    <w:rPr>
      <w:i/>
      <w:iCs/>
      <w:color w:val="C4D5D3" w:themeColor="accent1"/>
      <w:lang w:val="en-GB"/>
    </w:rPr>
  </w:style>
  <w:style w:type="paragraph" w:styleId="IntenseQuote">
    <w:name w:val="Intense Quote"/>
    <w:basedOn w:val="Normal"/>
    <w:next w:val="Normal"/>
    <w:link w:val="IntenseQuoteChar"/>
    <w:uiPriority w:val="30"/>
    <w:qFormat/>
    <w:rsid w:val="00901321"/>
    <w:pPr>
      <w:pBdr>
        <w:top w:val="single" w:sz="4" w:space="10" w:color="C4D5D3" w:themeColor="accent1"/>
        <w:bottom w:val="single" w:sz="4" w:space="10" w:color="C4D5D3" w:themeColor="accent1"/>
      </w:pBdr>
      <w:spacing w:before="360" w:after="360"/>
      <w:ind w:left="864" w:right="864"/>
      <w:jc w:val="center"/>
    </w:pPr>
    <w:rPr>
      <w:i/>
      <w:iCs/>
      <w:color w:val="C4D5D3" w:themeColor="accent1"/>
    </w:rPr>
  </w:style>
  <w:style w:type="character" w:customStyle="1" w:styleId="IntenseQuoteChar">
    <w:name w:val="Intense Quote Char"/>
    <w:basedOn w:val="DefaultParagraphFont"/>
    <w:link w:val="IntenseQuote"/>
    <w:uiPriority w:val="30"/>
    <w:rsid w:val="00901321"/>
    <w:rPr>
      <w:i/>
      <w:iCs/>
      <w:color w:val="C4D5D3" w:themeColor="accent1"/>
      <w:lang w:val="en-GB"/>
    </w:rPr>
  </w:style>
  <w:style w:type="character" w:styleId="IntenseReference">
    <w:name w:val="Intense Reference"/>
    <w:basedOn w:val="DefaultParagraphFont"/>
    <w:uiPriority w:val="32"/>
    <w:qFormat/>
    <w:rsid w:val="00901321"/>
    <w:rPr>
      <w:b/>
      <w:bCs/>
      <w:smallCaps/>
      <w:color w:val="C4D5D3" w:themeColor="accent1"/>
      <w:spacing w:val="5"/>
      <w:lang w:val="en-GB"/>
    </w:rPr>
  </w:style>
  <w:style w:type="table" w:styleId="LightGrid">
    <w:name w:val="Light Grid"/>
    <w:basedOn w:val="TableNormal"/>
    <w:uiPriority w:val="99"/>
    <w:semiHidden/>
    <w:unhideWhenUsed/>
    <w:rsid w:val="00911DE3"/>
    <w:pPr>
      <w:spacing w:line="240" w:lineRule="auto"/>
    </w:pPr>
    <w:tblPr>
      <w:tblStyleRowBandSize w:val="1"/>
      <w:tblStyleColBandSize w:val="1"/>
      <w:tblBorders>
        <w:top w:val="single" w:sz="8" w:space="0" w:color="303030" w:themeColor="text1"/>
        <w:left w:val="single" w:sz="8" w:space="0" w:color="303030" w:themeColor="text1"/>
        <w:bottom w:val="single" w:sz="8" w:space="0" w:color="303030" w:themeColor="text1"/>
        <w:right w:val="single" w:sz="8" w:space="0" w:color="303030" w:themeColor="text1"/>
        <w:insideH w:val="single" w:sz="8" w:space="0" w:color="303030" w:themeColor="text1"/>
        <w:insideV w:val="single" w:sz="8" w:space="0" w:color="30303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03030" w:themeColor="text1"/>
          <w:left w:val="single" w:sz="8" w:space="0" w:color="303030" w:themeColor="text1"/>
          <w:bottom w:val="single" w:sz="18" w:space="0" w:color="303030" w:themeColor="text1"/>
          <w:right w:val="single" w:sz="8" w:space="0" w:color="303030" w:themeColor="text1"/>
          <w:insideH w:val="nil"/>
          <w:insideV w:val="single" w:sz="8" w:space="0" w:color="30303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03030" w:themeColor="text1"/>
          <w:left w:val="single" w:sz="8" w:space="0" w:color="303030" w:themeColor="text1"/>
          <w:bottom w:val="single" w:sz="8" w:space="0" w:color="303030" w:themeColor="text1"/>
          <w:right w:val="single" w:sz="8" w:space="0" w:color="303030" w:themeColor="text1"/>
          <w:insideH w:val="nil"/>
          <w:insideV w:val="single" w:sz="8" w:space="0" w:color="30303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03030" w:themeColor="text1"/>
          <w:left w:val="single" w:sz="8" w:space="0" w:color="303030" w:themeColor="text1"/>
          <w:bottom w:val="single" w:sz="8" w:space="0" w:color="303030" w:themeColor="text1"/>
          <w:right w:val="single" w:sz="8" w:space="0" w:color="303030" w:themeColor="text1"/>
        </w:tcBorders>
      </w:tcPr>
    </w:tblStylePr>
    <w:tblStylePr w:type="band1Vert">
      <w:tblPr/>
      <w:tcPr>
        <w:tcBorders>
          <w:top w:val="single" w:sz="8" w:space="0" w:color="303030" w:themeColor="text1"/>
          <w:left w:val="single" w:sz="8" w:space="0" w:color="303030" w:themeColor="text1"/>
          <w:bottom w:val="single" w:sz="8" w:space="0" w:color="303030" w:themeColor="text1"/>
          <w:right w:val="single" w:sz="8" w:space="0" w:color="303030" w:themeColor="text1"/>
        </w:tcBorders>
        <w:shd w:val="clear" w:color="auto" w:fill="CBCBCB" w:themeFill="text1" w:themeFillTint="3F"/>
      </w:tcPr>
    </w:tblStylePr>
    <w:tblStylePr w:type="band1Horz">
      <w:tblPr/>
      <w:tcPr>
        <w:tcBorders>
          <w:top w:val="single" w:sz="8" w:space="0" w:color="303030" w:themeColor="text1"/>
          <w:left w:val="single" w:sz="8" w:space="0" w:color="303030" w:themeColor="text1"/>
          <w:bottom w:val="single" w:sz="8" w:space="0" w:color="303030" w:themeColor="text1"/>
          <w:right w:val="single" w:sz="8" w:space="0" w:color="303030" w:themeColor="text1"/>
          <w:insideV w:val="single" w:sz="8" w:space="0" w:color="303030" w:themeColor="text1"/>
        </w:tcBorders>
        <w:shd w:val="clear" w:color="auto" w:fill="CBCBCB" w:themeFill="text1" w:themeFillTint="3F"/>
      </w:tcPr>
    </w:tblStylePr>
    <w:tblStylePr w:type="band2Horz">
      <w:tblPr/>
      <w:tcPr>
        <w:tcBorders>
          <w:top w:val="single" w:sz="8" w:space="0" w:color="303030" w:themeColor="text1"/>
          <w:left w:val="single" w:sz="8" w:space="0" w:color="303030" w:themeColor="text1"/>
          <w:bottom w:val="single" w:sz="8" w:space="0" w:color="303030" w:themeColor="text1"/>
          <w:right w:val="single" w:sz="8" w:space="0" w:color="303030" w:themeColor="text1"/>
          <w:insideV w:val="single" w:sz="8" w:space="0" w:color="303030" w:themeColor="text1"/>
        </w:tcBorders>
      </w:tcPr>
    </w:tblStylePr>
  </w:style>
  <w:style w:type="table" w:styleId="LightGrid-Accent1">
    <w:name w:val="Light Grid Accent 1"/>
    <w:basedOn w:val="TableNormal"/>
    <w:uiPriority w:val="99"/>
    <w:semiHidden/>
    <w:unhideWhenUsed/>
    <w:rsid w:val="00911DE3"/>
    <w:pPr>
      <w:spacing w:line="240" w:lineRule="auto"/>
    </w:pPr>
    <w:tblPr>
      <w:tblStyleRowBandSize w:val="1"/>
      <w:tblStyleColBandSize w:val="1"/>
      <w:tblBorders>
        <w:top w:val="single" w:sz="8" w:space="0" w:color="C4D5D3" w:themeColor="accent1"/>
        <w:left w:val="single" w:sz="8" w:space="0" w:color="C4D5D3" w:themeColor="accent1"/>
        <w:bottom w:val="single" w:sz="8" w:space="0" w:color="C4D5D3" w:themeColor="accent1"/>
        <w:right w:val="single" w:sz="8" w:space="0" w:color="C4D5D3" w:themeColor="accent1"/>
        <w:insideH w:val="single" w:sz="8" w:space="0" w:color="C4D5D3" w:themeColor="accent1"/>
        <w:insideV w:val="single" w:sz="8" w:space="0" w:color="C4D5D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4D5D3" w:themeColor="accent1"/>
          <w:left w:val="single" w:sz="8" w:space="0" w:color="C4D5D3" w:themeColor="accent1"/>
          <w:bottom w:val="single" w:sz="18" w:space="0" w:color="C4D5D3" w:themeColor="accent1"/>
          <w:right w:val="single" w:sz="8" w:space="0" w:color="C4D5D3" w:themeColor="accent1"/>
          <w:insideH w:val="nil"/>
          <w:insideV w:val="single" w:sz="8" w:space="0" w:color="C4D5D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4D5D3" w:themeColor="accent1"/>
          <w:left w:val="single" w:sz="8" w:space="0" w:color="C4D5D3" w:themeColor="accent1"/>
          <w:bottom w:val="single" w:sz="8" w:space="0" w:color="C4D5D3" w:themeColor="accent1"/>
          <w:right w:val="single" w:sz="8" w:space="0" w:color="C4D5D3" w:themeColor="accent1"/>
          <w:insideH w:val="nil"/>
          <w:insideV w:val="single" w:sz="8" w:space="0" w:color="C4D5D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4D5D3" w:themeColor="accent1"/>
          <w:left w:val="single" w:sz="8" w:space="0" w:color="C4D5D3" w:themeColor="accent1"/>
          <w:bottom w:val="single" w:sz="8" w:space="0" w:color="C4D5D3" w:themeColor="accent1"/>
          <w:right w:val="single" w:sz="8" w:space="0" w:color="C4D5D3" w:themeColor="accent1"/>
        </w:tcBorders>
      </w:tcPr>
    </w:tblStylePr>
    <w:tblStylePr w:type="band1Vert">
      <w:tblPr/>
      <w:tcPr>
        <w:tcBorders>
          <w:top w:val="single" w:sz="8" w:space="0" w:color="C4D5D3" w:themeColor="accent1"/>
          <w:left w:val="single" w:sz="8" w:space="0" w:color="C4D5D3" w:themeColor="accent1"/>
          <w:bottom w:val="single" w:sz="8" w:space="0" w:color="C4D5D3" w:themeColor="accent1"/>
          <w:right w:val="single" w:sz="8" w:space="0" w:color="C4D5D3" w:themeColor="accent1"/>
        </w:tcBorders>
        <w:shd w:val="clear" w:color="auto" w:fill="F0F4F4" w:themeFill="accent1" w:themeFillTint="3F"/>
      </w:tcPr>
    </w:tblStylePr>
    <w:tblStylePr w:type="band1Horz">
      <w:tblPr/>
      <w:tcPr>
        <w:tcBorders>
          <w:top w:val="single" w:sz="8" w:space="0" w:color="C4D5D3" w:themeColor="accent1"/>
          <w:left w:val="single" w:sz="8" w:space="0" w:color="C4D5D3" w:themeColor="accent1"/>
          <w:bottom w:val="single" w:sz="8" w:space="0" w:color="C4D5D3" w:themeColor="accent1"/>
          <w:right w:val="single" w:sz="8" w:space="0" w:color="C4D5D3" w:themeColor="accent1"/>
          <w:insideV w:val="single" w:sz="8" w:space="0" w:color="C4D5D3" w:themeColor="accent1"/>
        </w:tcBorders>
        <w:shd w:val="clear" w:color="auto" w:fill="F0F4F4" w:themeFill="accent1" w:themeFillTint="3F"/>
      </w:tcPr>
    </w:tblStylePr>
    <w:tblStylePr w:type="band2Horz">
      <w:tblPr/>
      <w:tcPr>
        <w:tcBorders>
          <w:top w:val="single" w:sz="8" w:space="0" w:color="C4D5D3" w:themeColor="accent1"/>
          <w:left w:val="single" w:sz="8" w:space="0" w:color="C4D5D3" w:themeColor="accent1"/>
          <w:bottom w:val="single" w:sz="8" w:space="0" w:color="C4D5D3" w:themeColor="accent1"/>
          <w:right w:val="single" w:sz="8" w:space="0" w:color="C4D5D3" w:themeColor="accent1"/>
          <w:insideV w:val="single" w:sz="8" w:space="0" w:color="C4D5D3" w:themeColor="accent1"/>
        </w:tcBorders>
      </w:tcPr>
    </w:tblStylePr>
  </w:style>
  <w:style w:type="table" w:styleId="LightGrid-Accent2">
    <w:name w:val="Light Grid Accent 2"/>
    <w:basedOn w:val="TableNormal"/>
    <w:uiPriority w:val="99"/>
    <w:semiHidden/>
    <w:unhideWhenUsed/>
    <w:rsid w:val="00911DE3"/>
    <w:pPr>
      <w:spacing w:line="240" w:lineRule="auto"/>
    </w:pPr>
    <w:tblPr>
      <w:tblStyleRowBandSize w:val="1"/>
      <w:tblStyleColBandSize w:val="1"/>
      <w:tblBorders>
        <w:top w:val="single" w:sz="8" w:space="0" w:color="86A9A6" w:themeColor="accent2"/>
        <w:left w:val="single" w:sz="8" w:space="0" w:color="86A9A6" w:themeColor="accent2"/>
        <w:bottom w:val="single" w:sz="8" w:space="0" w:color="86A9A6" w:themeColor="accent2"/>
        <w:right w:val="single" w:sz="8" w:space="0" w:color="86A9A6" w:themeColor="accent2"/>
        <w:insideH w:val="single" w:sz="8" w:space="0" w:color="86A9A6" w:themeColor="accent2"/>
        <w:insideV w:val="single" w:sz="8" w:space="0" w:color="86A9A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A9A6" w:themeColor="accent2"/>
          <w:left w:val="single" w:sz="8" w:space="0" w:color="86A9A6" w:themeColor="accent2"/>
          <w:bottom w:val="single" w:sz="18" w:space="0" w:color="86A9A6" w:themeColor="accent2"/>
          <w:right w:val="single" w:sz="8" w:space="0" w:color="86A9A6" w:themeColor="accent2"/>
          <w:insideH w:val="nil"/>
          <w:insideV w:val="single" w:sz="8" w:space="0" w:color="86A9A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A9A6" w:themeColor="accent2"/>
          <w:left w:val="single" w:sz="8" w:space="0" w:color="86A9A6" w:themeColor="accent2"/>
          <w:bottom w:val="single" w:sz="8" w:space="0" w:color="86A9A6" w:themeColor="accent2"/>
          <w:right w:val="single" w:sz="8" w:space="0" w:color="86A9A6" w:themeColor="accent2"/>
          <w:insideH w:val="nil"/>
          <w:insideV w:val="single" w:sz="8" w:space="0" w:color="86A9A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A9A6" w:themeColor="accent2"/>
          <w:left w:val="single" w:sz="8" w:space="0" w:color="86A9A6" w:themeColor="accent2"/>
          <w:bottom w:val="single" w:sz="8" w:space="0" w:color="86A9A6" w:themeColor="accent2"/>
          <w:right w:val="single" w:sz="8" w:space="0" w:color="86A9A6" w:themeColor="accent2"/>
        </w:tcBorders>
      </w:tcPr>
    </w:tblStylePr>
    <w:tblStylePr w:type="band1Vert">
      <w:tblPr/>
      <w:tcPr>
        <w:tcBorders>
          <w:top w:val="single" w:sz="8" w:space="0" w:color="86A9A6" w:themeColor="accent2"/>
          <w:left w:val="single" w:sz="8" w:space="0" w:color="86A9A6" w:themeColor="accent2"/>
          <w:bottom w:val="single" w:sz="8" w:space="0" w:color="86A9A6" w:themeColor="accent2"/>
          <w:right w:val="single" w:sz="8" w:space="0" w:color="86A9A6" w:themeColor="accent2"/>
        </w:tcBorders>
        <w:shd w:val="clear" w:color="auto" w:fill="E1E9E8" w:themeFill="accent2" w:themeFillTint="3F"/>
      </w:tcPr>
    </w:tblStylePr>
    <w:tblStylePr w:type="band1Horz">
      <w:tblPr/>
      <w:tcPr>
        <w:tcBorders>
          <w:top w:val="single" w:sz="8" w:space="0" w:color="86A9A6" w:themeColor="accent2"/>
          <w:left w:val="single" w:sz="8" w:space="0" w:color="86A9A6" w:themeColor="accent2"/>
          <w:bottom w:val="single" w:sz="8" w:space="0" w:color="86A9A6" w:themeColor="accent2"/>
          <w:right w:val="single" w:sz="8" w:space="0" w:color="86A9A6" w:themeColor="accent2"/>
          <w:insideV w:val="single" w:sz="8" w:space="0" w:color="86A9A6" w:themeColor="accent2"/>
        </w:tcBorders>
        <w:shd w:val="clear" w:color="auto" w:fill="E1E9E8" w:themeFill="accent2" w:themeFillTint="3F"/>
      </w:tcPr>
    </w:tblStylePr>
    <w:tblStylePr w:type="band2Horz">
      <w:tblPr/>
      <w:tcPr>
        <w:tcBorders>
          <w:top w:val="single" w:sz="8" w:space="0" w:color="86A9A6" w:themeColor="accent2"/>
          <w:left w:val="single" w:sz="8" w:space="0" w:color="86A9A6" w:themeColor="accent2"/>
          <w:bottom w:val="single" w:sz="8" w:space="0" w:color="86A9A6" w:themeColor="accent2"/>
          <w:right w:val="single" w:sz="8" w:space="0" w:color="86A9A6" w:themeColor="accent2"/>
          <w:insideV w:val="single" w:sz="8" w:space="0" w:color="86A9A6" w:themeColor="accent2"/>
        </w:tcBorders>
      </w:tcPr>
    </w:tblStylePr>
  </w:style>
  <w:style w:type="table" w:styleId="LightGrid-Accent3">
    <w:name w:val="Light Grid Accent 3"/>
    <w:basedOn w:val="TableNormal"/>
    <w:uiPriority w:val="99"/>
    <w:semiHidden/>
    <w:unhideWhenUsed/>
    <w:rsid w:val="00911DE3"/>
    <w:pPr>
      <w:spacing w:line="240" w:lineRule="auto"/>
    </w:pPr>
    <w:tblPr>
      <w:tblStyleRowBandSize w:val="1"/>
      <w:tblStyleColBandSize w:val="1"/>
      <w:tblBorders>
        <w:top w:val="single" w:sz="8" w:space="0" w:color="5E8D89" w:themeColor="accent3"/>
        <w:left w:val="single" w:sz="8" w:space="0" w:color="5E8D89" w:themeColor="accent3"/>
        <w:bottom w:val="single" w:sz="8" w:space="0" w:color="5E8D89" w:themeColor="accent3"/>
        <w:right w:val="single" w:sz="8" w:space="0" w:color="5E8D89" w:themeColor="accent3"/>
        <w:insideH w:val="single" w:sz="8" w:space="0" w:color="5E8D89" w:themeColor="accent3"/>
        <w:insideV w:val="single" w:sz="8" w:space="0" w:color="5E8D8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E8D89" w:themeColor="accent3"/>
          <w:left w:val="single" w:sz="8" w:space="0" w:color="5E8D89" w:themeColor="accent3"/>
          <w:bottom w:val="single" w:sz="18" w:space="0" w:color="5E8D89" w:themeColor="accent3"/>
          <w:right w:val="single" w:sz="8" w:space="0" w:color="5E8D89" w:themeColor="accent3"/>
          <w:insideH w:val="nil"/>
          <w:insideV w:val="single" w:sz="8" w:space="0" w:color="5E8D8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E8D89" w:themeColor="accent3"/>
          <w:left w:val="single" w:sz="8" w:space="0" w:color="5E8D89" w:themeColor="accent3"/>
          <w:bottom w:val="single" w:sz="8" w:space="0" w:color="5E8D89" w:themeColor="accent3"/>
          <w:right w:val="single" w:sz="8" w:space="0" w:color="5E8D89" w:themeColor="accent3"/>
          <w:insideH w:val="nil"/>
          <w:insideV w:val="single" w:sz="8" w:space="0" w:color="5E8D8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E8D89" w:themeColor="accent3"/>
          <w:left w:val="single" w:sz="8" w:space="0" w:color="5E8D89" w:themeColor="accent3"/>
          <w:bottom w:val="single" w:sz="8" w:space="0" w:color="5E8D89" w:themeColor="accent3"/>
          <w:right w:val="single" w:sz="8" w:space="0" w:color="5E8D89" w:themeColor="accent3"/>
        </w:tcBorders>
      </w:tcPr>
    </w:tblStylePr>
    <w:tblStylePr w:type="band1Vert">
      <w:tblPr/>
      <w:tcPr>
        <w:tcBorders>
          <w:top w:val="single" w:sz="8" w:space="0" w:color="5E8D89" w:themeColor="accent3"/>
          <w:left w:val="single" w:sz="8" w:space="0" w:color="5E8D89" w:themeColor="accent3"/>
          <w:bottom w:val="single" w:sz="8" w:space="0" w:color="5E8D89" w:themeColor="accent3"/>
          <w:right w:val="single" w:sz="8" w:space="0" w:color="5E8D89" w:themeColor="accent3"/>
        </w:tcBorders>
        <w:shd w:val="clear" w:color="auto" w:fill="D6E3E2" w:themeFill="accent3" w:themeFillTint="3F"/>
      </w:tcPr>
    </w:tblStylePr>
    <w:tblStylePr w:type="band1Horz">
      <w:tblPr/>
      <w:tcPr>
        <w:tcBorders>
          <w:top w:val="single" w:sz="8" w:space="0" w:color="5E8D89" w:themeColor="accent3"/>
          <w:left w:val="single" w:sz="8" w:space="0" w:color="5E8D89" w:themeColor="accent3"/>
          <w:bottom w:val="single" w:sz="8" w:space="0" w:color="5E8D89" w:themeColor="accent3"/>
          <w:right w:val="single" w:sz="8" w:space="0" w:color="5E8D89" w:themeColor="accent3"/>
          <w:insideV w:val="single" w:sz="8" w:space="0" w:color="5E8D89" w:themeColor="accent3"/>
        </w:tcBorders>
        <w:shd w:val="clear" w:color="auto" w:fill="D6E3E2" w:themeFill="accent3" w:themeFillTint="3F"/>
      </w:tcPr>
    </w:tblStylePr>
    <w:tblStylePr w:type="band2Horz">
      <w:tblPr/>
      <w:tcPr>
        <w:tcBorders>
          <w:top w:val="single" w:sz="8" w:space="0" w:color="5E8D89" w:themeColor="accent3"/>
          <w:left w:val="single" w:sz="8" w:space="0" w:color="5E8D89" w:themeColor="accent3"/>
          <w:bottom w:val="single" w:sz="8" w:space="0" w:color="5E8D89" w:themeColor="accent3"/>
          <w:right w:val="single" w:sz="8" w:space="0" w:color="5E8D89" w:themeColor="accent3"/>
          <w:insideV w:val="single" w:sz="8" w:space="0" w:color="5E8D89" w:themeColor="accent3"/>
        </w:tcBorders>
      </w:tcPr>
    </w:tblStylePr>
  </w:style>
  <w:style w:type="table" w:styleId="LightGrid-Accent4">
    <w:name w:val="Light Grid Accent 4"/>
    <w:basedOn w:val="TableNormal"/>
    <w:uiPriority w:val="99"/>
    <w:semiHidden/>
    <w:unhideWhenUsed/>
    <w:rsid w:val="00911DE3"/>
    <w:pPr>
      <w:spacing w:line="240" w:lineRule="auto"/>
    </w:pPr>
    <w:tblPr>
      <w:tblStyleRowBandSize w:val="1"/>
      <w:tblStyleColBandSize w:val="1"/>
      <w:tblBorders>
        <w:top w:val="single" w:sz="8" w:space="0" w:color="36706B" w:themeColor="accent4"/>
        <w:left w:val="single" w:sz="8" w:space="0" w:color="36706B" w:themeColor="accent4"/>
        <w:bottom w:val="single" w:sz="8" w:space="0" w:color="36706B" w:themeColor="accent4"/>
        <w:right w:val="single" w:sz="8" w:space="0" w:color="36706B" w:themeColor="accent4"/>
        <w:insideH w:val="single" w:sz="8" w:space="0" w:color="36706B" w:themeColor="accent4"/>
        <w:insideV w:val="single" w:sz="8" w:space="0" w:color="36706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706B" w:themeColor="accent4"/>
          <w:left w:val="single" w:sz="8" w:space="0" w:color="36706B" w:themeColor="accent4"/>
          <w:bottom w:val="single" w:sz="18" w:space="0" w:color="36706B" w:themeColor="accent4"/>
          <w:right w:val="single" w:sz="8" w:space="0" w:color="36706B" w:themeColor="accent4"/>
          <w:insideH w:val="nil"/>
          <w:insideV w:val="single" w:sz="8" w:space="0" w:color="36706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706B" w:themeColor="accent4"/>
          <w:left w:val="single" w:sz="8" w:space="0" w:color="36706B" w:themeColor="accent4"/>
          <w:bottom w:val="single" w:sz="8" w:space="0" w:color="36706B" w:themeColor="accent4"/>
          <w:right w:val="single" w:sz="8" w:space="0" w:color="36706B" w:themeColor="accent4"/>
          <w:insideH w:val="nil"/>
          <w:insideV w:val="single" w:sz="8" w:space="0" w:color="36706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706B" w:themeColor="accent4"/>
          <w:left w:val="single" w:sz="8" w:space="0" w:color="36706B" w:themeColor="accent4"/>
          <w:bottom w:val="single" w:sz="8" w:space="0" w:color="36706B" w:themeColor="accent4"/>
          <w:right w:val="single" w:sz="8" w:space="0" w:color="36706B" w:themeColor="accent4"/>
        </w:tcBorders>
      </w:tcPr>
    </w:tblStylePr>
    <w:tblStylePr w:type="band1Vert">
      <w:tblPr/>
      <w:tcPr>
        <w:tcBorders>
          <w:top w:val="single" w:sz="8" w:space="0" w:color="36706B" w:themeColor="accent4"/>
          <w:left w:val="single" w:sz="8" w:space="0" w:color="36706B" w:themeColor="accent4"/>
          <w:bottom w:val="single" w:sz="8" w:space="0" w:color="36706B" w:themeColor="accent4"/>
          <w:right w:val="single" w:sz="8" w:space="0" w:color="36706B" w:themeColor="accent4"/>
        </w:tcBorders>
        <w:shd w:val="clear" w:color="auto" w:fill="C5E3E0" w:themeFill="accent4" w:themeFillTint="3F"/>
      </w:tcPr>
    </w:tblStylePr>
    <w:tblStylePr w:type="band1Horz">
      <w:tblPr/>
      <w:tcPr>
        <w:tcBorders>
          <w:top w:val="single" w:sz="8" w:space="0" w:color="36706B" w:themeColor="accent4"/>
          <w:left w:val="single" w:sz="8" w:space="0" w:color="36706B" w:themeColor="accent4"/>
          <w:bottom w:val="single" w:sz="8" w:space="0" w:color="36706B" w:themeColor="accent4"/>
          <w:right w:val="single" w:sz="8" w:space="0" w:color="36706B" w:themeColor="accent4"/>
          <w:insideV w:val="single" w:sz="8" w:space="0" w:color="36706B" w:themeColor="accent4"/>
        </w:tcBorders>
        <w:shd w:val="clear" w:color="auto" w:fill="C5E3E0" w:themeFill="accent4" w:themeFillTint="3F"/>
      </w:tcPr>
    </w:tblStylePr>
    <w:tblStylePr w:type="band2Horz">
      <w:tblPr/>
      <w:tcPr>
        <w:tcBorders>
          <w:top w:val="single" w:sz="8" w:space="0" w:color="36706B" w:themeColor="accent4"/>
          <w:left w:val="single" w:sz="8" w:space="0" w:color="36706B" w:themeColor="accent4"/>
          <w:bottom w:val="single" w:sz="8" w:space="0" w:color="36706B" w:themeColor="accent4"/>
          <w:right w:val="single" w:sz="8" w:space="0" w:color="36706B" w:themeColor="accent4"/>
          <w:insideV w:val="single" w:sz="8" w:space="0" w:color="36706B" w:themeColor="accent4"/>
        </w:tcBorders>
      </w:tcPr>
    </w:tblStylePr>
  </w:style>
  <w:style w:type="table" w:styleId="LightGrid-Accent5">
    <w:name w:val="Light Grid Accent 5"/>
    <w:basedOn w:val="TableNormal"/>
    <w:uiPriority w:val="99"/>
    <w:semiHidden/>
    <w:unhideWhenUsed/>
    <w:rsid w:val="00911DE3"/>
    <w:pPr>
      <w:spacing w:line="240" w:lineRule="auto"/>
    </w:pPr>
    <w:tblPr>
      <w:tblStyleRowBandSize w:val="1"/>
      <w:tblStyleColBandSize w:val="1"/>
      <w:tblBorders>
        <w:top w:val="single" w:sz="8" w:space="0" w:color="2B5A56" w:themeColor="accent5"/>
        <w:left w:val="single" w:sz="8" w:space="0" w:color="2B5A56" w:themeColor="accent5"/>
        <w:bottom w:val="single" w:sz="8" w:space="0" w:color="2B5A56" w:themeColor="accent5"/>
        <w:right w:val="single" w:sz="8" w:space="0" w:color="2B5A56" w:themeColor="accent5"/>
        <w:insideH w:val="single" w:sz="8" w:space="0" w:color="2B5A56" w:themeColor="accent5"/>
        <w:insideV w:val="single" w:sz="8" w:space="0" w:color="2B5A5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5A56" w:themeColor="accent5"/>
          <w:left w:val="single" w:sz="8" w:space="0" w:color="2B5A56" w:themeColor="accent5"/>
          <w:bottom w:val="single" w:sz="18" w:space="0" w:color="2B5A56" w:themeColor="accent5"/>
          <w:right w:val="single" w:sz="8" w:space="0" w:color="2B5A56" w:themeColor="accent5"/>
          <w:insideH w:val="nil"/>
          <w:insideV w:val="single" w:sz="8" w:space="0" w:color="2B5A5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A56" w:themeColor="accent5"/>
          <w:left w:val="single" w:sz="8" w:space="0" w:color="2B5A56" w:themeColor="accent5"/>
          <w:bottom w:val="single" w:sz="8" w:space="0" w:color="2B5A56" w:themeColor="accent5"/>
          <w:right w:val="single" w:sz="8" w:space="0" w:color="2B5A56" w:themeColor="accent5"/>
          <w:insideH w:val="nil"/>
          <w:insideV w:val="single" w:sz="8" w:space="0" w:color="2B5A5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A56" w:themeColor="accent5"/>
          <w:left w:val="single" w:sz="8" w:space="0" w:color="2B5A56" w:themeColor="accent5"/>
          <w:bottom w:val="single" w:sz="8" w:space="0" w:color="2B5A56" w:themeColor="accent5"/>
          <w:right w:val="single" w:sz="8" w:space="0" w:color="2B5A56" w:themeColor="accent5"/>
        </w:tcBorders>
      </w:tcPr>
    </w:tblStylePr>
    <w:tblStylePr w:type="band1Vert">
      <w:tblPr/>
      <w:tcPr>
        <w:tcBorders>
          <w:top w:val="single" w:sz="8" w:space="0" w:color="2B5A56" w:themeColor="accent5"/>
          <w:left w:val="single" w:sz="8" w:space="0" w:color="2B5A56" w:themeColor="accent5"/>
          <w:bottom w:val="single" w:sz="8" w:space="0" w:color="2B5A56" w:themeColor="accent5"/>
          <w:right w:val="single" w:sz="8" w:space="0" w:color="2B5A56" w:themeColor="accent5"/>
        </w:tcBorders>
        <w:shd w:val="clear" w:color="auto" w:fill="BFE0DD" w:themeFill="accent5" w:themeFillTint="3F"/>
      </w:tcPr>
    </w:tblStylePr>
    <w:tblStylePr w:type="band1Horz">
      <w:tblPr/>
      <w:tcPr>
        <w:tcBorders>
          <w:top w:val="single" w:sz="8" w:space="0" w:color="2B5A56" w:themeColor="accent5"/>
          <w:left w:val="single" w:sz="8" w:space="0" w:color="2B5A56" w:themeColor="accent5"/>
          <w:bottom w:val="single" w:sz="8" w:space="0" w:color="2B5A56" w:themeColor="accent5"/>
          <w:right w:val="single" w:sz="8" w:space="0" w:color="2B5A56" w:themeColor="accent5"/>
          <w:insideV w:val="single" w:sz="8" w:space="0" w:color="2B5A56" w:themeColor="accent5"/>
        </w:tcBorders>
        <w:shd w:val="clear" w:color="auto" w:fill="BFE0DD" w:themeFill="accent5" w:themeFillTint="3F"/>
      </w:tcPr>
    </w:tblStylePr>
    <w:tblStylePr w:type="band2Horz">
      <w:tblPr/>
      <w:tcPr>
        <w:tcBorders>
          <w:top w:val="single" w:sz="8" w:space="0" w:color="2B5A56" w:themeColor="accent5"/>
          <w:left w:val="single" w:sz="8" w:space="0" w:color="2B5A56" w:themeColor="accent5"/>
          <w:bottom w:val="single" w:sz="8" w:space="0" w:color="2B5A56" w:themeColor="accent5"/>
          <w:right w:val="single" w:sz="8" w:space="0" w:color="2B5A56" w:themeColor="accent5"/>
          <w:insideV w:val="single" w:sz="8" w:space="0" w:color="2B5A56" w:themeColor="accent5"/>
        </w:tcBorders>
      </w:tcPr>
    </w:tblStylePr>
  </w:style>
  <w:style w:type="table" w:styleId="LightGrid-Accent6">
    <w:name w:val="Light Grid Accent 6"/>
    <w:basedOn w:val="TableNormal"/>
    <w:uiPriority w:val="99"/>
    <w:semiHidden/>
    <w:unhideWhenUsed/>
    <w:rsid w:val="00911DE3"/>
    <w:pPr>
      <w:spacing w:line="240" w:lineRule="auto"/>
    </w:pPr>
    <w:tblPr>
      <w:tblStyleRowBandSize w:val="1"/>
      <w:tblStyleColBandSize w:val="1"/>
      <w:tblBorders>
        <w:top w:val="single" w:sz="8" w:space="0" w:color="5EC1A0" w:themeColor="accent6"/>
        <w:left w:val="single" w:sz="8" w:space="0" w:color="5EC1A0" w:themeColor="accent6"/>
        <w:bottom w:val="single" w:sz="8" w:space="0" w:color="5EC1A0" w:themeColor="accent6"/>
        <w:right w:val="single" w:sz="8" w:space="0" w:color="5EC1A0" w:themeColor="accent6"/>
        <w:insideH w:val="single" w:sz="8" w:space="0" w:color="5EC1A0" w:themeColor="accent6"/>
        <w:insideV w:val="single" w:sz="8" w:space="0" w:color="5EC1A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EC1A0" w:themeColor="accent6"/>
          <w:left w:val="single" w:sz="8" w:space="0" w:color="5EC1A0" w:themeColor="accent6"/>
          <w:bottom w:val="single" w:sz="18" w:space="0" w:color="5EC1A0" w:themeColor="accent6"/>
          <w:right w:val="single" w:sz="8" w:space="0" w:color="5EC1A0" w:themeColor="accent6"/>
          <w:insideH w:val="nil"/>
          <w:insideV w:val="single" w:sz="8" w:space="0" w:color="5EC1A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EC1A0" w:themeColor="accent6"/>
          <w:left w:val="single" w:sz="8" w:space="0" w:color="5EC1A0" w:themeColor="accent6"/>
          <w:bottom w:val="single" w:sz="8" w:space="0" w:color="5EC1A0" w:themeColor="accent6"/>
          <w:right w:val="single" w:sz="8" w:space="0" w:color="5EC1A0" w:themeColor="accent6"/>
          <w:insideH w:val="nil"/>
          <w:insideV w:val="single" w:sz="8" w:space="0" w:color="5EC1A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EC1A0" w:themeColor="accent6"/>
          <w:left w:val="single" w:sz="8" w:space="0" w:color="5EC1A0" w:themeColor="accent6"/>
          <w:bottom w:val="single" w:sz="8" w:space="0" w:color="5EC1A0" w:themeColor="accent6"/>
          <w:right w:val="single" w:sz="8" w:space="0" w:color="5EC1A0" w:themeColor="accent6"/>
        </w:tcBorders>
      </w:tcPr>
    </w:tblStylePr>
    <w:tblStylePr w:type="band1Vert">
      <w:tblPr/>
      <w:tcPr>
        <w:tcBorders>
          <w:top w:val="single" w:sz="8" w:space="0" w:color="5EC1A0" w:themeColor="accent6"/>
          <w:left w:val="single" w:sz="8" w:space="0" w:color="5EC1A0" w:themeColor="accent6"/>
          <w:bottom w:val="single" w:sz="8" w:space="0" w:color="5EC1A0" w:themeColor="accent6"/>
          <w:right w:val="single" w:sz="8" w:space="0" w:color="5EC1A0" w:themeColor="accent6"/>
        </w:tcBorders>
        <w:shd w:val="clear" w:color="auto" w:fill="D7EFE7" w:themeFill="accent6" w:themeFillTint="3F"/>
      </w:tcPr>
    </w:tblStylePr>
    <w:tblStylePr w:type="band1Horz">
      <w:tblPr/>
      <w:tcPr>
        <w:tcBorders>
          <w:top w:val="single" w:sz="8" w:space="0" w:color="5EC1A0" w:themeColor="accent6"/>
          <w:left w:val="single" w:sz="8" w:space="0" w:color="5EC1A0" w:themeColor="accent6"/>
          <w:bottom w:val="single" w:sz="8" w:space="0" w:color="5EC1A0" w:themeColor="accent6"/>
          <w:right w:val="single" w:sz="8" w:space="0" w:color="5EC1A0" w:themeColor="accent6"/>
          <w:insideV w:val="single" w:sz="8" w:space="0" w:color="5EC1A0" w:themeColor="accent6"/>
        </w:tcBorders>
        <w:shd w:val="clear" w:color="auto" w:fill="D7EFE7" w:themeFill="accent6" w:themeFillTint="3F"/>
      </w:tcPr>
    </w:tblStylePr>
    <w:tblStylePr w:type="band2Horz">
      <w:tblPr/>
      <w:tcPr>
        <w:tcBorders>
          <w:top w:val="single" w:sz="8" w:space="0" w:color="5EC1A0" w:themeColor="accent6"/>
          <w:left w:val="single" w:sz="8" w:space="0" w:color="5EC1A0" w:themeColor="accent6"/>
          <w:bottom w:val="single" w:sz="8" w:space="0" w:color="5EC1A0" w:themeColor="accent6"/>
          <w:right w:val="single" w:sz="8" w:space="0" w:color="5EC1A0" w:themeColor="accent6"/>
          <w:insideV w:val="single" w:sz="8" w:space="0" w:color="5EC1A0" w:themeColor="accent6"/>
        </w:tcBorders>
      </w:tcPr>
    </w:tblStylePr>
  </w:style>
  <w:style w:type="table" w:styleId="LightList">
    <w:name w:val="Light List"/>
    <w:basedOn w:val="TableNormal"/>
    <w:uiPriority w:val="99"/>
    <w:semiHidden/>
    <w:unhideWhenUsed/>
    <w:rsid w:val="00911DE3"/>
    <w:pPr>
      <w:spacing w:line="240" w:lineRule="auto"/>
    </w:pPr>
    <w:tblPr>
      <w:tblStyleRowBandSize w:val="1"/>
      <w:tblStyleColBandSize w:val="1"/>
      <w:tblBorders>
        <w:top w:val="single" w:sz="8" w:space="0" w:color="303030" w:themeColor="text1"/>
        <w:left w:val="single" w:sz="8" w:space="0" w:color="303030" w:themeColor="text1"/>
        <w:bottom w:val="single" w:sz="8" w:space="0" w:color="303030" w:themeColor="text1"/>
        <w:right w:val="single" w:sz="8" w:space="0" w:color="303030" w:themeColor="text1"/>
      </w:tblBorders>
    </w:tblPr>
    <w:tblStylePr w:type="firstRow">
      <w:pPr>
        <w:spacing w:before="0" w:after="0" w:line="240" w:lineRule="auto"/>
      </w:pPr>
      <w:rPr>
        <w:b/>
        <w:bCs/>
        <w:color w:val="FFFFFF" w:themeColor="background1"/>
      </w:rPr>
      <w:tblPr/>
      <w:tcPr>
        <w:shd w:val="clear" w:color="auto" w:fill="303030" w:themeFill="text1"/>
      </w:tcPr>
    </w:tblStylePr>
    <w:tblStylePr w:type="lastRow">
      <w:pPr>
        <w:spacing w:before="0" w:after="0" w:line="240" w:lineRule="auto"/>
      </w:pPr>
      <w:rPr>
        <w:b/>
        <w:bCs/>
      </w:rPr>
      <w:tblPr/>
      <w:tcPr>
        <w:tcBorders>
          <w:top w:val="double" w:sz="6" w:space="0" w:color="303030" w:themeColor="text1"/>
          <w:left w:val="single" w:sz="8" w:space="0" w:color="303030" w:themeColor="text1"/>
          <w:bottom w:val="single" w:sz="8" w:space="0" w:color="303030" w:themeColor="text1"/>
          <w:right w:val="single" w:sz="8" w:space="0" w:color="303030" w:themeColor="text1"/>
        </w:tcBorders>
      </w:tcPr>
    </w:tblStylePr>
    <w:tblStylePr w:type="firstCol">
      <w:rPr>
        <w:b/>
        <w:bCs/>
      </w:rPr>
    </w:tblStylePr>
    <w:tblStylePr w:type="lastCol">
      <w:rPr>
        <w:b/>
        <w:bCs/>
      </w:rPr>
    </w:tblStylePr>
    <w:tblStylePr w:type="band1Vert">
      <w:tblPr/>
      <w:tcPr>
        <w:tcBorders>
          <w:top w:val="single" w:sz="8" w:space="0" w:color="303030" w:themeColor="text1"/>
          <w:left w:val="single" w:sz="8" w:space="0" w:color="303030" w:themeColor="text1"/>
          <w:bottom w:val="single" w:sz="8" w:space="0" w:color="303030" w:themeColor="text1"/>
          <w:right w:val="single" w:sz="8" w:space="0" w:color="303030" w:themeColor="text1"/>
        </w:tcBorders>
      </w:tcPr>
    </w:tblStylePr>
    <w:tblStylePr w:type="band1Horz">
      <w:tblPr/>
      <w:tcPr>
        <w:tcBorders>
          <w:top w:val="single" w:sz="8" w:space="0" w:color="303030" w:themeColor="text1"/>
          <w:left w:val="single" w:sz="8" w:space="0" w:color="303030" w:themeColor="text1"/>
          <w:bottom w:val="single" w:sz="8" w:space="0" w:color="303030" w:themeColor="text1"/>
          <w:right w:val="single" w:sz="8" w:space="0" w:color="303030" w:themeColor="text1"/>
        </w:tcBorders>
      </w:tcPr>
    </w:tblStylePr>
  </w:style>
  <w:style w:type="table" w:styleId="LightList-Accent1">
    <w:name w:val="Light List Accent 1"/>
    <w:basedOn w:val="TableNormal"/>
    <w:uiPriority w:val="99"/>
    <w:semiHidden/>
    <w:unhideWhenUsed/>
    <w:rsid w:val="00911DE3"/>
    <w:pPr>
      <w:spacing w:line="240" w:lineRule="auto"/>
    </w:pPr>
    <w:tblPr>
      <w:tblStyleRowBandSize w:val="1"/>
      <w:tblStyleColBandSize w:val="1"/>
      <w:tblBorders>
        <w:top w:val="single" w:sz="8" w:space="0" w:color="C4D5D3" w:themeColor="accent1"/>
        <w:left w:val="single" w:sz="8" w:space="0" w:color="C4D5D3" w:themeColor="accent1"/>
        <w:bottom w:val="single" w:sz="8" w:space="0" w:color="C4D5D3" w:themeColor="accent1"/>
        <w:right w:val="single" w:sz="8" w:space="0" w:color="C4D5D3" w:themeColor="accent1"/>
      </w:tblBorders>
    </w:tblPr>
    <w:tblStylePr w:type="firstRow">
      <w:pPr>
        <w:spacing w:before="0" w:after="0" w:line="240" w:lineRule="auto"/>
      </w:pPr>
      <w:rPr>
        <w:b/>
        <w:bCs/>
        <w:color w:val="FFFFFF" w:themeColor="background1"/>
      </w:rPr>
      <w:tblPr/>
      <w:tcPr>
        <w:shd w:val="clear" w:color="auto" w:fill="C4D5D3" w:themeFill="accent1"/>
      </w:tcPr>
    </w:tblStylePr>
    <w:tblStylePr w:type="lastRow">
      <w:pPr>
        <w:spacing w:before="0" w:after="0" w:line="240" w:lineRule="auto"/>
      </w:pPr>
      <w:rPr>
        <w:b/>
        <w:bCs/>
      </w:rPr>
      <w:tblPr/>
      <w:tcPr>
        <w:tcBorders>
          <w:top w:val="double" w:sz="6" w:space="0" w:color="C4D5D3" w:themeColor="accent1"/>
          <w:left w:val="single" w:sz="8" w:space="0" w:color="C4D5D3" w:themeColor="accent1"/>
          <w:bottom w:val="single" w:sz="8" w:space="0" w:color="C4D5D3" w:themeColor="accent1"/>
          <w:right w:val="single" w:sz="8" w:space="0" w:color="C4D5D3" w:themeColor="accent1"/>
        </w:tcBorders>
      </w:tcPr>
    </w:tblStylePr>
    <w:tblStylePr w:type="firstCol">
      <w:rPr>
        <w:b/>
        <w:bCs/>
      </w:rPr>
    </w:tblStylePr>
    <w:tblStylePr w:type="lastCol">
      <w:rPr>
        <w:b/>
        <w:bCs/>
      </w:rPr>
    </w:tblStylePr>
    <w:tblStylePr w:type="band1Vert">
      <w:tblPr/>
      <w:tcPr>
        <w:tcBorders>
          <w:top w:val="single" w:sz="8" w:space="0" w:color="C4D5D3" w:themeColor="accent1"/>
          <w:left w:val="single" w:sz="8" w:space="0" w:color="C4D5D3" w:themeColor="accent1"/>
          <w:bottom w:val="single" w:sz="8" w:space="0" w:color="C4D5D3" w:themeColor="accent1"/>
          <w:right w:val="single" w:sz="8" w:space="0" w:color="C4D5D3" w:themeColor="accent1"/>
        </w:tcBorders>
      </w:tcPr>
    </w:tblStylePr>
    <w:tblStylePr w:type="band1Horz">
      <w:tblPr/>
      <w:tcPr>
        <w:tcBorders>
          <w:top w:val="single" w:sz="8" w:space="0" w:color="C4D5D3" w:themeColor="accent1"/>
          <w:left w:val="single" w:sz="8" w:space="0" w:color="C4D5D3" w:themeColor="accent1"/>
          <w:bottom w:val="single" w:sz="8" w:space="0" w:color="C4D5D3" w:themeColor="accent1"/>
          <w:right w:val="single" w:sz="8" w:space="0" w:color="C4D5D3" w:themeColor="accent1"/>
        </w:tcBorders>
      </w:tcPr>
    </w:tblStylePr>
  </w:style>
  <w:style w:type="table" w:styleId="LightList-Accent2">
    <w:name w:val="Light List Accent 2"/>
    <w:basedOn w:val="TableNormal"/>
    <w:uiPriority w:val="99"/>
    <w:semiHidden/>
    <w:unhideWhenUsed/>
    <w:rsid w:val="00911DE3"/>
    <w:pPr>
      <w:spacing w:line="240" w:lineRule="auto"/>
    </w:pPr>
    <w:tblPr>
      <w:tblStyleRowBandSize w:val="1"/>
      <w:tblStyleColBandSize w:val="1"/>
      <w:tblBorders>
        <w:top w:val="single" w:sz="8" w:space="0" w:color="86A9A6" w:themeColor="accent2"/>
        <w:left w:val="single" w:sz="8" w:space="0" w:color="86A9A6" w:themeColor="accent2"/>
        <w:bottom w:val="single" w:sz="8" w:space="0" w:color="86A9A6" w:themeColor="accent2"/>
        <w:right w:val="single" w:sz="8" w:space="0" w:color="86A9A6" w:themeColor="accent2"/>
      </w:tblBorders>
    </w:tblPr>
    <w:tblStylePr w:type="firstRow">
      <w:pPr>
        <w:spacing w:before="0" w:after="0" w:line="240" w:lineRule="auto"/>
      </w:pPr>
      <w:rPr>
        <w:b/>
        <w:bCs/>
        <w:color w:val="FFFFFF" w:themeColor="background1"/>
      </w:rPr>
      <w:tblPr/>
      <w:tcPr>
        <w:shd w:val="clear" w:color="auto" w:fill="86A9A6" w:themeFill="accent2"/>
      </w:tcPr>
    </w:tblStylePr>
    <w:tblStylePr w:type="lastRow">
      <w:pPr>
        <w:spacing w:before="0" w:after="0" w:line="240" w:lineRule="auto"/>
      </w:pPr>
      <w:rPr>
        <w:b/>
        <w:bCs/>
      </w:rPr>
      <w:tblPr/>
      <w:tcPr>
        <w:tcBorders>
          <w:top w:val="double" w:sz="6" w:space="0" w:color="86A9A6" w:themeColor="accent2"/>
          <w:left w:val="single" w:sz="8" w:space="0" w:color="86A9A6" w:themeColor="accent2"/>
          <w:bottom w:val="single" w:sz="8" w:space="0" w:color="86A9A6" w:themeColor="accent2"/>
          <w:right w:val="single" w:sz="8" w:space="0" w:color="86A9A6" w:themeColor="accent2"/>
        </w:tcBorders>
      </w:tcPr>
    </w:tblStylePr>
    <w:tblStylePr w:type="firstCol">
      <w:rPr>
        <w:b/>
        <w:bCs/>
      </w:rPr>
    </w:tblStylePr>
    <w:tblStylePr w:type="lastCol">
      <w:rPr>
        <w:b/>
        <w:bCs/>
      </w:rPr>
    </w:tblStylePr>
    <w:tblStylePr w:type="band1Vert">
      <w:tblPr/>
      <w:tcPr>
        <w:tcBorders>
          <w:top w:val="single" w:sz="8" w:space="0" w:color="86A9A6" w:themeColor="accent2"/>
          <w:left w:val="single" w:sz="8" w:space="0" w:color="86A9A6" w:themeColor="accent2"/>
          <w:bottom w:val="single" w:sz="8" w:space="0" w:color="86A9A6" w:themeColor="accent2"/>
          <w:right w:val="single" w:sz="8" w:space="0" w:color="86A9A6" w:themeColor="accent2"/>
        </w:tcBorders>
      </w:tcPr>
    </w:tblStylePr>
    <w:tblStylePr w:type="band1Horz">
      <w:tblPr/>
      <w:tcPr>
        <w:tcBorders>
          <w:top w:val="single" w:sz="8" w:space="0" w:color="86A9A6" w:themeColor="accent2"/>
          <w:left w:val="single" w:sz="8" w:space="0" w:color="86A9A6" w:themeColor="accent2"/>
          <w:bottom w:val="single" w:sz="8" w:space="0" w:color="86A9A6" w:themeColor="accent2"/>
          <w:right w:val="single" w:sz="8" w:space="0" w:color="86A9A6" w:themeColor="accent2"/>
        </w:tcBorders>
      </w:tcPr>
    </w:tblStylePr>
  </w:style>
  <w:style w:type="table" w:styleId="LightList-Accent3">
    <w:name w:val="Light List Accent 3"/>
    <w:basedOn w:val="TableNormal"/>
    <w:uiPriority w:val="99"/>
    <w:semiHidden/>
    <w:unhideWhenUsed/>
    <w:rsid w:val="00911DE3"/>
    <w:pPr>
      <w:spacing w:line="240" w:lineRule="auto"/>
    </w:pPr>
    <w:tblPr>
      <w:tblStyleRowBandSize w:val="1"/>
      <w:tblStyleColBandSize w:val="1"/>
      <w:tblBorders>
        <w:top w:val="single" w:sz="8" w:space="0" w:color="5E8D89" w:themeColor="accent3"/>
        <w:left w:val="single" w:sz="8" w:space="0" w:color="5E8D89" w:themeColor="accent3"/>
        <w:bottom w:val="single" w:sz="8" w:space="0" w:color="5E8D89" w:themeColor="accent3"/>
        <w:right w:val="single" w:sz="8" w:space="0" w:color="5E8D89" w:themeColor="accent3"/>
      </w:tblBorders>
    </w:tblPr>
    <w:tblStylePr w:type="firstRow">
      <w:pPr>
        <w:spacing w:before="0" w:after="0" w:line="240" w:lineRule="auto"/>
      </w:pPr>
      <w:rPr>
        <w:b/>
        <w:bCs/>
        <w:color w:val="FFFFFF" w:themeColor="background1"/>
      </w:rPr>
      <w:tblPr/>
      <w:tcPr>
        <w:shd w:val="clear" w:color="auto" w:fill="5E8D89" w:themeFill="accent3"/>
      </w:tcPr>
    </w:tblStylePr>
    <w:tblStylePr w:type="lastRow">
      <w:pPr>
        <w:spacing w:before="0" w:after="0" w:line="240" w:lineRule="auto"/>
      </w:pPr>
      <w:rPr>
        <w:b/>
        <w:bCs/>
      </w:rPr>
      <w:tblPr/>
      <w:tcPr>
        <w:tcBorders>
          <w:top w:val="double" w:sz="6" w:space="0" w:color="5E8D89" w:themeColor="accent3"/>
          <w:left w:val="single" w:sz="8" w:space="0" w:color="5E8D89" w:themeColor="accent3"/>
          <w:bottom w:val="single" w:sz="8" w:space="0" w:color="5E8D89" w:themeColor="accent3"/>
          <w:right w:val="single" w:sz="8" w:space="0" w:color="5E8D89" w:themeColor="accent3"/>
        </w:tcBorders>
      </w:tcPr>
    </w:tblStylePr>
    <w:tblStylePr w:type="firstCol">
      <w:rPr>
        <w:b/>
        <w:bCs/>
      </w:rPr>
    </w:tblStylePr>
    <w:tblStylePr w:type="lastCol">
      <w:rPr>
        <w:b/>
        <w:bCs/>
      </w:rPr>
    </w:tblStylePr>
    <w:tblStylePr w:type="band1Vert">
      <w:tblPr/>
      <w:tcPr>
        <w:tcBorders>
          <w:top w:val="single" w:sz="8" w:space="0" w:color="5E8D89" w:themeColor="accent3"/>
          <w:left w:val="single" w:sz="8" w:space="0" w:color="5E8D89" w:themeColor="accent3"/>
          <w:bottom w:val="single" w:sz="8" w:space="0" w:color="5E8D89" w:themeColor="accent3"/>
          <w:right w:val="single" w:sz="8" w:space="0" w:color="5E8D89" w:themeColor="accent3"/>
        </w:tcBorders>
      </w:tcPr>
    </w:tblStylePr>
    <w:tblStylePr w:type="band1Horz">
      <w:tblPr/>
      <w:tcPr>
        <w:tcBorders>
          <w:top w:val="single" w:sz="8" w:space="0" w:color="5E8D89" w:themeColor="accent3"/>
          <w:left w:val="single" w:sz="8" w:space="0" w:color="5E8D89" w:themeColor="accent3"/>
          <w:bottom w:val="single" w:sz="8" w:space="0" w:color="5E8D89" w:themeColor="accent3"/>
          <w:right w:val="single" w:sz="8" w:space="0" w:color="5E8D89" w:themeColor="accent3"/>
        </w:tcBorders>
      </w:tcPr>
    </w:tblStylePr>
  </w:style>
  <w:style w:type="table" w:styleId="LightList-Accent4">
    <w:name w:val="Light List Accent 4"/>
    <w:basedOn w:val="TableNormal"/>
    <w:uiPriority w:val="99"/>
    <w:semiHidden/>
    <w:unhideWhenUsed/>
    <w:rsid w:val="00911DE3"/>
    <w:pPr>
      <w:spacing w:line="240" w:lineRule="auto"/>
    </w:pPr>
    <w:tblPr>
      <w:tblStyleRowBandSize w:val="1"/>
      <w:tblStyleColBandSize w:val="1"/>
      <w:tblBorders>
        <w:top w:val="single" w:sz="8" w:space="0" w:color="36706B" w:themeColor="accent4"/>
        <w:left w:val="single" w:sz="8" w:space="0" w:color="36706B" w:themeColor="accent4"/>
        <w:bottom w:val="single" w:sz="8" w:space="0" w:color="36706B" w:themeColor="accent4"/>
        <w:right w:val="single" w:sz="8" w:space="0" w:color="36706B" w:themeColor="accent4"/>
      </w:tblBorders>
    </w:tblPr>
    <w:tblStylePr w:type="firstRow">
      <w:pPr>
        <w:spacing w:before="0" w:after="0" w:line="240" w:lineRule="auto"/>
      </w:pPr>
      <w:rPr>
        <w:b/>
        <w:bCs/>
        <w:color w:val="FFFFFF" w:themeColor="background1"/>
      </w:rPr>
      <w:tblPr/>
      <w:tcPr>
        <w:shd w:val="clear" w:color="auto" w:fill="36706B" w:themeFill="accent4"/>
      </w:tcPr>
    </w:tblStylePr>
    <w:tblStylePr w:type="lastRow">
      <w:pPr>
        <w:spacing w:before="0" w:after="0" w:line="240" w:lineRule="auto"/>
      </w:pPr>
      <w:rPr>
        <w:b/>
        <w:bCs/>
      </w:rPr>
      <w:tblPr/>
      <w:tcPr>
        <w:tcBorders>
          <w:top w:val="double" w:sz="6" w:space="0" w:color="36706B" w:themeColor="accent4"/>
          <w:left w:val="single" w:sz="8" w:space="0" w:color="36706B" w:themeColor="accent4"/>
          <w:bottom w:val="single" w:sz="8" w:space="0" w:color="36706B" w:themeColor="accent4"/>
          <w:right w:val="single" w:sz="8" w:space="0" w:color="36706B" w:themeColor="accent4"/>
        </w:tcBorders>
      </w:tcPr>
    </w:tblStylePr>
    <w:tblStylePr w:type="firstCol">
      <w:rPr>
        <w:b/>
        <w:bCs/>
      </w:rPr>
    </w:tblStylePr>
    <w:tblStylePr w:type="lastCol">
      <w:rPr>
        <w:b/>
        <w:bCs/>
      </w:rPr>
    </w:tblStylePr>
    <w:tblStylePr w:type="band1Vert">
      <w:tblPr/>
      <w:tcPr>
        <w:tcBorders>
          <w:top w:val="single" w:sz="8" w:space="0" w:color="36706B" w:themeColor="accent4"/>
          <w:left w:val="single" w:sz="8" w:space="0" w:color="36706B" w:themeColor="accent4"/>
          <w:bottom w:val="single" w:sz="8" w:space="0" w:color="36706B" w:themeColor="accent4"/>
          <w:right w:val="single" w:sz="8" w:space="0" w:color="36706B" w:themeColor="accent4"/>
        </w:tcBorders>
      </w:tcPr>
    </w:tblStylePr>
    <w:tblStylePr w:type="band1Horz">
      <w:tblPr/>
      <w:tcPr>
        <w:tcBorders>
          <w:top w:val="single" w:sz="8" w:space="0" w:color="36706B" w:themeColor="accent4"/>
          <w:left w:val="single" w:sz="8" w:space="0" w:color="36706B" w:themeColor="accent4"/>
          <w:bottom w:val="single" w:sz="8" w:space="0" w:color="36706B" w:themeColor="accent4"/>
          <w:right w:val="single" w:sz="8" w:space="0" w:color="36706B" w:themeColor="accent4"/>
        </w:tcBorders>
      </w:tcPr>
    </w:tblStylePr>
  </w:style>
  <w:style w:type="table" w:styleId="LightList-Accent5">
    <w:name w:val="Light List Accent 5"/>
    <w:basedOn w:val="TableNormal"/>
    <w:uiPriority w:val="99"/>
    <w:semiHidden/>
    <w:unhideWhenUsed/>
    <w:rsid w:val="00911DE3"/>
    <w:pPr>
      <w:spacing w:line="240" w:lineRule="auto"/>
    </w:pPr>
    <w:tblPr>
      <w:tblStyleRowBandSize w:val="1"/>
      <w:tblStyleColBandSize w:val="1"/>
      <w:tblBorders>
        <w:top w:val="single" w:sz="8" w:space="0" w:color="2B5A56" w:themeColor="accent5"/>
        <w:left w:val="single" w:sz="8" w:space="0" w:color="2B5A56" w:themeColor="accent5"/>
        <w:bottom w:val="single" w:sz="8" w:space="0" w:color="2B5A56" w:themeColor="accent5"/>
        <w:right w:val="single" w:sz="8" w:space="0" w:color="2B5A56" w:themeColor="accent5"/>
      </w:tblBorders>
    </w:tblPr>
    <w:tblStylePr w:type="firstRow">
      <w:pPr>
        <w:spacing w:before="0" w:after="0" w:line="240" w:lineRule="auto"/>
      </w:pPr>
      <w:rPr>
        <w:b/>
        <w:bCs/>
        <w:color w:val="FFFFFF" w:themeColor="background1"/>
      </w:rPr>
      <w:tblPr/>
      <w:tcPr>
        <w:shd w:val="clear" w:color="auto" w:fill="2B5A56" w:themeFill="accent5"/>
      </w:tcPr>
    </w:tblStylePr>
    <w:tblStylePr w:type="lastRow">
      <w:pPr>
        <w:spacing w:before="0" w:after="0" w:line="240" w:lineRule="auto"/>
      </w:pPr>
      <w:rPr>
        <w:b/>
        <w:bCs/>
      </w:rPr>
      <w:tblPr/>
      <w:tcPr>
        <w:tcBorders>
          <w:top w:val="double" w:sz="6" w:space="0" w:color="2B5A56" w:themeColor="accent5"/>
          <w:left w:val="single" w:sz="8" w:space="0" w:color="2B5A56" w:themeColor="accent5"/>
          <w:bottom w:val="single" w:sz="8" w:space="0" w:color="2B5A56" w:themeColor="accent5"/>
          <w:right w:val="single" w:sz="8" w:space="0" w:color="2B5A56" w:themeColor="accent5"/>
        </w:tcBorders>
      </w:tcPr>
    </w:tblStylePr>
    <w:tblStylePr w:type="firstCol">
      <w:rPr>
        <w:b/>
        <w:bCs/>
      </w:rPr>
    </w:tblStylePr>
    <w:tblStylePr w:type="lastCol">
      <w:rPr>
        <w:b/>
        <w:bCs/>
      </w:rPr>
    </w:tblStylePr>
    <w:tblStylePr w:type="band1Vert">
      <w:tblPr/>
      <w:tcPr>
        <w:tcBorders>
          <w:top w:val="single" w:sz="8" w:space="0" w:color="2B5A56" w:themeColor="accent5"/>
          <w:left w:val="single" w:sz="8" w:space="0" w:color="2B5A56" w:themeColor="accent5"/>
          <w:bottom w:val="single" w:sz="8" w:space="0" w:color="2B5A56" w:themeColor="accent5"/>
          <w:right w:val="single" w:sz="8" w:space="0" w:color="2B5A56" w:themeColor="accent5"/>
        </w:tcBorders>
      </w:tcPr>
    </w:tblStylePr>
    <w:tblStylePr w:type="band1Horz">
      <w:tblPr/>
      <w:tcPr>
        <w:tcBorders>
          <w:top w:val="single" w:sz="8" w:space="0" w:color="2B5A56" w:themeColor="accent5"/>
          <w:left w:val="single" w:sz="8" w:space="0" w:color="2B5A56" w:themeColor="accent5"/>
          <w:bottom w:val="single" w:sz="8" w:space="0" w:color="2B5A56" w:themeColor="accent5"/>
          <w:right w:val="single" w:sz="8" w:space="0" w:color="2B5A56" w:themeColor="accent5"/>
        </w:tcBorders>
      </w:tcPr>
    </w:tblStylePr>
  </w:style>
  <w:style w:type="table" w:styleId="LightList-Accent6">
    <w:name w:val="Light List Accent 6"/>
    <w:basedOn w:val="TableNormal"/>
    <w:uiPriority w:val="99"/>
    <w:semiHidden/>
    <w:unhideWhenUsed/>
    <w:rsid w:val="00911DE3"/>
    <w:pPr>
      <w:spacing w:line="240" w:lineRule="auto"/>
    </w:pPr>
    <w:tblPr>
      <w:tblStyleRowBandSize w:val="1"/>
      <w:tblStyleColBandSize w:val="1"/>
      <w:tblBorders>
        <w:top w:val="single" w:sz="8" w:space="0" w:color="5EC1A0" w:themeColor="accent6"/>
        <w:left w:val="single" w:sz="8" w:space="0" w:color="5EC1A0" w:themeColor="accent6"/>
        <w:bottom w:val="single" w:sz="8" w:space="0" w:color="5EC1A0" w:themeColor="accent6"/>
        <w:right w:val="single" w:sz="8" w:space="0" w:color="5EC1A0" w:themeColor="accent6"/>
      </w:tblBorders>
    </w:tblPr>
    <w:tblStylePr w:type="firstRow">
      <w:pPr>
        <w:spacing w:before="0" w:after="0" w:line="240" w:lineRule="auto"/>
      </w:pPr>
      <w:rPr>
        <w:b/>
        <w:bCs/>
        <w:color w:val="FFFFFF" w:themeColor="background1"/>
      </w:rPr>
      <w:tblPr/>
      <w:tcPr>
        <w:shd w:val="clear" w:color="auto" w:fill="5EC1A0" w:themeFill="accent6"/>
      </w:tcPr>
    </w:tblStylePr>
    <w:tblStylePr w:type="lastRow">
      <w:pPr>
        <w:spacing w:before="0" w:after="0" w:line="240" w:lineRule="auto"/>
      </w:pPr>
      <w:rPr>
        <w:b/>
        <w:bCs/>
      </w:rPr>
      <w:tblPr/>
      <w:tcPr>
        <w:tcBorders>
          <w:top w:val="double" w:sz="6" w:space="0" w:color="5EC1A0" w:themeColor="accent6"/>
          <w:left w:val="single" w:sz="8" w:space="0" w:color="5EC1A0" w:themeColor="accent6"/>
          <w:bottom w:val="single" w:sz="8" w:space="0" w:color="5EC1A0" w:themeColor="accent6"/>
          <w:right w:val="single" w:sz="8" w:space="0" w:color="5EC1A0" w:themeColor="accent6"/>
        </w:tcBorders>
      </w:tcPr>
    </w:tblStylePr>
    <w:tblStylePr w:type="firstCol">
      <w:rPr>
        <w:b/>
        <w:bCs/>
      </w:rPr>
    </w:tblStylePr>
    <w:tblStylePr w:type="lastCol">
      <w:rPr>
        <w:b/>
        <w:bCs/>
      </w:rPr>
    </w:tblStylePr>
    <w:tblStylePr w:type="band1Vert">
      <w:tblPr/>
      <w:tcPr>
        <w:tcBorders>
          <w:top w:val="single" w:sz="8" w:space="0" w:color="5EC1A0" w:themeColor="accent6"/>
          <w:left w:val="single" w:sz="8" w:space="0" w:color="5EC1A0" w:themeColor="accent6"/>
          <w:bottom w:val="single" w:sz="8" w:space="0" w:color="5EC1A0" w:themeColor="accent6"/>
          <w:right w:val="single" w:sz="8" w:space="0" w:color="5EC1A0" w:themeColor="accent6"/>
        </w:tcBorders>
      </w:tcPr>
    </w:tblStylePr>
    <w:tblStylePr w:type="band1Horz">
      <w:tblPr/>
      <w:tcPr>
        <w:tcBorders>
          <w:top w:val="single" w:sz="8" w:space="0" w:color="5EC1A0" w:themeColor="accent6"/>
          <w:left w:val="single" w:sz="8" w:space="0" w:color="5EC1A0" w:themeColor="accent6"/>
          <w:bottom w:val="single" w:sz="8" w:space="0" w:color="5EC1A0" w:themeColor="accent6"/>
          <w:right w:val="single" w:sz="8" w:space="0" w:color="5EC1A0" w:themeColor="accent6"/>
        </w:tcBorders>
      </w:tcPr>
    </w:tblStylePr>
  </w:style>
  <w:style w:type="table" w:styleId="LightShading">
    <w:name w:val="Light Shading"/>
    <w:basedOn w:val="TableNormal"/>
    <w:uiPriority w:val="99"/>
    <w:semiHidden/>
    <w:unhideWhenUsed/>
    <w:rsid w:val="00911DE3"/>
    <w:pPr>
      <w:spacing w:line="240" w:lineRule="auto"/>
    </w:pPr>
    <w:rPr>
      <w:color w:val="232323" w:themeColor="text1" w:themeShade="BF"/>
    </w:rPr>
    <w:tblPr>
      <w:tblStyleRowBandSize w:val="1"/>
      <w:tblStyleColBandSize w:val="1"/>
      <w:tblBorders>
        <w:top w:val="single" w:sz="8" w:space="0" w:color="303030" w:themeColor="text1"/>
        <w:bottom w:val="single" w:sz="8" w:space="0" w:color="303030" w:themeColor="text1"/>
      </w:tblBorders>
    </w:tblPr>
    <w:tblStylePr w:type="firstRow">
      <w:pPr>
        <w:spacing w:before="0" w:after="0" w:line="240" w:lineRule="auto"/>
      </w:pPr>
      <w:rPr>
        <w:b/>
        <w:bCs/>
      </w:rPr>
      <w:tblPr/>
      <w:tcPr>
        <w:tcBorders>
          <w:top w:val="single" w:sz="8" w:space="0" w:color="303030" w:themeColor="text1"/>
          <w:left w:val="nil"/>
          <w:bottom w:val="single" w:sz="8" w:space="0" w:color="303030" w:themeColor="text1"/>
          <w:right w:val="nil"/>
          <w:insideH w:val="nil"/>
          <w:insideV w:val="nil"/>
        </w:tcBorders>
      </w:tcPr>
    </w:tblStylePr>
    <w:tblStylePr w:type="lastRow">
      <w:pPr>
        <w:spacing w:before="0" w:after="0" w:line="240" w:lineRule="auto"/>
      </w:pPr>
      <w:rPr>
        <w:b/>
        <w:bCs/>
      </w:rPr>
      <w:tblPr/>
      <w:tcPr>
        <w:tcBorders>
          <w:top w:val="single" w:sz="8" w:space="0" w:color="303030" w:themeColor="text1"/>
          <w:left w:val="nil"/>
          <w:bottom w:val="single" w:sz="8" w:space="0" w:color="30303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BCB" w:themeFill="text1" w:themeFillTint="3F"/>
      </w:tcPr>
    </w:tblStylePr>
    <w:tblStylePr w:type="band1Horz">
      <w:tblPr/>
      <w:tcPr>
        <w:tcBorders>
          <w:left w:val="nil"/>
          <w:right w:val="nil"/>
          <w:insideH w:val="nil"/>
          <w:insideV w:val="nil"/>
        </w:tcBorders>
        <w:shd w:val="clear" w:color="auto" w:fill="CBCBCB" w:themeFill="text1" w:themeFillTint="3F"/>
      </w:tcPr>
    </w:tblStylePr>
  </w:style>
  <w:style w:type="table" w:styleId="LightShading-Accent1">
    <w:name w:val="Light Shading Accent 1"/>
    <w:basedOn w:val="TableNormal"/>
    <w:uiPriority w:val="99"/>
    <w:semiHidden/>
    <w:unhideWhenUsed/>
    <w:rsid w:val="00911DE3"/>
    <w:pPr>
      <w:spacing w:line="240" w:lineRule="auto"/>
    </w:pPr>
    <w:rPr>
      <w:color w:val="88AAA6" w:themeColor="accent1" w:themeShade="BF"/>
    </w:rPr>
    <w:tblPr>
      <w:tblStyleRowBandSize w:val="1"/>
      <w:tblStyleColBandSize w:val="1"/>
      <w:tblBorders>
        <w:top w:val="single" w:sz="8" w:space="0" w:color="C4D5D3" w:themeColor="accent1"/>
        <w:bottom w:val="single" w:sz="8" w:space="0" w:color="C4D5D3" w:themeColor="accent1"/>
      </w:tblBorders>
    </w:tblPr>
    <w:tblStylePr w:type="firstRow">
      <w:pPr>
        <w:spacing w:before="0" w:after="0" w:line="240" w:lineRule="auto"/>
      </w:pPr>
      <w:rPr>
        <w:b/>
        <w:bCs/>
      </w:rPr>
      <w:tblPr/>
      <w:tcPr>
        <w:tcBorders>
          <w:top w:val="single" w:sz="8" w:space="0" w:color="C4D5D3" w:themeColor="accent1"/>
          <w:left w:val="nil"/>
          <w:bottom w:val="single" w:sz="8" w:space="0" w:color="C4D5D3" w:themeColor="accent1"/>
          <w:right w:val="nil"/>
          <w:insideH w:val="nil"/>
          <w:insideV w:val="nil"/>
        </w:tcBorders>
      </w:tcPr>
    </w:tblStylePr>
    <w:tblStylePr w:type="lastRow">
      <w:pPr>
        <w:spacing w:before="0" w:after="0" w:line="240" w:lineRule="auto"/>
      </w:pPr>
      <w:rPr>
        <w:b/>
        <w:bCs/>
      </w:rPr>
      <w:tblPr/>
      <w:tcPr>
        <w:tcBorders>
          <w:top w:val="single" w:sz="8" w:space="0" w:color="C4D5D3" w:themeColor="accent1"/>
          <w:left w:val="nil"/>
          <w:bottom w:val="single" w:sz="8" w:space="0" w:color="C4D5D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4F4" w:themeFill="accent1" w:themeFillTint="3F"/>
      </w:tcPr>
    </w:tblStylePr>
    <w:tblStylePr w:type="band1Horz">
      <w:tblPr/>
      <w:tcPr>
        <w:tcBorders>
          <w:left w:val="nil"/>
          <w:right w:val="nil"/>
          <w:insideH w:val="nil"/>
          <w:insideV w:val="nil"/>
        </w:tcBorders>
        <w:shd w:val="clear" w:color="auto" w:fill="F0F4F4" w:themeFill="accent1" w:themeFillTint="3F"/>
      </w:tcPr>
    </w:tblStylePr>
  </w:style>
  <w:style w:type="table" w:styleId="LightShading-Accent2">
    <w:name w:val="Light Shading Accent 2"/>
    <w:basedOn w:val="TableNormal"/>
    <w:uiPriority w:val="99"/>
    <w:semiHidden/>
    <w:unhideWhenUsed/>
    <w:rsid w:val="00911DE3"/>
    <w:pPr>
      <w:spacing w:line="240" w:lineRule="auto"/>
    </w:pPr>
    <w:rPr>
      <w:color w:val="5E8481" w:themeColor="accent2" w:themeShade="BF"/>
    </w:rPr>
    <w:tblPr>
      <w:tblStyleRowBandSize w:val="1"/>
      <w:tblStyleColBandSize w:val="1"/>
      <w:tblBorders>
        <w:top w:val="single" w:sz="8" w:space="0" w:color="86A9A6" w:themeColor="accent2"/>
        <w:bottom w:val="single" w:sz="8" w:space="0" w:color="86A9A6" w:themeColor="accent2"/>
      </w:tblBorders>
    </w:tblPr>
    <w:tblStylePr w:type="firstRow">
      <w:pPr>
        <w:spacing w:before="0" w:after="0" w:line="240" w:lineRule="auto"/>
      </w:pPr>
      <w:rPr>
        <w:b/>
        <w:bCs/>
      </w:rPr>
      <w:tblPr/>
      <w:tcPr>
        <w:tcBorders>
          <w:top w:val="single" w:sz="8" w:space="0" w:color="86A9A6" w:themeColor="accent2"/>
          <w:left w:val="nil"/>
          <w:bottom w:val="single" w:sz="8" w:space="0" w:color="86A9A6" w:themeColor="accent2"/>
          <w:right w:val="nil"/>
          <w:insideH w:val="nil"/>
          <w:insideV w:val="nil"/>
        </w:tcBorders>
      </w:tcPr>
    </w:tblStylePr>
    <w:tblStylePr w:type="lastRow">
      <w:pPr>
        <w:spacing w:before="0" w:after="0" w:line="240" w:lineRule="auto"/>
      </w:pPr>
      <w:rPr>
        <w:b/>
        <w:bCs/>
      </w:rPr>
      <w:tblPr/>
      <w:tcPr>
        <w:tcBorders>
          <w:top w:val="single" w:sz="8" w:space="0" w:color="86A9A6" w:themeColor="accent2"/>
          <w:left w:val="nil"/>
          <w:bottom w:val="single" w:sz="8" w:space="0" w:color="86A9A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9E8" w:themeFill="accent2" w:themeFillTint="3F"/>
      </w:tcPr>
    </w:tblStylePr>
    <w:tblStylePr w:type="band1Horz">
      <w:tblPr/>
      <w:tcPr>
        <w:tcBorders>
          <w:left w:val="nil"/>
          <w:right w:val="nil"/>
          <w:insideH w:val="nil"/>
          <w:insideV w:val="nil"/>
        </w:tcBorders>
        <w:shd w:val="clear" w:color="auto" w:fill="E1E9E8" w:themeFill="accent2" w:themeFillTint="3F"/>
      </w:tcPr>
    </w:tblStylePr>
  </w:style>
  <w:style w:type="table" w:styleId="LightShading-Accent3">
    <w:name w:val="Light Shading Accent 3"/>
    <w:basedOn w:val="TableNormal"/>
    <w:uiPriority w:val="99"/>
    <w:semiHidden/>
    <w:unhideWhenUsed/>
    <w:rsid w:val="00911DE3"/>
    <w:pPr>
      <w:spacing w:line="240" w:lineRule="auto"/>
    </w:pPr>
    <w:rPr>
      <w:color w:val="466966" w:themeColor="accent3" w:themeShade="BF"/>
    </w:rPr>
    <w:tblPr>
      <w:tblStyleRowBandSize w:val="1"/>
      <w:tblStyleColBandSize w:val="1"/>
      <w:tblBorders>
        <w:top w:val="single" w:sz="8" w:space="0" w:color="5E8D89" w:themeColor="accent3"/>
        <w:bottom w:val="single" w:sz="8" w:space="0" w:color="5E8D89" w:themeColor="accent3"/>
      </w:tblBorders>
    </w:tblPr>
    <w:tblStylePr w:type="firstRow">
      <w:pPr>
        <w:spacing w:before="0" w:after="0" w:line="240" w:lineRule="auto"/>
      </w:pPr>
      <w:rPr>
        <w:b/>
        <w:bCs/>
      </w:rPr>
      <w:tblPr/>
      <w:tcPr>
        <w:tcBorders>
          <w:top w:val="single" w:sz="8" w:space="0" w:color="5E8D89" w:themeColor="accent3"/>
          <w:left w:val="nil"/>
          <w:bottom w:val="single" w:sz="8" w:space="0" w:color="5E8D89" w:themeColor="accent3"/>
          <w:right w:val="nil"/>
          <w:insideH w:val="nil"/>
          <w:insideV w:val="nil"/>
        </w:tcBorders>
      </w:tcPr>
    </w:tblStylePr>
    <w:tblStylePr w:type="lastRow">
      <w:pPr>
        <w:spacing w:before="0" w:after="0" w:line="240" w:lineRule="auto"/>
      </w:pPr>
      <w:rPr>
        <w:b/>
        <w:bCs/>
      </w:rPr>
      <w:tblPr/>
      <w:tcPr>
        <w:tcBorders>
          <w:top w:val="single" w:sz="8" w:space="0" w:color="5E8D89" w:themeColor="accent3"/>
          <w:left w:val="nil"/>
          <w:bottom w:val="single" w:sz="8" w:space="0" w:color="5E8D8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3E2" w:themeFill="accent3" w:themeFillTint="3F"/>
      </w:tcPr>
    </w:tblStylePr>
    <w:tblStylePr w:type="band1Horz">
      <w:tblPr/>
      <w:tcPr>
        <w:tcBorders>
          <w:left w:val="nil"/>
          <w:right w:val="nil"/>
          <w:insideH w:val="nil"/>
          <w:insideV w:val="nil"/>
        </w:tcBorders>
        <w:shd w:val="clear" w:color="auto" w:fill="D6E3E2" w:themeFill="accent3" w:themeFillTint="3F"/>
      </w:tcPr>
    </w:tblStylePr>
  </w:style>
  <w:style w:type="table" w:styleId="LightShading-Accent4">
    <w:name w:val="Light Shading Accent 4"/>
    <w:basedOn w:val="TableNormal"/>
    <w:uiPriority w:val="99"/>
    <w:semiHidden/>
    <w:unhideWhenUsed/>
    <w:rsid w:val="00911DE3"/>
    <w:pPr>
      <w:spacing w:line="240" w:lineRule="auto"/>
    </w:pPr>
    <w:rPr>
      <w:color w:val="285350" w:themeColor="accent4" w:themeShade="BF"/>
    </w:rPr>
    <w:tblPr>
      <w:tblStyleRowBandSize w:val="1"/>
      <w:tblStyleColBandSize w:val="1"/>
      <w:tblBorders>
        <w:top w:val="single" w:sz="8" w:space="0" w:color="36706B" w:themeColor="accent4"/>
        <w:bottom w:val="single" w:sz="8" w:space="0" w:color="36706B" w:themeColor="accent4"/>
      </w:tblBorders>
    </w:tblPr>
    <w:tblStylePr w:type="firstRow">
      <w:pPr>
        <w:spacing w:before="0" w:after="0" w:line="240" w:lineRule="auto"/>
      </w:pPr>
      <w:rPr>
        <w:b/>
        <w:bCs/>
      </w:rPr>
      <w:tblPr/>
      <w:tcPr>
        <w:tcBorders>
          <w:top w:val="single" w:sz="8" w:space="0" w:color="36706B" w:themeColor="accent4"/>
          <w:left w:val="nil"/>
          <w:bottom w:val="single" w:sz="8" w:space="0" w:color="36706B" w:themeColor="accent4"/>
          <w:right w:val="nil"/>
          <w:insideH w:val="nil"/>
          <w:insideV w:val="nil"/>
        </w:tcBorders>
      </w:tcPr>
    </w:tblStylePr>
    <w:tblStylePr w:type="lastRow">
      <w:pPr>
        <w:spacing w:before="0" w:after="0" w:line="240" w:lineRule="auto"/>
      </w:pPr>
      <w:rPr>
        <w:b/>
        <w:bCs/>
      </w:rPr>
      <w:tblPr/>
      <w:tcPr>
        <w:tcBorders>
          <w:top w:val="single" w:sz="8" w:space="0" w:color="36706B" w:themeColor="accent4"/>
          <w:left w:val="nil"/>
          <w:bottom w:val="single" w:sz="8" w:space="0" w:color="36706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3E0" w:themeFill="accent4" w:themeFillTint="3F"/>
      </w:tcPr>
    </w:tblStylePr>
    <w:tblStylePr w:type="band1Horz">
      <w:tblPr/>
      <w:tcPr>
        <w:tcBorders>
          <w:left w:val="nil"/>
          <w:right w:val="nil"/>
          <w:insideH w:val="nil"/>
          <w:insideV w:val="nil"/>
        </w:tcBorders>
        <w:shd w:val="clear" w:color="auto" w:fill="C5E3E0" w:themeFill="accent4" w:themeFillTint="3F"/>
      </w:tcPr>
    </w:tblStylePr>
  </w:style>
  <w:style w:type="table" w:styleId="LightShading-Accent5">
    <w:name w:val="Light Shading Accent 5"/>
    <w:basedOn w:val="TableNormal"/>
    <w:uiPriority w:val="99"/>
    <w:semiHidden/>
    <w:unhideWhenUsed/>
    <w:rsid w:val="00911DE3"/>
    <w:pPr>
      <w:spacing w:line="240" w:lineRule="auto"/>
    </w:pPr>
    <w:rPr>
      <w:color w:val="204340" w:themeColor="accent5" w:themeShade="BF"/>
    </w:rPr>
    <w:tblPr>
      <w:tblStyleRowBandSize w:val="1"/>
      <w:tblStyleColBandSize w:val="1"/>
      <w:tblBorders>
        <w:top w:val="single" w:sz="8" w:space="0" w:color="2B5A56" w:themeColor="accent5"/>
        <w:bottom w:val="single" w:sz="8" w:space="0" w:color="2B5A56" w:themeColor="accent5"/>
      </w:tblBorders>
    </w:tblPr>
    <w:tblStylePr w:type="firstRow">
      <w:pPr>
        <w:spacing w:before="0" w:after="0" w:line="240" w:lineRule="auto"/>
      </w:pPr>
      <w:rPr>
        <w:b/>
        <w:bCs/>
      </w:rPr>
      <w:tblPr/>
      <w:tcPr>
        <w:tcBorders>
          <w:top w:val="single" w:sz="8" w:space="0" w:color="2B5A56" w:themeColor="accent5"/>
          <w:left w:val="nil"/>
          <w:bottom w:val="single" w:sz="8" w:space="0" w:color="2B5A56" w:themeColor="accent5"/>
          <w:right w:val="nil"/>
          <w:insideH w:val="nil"/>
          <w:insideV w:val="nil"/>
        </w:tcBorders>
      </w:tcPr>
    </w:tblStylePr>
    <w:tblStylePr w:type="lastRow">
      <w:pPr>
        <w:spacing w:before="0" w:after="0" w:line="240" w:lineRule="auto"/>
      </w:pPr>
      <w:rPr>
        <w:b/>
        <w:bCs/>
      </w:rPr>
      <w:tblPr/>
      <w:tcPr>
        <w:tcBorders>
          <w:top w:val="single" w:sz="8" w:space="0" w:color="2B5A56" w:themeColor="accent5"/>
          <w:left w:val="nil"/>
          <w:bottom w:val="single" w:sz="8" w:space="0" w:color="2B5A5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E0DD" w:themeFill="accent5" w:themeFillTint="3F"/>
      </w:tcPr>
    </w:tblStylePr>
    <w:tblStylePr w:type="band1Horz">
      <w:tblPr/>
      <w:tcPr>
        <w:tcBorders>
          <w:left w:val="nil"/>
          <w:right w:val="nil"/>
          <w:insideH w:val="nil"/>
          <w:insideV w:val="nil"/>
        </w:tcBorders>
        <w:shd w:val="clear" w:color="auto" w:fill="BFE0DD" w:themeFill="accent5" w:themeFillTint="3F"/>
      </w:tcPr>
    </w:tblStylePr>
  </w:style>
  <w:style w:type="table" w:styleId="LightShading-Accent6">
    <w:name w:val="Light Shading Accent 6"/>
    <w:basedOn w:val="TableNormal"/>
    <w:uiPriority w:val="99"/>
    <w:semiHidden/>
    <w:unhideWhenUsed/>
    <w:rsid w:val="00911DE3"/>
    <w:pPr>
      <w:spacing w:line="240" w:lineRule="auto"/>
    </w:pPr>
    <w:rPr>
      <w:color w:val="3B9A7B" w:themeColor="accent6" w:themeShade="BF"/>
    </w:rPr>
    <w:tblPr>
      <w:tblStyleRowBandSize w:val="1"/>
      <w:tblStyleColBandSize w:val="1"/>
      <w:tblBorders>
        <w:top w:val="single" w:sz="8" w:space="0" w:color="5EC1A0" w:themeColor="accent6"/>
        <w:bottom w:val="single" w:sz="8" w:space="0" w:color="5EC1A0" w:themeColor="accent6"/>
      </w:tblBorders>
    </w:tblPr>
    <w:tblStylePr w:type="firstRow">
      <w:pPr>
        <w:spacing w:before="0" w:after="0" w:line="240" w:lineRule="auto"/>
      </w:pPr>
      <w:rPr>
        <w:b/>
        <w:bCs/>
      </w:rPr>
      <w:tblPr/>
      <w:tcPr>
        <w:tcBorders>
          <w:top w:val="single" w:sz="8" w:space="0" w:color="5EC1A0" w:themeColor="accent6"/>
          <w:left w:val="nil"/>
          <w:bottom w:val="single" w:sz="8" w:space="0" w:color="5EC1A0" w:themeColor="accent6"/>
          <w:right w:val="nil"/>
          <w:insideH w:val="nil"/>
          <w:insideV w:val="nil"/>
        </w:tcBorders>
      </w:tcPr>
    </w:tblStylePr>
    <w:tblStylePr w:type="lastRow">
      <w:pPr>
        <w:spacing w:before="0" w:after="0" w:line="240" w:lineRule="auto"/>
      </w:pPr>
      <w:rPr>
        <w:b/>
        <w:bCs/>
      </w:rPr>
      <w:tblPr/>
      <w:tcPr>
        <w:tcBorders>
          <w:top w:val="single" w:sz="8" w:space="0" w:color="5EC1A0" w:themeColor="accent6"/>
          <w:left w:val="nil"/>
          <w:bottom w:val="single" w:sz="8" w:space="0" w:color="5EC1A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FE7" w:themeFill="accent6" w:themeFillTint="3F"/>
      </w:tcPr>
    </w:tblStylePr>
    <w:tblStylePr w:type="band1Horz">
      <w:tblPr/>
      <w:tcPr>
        <w:tcBorders>
          <w:left w:val="nil"/>
          <w:right w:val="nil"/>
          <w:insideH w:val="nil"/>
          <w:insideV w:val="nil"/>
        </w:tcBorders>
        <w:shd w:val="clear" w:color="auto" w:fill="D7EFE7" w:themeFill="accent6" w:themeFillTint="3F"/>
      </w:tcPr>
    </w:tblStylePr>
  </w:style>
  <w:style w:type="character" w:styleId="LineNumber">
    <w:name w:val="line number"/>
    <w:basedOn w:val="DefaultParagraphFont"/>
    <w:uiPriority w:val="99"/>
    <w:semiHidden/>
    <w:rsid w:val="00911DE3"/>
    <w:rPr>
      <w:lang w:val="en-GB"/>
    </w:rPr>
  </w:style>
  <w:style w:type="paragraph" w:styleId="List">
    <w:name w:val="List"/>
    <w:basedOn w:val="Normal"/>
    <w:uiPriority w:val="99"/>
    <w:semiHidden/>
    <w:rsid w:val="00911DE3"/>
    <w:pPr>
      <w:spacing w:after="0"/>
      <w:ind w:left="283" w:hanging="283"/>
      <w:contextualSpacing/>
    </w:pPr>
  </w:style>
  <w:style w:type="paragraph" w:styleId="List2">
    <w:name w:val="List 2"/>
    <w:basedOn w:val="Normal"/>
    <w:uiPriority w:val="99"/>
    <w:semiHidden/>
    <w:rsid w:val="00911DE3"/>
    <w:pPr>
      <w:spacing w:after="0"/>
      <w:ind w:left="566" w:hanging="283"/>
      <w:contextualSpacing/>
    </w:pPr>
  </w:style>
  <w:style w:type="paragraph" w:styleId="List3">
    <w:name w:val="List 3"/>
    <w:basedOn w:val="Normal"/>
    <w:uiPriority w:val="99"/>
    <w:semiHidden/>
    <w:rsid w:val="00911DE3"/>
    <w:pPr>
      <w:spacing w:after="0"/>
      <w:ind w:left="849" w:hanging="283"/>
      <w:contextualSpacing/>
    </w:pPr>
  </w:style>
  <w:style w:type="paragraph" w:styleId="List4">
    <w:name w:val="List 4"/>
    <w:basedOn w:val="Normal"/>
    <w:uiPriority w:val="99"/>
    <w:semiHidden/>
    <w:rsid w:val="00911DE3"/>
    <w:pPr>
      <w:spacing w:after="0"/>
      <w:ind w:left="1132" w:hanging="283"/>
      <w:contextualSpacing/>
    </w:pPr>
  </w:style>
  <w:style w:type="paragraph" w:styleId="List5">
    <w:name w:val="List 5"/>
    <w:basedOn w:val="Normal"/>
    <w:uiPriority w:val="99"/>
    <w:semiHidden/>
    <w:rsid w:val="00911DE3"/>
    <w:pPr>
      <w:spacing w:after="0"/>
      <w:ind w:left="1415" w:hanging="283"/>
      <w:contextualSpacing/>
    </w:pPr>
  </w:style>
  <w:style w:type="paragraph" w:styleId="ListBullet">
    <w:name w:val="List Bullet"/>
    <w:basedOn w:val="Normal"/>
    <w:uiPriority w:val="99"/>
    <w:qFormat/>
    <w:rsid w:val="00B76738"/>
    <w:pPr>
      <w:numPr>
        <w:numId w:val="13"/>
      </w:numPr>
      <w:spacing w:after="0"/>
      <w:ind w:right="170"/>
      <w:contextualSpacing/>
    </w:pPr>
  </w:style>
  <w:style w:type="paragraph" w:styleId="ListBullet2">
    <w:name w:val="List Bullet 2"/>
    <w:basedOn w:val="Normal"/>
    <w:uiPriority w:val="2"/>
    <w:semiHidden/>
    <w:rsid w:val="00B76738"/>
    <w:pPr>
      <w:spacing w:after="0"/>
      <w:ind w:left="284" w:hanging="142"/>
      <w:contextualSpacing/>
    </w:pPr>
  </w:style>
  <w:style w:type="paragraph" w:styleId="ListBullet3">
    <w:name w:val="List Bullet 3"/>
    <w:basedOn w:val="Normal"/>
    <w:uiPriority w:val="2"/>
    <w:semiHidden/>
    <w:rsid w:val="00B76738"/>
    <w:pPr>
      <w:spacing w:after="0"/>
      <w:ind w:left="426" w:hanging="142"/>
      <w:contextualSpacing/>
    </w:pPr>
  </w:style>
  <w:style w:type="paragraph" w:styleId="ListBullet4">
    <w:name w:val="List Bullet 4"/>
    <w:basedOn w:val="Normal"/>
    <w:uiPriority w:val="2"/>
    <w:semiHidden/>
    <w:rsid w:val="00911DE3"/>
    <w:pPr>
      <w:numPr>
        <w:numId w:val="1"/>
      </w:numPr>
      <w:spacing w:after="0"/>
      <w:ind w:left="340" w:hanging="340"/>
      <w:contextualSpacing/>
    </w:pPr>
  </w:style>
  <w:style w:type="paragraph" w:styleId="ListBullet5">
    <w:name w:val="List Bullet 5"/>
    <w:basedOn w:val="Normal"/>
    <w:uiPriority w:val="2"/>
    <w:semiHidden/>
    <w:rsid w:val="00911DE3"/>
    <w:pPr>
      <w:numPr>
        <w:numId w:val="2"/>
      </w:numPr>
      <w:spacing w:after="0"/>
      <w:ind w:left="284" w:hanging="171"/>
      <w:contextualSpacing/>
    </w:pPr>
  </w:style>
  <w:style w:type="paragraph" w:styleId="ListContinue">
    <w:name w:val="List Continue"/>
    <w:basedOn w:val="Normal"/>
    <w:uiPriority w:val="99"/>
    <w:semiHidden/>
    <w:rsid w:val="00911DE3"/>
    <w:pPr>
      <w:spacing w:after="120"/>
      <w:ind w:left="283"/>
      <w:contextualSpacing/>
    </w:pPr>
  </w:style>
  <w:style w:type="paragraph" w:styleId="ListContinue2">
    <w:name w:val="List Continue 2"/>
    <w:basedOn w:val="Normal"/>
    <w:uiPriority w:val="99"/>
    <w:semiHidden/>
    <w:rsid w:val="00911DE3"/>
    <w:pPr>
      <w:spacing w:after="120"/>
      <w:ind w:left="566"/>
      <w:contextualSpacing/>
    </w:pPr>
  </w:style>
  <w:style w:type="paragraph" w:styleId="ListContinue3">
    <w:name w:val="List Continue 3"/>
    <w:basedOn w:val="Normal"/>
    <w:uiPriority w:val="99"/>
    <w:semiHidden/>
    <w:rsid w:val="00911DE3"/>
    <w:pPr>
      <w:spacing w:after="120"/>
      <w:ind w:left="849"/>
      <w:contextualSpacing/>
    </w:pPr>
  </w:style>
  <w:style w:type="paragraph" w:styleId="ListContinue4">
    <w:name w:val="List Continue 4"/>
    <w:basedOn w:val="Normal"/>
    <w:uiPriority w:val="99"/>
    <w:semiHidden/>
    <w:rsid w:val="00911DE3"/>
    <w:pPr>
      <w:spacing w:after="120"/>
      <w:ind w:left="1132"/>
      <w:contextualSpacing/>
    </w:pPr>
  </w:style>
  <w:style w:type="paragraph" w:styleId="ListContinue5">
    <w:name w:val="List Continue 5"/>
    <w:basedOn w:val="Normal"/>
    <w:uiPriority w:val="99"/>
    <w:semiHidden/>
    <w:rsid w:val="00911DE3"/>
    <w:pPr>
      <w:spacing w:after="120"/>
      <w:ind w:left="1415"/>
      <w:contextualSpacing/>
    </w:pPr>
  </w:style>
  <w:style w:type="paragraph" w:styleId="ListNumber">
    <w:name w:val="List Number"/>
    <w:basedOn w:val="Normal"/>
    <w:uiPriority w:val="99"/>
    <w:qFormat/>
    <w:rsid w:val="00B76738"/>
    <w:pPr>
      <w:numPr>
        <w:numId w:val="31"/>
      </w:numPr>
      <w:spacing w:after="0"/>
      <w:contextualSpacing/>
    </w:pPr>
  </w:style>
  <w:style w:type="paragraph" w:styleId="ListNumber2">
    <w:name w:val="List Number 2"/>
    <w:basedOn w:val="Normal"/>
    <w:uiPriority w:val="2"/>
    <w:semiHidden/>
    <w:rsid w:val="00B76738"/>
    <w:pPr>
      <w:spacing w:after="0"/>
      <w:ind w:left="964" w:hanging="624"/>
      <w:contextualSpacing/>
    </w:pPr>
  </w:style>
  <w:style w:type="paragraph" w:styleId="ListNumber3">
    <w:name w:val="List Number 3"/>
    <w:basedOn w:val="Normal"/>
    <w:uiPriority w:val="2"/>
    <w:semiHidden/>
    <w:rsid w:val="00B76738"/>
    <w:pPr>
      <w:spacing w:after="0"/>
      <w:ind w:left="1758" w:hanging="794"/>
      <w:contextualSpacing/>
    </w:pPr>
  </w:style>
  <w:style w:type="paragraph" w:styleId="ListNumber4">
    <w:name w:val="List Number 4"/>
    <w:basedOn w:val="Normal"/>
    <w:uiPriority w:val="2"/>
    <w:semiHidden/>
    <w:rsid w:val="00911DE3"/>
    <w:pPr>
      <w:tabs>
        <w:tab w:val="num" w:pos="1209"/>
      </w:tabs>
      <w:spacing w:after="0"/>
      <w:ind w:left="1209" w:hanging="360"/>
      <w:contextualSpacing/>
    </w:pPr>
  </w:style>
  <w:style w:type="paragraph" w:styleId="ListNumber5">
    <w:name w:val="List Number 5"/>
    <w:basedOn w:val="Normal"/>
    <w:uiPriority w:val="2"/>
    <w:semiHidden/>
    <w:rsid w:val="00911DE3"/>
    <w:pPr>
      <w:spacing w:after="0"/>
      <w:ind w:left="851" w:hanging="851"/>
      <w:contextualSpacing/>
    </w:pPr>
  </w:style>
  <w:style w:type="paragraph" w:styleId="ListParagraph">
    <w:name w:val="List Paragraph"/>
    <w:basedOn w:val="Normal"/>
    <w:link w:val="ListParagraphChar"/>
    <w:uiPriority w:val="34"/>
    <w:qFormat/>
    <w:rsid w:val="00901321"/>
    <w:pPr>
      <w:spacing w:after="0"/>
      <w:ind w:left="720"/>
      <w:contextualSpacing/>
    </w:pPr>
  </w:style>
  <w:style w:type="table" w:styleId="ListTable1Light">
    <w:name w:val="List Table 1 Light"/>
    <w:basedOn w:val="TableNormal"/>
    <w:uiPriority w:val="99"/>
    <w:rsid w:val="00911DE3"/>
    <w:pPr>
      <w:spacing w:line="240" w:lineRule="auto"/>
    </w:pPr>
    <w:tblPr>
      <w:tblStyleRowBandSize w:val="1"/>
      <w:tblStyleColBandSize w:val="1"/>
    </w:tblPr>
    <w:tblStylePr w:type="firstRow">
      <w:rPr>
        <w:b/>
        <w:bCs/>
      </w:rPr>
      <w:tblPr/>
      <w:tcPr>
        <w:tcBorders>
          <w:bottom w:val="single" w:sz="4" w:space="0" w:color="828282" w:themeColor="text1" w:themeTint="99"/>
        </w:tcBorders>
      </w:tcPr>
    </w:tblStylePr>
    <w:tblStylePr w:type="lastRow">
      <w:rPr>
        <w:b/>
        <w:bCs/>
      </w:rPr>
      <w:tblPr/>
      <w:tcPr>
        <w:tcBorders>
          <w:top w:val="single" w:sz="4" w:space="0" w:color="828282" w:themeColor="text1" w:themeTint="99"/>
        </w:tcBorders>
      </w:tcPr>
    </w:tblStylePr>
    <w:tblStylePr w:type="firstCol">
      <w:rPr>
        <w:b/>
        <w:bCs/>
      </w:rPr>
    </w:tblStylePr>
    <w:tblStylePr w:type="lastCol">
      <w:rPr>
        <w:b/>
        <w:bCs/>
      </w:rPr>
    </w:tblStylePr>
    <w:tblStylePr w:type="band1Vert">
      <w:tblPr/>
      <w:tcPr>
        <w:shd w:val="clear" w:color="auto" w:fill="D5D5D5" w:themeFill="text1" w:themeFillTint="33"/>
      </w:tcPr>
    </w:tblStylePr>
    <w:tblStylePr w:type="band1Horz">
      <w:tblPr/>
      <w:tcPr>
        <w:shd w:val="clear" w:color="auto" w:fill="D5D5D5" w:themeFill="text1" w:themeFillTint="33"/>
      </w:tcPr>
    </w:tblStylePr>
  </w:style>
  <w:style w:type="table" w:styleId="ListTable1Light-Accent1">
    <w:name w:val="List Table 1 Light Accent 1"/>
    <w:basedOn w:val="TableNormal"/>
    <w:uiPriority w:val="99"/>
    <w:rsid w:val="00911DE3"/>
    <w:pPr>
      <w:spacing w:line="240" w:lineRule="auto"/>
    </w:pPr>
    <w:tblPr>
      <w:tblStyleRowBandSize w:val="1"/>
      <w:tblStyleColBandSize w:val="1"/>
    </w:tblPr>
    <w:tblStylePr w:type="firstRow">
      <w:rPr>
        <w:b/>
        <w:bCs/>
      </w:rPr>
      <w:tblPr/>
      <w:tcPr>
        <w:tcBorders>
          <w:bottom w:val="single" w:sz="4" w:space="0" w:color="DBE5E4" w:themeColor="accent1" w:themeTint="99"/>
        </w:tcBorders>
      </w:tcPr>
    </w:tblStylePr>
    <w:tblStylePr w:type="lastRow">
      <w:rPr>
        <w:b/>
        <w:bCs/>
      </w:rPr>
      <w:tblPr/>
      <w:tcPr>
        <w:tcBorders>
          <w:top w:val="single" w:sz="4" w:space="0" w:color="DBE5E4" w:themeColor="accent1" w:themeTint="99"/>
        </w:tcBorders>
      </w:tcPr>
    </w:tblStylePr>
    <w:tblStylePr w:type="firstCol">
      <w:rPr>
        <w:b/>
        <w:bCs/>
      </w:rPr>
    </w:tblStylePr>
    <w:tblStylePr w:type="lastCol">
      <w:rPr>
        <w:b/>
        <w:bCs/>
      </w:rPr>
    </w:tblStylePr>
    <w:tblStylePr w:type="band1Vert">
      <w:tblPr/>
      <w:tcPr>
        <w:shd w:val="clear" w:color="auto" w:fill="F3F6F6" w:themeFill="accent1" w:themeFillTint="33"/>
      </w:tcPr>
    </w:tblStylePr>
    <w:tblStylePr w:type="band1Horz">
      <w:tblPr/>
      <w:tcPr>
        <w:shd w:val="clear" w:color="auto" w:fill="F3F6F6" w:themeFill="accent1" w:themeFillTint="33"/>
      </w:tcPr>
    </w:tblStylePr>
  </w:style>
  <w:style w:type="table" w:styleId="ListTable1Light-Accent2">
    <w:name w:val="List Table 1 Light Accent 2"/>
    <w:basedOn w:val="TableNormal"/>
    <w:uiPriority w:val="99"/>
    <w:rsid w:val="00911DE3"/>
    <w:pPr>
      <w:spacing w:line="240" w:lineRule="auto"/>
    </w:pPr>
    <w:tblPr>
      <w:tblStyleRowBandSize w:val="1"/>
      <w:tblStyleColBandSize w:val="1"/>
    </w:tblPr>
    <w:tblStylePr w:type="firstRow">
      <w:rPr>
        <w:b/>
        <w:bCs/>
      </w:rPr>
      <w:tblPr/>
      <w:tcPr>
        <w:tcBorders>
          <w:bottom w:val="single" w:sz="4" w:space="0" w:color="B6CBC9" w:themeColor="accent2" w:themeTint="99"/>
        </w:tcBorders>
      </w:tcPr>
    </w:tblStylePr>
    <w:tblStylePr w:type="lastRow">
      <w:rPr>
        <w:b/>
        <w:bCs/>
      </w:rPr>
      <w:tblPr/>
      <w:tcPr>
        <w:tcBorders>
          <w:top w:val="single" w:sz="4" w:space="0" w:color="B6CBC9" w:themeColor="accent2" w:themeTint="99"/>
        </w:tcBorders>
      </w:tcPr>
    </w:tblStylePr>
    <w:tblStylePr w:type="firstCol">
      <w:rPr>
        <w:b/>
        <w:bCs/>
      </w:rPr>
    </w:tblStylePr>
    <w:tblStylePr w:type="lastCol">
      <w:rPr>
        <w:b/>
        <w:bCs/>
      </w:rPr>
    </w:tblStylePr>
    <w:tblStylePr w:type="band1Vert">
      <w:tblPr/>
      <w:tcPr>
        <w:shd w:val="clear" w:color="auto" w:fill="E6EDED" w:themeFill="accent2" w:themeFillTint="33"/>
      </w:tcPr>
    </w:tblStylePr>
    <w:tblStylePr w:type="band1Horz">
      <w:tblPr/>
      <w:tcPr>
        <w:shd w:val="clear" w:color="auto" w:fill="E6EDED" w:themeFill="accent2" w:themeFillTint="33"/>
      </w:tcPr>
    </w:tblStylePr>
  </w:style>
  <w:style w:type="table" w:styleId="ListTable1Light-Accent3">
    <w:name w:val="List Table 1 Light Accent 3"/>
    <w:basedOn w:val="TableNormal"/>
    <w:uiPriority w:val="99"/>
    <w:rsid w:val="00911DE3"/>
    <w:pPr>
      <w:spacing w:line="240" w:lineRule="auto"/>
    </w:pPr>
    <w:tblPr>
      <w:tblStyleRowBandSize w:val="1"/>
      <w:tblStyleColBandSize w:val="1"/>
    </w:tblPr>
    <w:tblStylePr w:type="firstRow">
      <w:rPr>
        <w:b/>
        <w:bCs/>
      </w:rPr>
      <w:tblPr/>
      <w:tcPr>
        <w:tcBorders>
          <w:bottom w:val="single" w:sz="4" w:space="0" w:color="9CBDBA" w:themeColor="accent3" w:themeTint="99"/>
        </w:tcBorders>
      </w:tcPr>
    </w:tblStylePr>
    <w:tblStylePr w:type="lastRow">
      <w:rPr>
        <w:b/>
        <w:bCs/>
      </w:rPr>
      <w:tblPr/>
      <w:tcPr>
        <w:tcBorders>
          <w:top w:val="single" w:sz="4" w:space="0" w:color="9CBDBA" w:themeColor="accent3" w:themeTint="99"/>
        </w:tcBorders>
      </w:tcPr>
    </w:tblStylePr>
    <w:tblStylePr w:type="firstCol">
      <w:rPr>
        <w:b/>
        <w:bCs/>
      </w:rPr>
    </w:tblStylePr>
    <w:tblStylePr w:type="lastCol">
      <w:rPr>
        <w:b/>
        <w:bCs/>
      </w:rPr>
    </w:tblStylePr>
    <w:tblStylePr w:type="band1Vert">
      <w:tblPr/>
      <w:tcPr>
        <w:shd w:val="clear" w:color="auto" w:fill="DEE9E8" w:themeFill="accent3" w:themeFillTint="33"/>
      </w:tcPr>
    </w:tblStylePr>
    <w:tblStylePr w:type="band1Horz">
      <w:tblPr/>
      <w:tcPr>
        <w:shd w:val="clear" w:color="auto" w:fill="DEE9E8" w:themeFill="accent3" w:themeFillTint="33"/>
      </w:tcPr>
    </w:tblStylePr>
  </w:style>
  <w:style w:type="table" w:styleId="ListTable1Light-Accent4">
    <w:name w:val="List Table 1 Light Accent 4"/>
    <w:basedOn w:val="TableNormal"/>
    <w:uiPriority w:val="99"/>
    <w:rsid w:val="00911DE3"/>
    <w:pPr>
      <w:spacing w:line="240" w:lineRule="auto"/>
    </w:pPr>
    <w:tblPr>
      <w:tblStyleRowBandSize w:val="1"/>
      <w:tblStyleColBandSize w:val="1"/>
    </w:tblPr>
    <w:tblStylePr w:type="firstRow">
      <w:rPr>
        <w:b/>
        <w:bCs/>
      </w:rPr>
      <w:tblPr/>
      <w:tcPr>
        <w:tcBorders>
          <w:bottom w:val="single" w:sz="4" w:space="0" w:color="73BBB5" w:themeColor="accent4" w:themeTint="99"/>
        </w:tcBorders>
      </w:tcPr>
    </w:tblStylePr>
    <w:tblStylePr w:type="lastRow">
      <w:rPr>
        <w:b/>
        <w:bCs/>
      </w:rPr>
      <w:tblPr/>
      <w:tcPr>
        <w:tcBorders>
          <w:top w:val="single" w:sz="4" w:space="0" w:color="73BBB5" w:themeColor="accent4" w:themeTint="99"/>
        </w:tcBorders>
      </w:tcPr>
    </w:tblStylePr>
    <w:tblStylePr w:type="firstCol">
      <w:rPr>
        <w:b/>
        <w:bCs/>
      </w:rPr>
    </w:tblStylePr>
    <w:tblStylePr w:type="lastCol">
      <w:rPr>
        <w:b/>
        <w:bCs/>
      </w:rPr>
    </w:tblStylePr>
    <w:tblStylePr w:type="band1Vert">
      <w:tblPr/>
      <w:tcPr>
        <w:shd w:val="clear" w:color="auto" w:fill="D0E8E6" w:themeFill="accent4" w:themeFillTint="33"/>
      </w:tcPr>
    </w:tblStylePr>
    <w:tblStylePr w:type="band1Horz">
      <w:tblPr/>
      <w:tcPr>
        <w:shd w:val="clear" w:color="auto" w:fill="D0E8E6" w:themeFill="accent4" w:themeFillTint="33"/>
      </w:tcPr>
    </w:tblStylePr>
  </w:style>
  <w:style w:type="table" w:styleId="ListTable1Light-Accent5">
    <w:name w:val="List Table 1 Light Accent 5"/>
    <w:basedOn w:val="TableNormal"/>
    <w:uiPriority w:val="99"/>
    <w:rsid w:val="00911DE3"/>
    <w:pPr>
      <w:spacing w:line="240" w:lineRule="auto"/>
    </w:pPr>
    <w:tblPr>
      <w:tblStyleRowBandSize w:val="1"/>
      <w:tblStyleColBandSize w:val="1"/>
    </w:tblPr>
    <w:tblStylePr w:type="firstRow">
      <w:rPr>
        <w:b/>
        <w:bCs/>
      </w:rPr>
      <w:tblPr/>
      <w:tcPr>
        <w:tcBorders>
          <w:bottom w:val="single" w:sz="4" w:space="0" w:color="65B5AE" w:themeColor="accent5" w:themeTint="99"/>
        </w:tcBorders>
      </w:tcPr>
    </w:tblStylePr>
    <w:tblStylePr w:type="lastRow">
      <w:rPr>
        <w:b/>
        <w:bCs/>
      </w:rPr>
      <w:tblPr/>
      <w:tcPr>
        <w:tcBorders>
          <w:top w:val="single" w:sz="4" w:space="0" w:color="65B5AE" w:themeColor="accent5" w:themeTint="99"/>
        </w:tcBorders>
      </w:tcPr>
    </w:tblStylePr>
    <w:tblStylePr w:type="firstCol">
      <w:rPr>
        <w:b/>
        <w:bCs/>
      </w:rPr>
    </w:tblStylePr>
    <w:tblStylePr w:type="lastCol">
      <w:rPr>
        <w:b/>
        <w:bCs/>
      </w:rPr>
    </w:tblStylePr>
    <w:tblStylePr w:type="band1Vert">
      <w:tblPr/>
      <w:tcPr>
        <w:shd w:val="clear" w:color="auto" w:fill="CBE6E4" w:themeFill="accent5" w:themeFillTint="33"/>
      </w:tcPr>
    </w:tblStylePr>
    <w:tblStylePr w:type="band1Horz">
      <w:tblPr/>
      <w:tcPr>
        <w:shd w:val="clear" w:color="auto" w:fill="CBE6E4" w:themeFill="accent5" w:themeFillTint="33"/>
      </w:tcPr>
    </w:tblStylePr>
  </w:style>
  <w:style w:type="table" w:styleId="ListTable1Light-Accent6">
    <w:name w:val="List Table 1 Light Accent 6"/>
    <w:basedOn w:val="TableNormal"/>
    <w:uiPriority w:val="99"/>
    <w:rsid w:val="00911DE3"/>
    <w:pPr>
      <w:spacing w:line="240" w:lineRule="auto"/>
    </w:pPr>
    <w:tblPr>
      <w:tblStyleRowBandSize w:val="1"/>
      <w:tblStyleColBandSize w:val="1"/>
    </w:tblPr>
    <w:tblStylePr w:type="firstRow">
      <w:rPr>
        <w:b/>
        <w:bCs/>
      </w:rPr>
      <w:tblPr/>
      <w:tcPr>
        <w:tcBorders>
          <w:bottom w:val="single" w:sz="4" w:space="0" w:color="9ED9C5" w:themeColor="accent6" w:themeTint="99"/>
        </w:tcBorders>
      </w:tcPr>
    </w:tblStylePr>
    <w:tblStylePr w:type="lastRow">
      <w:rPr>
        <w:b/>
        <w:bCs/>
      </w:rPr>
      <w:tblPr/>
      <w:tcPr>
        <w:tcBorders>
          <w:top w:val="single" w:sz="4" w:space="0" w:color="9ED9C5" w:themeColor="accent6" w:themeTint="99"/>
        </w:tcBorders>
      </w:tcPr>
    </w:tblStylePr>
    <w:tblStylePr w:type="firstCol">
      <w:rPr>
        <w:b/>
        <w:bCs/>
      </w:rPr>
    </w:tblStylePr>
    <w:tblStylePr w:type="lastCol">
      <w:rPr>
        <w:b/>
        <w:bCs/>
      </w:rPr>
    </w:tblStylePr>
    <w:tblStylePr w:type="band1Vert">
      <w:tblPr/>
      <w:tcPr>
        <w:shd w:val="clear" w:color="auto" w:fill="DEF2EC" w:themeFill="accent6" w:themeFillTint="33"/>
      </w:tcPr>
    </w:tblStylePr>
    <w:tblStylePr w:type="band1Horz">
      <w:tblPr/>
      <w:tcPr>
        <w:shd w:val="clear" w:color="auto" w:fill="DEF2EC" w:themeFill="accent6" w:themeFillTint="33"/>
      </w:tcPr>
    </w:tblStylePr>
  </w:style>
  <w:style w:type="table" w:styleId="ListTable2">
    <w:name w:val="List Table 2"/>
    <w:basedOn w:val="TableNormal"/>
    <w:uiPriority w:val="99"/>
    <w:rsid w:val="00911DE3"/>
    <w:pPr>
      <w:spacing w:line="240" w:lineRule="auto"/>
    </w:pPr>
    <w:tblPr>
      <w:tblStyleRowBandSize w:val="1"/>
      <w:tblStyleColBandSize w:val="1"/>
      <w:tblBorders>
        <w:top w:val="single" w:sz="4" w:space="0" w:color="828282" w:themeColor="text1" w:themeTint="99"/>
        <w:bottom w:val="single" w:sz="4" w:space="0" w:color="828282" w:themeColor="text1" w:themeTint="99"/>
        <w:insideH w:val="single" w:sz="4" w:space="0" w:color="828282"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D5D5" w:themeFill="text1" w:themeFillTint="33"/>
      </w:tcPr>
    </w:tblStylePr>
    <w:tblStylePr w:type="band1Horz">
      <w:tblPr/>
      <w:tcPr>
        <w:shd w:val="clear" w:color="auto" w:fill="D5D5D5" w:themeFill="text1" w:themeFillTint="33"/>
      </w:tcPr>
    </w:tblStylePr>
  </w:style>
  <w:style w:type="table" w:styleId="ListTable2-Accent1">
    <w:name w:val="List Table 2 Accent 1"/>
    <w:basedOn w:val="TableNormal"/>
    <w:uiPriority w:val="99"/>
    <w:rsid w:val="00911DE3"/>
    <w:pPr>
      <w:spacing w:line="240" w:lineRule="auto"/>
    </w:pPr>
    <w:tblPr>
      <w:tblStyleRowBandSize w:val="1"/>
      <w:tblStyleColBandSize w:val="1"/>
      <w:tblBorders>
        <w:top w:val="single" w:sz="4" w:space="0" w:color="DBE5E4" w:themeColor="accent1" w:themeTint="99"/>
        <w:bottom w:val="single" w:sz="4" w:space="0" w:color="DBE5E4" w:themeColor="accent1" w:themeTint="99"/>
        <w:insideH w:val="single" w:sz="4" w:space="0" w:color="DBE5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6F6" w:themeFill="accent1" w:themeFillTint="33"/>
      </w:tcPr>
    </w:tblStylePr>
    <w:tblStylePr w:type="band1Horz">
      <w:tblPr/>
      <w:tcPr>
        <w:shd w:val="clear" w:color="auto" w:fill="F3F6F6" w:themeFill="accent1" w:themeFillTint="33"/>
      </w:tcPr>
    </w:tblStylePr>
  </w:style>
  <w:style w:type="table" w:styleId="ListTable2-Accent2">
    <w:name w:val="List Table 2 Accent 2"/>
    <w:basedOn w:val="TableNormal"/>
    <w:uiPriority w:val="99"/>
    <w:rsid w:val="00911DE3"/>
    <w:pPr>
      <w:spacing w:line="240" w:lineRule="auto"/>
    </w:pPr>
    <w:tblPr>
      <w:tblStyleRowBandSize w:val="1"/>
      <w:tblStyleColBandSize w:val="1"/>
      <w:tblBorders>
        <w:top w:val="single" w:sz="4" w:space="0" w:color="B6CBC9" w:themeColor="accent2" w:themeTint="99"/>
        <w:bottom w:val="single" w:sz="4" w:space="0" w:color="B6CBC9" w:themeColor="accent2" w:themeTint="99"/>
        <w:insideH w:val="single" w:sz="4" w:space="0" w:color="B6CBC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DED" w:themeFill="accent2" w:themeFillTint="33"/>
      </w:tcPr>
    </w:tblStylePr>
    <w:tblStylePr w:type="band1Horz">
      <w:tblPr/>
      <w:tcPr>
        <w:shd w:val="clear" w:color="auto" w:fill="E6EDED" w:themeFill="accent2" w:themeFillTint="33"/>
      </w:tcPr>
    </w:tblStylePr>
  </w:style>
  <w:style w:type="table" w:styleId="ListTable2-Accent3">
    <w:name w:val="List Table 2 Accent 3"/>
    <w:basedOn w:val="TableNormal"/>
    <w:uiPriority w:val="99"/>
    <w:rsid w:val="00911DE3"/>
    <w:pPr>
      <w:spacing w:line="240" w:lineRule="auto"/>
    </w:pPr>
    <w:tblPr>
      <w:tblStyleRowBandSize w:val="1"/>
      <w:tblStyleColBandSize w:val="1"/>
      <w:tblBorders>
        <w:top w:val="single" w:sz="4" w:space="0" w:color="9CBDBA" w:themeColor="accent3" w:themeTint="99"/>
        <w:bottom w:val="single" w:sz="4" w:space="0" w:color="9CBDBA" w:themeColor="accent3" w:themeTint="99"/>
        <w:insideH w:val="single" w:sz="4" w:space="0" w:color="9CBDB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9E8" w:themeFill="accent3" w:themeFillTint="33"/>
      </w:tcPr>
    </w:tblStylePr>
    <w:tblStylePr w:type="band1Horz">
      <w:tblPr/>
      <w:tcPr>
        <w:shd w:val="clear" w:color="auto" w:fill="DEE9E8" w:themeFill="accent3" w:themeFillTint="33"/>
      </w:tcPr>
    </w:tblStylePr>
  </w:style>
  <w:style w:type="table" w:styleId="ListTable2-Accent4">
    <w:name w:val="List Table 2 Accent 4"/>
    <w:basedOn w:val="TableNormal"/>
    <w:uiPriority w:val="99"/>
    <w:rsid w:val="00911DE3"/>
    <w:pPr>
      <w:spacing w:line="240" w:lineRule="auto"/>
    </w:pPr>
    <w:tblPr>
      <w:tblStyleRowBandSize w:val="1"/>
      <w:tblStyleColBandSize w:val="1"/>
      <w:tblBorders>
        <w:top w:val="single" w:sz="4" w:space="0" w:color="73BBB5" w:themeColor="accent4" w:themeTint="99"/>
        <w:bottom w:val="single" w:sz="4" w:space="0" w:color="73BBB5" w:themeColor="accent4" w:themeTint="99"/>
        <w:insideH w:val="single" w:sz="4" w:space="0" w:color="73BBB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8E6" w:themeFill="accent4" w:themeFillTint="33"/>
      </w:tcPr>
    </w:tblStylePr>
    <w:tblStylePr w:type="band1Horz">
      <w:tblPr/>
      <w:tcPr>
        <w:shd w:val="clear" w:color="auto" w:fill="D0E8E6" w:themeFill="accent4" w:themeFillTint="33"/>
      </w:tcPr>
    </w:tblStylePr>
  </w:style>
  <w:style w:type="table" w:styleId="ListTable2-Accent5">
    <w:name w:val="List Table 2 Accent 5"/>
    <w:basedOn w:val="TableNormal"/>
    <w:uiPriority w:val="99"/>
    <w:rsid w:val="00911DE3"/>
    <w:pPr>
      <w:spacing w:line="240" w:lineRule="auto"/>
    </w:pPr>
    <w:tblPr>
      <w:tblStyleRowBandSize w:val="1"/>
      <w:tblStyleColBandSize w:val="1"/>
      <w:tblBorders>
        <w:top w:val="single" w:sz="4" w:space="0" w:color="65B5AE" w:themeColor="accent5" w:themeTint="99"/>
        <w:bottom w:val="single" w:sz="4" w:space="0" w:color="65B5AE" w:themeColor="accent5" w:themeTint="99"/>
        <w:insideH w:val="single" w:sz="4" w:space="0" w:color="65B5A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BE6E4" w:themeFill="accent5" w:themeFillTint="33"/>
      </w:tcPr>
    </w:tblStylePr>
    <w:tblStylePr w:type="band1Horz">
      <w:tblPr/>
      <w:tcPr>
        <w:shd w:val="clear" w:color="auto" w:fill="CBE6E4" w:themeFill="accent5" w:themeFillTint="33"/>
      </w:tcPr>
    </w:tblStylePr>
  </w:style>
  <w:style w:type="table" w:styleId="ListTable2-Accent6">
    <w:name w:val="List Table 2 Accent 6"/>
    <w:basedOn w:val="TableNormal"/>
    <w:uiPriority w:val="99"/>
    <w:rsid w:val="00911DE3"/>
    <w:pPr>
      <w:spacing w:line="240" w:lineRule="auto"/>
    </w:pPr>
    <w:tblPr>
      <w:tblStyleRowBandSize w:val="1"/>
      <w:tblStyleColBandSize w:val="1"/>
      <w:tblBorders>
        <w:top w:val="single" w:sz="4" w:space="0" w:color="9ED9C5" w:themeColor="accent6" w:themeTint="99"/>
        <w:bottom w:val="single" w:sz="4" w:space="0" w:color="9ED9C5" w:themeColor="accent6" w:themeTint="99"/>
        <w:insideH w:val="single" w:sz="4" w:space="0" w:color="9ED9C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2EC" w:themeFill="accent6" w:themeFillTint="33"/>
      </w:tcPr>
    </w:tblStylePr>
    <w:tblStylePr w:type="band1Horz">
      <w:tblPr/>
      <w:tcPr>
        <w:shd w:val="clear" w:color="auto" w:fill="DEF2EC" w:themeFill="accent6" w:themeFillTint="33"/>
      </w:tcPr>
    </w:tblStylePr>
  </w:style>
  <w:style w:type="table" w:styleId="ListTable3">
    <w:name w:val="List Table 3"/>
    <w:basedOn w:val="TableNormal"/>
    <w:uiPriority w:val="99"/>
    <w:rsid w:val="00911DE3"/>
    <w:pPr>
      <w:spacing w:line="240" w:lineRule="auto"/>
    </w:pPr>
    <w:tblPr>
      <w:tblStyleRowBandSize w:val="1"/>
      <w:tblStyleColBandSize w:val="1"/>
      <w:tblBorders>
        <w:top w:val="single" w:sz="4" w:space="0" w:color="303030" w:themeColor="text1"/>
        <w:left w:val="single" w:sz="4" w:space="0" w:color="303030" w:themeColor="text1"/>
        <w:bottom w:val="single" w:sz="4" w:space="0" w:color="303030" w:themeColor="text1"/>
        <w:right w:val="single" w:sz="4" w:space="0" w:color="303030" w:themeColor="text1"/>
      </w:tblBorders>
    </w:tblPr>
    <w:tblStylePr w:type="firstRow">
      <w:rPr>
        <w:b/>
        <w:bCs/>
        <w:color w:val="FFFFFF" w:themeColor="background1"/>
      </w:rPr>
      <w:tblPr/>
      <w:tcPr>
        <w:shd w:val="clear" w:color="auto" w:fill="303030" w:themeFill="text1"/>
      </w:tcPr>
    </w:tblStylePr>
    <w:tblStylePr w:type="lastRow">
      <w:rPr>
        <w:b/>
        <w:bCs/>
      </w:rPr>
      <w:tblPr/>
      <w:tcPr>
        <w:tcBorders>
          <w:top w:val="double" w:sz="4" w:space="0" w:color="30303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03030" w:themeColor="text1"/>
          <w:right w:val="single" w:sz="4" w:space="0" w:color="303030" w:themeColor="text1"/>
        </w:tcBorders>
      </w:tcPr>
    </w:tblStylePr>
    <w:tblStylePr w:type="band1Horz">
      <w:tblPr/>
      <w:tcPr>
        <w:tcBorders>
          <w:top w:val="single" w:sz="4" w:space="0" w:color="303030" w:themeColor="text1"/>
          <w:bottom w:val="single" w:sz="4" w:space="0" w:color="30303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03030" w:themeColor="text1"/>
          <w:left w:val="nil"/>
        </w:tcBorders>
      </w:tcPr>
    </w:tblStylePr>
    <w:tblStylePr w:type="swCell">
      <w:tblPr/>
      <w:tcPr>
        <w:tcBorders>
          <w:top w:val="double" w:sz="4" w:space="0" w:color="303030" w:themeColor="text1"/>
          <w:right w:val="nil"/>
        </w:tcBorders>
      </w:tcPr>
    </w:tblStylePr>
  </w:style>
  <w:style w:type="table" w:styleId="ListTable3-Accent1">
    <w:name w:val="List Table 3 Accent 1"/>
    <w:basedOn w:val="TableNormal"/>
    <w:uiPriority w:val="99"/>
    <w:rsid w:val="00911DE3"/>
    <w:pPr>
      <w:spacing w:line="240" w:lineRule="auto"/>
    </w:pPr>
    <w:tblPr>
      <w:tblStyleRowBandSize w:val="1"/>
      <w:tblStyleColBandSize w:val="1"/>
      <w:tblBorders>
        <w:top w:val="single" w:sz="4" w:space="0" w:color="C4D5D3" w:themeColor="accent1"/>
        <w:left w:val="single" w:sz="4" w:space="0" w:color="C4D5D3" w:themeColor="accent1"/>
        <w:bottom w:val="single" w:sz="4" w:space="0" w:color="C4D5D3" w:themeColor="accent1"/>
        <w:right w:val="single" w:sz="4" w:space="0" w:color="C4D5D3" w:themeColor="accent1"/>
      </w:tblBorders>
    </w:tblPr>
    <w:tblStylePr w:type="firstRow">
      <w:rPr>
        <w:b/>
        <w:bCs/>
        <w:color w:val="FFFFFF" w:themeColor="background1"/>
      </w:rPr>
      <w:tblPr/>
      <w:tcPr>
        <w:shd w:val="clear" w:color="auto" w:fill="C4D5D3" w:themeFill="accent1"/>
      </w:tcPr>
    </w:tblStylePr>
    <w:tblStylePr w:type="lastRow">
      <w:rPr>
        <w:b/>
        <w:bCs/>
      </w:rPr>
      <w:tblPr/>
      <w:tcPr>
        <w:tcBorders>
          <w:top w:val="double" w:sz="4" w:space="0" w:color="C4D5D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4D5D3" w:themeColor="accent1"/>
          <w:right w:val="single" w:sz="4" w:space="0" w:color="C4D5D3" w:themeColor="accent1"/>
        </w:tcBorders>
      </w:tcPr>
    </w:tblStylePr>
    <w:tblStylePr w:type="band1Horz">
      <w:tblPr/>
      <w:tcPr>
        <w:tcBorders>
          <w:top w:val="single" w:sz="4" w:space="0" w:color="C4D5D3" w:themeColor="accent1"/>
          <w:bottom w:val="single" w:sz="4" w:space="0" w:color="C4D5D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4D5D3" w:themeColor="accent1"/>
          <w:left w:val="nil"/>
        </w:tcBorders>
      </w:tcPr>
    </w:tblStylePr>
    <w:tblStylePr w:type="swCell">
      <w:tblPr/>
      <w:tcPr>
        <w:tcBorders>
          <w:top w:val="double" w:sz="4" w:space="0" w:color="C4D5D3" w:themeColor="accent1"/>
          <w:right w:val="nil"/>
        </w:tcBorders>
      </w:tcPr>
    </w:tblStylePr>
  </w:style>
  <w:style w:type="table" w:styleId="ListTable3-Accent2">
    <w:name w:val="List Table 3 Accent 2"/>
    <w:basedOn w:val="TableNormal"/>
    <w:uiPriority w:val="99"/>
    <w:rsid w:val="00911DE3"/>
    <w:pPr>
      <w:spacing w:line="240" w:lineRule="auto"/>
    </w:pPr>
    <w:tblPr>
      <w:tblStyleRowBandSize w:val="1"/>
      <w:tblStyleColBandSize w:val="1"/>
      <w:tblBorders>
        <w:top w:val="single" w:sz="4" w:space="0" w:color="86A9A6" w:themeColor="accent2"/>
        <w:left w:val="single" w:sz="4" w:space="0" w:color="86A9A6" w:themeColor="accent2"/>
        <w:bottom w:val="single" w:sz="4" w:space="0" w:color="86A9A6" w:themeColor="accent2"/>
        <w:right w:val="single" w:sz="4" w:space="0" w:color="86A9A6" w:themeColor="accent2"/>
      </w:tblBorders>
    </w:tblPr>
    <w:tblStylePr w:type="firstRow">
      <w:rPr>
        <w:b/>
        <w:bCs/>
        <w:color w:val="FFFFFF" w:themeColor="background1"/>
      </w:rPr>
      <w:tblPr/>
      <w:tcPr>
        <w:shd w:val="clear" w:color="auto" w:fill="86A9A6" w:themeFill="accent2"/>
      </w:tcPr>
    </w:tblStylePr>
    <w:tblStylePr w:type="lastRow">
      <w:rPr>
        <w:b/>
        <w:bCs/>
      </w:rPr>
      <w:tblPr/>
      <w:tcPr>
        <w:tcBorders>
          <w:top w:val="double" w:sz="4" w:space="0" w:color="86A9A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A9A6" w:themeColor="accent2"/>
          <w:right w:val="single" w:sz="4" w:space="0" w:color="86A9A6" w:themeColor="accent2"/>
        </w:tcBorders>
      </w:tcPr>
    </w:tblStylePr>
    <w:tblStylePr w:type="band1Horz">
      <w:tblPr/>
      <w:tcPr>
        <w:tcBorders>
          <w:top w:val="single" w:sz="4" w:space="0" w:color="86A9A6" w:themeColor="accent2"/>
          <w:bottom w:val="single" w:sz="4" w:space="0" w:color="86A9A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A9A6" w:themeColor="accent2"/>
          <w:left w:val="nil"/>
        </w:tcBorders>
      </w:tcPr>
    </w:tblStylePr>
    <w:tblStylePr w:type="swCell">
      <w:tblPr/>
      <w:tcPr>
        <w:tcBorders>
          <w:top w:val="double" w:sz="4" w:space="0" w:color="86A9A6" w:themeColor="accent2"/>
          <w:right w:val="nil"/>
        </w:tcBorders>
      </w:tcPr>
    </w:tblStylePr>
  </w:style>
  <w:style w:type="table" w:styleId="ListTable3-Accent3">
    <w:name w:val="List Table 3 Accent 3"/>
    <w:basedOn w:val="TableNormal"/>
    <w:uiPriority w:val="99"/>
    <w:rsid w:val="00911DE3"/>
    <w:pPr>
      <w:spacing w:line="240" w:lineRule="auto"/>
    </w:pPr>
    <w:tblPr>
      <w:tblStyleRowBandSize w:val="1"/>
      <w:tblStyleColBandSize w:val="1"/>
      <w:tblBorders>
        <w:top w:val="single" w:sz="4" w:space="0" w:color="5E8D89" w:themeColor="accent3"/>
        <w:left w:val="single" w:sz="4" w:space="0" w:color="5E8D89" w:themeColor="accent3"/>
        <w:bottom w:val="single" w:sz="4" w:space="0" w:color="5E8D89" w:themeColor="accent3"/>
        <w:right w:val="single" w:sz="4" w:space="0" w:color="5E8D89" w:themeColor="accent3"/>
      </w:tblBorders>
    </w:tblPr>
    <w:tblStylePr w:type="firstRow">
      <w:rPr>
        <w:b/>
        <w:bCs/>
        <w:color w:val="FFFFFF" w:themeColor="background1"/>
      </w:rPr>
      <w:tblPr/>
      <w:tcPr>
        <w:shd w:val="clear" w:color="auto" w:fill="5E8D89" w:themeFill="accent3"/>
      </w:tcPr>
    </w:tblStylePr>
    <w:tblStylePr w:type="lastRow">
      <w:rPr>
        <w:b/>
        <w:bCs/>
      </w:rPr>
      <w:tblPr/>
      <w:tcPr>
        <w:tcBorders>
          <w:top w:val="double" w:sz="4" w:space="0" w:color="5E8D8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E8D89" w:themeColor="accent3"/>
          <w:right w:val="single" w:sz="4" w:space="0" w:color="5E8D89" w:themeColor="accent3"/>
        </w:tcBorders>
      </w:tcPr>
    </w:tblStylePr>
    <w:tblStylePr w:type="band1Horz">
      <w:tblPr/>
      <w:tcPr>
        <w:tcBorders>
          <w:top w:val="single" w:sz="4" w:space="0" w:color="5E8D89" w:themeColor="accent3"/>
          <w:bottom w:val="single" w:sz="4" w:space="0" w:color="5E8D8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E8D89" w:themeColor="accent3"/>
          <w:left w:val="nil"/>
        </w:tcBorders>
      </w:tcPr>
    </w:tblStylePr>
    <w:tblStylePr w:type="swCell">
      <w:tblPr/>
      <w:tcPr>
        <w:tcBorders>
          <w:top w:val="double" w:sz="4" w:space="0" w:color="5E8D89" w:themeColor="accent3"/>
          <w:right w:val="nil"/>
        </w:tcBorders>
      </w:tcPr>
    </w:tblStylePr>
  </w:style>
  <w:style w:type="table" w:styleId="ListTable3-Accent4">
    <w:name w:val="List Table 3 Accent 4"/>
    <w:basedOn w:val="TableNormal"/>
    <w:uiPriority w:val="99"/>
    <w:rsid w:val="00911DE3"/>
    <w:pPr>
      <w:spacing w:line="240" w:lineRule="auto"/>
    </w:pPr>
    <w:tblPr>
      <w:tblStyleRowBandSize w:val="1"/>
      <w:tblStyleColBandSize w:val="1"/>
      <w:tblBorders>
        <w:top w:val="single" w:sz="4" w:space="0" w:color="36706B" w:themeColor="accent4"/>
        <w:left w:val="single" w:sz="4" w:space="0" w:color="36706B" w:themeColor="accent4"/>
        <w:bottom w:val="single" w:sz="4" w:space="0" w:color="36706B" w:themeColor="accent4"/>
        <w:right w:val="single" w:sz="4" w:space="0" w:color="36706B" w:themeColor="accent4"/>
      </w:tblBorders>
    </w:tblPr>
    <w:tblStylePr w:type="firstRow">
      <w:rPr>
        <w:b/>
        <w:bCs/>
        <w:color w:val="FFFFFF" w:themeColor="background1"/>
      </w:rPr>
      <w:tblPr/>
      <w:tcPr>
        <w:shd w:val="clear" w:color="auto" w:fill="36706B" w:themeFill="accent4"/>
      </w:tcPr>
    </w:tblStylePr>
    <w:tblStylePr w:type="lastRow">
      <w:rPr>
        <w:b/>
        <w:bCs/>
      </w:rPr>
      <w:tblPr/>
      <w:tcPr>
        <w:tcBorders>
          <w:top w:val="double" w:sz="4" w:space="0" w:color="36706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706B" w:themeColor="accent4"/>
          <w:right w:val="single" w:sz="4" w:space="0" w:color="36706B" w:themeColor="accent4"/>
        </w:tcBorders>
      </w:tcPr>
    </w:tblStylePr>
    <w:tblStylePr w:type="band1Horz">
      <w:tblPr/>
      <w:tcPr>
        <w:tcBorders>
          <w:top w:val="single" w:sz="4" w:space="0" w:color="36706B" w:themeColor="accent4"/>
          <w:bottom w:val="single" w:sz="4" w:space="0" w:color="36706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706B" w:themeColor="accent4"/>
          <w:left w:val="nil"/>
        </w:tcBorders>
      </w:tcPr>
    </w:tblStylePr>
    <w:tblStylePr w:type="swCell">
      <w:tblPr/>
      <w:tcPr>
        <w:tcBorders>
          <w:top w:val="double" w:sz="4" w:space="0" w:color="36706B" w:themeColor="accent4"/>
          <w:right w:val="nil"/>
        </w:tcBorders>
      </w:tcPr>
    </w:tblStylePr>
  </w:style>
  <w:style w:type="table" w:styleId="ListTable3-Accent5">
    <w:name w:val="List Table 3 Accent 5"/>
    <w:basedOn w:val="TableNormal"/>
    <w:uiPriority w:val="99"/>
    <w:rsid w:val="00911DE3"/>
    <w:pPr>
      <w:spacing w:line="240" w:lineRule="auto"/>
    </w:pPr>
    <w:tblPr>
      <w:tblStyleRowBandSize w:val="1"/>
      <w:tblStyleColBandSize w:val="1"/>
      <w:tblBorders>
        <w:top w:val="single" w:sz="4" w:space="0" w:color="2B5A56" w:themeColor="accent5"/>
        <w:left w:val="single" w:sz="4" w:space="0" w:color="2B5A56" w:themeColor="accent5"/>
        <w:bottom w:val="single" w:sz="4" w:space="0" w:color="2B5A56" w:themeColor="accent5"/>
        <w:right w:val="single" w:sz="4" w:space="0" w:color="2B5A56" w:themeColor="accent5"/>
      </w:tblBorders>
    </w:tblPr>
    <w:tblStylePr w:type="firstRow">
      <w:rPr>
        <w:b/>
        <w:bCs/>
        <w:color w:val="FFFFFF" w:themeColor="background1"/>
      </w:rPr>
      <w:tblPr/>
      <w:tcPr>
        <w:shd w:val="clear" w:color="auto" w:fill="2B5A56" w:themeFill="accent5"/>
      </w:tcPr>
    </w:tblStylePr>
    <w:tblStylePr w:type="lastRow">
      <w:rPr>
        <w:b/>
        <w:bCs/>
      </w:rPr>
      <w:tblPr/>
      <w:tcPr>
        <w:tcBorders>
          <w:top w:val="double" w:sz="4" w:space="0" w:color="2B5A5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A56" w:themeColor="accent5"/>
          <w:right w:val="single" w:sz="4" w:space="0" w:color="2B5A56" w:themeColor="accent5"/>
        </w:tcBorders>
      </w:tcPr>
    </w:tblStylePr>
    <w:tblStylePr w:type="band1Horz">
      <w:tblPr/>
      <w:tcPr>
        <w:tcBorders>
          <w:top w:val="single" w:sz="4" w:space="0" w:color="2B5A56" w:themeColor="accent5"/>
          <w:bottom w:val="single" w:sz="4" w:space="0" w:color="2B5A5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A56" w:themeColor="accent5"/>
          <w:left w:val="nil"/>
        </w:tcBorders>
      </w:tcPr>
    </w:tblStylePr>
    <w:tblStylePr w:type="swCell">
      <w:tblPr/>
      <w:tcPr>
        <w:tcBorders>
          <w:top w:val="double" w:sz="4" w:space="0" w:color="2B5A56" w:themeColor="accent5"/>
          <w:right w:val="nil"/>
        </w:tcBorders>
      </w:tcPr>
    </w:tblStylePr>
  </w:style>
  <w:style w:type="table" w:styleId="ListTable3-Accent6">
    <w:name w:val="List Table 3 Accent 6"/>
    <w:basedOn w:val="TableNormal"/>
    <w:uiPriority w:val="99"/>
    <w:rsid w:val="00911DE3"/>
    <w:pPr>
      <w:spacing w:line="240" w:lineRule="auto"/>
    </w:pPr>
    <w:tblPr>
      <w:tblStyleRowBandSize w:val="1"/>
      <w:tblStyleColBandSize w:val="1"/>
      <w:tblBorders>
        <w:top w:val="single" w:sz="4" w:space="0" w:color="5EC1A0" w:themeColor="accent6"/>
        <w:left w:val="single" w:sz="4" w:space="0" w:color="5EC1A0" w:themeColor="accent6"/>
        <w:bottom w:val="single" w:sz="4" w:space="0" w:color="5EC1A0" w:themeColor="accent6"/>
        <w:right w:val="single" w:sz="4" w:space="0" w:color="5EC1A0" w:themeColor="accent6"/>
      </w:tblBorders>
    </w:tblPr>
    <w:tblStylePr w:type="firstRow">
      <w:rPr>
        <w:b/>
        <w:bCs/>
        <w:color w:val="FFFFFF" w:themeColor="background1"/>
      </w:rPr>
      <w:tblPr/>
      <w:tcPr>
        <w:shd w:val="clear" w:color="auto" w:fill="5EC1A0" w:themeFill="accent6"/>
      </w:tcPr>
    </w:tblStylePr>
    <w:tblStylePr w:type="lastRow">
      <w:rPr>
        <w:b/>
        <w:bCs/>
      </w:rPr>
      <w:tblPr/>
      <w:tcPr>
        <w:tcBorders>
          <w:top w:val="double" w:sz="4" w:space="0" w:color="5EC1A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EC1A0" w:themeColor="accent6"/>
          <w:right w:val="single" w:sz="4" w:space="0" w:color="5EC1A0" w:themeColor="accent6"/>
        </w:tcBorders>
      </w:tcPr>
    </w:tblStylePr>
    <w:tblStylePr w:type="band1Horz">
      <w:tblPr/>
      <w:tcPr>
        <w:tcBorders>
          <w:top w:val="single" w:sz="4" w:space="0" w:color="5EC1A0" w:themeColor="accent6"/>
          <w:bottom w:val="single" w:sz="4" w:space="0" w:color="5EC1A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EC1A0" w:themeColor="accent6"/>
          <w:left w:val="nil"/>
        </w:tcBorders>
      </w:tcPr>
    </w:tblStylePr>
    <w:tblStylePr w:type="swCell">
      <w:tblPr/>
      <w:tcPr>
        <w:tcBorders>
          <w:top w:val="double" w:sz="4" w:space="0" w:color="5EC1A0" w:themeColor="accent6"/>
          <w:right w:val="nil"/>
        </w:tcBorders>
      </w:tcPr>
    </w:tblStylePr>
  </w:style>
  <w:style w:type="table" w:styleId="ListTable4">
    <w:name w:val="List Table 4"/>
    <w:basedOn w:val="TableNormal"/>
    <w:uiPriority w:val="99"/>
    <w:rsid w:val="00911DE3"/>
    <w:pPr>
      <w:spacing w:line="240" w:lineRule="auto"/>
    </w:pPr>
    <w:tblPr>
      <w:tblStyleRowBandSize w:val="1"/>
      <w:tblStyleColBandSize w:val="1"/>
      <w:tblBorders>
        <w:top w:val="single" w:sz="4" w:space="0" w:color="828282" w:themeColor="text1" w:themeTint="99"/>
        <w:left w:val="single" w:sz="4" w:space="0" w:color="828282" w:themeColor="text1" w:themeTint="99"/>
        <w:bottom w:val="single" w:sz="4" w:space="0" w:color="828282" w:themeColor="text1" w:themeTint="99"/>
        <w:right w:val="single" w:sz="4" w:space="0" w:color="828282" w:themeColor="text1" w:themeTint="99"/>
        <w:insideH w:val="single" w:sz="4" w:space="0" w:color="828282" w:themeColor="text1" w:themeTint="99"/>
      </w:tblBorders>
    </w:tblPr>
    <w:tblStylePr w:type="firstRow">
      <w:rPr>
        <w:b/>
        <w:bCs/>
        <w:color w:val="FFFFFF" w:themeColor="background1"/>
      </w:rPr>
      <w:tblPr/>
      <w:tcPr>
        <w:tcBorders>
          <w:top w:val="single" w:sz="4" w:space="0" w:color="303030" w:themeColor="text1"/>
          <w:left w:val="single" w:sz="4" w:space="0" w:color="303030" w:themeColor="text1"/>
          <w:bottom w:val="single" w:sz="4" w:space="0" w:color="303030" w:themeColor="text1"/>
          <w:right w:val="single" w:sz="4" w:space="0" w:color="303030" w:themeColor="text1"/>
          <w:insideH w:val="nil"/>
        </w:tcBorders>
        <w:shd w:val="clear" w:color="auto" w:fill="303030" w:themeFill="text1"/>
      </w:tcPr>
    </w:tblStylePr>
    <w:tblStylePr w:type="lastRow">
      <w:rPr>
        <w:b/>
        <w:bCs/>
      </w:rPr>
      <w:tblPr/>
      <w:tcPr>
        <w:tcBorders>
          <w:top w:val="double" w:sz="4" w:space="0" w:color="828282" w:themeColor="text1" w:themeTint="99"/>
        </w:tcBorders>
      </w:tcPr>
    </w:tblStylePr>
    <w:tblStylePr w:type="firstCol">
      <w:rPr>
        <w:b/>
        <w:bCs/>
      </w:rPr>
    </w:tblStylePr>
    <w:tblStylePr w:type="lastCol">
      <w:rPr>
        <w:b/>
        <w:bCs/>
      </w:rPr>
    </w:tblStylePr>
    <w:tblStylePr w:type="band1Vert">
      <w:tblPr/>
      <w:tcPr>
        <w:shd w:val="clear" w:color="auto" w:fill="D5D5D5" w:themeFill="text1" w:themeFillTint="33"/>
      </w:tcPr>
    </w:tblStylePr>
    <w:tblStylePr w:type="band1Horz">
      <w:tblPr/>
      <w:tcPr>
        <w:shd w:val="clear" w:color="auto" w:fill="D5D5D5" w:themeFill="text1" w:themeFillTint="33"/>
      </w:tcPr>
    </w:tblStylePr>
  </w:style>
  <w:style w:type="table" w:styleId="ListTable4-Accent1">
    <w:name w:val="List Table 4 Accent 1"/>
    <w:basedOn w:val="TableNormal"/>
    <w:uiPriority w:val="99"/>
    <w:rsid w:val="00911DE3"/>
    <w:pPr>
      <w:spacing w:line="240" w:lineRule="auto"/>
    </w:pPr>
    <w:tblPr>
      <w:tblStyleRowBandSize w:val="1"/>
      <w:tblStyleColBandSize w:val="1"/>
      <w:tblBorders>
        <w:top w:val="single" w:sz="4" w:space="0" w:color="DBE5E4" w:themeColor="accent1" w:themeTint="99"/>
        <w:left w:val="single" w:sz="4" w:space="0" w:color="DBE5E4" w:themeColor="accent1" w:themeTint="99"/>
        <w:bottom w:val="single" w:sz="4" w:space="0" w:color="DBE5E4" w:themeColor="accent1" w:themeTint="99"/>
        <w:right w:val="single" w:sz="4" w:space="0" w:color="DBE5E4" w:themeColor="accent1" w:themeTint="99"/>
        <w:insideH w:val="single" w:sz="4" w:space="0" w:color="DBE5E4" w:themeColor="accent1" w:themeTint="99"/>
      </w:tblBorders>
    </w:tblPr>
    <w:tblStylePr w:type="firstRow">
      <w:rPr>
        <w:b/>
        <w:bCs/>
        <w:color w:val="FFFFFF" w:themeColor="background1"/>
      </w:rPr>
      <w:tblPr/>
      <w:tcPr>
        <w:tcBorders>
          <w:top w:val="single" w:sz="4" w:space="0" w:color="C4D5D3" w:themeColor="accent1"/>
          <w:left w:val="single" w:sz="4" w:space="0" w:color="C4D5D3" w:themeColor="accent1"/>
          <w:bottom w:val="single" w:sz="4" w:space="0" w:color="C4D5D3" w:themeColor="accent1"/>
          <w:right w:val="single" w:sz="4" w:space="0" w:color="C4D5D3" w:themeColor="accent1"/>
          <w:insideH w:val="nil"/>
        </w:tcBorders>
        <w:shd w:val="clear" w:color="auto" w:fill="C4D5D3" w:themeFill="accent1"/>
      </w:tcPr>
    </w:tblStylePr>
    <w:tblStylePr w:type="lastRow">
      <w:rPr>
        <w:b/>
        <w:bCs/>
      </w:rPr>
      <w:tblPr/>
      <w:tcPr>
        <w:tcBorders>
          <w:top w:val="double" w:sz="4" w:space="0" w:color="DBE5E4" w:themeColor="accent1" w:themeTint="99"/>
        </w:tcBorders>
      </w:tcPr>
    </w:tblStylePr>
    <w:tblStylePr w:type="firstCol">
      <w:rPr>
        <w:b/>
        <w:bCs/>
      </w:rPr>
    </w:tblStylePr>
    <w:tblStylePr w:type="lastCol">
      <w:rPr>
        <w:b/>
        <w:bCs/>
      </w:rPr>
    </w:tblStylePr>
    <w:tblStylePr w:type="band1Vert">
      <w:tblPr/>
      <w:tcPr>
        <w:shd w:val="clear" w:color="auto" w:fill="F3F6F6" w:themeFill="accent1" w:themeFillTint="33"/>
      </w:tcPr>
    </w:tblStylePr>
    <w:tblStylePr w:type="band1Horz">
      <w:tblPr/>
      <w:tcPr>
        <w:shd w:val="clear" w:color="auto" w:fill="F3F6F6" w:themeFill="accent1" w:themeFillTint="33"/>
      </w:tcPr>
    </w:tblStylePr>
  </w:style>
  <w:style w:type="table" w:styleId="ListTable4-Accent2">
    <w:name w:val="List Table 4 Accent 2"/>
    <w:basedOn w:val="TableNormal"/>
    <w:uiPriority w:val="99"/>
    <w:rsid w:val="00911DE3"/>
    <w:pPr>
      <w:spacing w:line="240" w:lineRule="auto"/>
    </w:pPr>
    <w:tblPr>
      <w:tblStyleRowBandSize w:val="1"/>
      <w:tblStyleColBandSize w:val="1"/>
      <w:tblBorders>
        <w:top w:val="single" w:sz="4" w:space="0" w:color="B6CBC9" w:themeColor="accent2" w:themeTint="99"/>
        <w:left w:val="single" w:sz="4" w:space="0" w:color="B6CBC9" w:themeColor="accent2" w:themeTint="99"/>
        <w:bottom w:val="single" w:sz="4" w:space="0" w:color="B6CBC9" w:themeColor="accent2" w:themeTint="99"/>
        <w:right w:val="single" w:sz="4" w:space="0" w:color="B6CBC9" w:themeColor="accent2" w:themeTint="99"/>
        <w:insideH w:val="single" w:sz="4" w:space="0" w:color="B6CBC9" w:themeColor="accent2" w:themeTint="99"/>
      </w:tblBorders>
    </w:tblPr>
    <w:tblStylePr w:type="firstRow">
      <w:rPr>
        <w:b/>
        <w:bCs/>
        <w:color w:val="FFFFFF" w:themeColor="background1"/>
      </w:rPr>
      <w:tblPr/>
      <w:tcPr>
        <w:tcBorders>
          <w:top w:val="single" w:sz="4" w:space="0" w:color="86A9A6" w:themeColor="accent2"/>
          <w:left w:val="single" w:sz="4" w:space="0" w:color="86A9A6" w:themeColor="accent2"/>
          <w:bottom w:val="single" w:sz="4" w:space="0" w:color="86A9A6" w:themeColor="accent2"/>
          <w:right w:val="single" w:sz="4" w:space="0" w:color="86A9A6" w:themeColor="accent2"/>
          <w:insideH w:val="nil"/>
        </w:tcBorders>
        <w:shd w:val="clear" w:color="auto" w:fill="86A9A6" w:themeFill="accent2"/>
      </w:tcPr>
    </w:tblStylePr>
    <w:tblStylePr w:type="lastRow">
      <w:rPr>
        <w:b/>
        <w:bCs/>
      </w:rPr>
      <w:tblPr/>
      <w:tcPr>
        <w:tcBorders>
          <w:top w:val="double" w:sz="4" w:space="0" w:color="B6CBC9" w:themeColor="accent2" w:themeTint="99"/>
        </w:tcBorders>
      </w:tcPr>
    </w:tblStylePr>
    <w:tblStylePr w:type="firstCol">
      <w:rPr>
        <w:b/>
        <w:bCs/>
      </w:rPr>
    </w:tblStylePr>
    <w:tblStylePr w:type="lastCol">
      <w:rPr>
        <w:b/>
        <w:bCs/>
      </w:rPr>
    </w:tblStylePr>
    <w:tblStylePr w:type="band1Vert">
      <w:tblPr/>
      <w:tcPr>
        <w:shd w:val="clear" w:color="auto" w:fill="E6EDED" w:themeFill="accent2" w:themeFillTint="33"/>
      </w:tcPr>
    </w:tblStylePr>
    <w:tblStylePr w:type="band1Horz">
      <w:tblPr/>
      <w:tcPr>
        <w:shd w:val="clear" w:color="auto" w:fill="E6EDED" w:themeFill="accent2" w:themeFillTint="33"/>
      </w:tcPr>
    </w:tblStylePr>
  </w:style>
  <w:style w:type="table" w:styleId="ListTable4-Accent3">
    <w:name w:val="List Table 4 Accent 3"/>
    <w:basedOn w:val="TableNormal"/>
    <w:uiPriority w:val="99"/>
    <w:rsid w:val="00911DE3"/>
    <w:pPr>
      <w:spacing w:line="240" w:lineRule="auto"/>
    </w:pPr>
    <w:tblPr>
      <w:tblStyleRowBandSize w:val="1"/>
      <w:tblStyleColBandSize w:val="1"/>
      <w:tblBorders>
        <w:top w:val="single" w:sz="4" w:space="0" w:color="9CBDBA" w:themeColor="accent3" w:themeTint="99"/>
        <w:left w:val="single" w:sz="4" w:space="0" w:color="9CBDBA" w:themeColor="accent3" w:themeTint="99"/>
        <w:bottom w:val="single" w:sz="4" w:space="0" w:color="9CBDBA" w:themeColor="accent3" w:themeTint="99"/>
        <w:right w:val="single" w:sz="4" w:space="0" w:color="9CBDBA" w:themeColor="accent3" w:themeTint="99"/>
        <w:insideH w:val="single" w:sz="4" w:space="0" w:color="9CBDBA" w:themeColor="accent3" w:themeTint="99"/>
      </w:tblBorders>
    </w:tblPr>
    <w:tblStylePr w:type="firstRow">
      <w:rPr>
        <w:b/>
        <w:bCs/>
        <w:color w:val="FFFFFF" w:themeColor="background1"/>
      </w:rPr>
      <w:tblPr/>
      <w:tcPr>
        <w:tcBorders>
          <w:top w:val="single" w:sz="4" w:space="0" w:color="5E8D89" w:themeColor="accent3"/>
          <w:left w:val="single" w:sz="4" w:space="0" w:color="5E8D89" w:themeColor="accent3"/>
          <w:bottom w:val="single" w:sz="4" w:space="0" w:color="5E8D89" w:themeColor="accent3"/>
          <w:right w:val="single" w:sz="4" w:space="0" w:color="5E8D89" w:themeColor="accent3"/>
          <w:insideH w:val="nil"/>
        </w:tcBorders>
        <w:shd w:val="clear" w:color="auto" w:fill="5E8D89" w:themeFill="accent3"/>
      </w:tcPr>
    </w:tblStylePr>
    <w:tblStylePr w:type="lastRow">
      <w:rPr>
        <w:b/>
        <w:bCs/>
      </w:rPr>
      <w:tblPr/>
      <w:tcPr>
        <w:tcBorders>
          <w:top w:val="double" w:sz="4" w:space="0" w:color="9CBDBA" w:themeColor="accent3" w:themeTint="99"/>
        </w:tcBorders>
      </w:tcPr>
    </w:tblStylePr>
    <w:tblStylePr w:type="firstCol">
      <w:rPr>
        <w:b/>
        <w:bCs/>
      </w:rPr>
    </w:tblStylePr>
    <w:tblStylePr w:type="lastCol">
      <w:rPr>
        <w:b/>
        <w:bCs/>
      </w:rPr>
    </w:tblStylePr>
    <w:tblStylePr w:type="band1Vert">
      <w:tblPr/>
      <w:tcPr>
        <w:shd w:val="clear" w:color="auto" w:fill="DEE9E8" w:themeFill="accent3" w:themeFillTint="33"/>
      </w:tcPr>
    </w:tblStylePr>
    <w:tblStylePr w:type="band1Horz">
      <w:tblPr/>
      <w:tcPr>
        <w:shd w:val="clear" w:color="auto" w:fill="DEE9E8" w:themeFill="accent3" w:themeFillTint="33"/>
      </w:tcPr>
    </w:tblStylePr>
  </w:style>
  <w:style w:type="table" w:styleId="ListTable4-Accent4">
    <w:name w:val="List Table 4 Accent 4"/>
    <w:basedOn w:val="TableNormal"/>
    <w:uiPriority w:val="99"/>
    <w:rsid w:val="00911DE3"/>
    <w:pPr>
      <w:spacing w:line="240" w:lineRule="auto"/>
    </w:pPr>
    <w:tblPr>
      <w:tblStyleRowBandSize w:val="1"/>
      <w:tblStyleColBandSize w:val="1"/>
      <w:tblBorders>
        <w:top w:val="single" w:sz="4" w:space="0" w:color="73BBB5" w:themeColor="accent4" w:themeTint="99"/>
        <w:left w:val="single" w:sz="4" w:space="0" w:color="73BBB5" w:themeColor="accent4" w:themeTint="99"/>
        <w:bottom w:val="single" w:sz="4" w:space="0" w:color="73BBB5" w:themeColor="accent4" w:themeTint="99"/>
        <w:right w:val="single" w:sz="4" w:space="0" w:color="73BBB5" w:themeColor="accent4" w:themeTint="99"/>
        <w:insideH w:val="single" w:sz="4" w:space="0" w:color="73BBB5" w:themeColor="accent4" w:themeTint="99"/>
      </w:tblBorders>
    </w:tblPr>
    <w:tblStylePr w:type="firstRow">
      <w:rPr>
        <w:b/>
        <w:bCs/>
        <w:color w:val="FFFFFF" w:themeColor="background1"/>
      </w:rPr>
      <w:tblPr/>
      <w:tcPr>
        <w:tcBorders>
          <w:top w:val="single" w:sz="4" w:space="0" w:color="36706B" w:themeColor="accent4"/>
          <w:left w:val="single" w:sz="4" w:space="0" w:color="36706B" w:themeColor="accent4"/>
          <w:bottom w:val="single" w:sz="4" w:space="0" w:color="36706B" w:themeColor="accent4"/>
          <w:right w:val="single" w:sz="4" w:space="0" w:color="36706B" w:themeColor="accent4"/>
          <w:insideH w:val="nil"/>
        </w:tcBorders>
        <w:shd w:val="clear" w:color="auto" w:fill="36706B" w:themeFill="accent4"/>
      </w:tcPr>
    </w:tblStylePr>
    <w:tblStylePr w:type="lastRow">
      <w:rPr>
        <w:b/>
        <w:bCs/>
      </w:rPr>
      <w:tblPr/>
      <w:tcPr>
        <w:tcBorders>
          <w:top w:val="double" w:sz="4" w:space="0" w:color="73BBB5" w:themeColor="accent4" w:themeTint="99"/>
        </w:tcBorders>
      </w:tcPr>
    </w:tblStylePr>
    <w:tblStylePr w:type="firstCol">
      <w:rPr>
        <w:b/>
        <w:bCs/>
      </w:rPr>
    </w:tblStylePr>
    <w:tblStylePr w:type="lastCol">
      <w:rPr>
        <w:b/>
        <w:bCs/>
      </w:rPr>
    </w:tblStylePr>
    <w:tblStylePr w:type="band1Vert">
      <w:tblPr/>
      <w:tcPr>
        <w:shd w:val="clear" w:color="auto" w:fill="D0E8E6" w:themeFill="accent4" w:themeFillTint="33"/>
      </w:tcPr>
    </w:tblStylePr>
    <w:tblStylePr w:type="band1Horz">
      <w:tblPr/>
      <w:tcPr>
        <w:shd w:val="clear" w:color="auto" w:fill="D0E8E6" w:themeFill="accent4" w:themeFillTint="33"/>
      </w:tcPr>
    </w:tblStylePr>
  </w:style>
  <w:style w:type="table" w:styleId="ListTable4-Accent5">
    <w:name w:val="List Table 4 Accent 5"/>
    <w:basedOn w:val="TableNormal"/>
    <w:uiPriority w:val="99"/>
    <w:rsid w:val="00911DE3"/>
    <w:pPr>
      <w:spacing w:line="240" w:lineRule="auto"/>
    </w:pPr>
    <w:tblPr>
      <w:tblStyleRowBandSize w:val="1"/>
      <w:tblStyleColBandSize w:val="1"/>
      <w:tblBorders>
        <w:top w:val="single" w:sz="4" w:space="0" w:color="65B5AE" w:themeColor="accent5" w:themeTint="99"/>
        <w:left w:val="single" w:sz="4" w:space="0" w:color="65B5AE" w:themeColor="accent5" w:themeTint="99"/>
        <w:bottom w:val="single" w:sz="4" w:space="0" w:color="65B5AE" w:themeColor="accent5" w:themeTint="99"/>
        <w:right w:val="single" w:sz="4" w:space="0" w:color="65B5AE" w:themeColor="accent5" w:themeTint="99"/>
        <w:insideH w:val="single" w:sz="4" w:space="0" w:color="65B5AE" w:themeColor="accent5" w:themeTint="99"/>
      </w:tblBorders>
    </w:tblPr>
    <w:tblStylePr w:type="firstRow">
      <w:rPr>
        <w:b/>
        <w:bCs/>
        <w:color w:val="FFFFFF" w:themeColor="background1"/>
      </w:rPr>
      <w:tblPr/>
      <w:tcPr>
        <w:tcBorders>
          <w:top w:val="single" w:sz="4" w:space="0" w:color="2B5A56" w:themeColor="accent5"/>
          <w:left w:val="single" w:sz="4" w:space="0" w:color="2B5A56" w:themeColor="accent5"/>
          <w:bottom w:val="single" w:sz="4" w:space="0" w:color="2B5A56" w:themeColor="accent5"/>
          <w:right w:val="single" w:sz="4" w:space="0" w:color="2B5A56" w:themeColor="accent5"/>
          <w:insideH w:val="nil"/>
        </w:tcBorders>
        <w:shd w:val="clear" w:color="auto" w:fill="2B5A56" w:themeFill="accent5"/>
      </w:tcPr>
    </w:tblStylePr>
    <w:tblStylePr w:type="lastRow">
      <w:rPr>
        <w:b/>
        <w:bCs/>
      </w:rPr>
      <w:tblPr/>
      <w:tcPr>
        <w:tcBorders>
          <w:top w:val="double" w:sz="4" w:space="0" w:color="65B5AE" w:themeColor="accent5" w:themeTint="99"/>
        </w:tcBorders>
      </w:tcPr>
    </w:tblStylePr>
    <w:tblStylePr w:type="firstCol">
      <w:rPr>
        <w:b/>
        <w:bCs/>
      </w:rPr>
    </w:tblStylePr>
    <w:tblStylePr w:type="lastCol">
      <w:rPr>
        <w:b/>
        <w:bCs/>
      </w:rPr>
    </w:tblStylePr>
    <w:tblStylePr w:type="band1Vert">
      <w:tblPr/>
      <w:tcPr>
        <w:shd w:val="clear" w:color="auto" w:fill="CBE6E4" w:themeFill="accent5" w:themeFillTint="33"/>
      </w:tcPr>
    </w:tblStylePr>
    <w:tblStylePr w:type="band1Horz">
      <w:tblPr/>
      <w:tcPr>
        <w:shd w:val="clear" w:color="auto" w:fill="CBE6E4" w:themeFill="accent5" w:themeFillTint="33"/>
      </w:tcPr>
    </w:tblStylePr>
  </w:style>
  <w:style w:type="table" w:styleId="ListTable4-Accent6">
    <w:name w:val="List Table 4 Accent 6"/>
    <w:basedOn w:val="TableNormal"/>
    <w:uiPriority w:val="99"/>
    <w:rsid w:val="00911DE3"/>
    <w:pPr>
      <w:spacing w:line="240" w:lineRule="auto"/>
    </w:pPr>
    <w:tblPr>
      <w:tblStyleRowBandSize w:val="1"/>
      <w:tblStyleColBandSize w:val="1"/>
      <w:tblBorders>
        <w:top w:val="single" w:sz="4" w:space="0" w:color="9ED9C5" w:themeColor="accent6" w:themeTint="99"/>
        <w:left w:val="single" w:sz="4" w:space="0" w:color="9ED9C5" w:themeColor="accent6" w:themeTint="99"/>
        <w:bottom w:val="single" w:sz="4" w:space="0" w:color="9ED9C5" w:themeColor="accent6" w:themeTint="99"/>
        <w:right w:val="single" w:sz="4" w:space="0" w:color="9ED9C5" w:themeColor="accent6" w:themeTint="99"/>
        <w:insideH w:val="single" w:sz="4" w:space="0" w:color="9ED9C5" w:themeColor="accent6" w:themeTint="99"/>
      </w:tblBorders>
    </w:tblPr>
    <w:tblStylePr w:type="firstRow">
      <w:rPr>
        <w:b/>
        <w:bCs/>
        <w:color w:val="FFFFFF" w:themeColor="background1"/>
      </w:rPr>
      <w:tblPr/>
      <w:tcPr>
        <w:tcBorders>
          <w:top w:val="single" w:sz="4" w:space="0" w:color="5EC1A0" w:themeColor="accent6"/>
          <w:left w:val="single" w:sz="4" w:space="0" w:color="5EC1A0" w:themeColor="accent6"/>
          <w:bottom w:val="single" w:sz="4" w:space="0" w:color="5EC1A0" w:themeColor="accent6"/>
          <w:right w:val="single" w:sz="4" w:space="0" w:color="5EC1A0" w:themeColor="accent6"/>
          <w:insideH w:val="nil"/>
        </w:tcBorders>
        <w:shd w:val="clear" w:color="auto" w:fill="5EC1A0" w:themeFill="accent6"/>
      </w:tcPr>
    </w:tblStylePr>
    <w:tblStylePr w:type="lastRow">
      <w:rPr>
        <w:b/>
        <w:bCs/>
      </w:rPr>
      <w:tblPr/>
      <w:tcPr>
        <w:tcBorders>
          <w:top w:val="double" w:sz="4" w:space="0" w:color="9ED9C5" w:themeColor="accent6" w:themeTint="99"/>
        </w:tcBorders>
      </w:tcPr>
    </w:tblStylePr>
    <w:tblStylePr w:type="firstCol">
      <w:rPr>
        <w:b/>
        <w:bCs/>
      </w:rPr>
    </w:tblStylePr>
    <w:tblStylePr w:type="lastCol">
      <w:rPr>
        <w:b/>
        <w:bCs/>
      </w:rPr>
    </w:tblStylePr>
    <w:tblStylePr w:type="band1Vert">
      <w:tblPr/>
      <w:tcPr>
        <w:shd w:val="clear" w:color="auto" w:fill="DEF2EC" w:themeFill="accent6" w:themeFillTint="33"/>
      </w:tcPr>
    </w:tblStylePr>
    <w:tblStylePr w:type="band1Horz">
      <w:tblPr/>
      <w:tcPr>
        <w:shd w:val="clear" w:color="auto" w:fill="DEF2EC" w:themeFill="accent6" w:themeFillTint="33"/>
      </w:tcPr>
    </w:tblStylePr>
  </w:style>
  <w:style w:type="table" w:styleId="ListTable5Dark">
    <w:name w:val="List Table 5 Dark"/>
    <w:basedOn w:val="TableNormal"/>
    <w:uiPriority w:val="99"/>
    <w:rsid w:val="00911DE3"/>
    <w:pPr>
      <w:spacing w:line="240" w:lineRule="auto"/>
    </w:pPr>
    <w:rPr>
      <w:color w:val="FFFFFF" w:themeColor="background1"/>
    </w:rPr>
    <w:tblPr>
      <w:tblStyleRowBandSize w:val="1"/>
      <w:tblStyleColBandSize w:val="1"/>
      <w:tblBorders>
        <w:top w:val="single" w:sz="24" w:space="0" w:color="303030" w:themeColor="text1"/>
        <w:left w:val="single" w:sz="24" w:space="0" w:color="303030" w:themeColor="text1"/>
        <w:bottom w:val="single" w:sz="24" w:space="0" w:color="303030" w:themeColor="text1"/>
        <w:right w:val="single" w:sz="24" w:space="0" w:color="303030" w:themeColor="text1"/>
      </w:tblBorders>
    </w:tblPr>
    <w:tcPr>
      <w:shd w:val="clear" w:color="auto" w:fill="30303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99"/>
    <w:rsid w:val="00911DE3"/>
    <w:pPr>
      <w:spacing w:line="240" w:lineRule="auto"/>
    </w:pPr>
    <w:rPr>
      <w:color w:val="FFFFFF" w:themeColor="background1"/>
    </w:rPr>
    <w:tblPr>
      <w:tblStyleRowBandSize w:val="1"/>
      <w:tblStyleColBandSize w:val="1"/>
      <w:tblBorders>
        <w:top w:val="single" w:sz="24" w:space="0" w:color="C4D5D3" w:themeColor="accent1"/>
        <w:left w:val="single" w:sz="24" w:space="0" w:color="C4D5D3" w:themeColor="accent1"/>
        <w:bottom w:val="single" w:sz="24" w:space="0" w:color="C4D5D3" w:themeColor="accent1"/>
        <w:right w:val="single" w:sz="24" w:space="0" w:color="C4D5D3" w:themeColor="accent1"/>
      </w:tblBorders>
    </w:tblPr>
    <w:tcPr>
      <w:shd w:val="clear" w:color="auto" w:fill="C4D5D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99"/>
    <w:rsid w:val="00911DE3"/>
    <w:pPr>
      <w:spacing w:line="240" w:lineRule="auto"/>
    </w:pPr>
    <w:rPr>
      <w:color w:val="FFFFFF" w:themeColor="background1"/>
    </w:rPr>
    <w:tblPr>
      <w:tblStyleRowBandSize w:val="1"/>
      <w:tblStyleColBandSize w:val="1"/>
      <w:tblBorders>
        <w:top w:val="single" w:sz="24" w:space="0" w:color="86A9A6" w:themeColor="accent2"/>
        <w:left w:val="single" w:sz="24" w:space="0" w:color="86A9A6" w:themeColor="accent2"/>
        <w:bottom w:val="single" w:sz="24" w:space="0" w:color="86A9A6" w:themeColor="accent2"/>
        <w:right w:val="single" w:sz="24" w:space="0" w:color="86A9A6" w:themeColor="accent2"/>
      </w:tblBorders>
    </w:tblPr>
    <w:tcPr>
      <w:shd w:val="clear" w:color="auto" w:fill="86A9A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99"/>
    <w:rsid w:val="00911DE3"/>
    <w:pPr>
      <w:spacing w:line="240" w:lineRule="auto"/>
    </w:pPr>
    <w:rPr>
      <w:color w:val="FFFFFF" w:themeColor="background1"/>
    </w:rPr>
    <w:tblPr>
      <w:tblStyleRowBandSize w:val="1"/>
      <w:tblStyleColBandSize w:val="1"/>
      <w:tblBorders>
        <w:top w:val="single" w:sz="24" w:space="0" w:color="5E8D89" w:themeColor="accent3"/>
        <w:left w:val="single" w:sz="24" w:space="0" w:color="5E8D89" w:themeColor="accent3"/>
        <w:bottom w:val="single" w:sz="24" w:space="0" w:color="5E8D89" w:themeColor="accent3"/>
        <w:right w:val="single" w:sz="24" w:space="0" w:color="5E8D89" w:themeColor="accent3"/>
      </w:tblBorders>
    </w:tblPr>
    <w:tcPr>
      <w:shd w:val="clear" w:color="auto" w:fill="5E8D8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99"/>
    <w:rsid w:val="00911DE3"/>
    <w:pPr>
      <w:spacing w:line="240" w:lineRule="auto"/>
    </w:pPr>
    <w:rPr>
      <w:color w:val="FFFFFF" w:themeColor="background1"/>
    </w:rPr>
    <w:tblPr>
      <w:tblStyleRowBandSize w:val="1"/>
      <w:tblStyleColBandSize w:val="1"/>
      <w:tblBorders>
        <w:top w:val="single" w:sz="24" w:space="0" w:color="36706B" w:themeColor="accent4"/>
        <w:left w:val="single" w:sz="24" w:space="0" w:color="36706B" w:themeColor="accent4"/>
        <w:bottom w:val="single" w:sz="24" w:space="0" w:color="36706B" w:themeColor="accent4"/>
        <w:right w:val="single" w:sz="24" w:space="0" w:color="36706B" w:themeColor="accent4"/>
      </w:tblBorders>
    </w:tblPr>
    <w:tcPr>
      <w:shd w:val="clear" w:color="auto" w:fill="36706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99"/>
    <w:rsid w:val="00911DE3"/>
    <w:pPr>
      <w:spacing w:line="240" w:lineRule="auto"/>
    </w:pPr>
    <w:rPr>
      <w:color w:val="FFFFFF" w:themeColor="background1"/>
    </w:rPr>
    <w:tblPr>
      <w:tblStyleRowBandSize w:val="1"/>
      <w:tblStyleColBandSize w:val="1"/>
      <w:tblBorders>
        <w:top w:val="single" w:sz="24" w:space="0" w:color="2B5A56" w:themeColor="accent5"/>
        <w:left w:val="single" w:sz="24" w:space="0" w:color="2B5A56" w:themeColor="accent5"/>
        <w:bottom w:val="single" w:sz="24" w:space="0" w:color="2B5A56" w:themeColor="accent5"/>
        <w:right w:val="single" w:sz="24" w:space="0" w:color="2B5A56" w:themeColor="accent5"/>
      </w:tblBorders>
    </w:tblPr>
    <w:tcPr>
      <w:shd w:val="clear" w:color="auto" w:fill="2B5A5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99"/>
    <w:rsid w:val="00911DE3"/>
    <w:pPr>
      <w:spacing w:line="240" w:lineRule="auto"/>
    </w:pPr>
    <w:rPr>
      <w:color w:val="FFFFFF" w:themeColor="background1"/>
    </w:rPr>
    <w:tblPr>
      <w:tblStyleRowBandSize w:val="1"/>
      <w:tblStyleColBandSize w:val="1"/>
      <w:tblBorders>
        <w:top w:val="single" w:sz="24" w:space="0" w:color="5EC1A0" w:themeColor="accent6"/>
        <w:left w:val="single" w:sz="24" w:space="0" w:color="5EC1A0" w:themeColor="accent6"/>
        <w:bottom w:val="single" w:sz="24" w:space="0" w:color="5EC1A0" w:themeColor="accent6"/>
        <w:right w:val="single" w:sz="24" w:space="0" w:color="5EC1A0" w:themeColor="accent6"/>
      </w:tblBorders>
    </w:tblPr>
    <w:tcPr>
      <w:shd w:val="clear" w:color="auto" w:fill="5EC1A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99"/>
    <w:rsid w:val="00911DE3"/>
    <w:pPr>
      <w:spacing w:line="240" w:lineRule="auto"/>
    </w:pPr>
    <w:rPr>
      <w:color w:val="303030" w:themeColor="text1"/>
    </w:rPr>
    <w:tblPr>
      <w:tblStyleRowBandSize w:val="1"/>
      <w:tblStyleColBandSize w:val="1"/>
      <w:tblBorders>
        <w:top w:val="single" w:sz="4" w:space="0" w:color="303030" w:themeColor="text1"/>
        <w:bottom w:val="single" w:sz="4" w:space="0" w:color="303030" w:themeColor="text1"/>
      </w:tblBorders>
    </w:tblPr>
    <w:tblStylePr w:type="firstRow">
      <w:rPr>
        <w:b/>
        <w:bCs/>
      </w:rPr>
      <w:tblPr/>
      <w:tcPr>
        <w:tcBorders>
          <w:bottom w:val="single" w:sz="4" w:space="0" w:color="303030" w:themeColor="text1"/>
        </w:tcBorders>
      </w:tcPr>
    </w:tblStylePr>
    <w:tblStylePr w:type="lastRow">
      <w:rPr>
        <w:b/>
        <w:bCs/>
      </w:rPr>
      <w:tblPr/>
      <w:tcPr>
        <w:tcBorders>
          <w:top w:val="double" w:sz="4" w:space="0" w:color="303030" w:themeColor="text1"/>
        </w:tcBorders>
      </w:tcPr>
    </w:tblStylePr>
    <w:tblStylePr w:type="firstCol">
      <w:rPr>
        <w:b/>
        <w:bCs/>
      </w:rPr>
    </w:tblStylePr>
    <w:tblStylePr w:type="lastCol">
      <w:rPr>
        <w:b/>
        <w:bCs/>
      </w:rPr>
    </w:tblStylePr>
    <w:tblStylePr w:type="band1Vert">
      <w:tblPr/>
      <w:tcPr>
        <w:shd w:val="clear" w:color="auto" w:fill="D5D5D5" w:themeFill="text1" w:themeFillTint="33"/>
      </w:tcPr>
    </w:tblStylePr>
    <w:tblStylePr w:type="band1Horz">
      <w:tblPr/>
      <w:tcPr>
        <w:shd w:val="clear" w:color="auto" w:fill="D5D5D5" w:themeFill="text1" w:themeFillTint="33"/>
      </w:tcPr>
    </w:tblStylePr>
  </w:style>
  <w:style w:type="table" w:styleId="ListTable6Colorful-Accent1">
    <w:name w:val="List Table 6 Colorful Accent 1"/>
    <w:basedOn w:val="TableNormal"/>
    <w:uiPriority w:val="99"/>
    <w:rsid w:val="00911DE3"/>
    <w:pPr>
      <w:spacing w:line="240" w:lineRule="auto"/>
    </w:pPr>
    <w:rPr>
      <w:color w:val="88AAA6" w:themeColor="accent1" w:themeShade="BF"/>
    </w:rPr>
    <w:tblPr>
      <w:tblStyleRowBandSize w:val="1"/>
      <w:tblStyleColBandSize w:val="1"/>
      <w:tblBorders>
        <w:top w:val="single" w:sz="4" w:space="0" w:color="C4D5D3" w:themeColor="accent1"/>
        <w:bottom w:val="single" w:sz="4" w:space="0" w:color="C4D5D3" w:themeColor="accent1"/>
      </w:tblBorders>
    </w:tblPr>
    <w:tblStylePr w:type="firstRow">
      <w:rPr>
        <w:b/>
        <w:bCs/>
      </w:rPr>
      <w:tblPr/>
      <w:tcPr>
        <w:tcBorders>
          <w:bottom w:val="single" w:sz="4" w:space="0" w:color="C4D5D3" w:themeColor="accent1"/>
        </w:tcBorders>
      </w:tcPr>
    </w:tblStylePr>
    <w:tblStylePr w:type="lastRow">
      <w:rPr>
        <w:b/>
        <w:bCs/>
      </w:rPr>
      <w:tblPr/>
      <w:tcPr>
        <w:tcBorders>
          <w:top w:val="double" w:sz="4" w:space="0" w:color="C4D5D3" w:themeColor="accent1"/>
        </w:tcBorders>
      </w:tcPr>
    </w:tblStylePr>
    <w:tblStylePr w:type="firstCol">
      <w:rPr>
        <w:b/>
        <w:bCs/>
      </w:rPr>
    </w:tblStylePr>
    <w:tblStylePr w:type="lastCol">
      <w:rPr>
        <w:b/>
        <w:bCs/>
      </w:rPr>
    </w:tblStylePr>
    <w:tblStylePr w:type="band1Vert">
      <w:tblPr/>
      <w:tcPr>
        <w:shd w:val="clear" w:color="auto" w:fill="F3F6F6" w:themeFill="accent1" w:themeFillTint="33"/>
      </w:tcPr>
    </w:tblStylePr>
    <w:tblStylePr w:type="band1Horz">
      <w:tblPr/>
      <w:tcPr>
        <w:shd w:val="clear" w:color="auto" w:fill="F3F6F6" w:themeFill="accent1" w:themeFillTint="33"/>
      </w:tcPr>
    </w:tblStylePr>
  </w:style>
  <w:style w:type="table" w:styleId="ListTable6Colorful-Accent2">
    <w:name w:val="List Table 6 Colorful Accent 2"/>
    <w:basedOn w:val="TableNormal"/>
    <w:uiPriority w:val="99"/>
    <w:rsid w:val="00911DE3"/>
    <w:pPr>
      <w:spacing w:line="240" w:lineRule="auto"/>
    </w:pPr>
    <w:rPr>
      <w:color w:val="5E8481" w:themeColor="accent2" w:themeShade="BF"/>
    </w:rPr>
    <w:tblPr>
      <w:tblStyleRowBandSize w:val="1"/>
      <w:tblStyleColBandSize w:val="1"/>
      <w:tblBorders>
        <w:top w:val="single" w:sz="4" w:space="0" w:color="86A9A6" w:themeColor="accent2"/>
        <w:bottom w:val="single" w:sz="4" w:space="0" w:color="86A9A6" w:themeColor="accent2"/>
      </w:tblBorders>
    </w:tblPr>
    <w:tblStylePr w:type="firstRow">
      <w:rPr>
        <w:b/>
        <w:bCs/>
      </w:rPr>
      <w:tblPr/>
      <w:tcPr>
        <w:tcBorders>
          <w:bottom w:val="single" w:sz="4" w:space="0" w:color="86A9A6" w:themeColor="accent2"/>
        </w:tcBorders>
      </w:tcPr>
    </w:tblStylePr>
    <w:tblStylePr w:type="lastRow">
      <w:rPr>
        <w:b/>
        <w:bCs/>
      </w:rPr>
      <w:tblPr/>
      <w:tcPr>
        <w:tcBorders>
          <w:top w:val="double" w:sz="4" w:space="0" w:color="86A9A6" w:themeColor="accent2"/>
        </w:tcBorders>
      </w:tcPr>
    </w:tblStylePr>
    <w:tblStylePr w:type="firstCol">
      <w:rPr>
        <w:b/>
        <w:bCs/>
      </w:rPr>
    </w:tblStylePr>
    <w:tblStylePr w:type="lastCol">
      <w:rPr>
        <w:b/>
        <w:bCs/>
      </w:rPr>
    </w:tblStylePr>
    <w:tblStylePr w:type="band1Vert">
      <w:tblPr/>
      <w:tcPr>
        <w:shd w:val="clear" w:color="auto" w:fill="E6EDED" w:themeFill="accent2" w:themeFillTint="33"/>
      </w:tcPr>
    </w:tblStylePr>
    <w:tblStylePr w:type="band1Horz">
      <w:tblPr/>
      <w:tcPr>
        <w:shd w:val="clear" w:color="auto" w:fill="E6EDED" w:themeFill="accent2" w:themeFillTint="33"/>
      </w:tcPr>
    </w:tblStylePr>
  </w:style>
  <w:style w:type="table" w:styleId="ListTable6Colorful-Accent3">
    <w:name w:val="List Table 6 Colorful Accent 3"/>
    <w:basedOn w:val="TableNormal"/>
    <w:uiPriority w:val="99"/>
    <w:rsid w:val="00911DE3"/>
    <w:pPr>
      <w:spacing w:line="240" w:lineRule="auto"/>
    </w:pPr>
    <w:rPr>
      <w:color w:val="466966" w:themeColor="accent3" w:themeShade="BF"/>
    </w:rPr>
    <w:tblPr>
      <w:tblStyleRowBandSize w:val="1"/>
      <w:tblStyleColBandSize w:val="1"/>
      <w:tblBorders>
        <w:top w:val="single" w:sz="4" w:space="0" w:color="5E8D89" w:themeColor="accent3"/>
        <w:bottom w:val="single" w:sz="4" w:space="0" w:color="5E8D89" w:themeColor="accent3"/>
      </w:tblBorders>
    </w:tblPr>
    <w:tblStylePr w:type="firstRow">
      <w:rPr>
        <w:b/>
        <w:bCs/>
      </w:rPr>
      <w:tblPr/>
      <w:tcPr>
        <w:tcBorders>
          <w:bottom w:val="single" w:sz="4" w:space="0" w:color="5E8D89" w:themeColor="accent3"/>
        </w:tcBorders>
      </w:tcPr>
    </w:tblStylePr>
    <w:tblStylePr w:type="lastRow">
      <w:rPr>
        <w:b/>
        <w:bCs/>
      </w:rPr>
      <w:tblPr/>
      <w:tcPr>
        <w:tcBorders>
          <w:top w:val="double" w:sz="4" w:space="0" w:color="5E8D89" w:themeColor="accent3"/>
        </w:tcBorders>
      </w:tcPr>
    </w:tblStylePr>
    <w:tblStylePr w:type="firstCol">
      <w:rPr>
        <w:b/>
        <w:bCs/>
      </w:rPr>
    </w:tblStylePr>
    <w:tblStylePr w:type="lastCol">
      <w:rPr>
        <w:b/>
        <w:bCs/>
      </w:rPr>
    </w:tblStylePr>
    <w:tblStylePr w:type="band1Vert">
      <w:tblPr/>
      <w:tcPr>
        <w:shd w:val="clear" w:color="auto" w:fill="DEE9E8" w:themeFill="accent3" w:themeFillTint="33"/>
      </w:tcPr>
    </w:tblStylePr>
    <w:tblStylePr w:type="band1Horz">
      <w:tblPr/>
      <w:tcPr>
        <w:shd w:val="clear" w:color="auto" w:fill="DEE9E8" w:themeFill="accent3" w:themeFillTint="33"/>
      </w:tcPr>
    </w:tblStylePr>
  </w:style>
  <w:style w:type="table" w:styleId="ListTable6Colorful-Accent4">
    <w:name w:val="List Table 6 Colorful Accent 4"/>
    <w:basedOn w:val="TableNormal"/>
    <w:uiPriority w:val="99"/>
    <w:rsid w:val="00911DE3"/>
    <w:pPr>
      <w:spacing w:line="240" w:lineRule="auto"/>
    </w:pPr>
    <w:rPr>
      <w:color w:val="285350" w:themeColor="accent4" w:themeShade="BF"/>
    </w:rPr>
    <w:tblPr>
      <w:tblStyleRowBandSize w:val="1"/>
      <w:tblStyleColBandSize w:val="1"/>
      <w:tblBorders>
        <w:top w:val="single" w:sz="4" w:space="0" w:color="36706B" w:themeColor="accent4"/>
        <w:bottom w:val="single" w:sz="4" w:space="0" w:color="36706B" w:themeColor="accent4"/>
      </w:tblBorders>
    </w:tblPr>
    <w:tblStylePr w:type="firstRow">
      <w:rPr>
        <w:b/>
        <w:bCs/>
      </w:rPr>
      <w:tblPr/>
      <w:tcPr>
        <w:tcBorders>
          <w:bottom w:val="single" w:sz="4" w:space="0" w:color="36706B" w:themeColor="accent4"/>
        </w:tcBorders>
      </w:tcPr>
    </w:tblStylePr>
    <w:tblStylePr w:type="lastRow">
      <w:rPr>
        <w:b/>
        <w:bCs/>
      </w:rPr>
      <w:tblPr/>
      <w:tcPr>
        <w:tcBorders>
          <w:top w:val="double" w:sz="4" w:space="0" w:color="36706B" w:themeColor="accent4"/>
        </w:tcBorders>
      </w:tcPr>
    </w:tblStylePr>
    <w:tblStylePr w:type="firstCol">
      <w:rPr>
        <w:b/>
        <w:bCs/>
      </w:rPr>
    </w:tblStylePr>
    <w:tblStylePr w:type="lastCol">
      <w:rPr>
        <w:b/>
        <w:bCs/>
      </w:rPr>
    </w:tblStylePr>
    <w:tblStylePr w:type="band1Vert">
      <w:tblPr/>
      <w:tcPr>
        <w:shd w:val="clear" w:color="auto" w:fill="D0E8E6" w:themeFill="accent4" w:themeFillTint="33"/>
      </w:tcPr>
    </w:tblStylePr>
    <w:tblStylePr w:type="band1Horz">
      <w:tblPr/>
      <w:tcPr>
        <w:shd w:val="clear" w:color="auto" w:fill="D0E8E6" w:themeFill="accent4" w:themeFillTint="33"/>
      </w:tcPr>
    </w:tblStylePr>
  </w:style>
  <w:style w:type="table" w:styleId="ListTable6Colorful-Accent5">
    <w:name w:val="List Table 6 Colorful Accent 5"/>
    <w:basedOn w:val="TableNormal"/>
    <w:uiPriority w:val="99"/>
    <w:rsid w:val="00911DE3"/>
    <w:pPr>
      <w:spacing w:line="240" w:lineRule="auto"/>
    </w:pPr>
    <w:rPr>
      <w:color w:val="204340" w:themeColor="accent5" w:themeShade="BF"/>
    </w:rPr>
    <w:tblPr>
      <w:tblStyleRowBandSize w:val="1"/>
      <w:tblStyleColBandSize w:val="1"/>
      <w:tblBorders>
        <w:top w:val="single" w:sz="4" w:space="0" w:color="2B5A56" w:themeColor="accent5"/>
        <w:bottom w:val="single" w:sz="4" w:space="0" w:color="2B5A56" w:themeColor="accent5"/>
      </w:tblBorders>
    </w:tblPr>
    <w:tblStylePr w:type="firstRow">
      <w:rPr>
        <w:b/>
        <w:bCs/>
      </w:rPr>
      <w:tblPr/>
      <w:tcPr>
        <w:tcBorders>
          <w:bottom w:val="single" w:sz="4" w:space="0" w:color="2B5A56" w:themeColor="accent5"/>
        </w:tcBorders>
      </w:tcPr>
    </w:tblStylePr>
    <w:tblStylePr w:type="lastRow">
      <w:rPr>
        <w:b/>
        <w:bCs/>
      </w:rPr>
      <w:tblPr/>
      <w:tcPr>
        <w:tcBorders>
          <w:top w:val="double" w:sz="4" w:space="0" w:color="2B5A56" w:themeColor="accent5"/>
        </w:tcBorders>
      </w:tcPr>
    </w:tblStylePr>
    <w:tblStylePr w:type="firstCol">
      <w:rPr>
        <w:b/>
        <w:bCs/>
      </w:rPr>
    </w:tblStylePr>
    <w:tblStylePr w:type="lastCol">
      <w:rPr>
        <w:b/>
        <w:bCs/>
      </w:rPr>
    </w:tblStylePr>
    <w:tblStylePr w:type="band1Vert">
      <w:tblPr/>
      <w:tcPr>
        <w:shd w:val="clear" w:color="auto" w:fill="CBE6E4" w:themeFill="accent5" w:themeFillTint="33"/>
      </w:tcPr>
    </w:tblStylePr>
    <w:tblStylePr w:type="band1Horz">
      <w:tblPr/>
      <w:tcPr>
        <w:shd w:val="clear" w:color="auto" w:fill="CBE6E4" w:themeFill="accent5" w:themeFillTint="33"/>
      </w:tcPr>
    </w:tblStylePr>
  </w:style>
  <w:style w:type="table" w:styleId="ListTable6Colorful-Accent6">
    <w:name w:val="List Table 6 Colorful Accent 6"/>
    <w:basedOn w:val="TableNormal"/>
    <w:uiPriority w:val="99"/>
    <w:rsid w:val="00911DE3"/>
    <w:pPr>
      <w:spacing w:line="240" w:lineRule="auto"/>
    </w:pPr>
    <w:rPr>
      <w:color w:val="3B9A7B" w:themeColor="accent6" w:themeShade="BF"/>
    </w:rPr>
    <w:tblPr>
      <w:tblStyleRowBandSize w:val="1"/>
      <w:tblStyleColBandSize w:val="1"/>
      <w:tblBorders>
        <w:top w:val="single" w:sz="4" w:space="0" w:color="5EC1A0" w:themeColor="accent6"/>
        <w:bottom w:val="single" w:sz="4" w:space="0" w:color="5EC1A0" w:themeColor="accent6"/>
      </w:tblBorders>
    </w:tblPr>
    <w:tblStylePr w:type="firstRow">
      <w:rPr>
        <w:b/>
        <w:bCs/>
      </w:rPr>
      <w:tblPr/>
      <w:tcPr>
        <w:tcBorders>
          <w:bottom w:val="single" w:sz="4" w:space="0" w:color="5EC1A0" w:themeColor="accent6"/>
        </w:tcBorders>
      </w:tcPr>
    </w:tblStylePr>
    <w:tblStylePr w:type="lastRow">
      <w:rPr>
        <w:b/>
        <w:bCs/>
      </w:rPr>
      <w:tblPr/>
      <w:tcPr>
        <w:tcBorders>
          <w:top w:val="double" w:sz="4" w:space="0" w:color="5EC1A0" w:themeColor="accent6"/>
        </w:tcBorders>
      </w:tcPr>
    </w:tblStylePr>
    <w:tblStylePr w:type="firstCol">
      <w:rPr>
        <w:b/>
        <w:bCs/>
      </w:rPr>
    </w:tblStylePr>
    <w:tblStylePr w:type="lastCol">
      <w:rPr>
        <w:b/>
        <w:bCs/>
      </w:rPr>
    </w:tblStylePr>
    <w:tblStylePr w:type="band1Vert">
      <w:tblPr/>
      <w:tcPr>
        <w:shd w:val="clear" w:color="auto" w:fill="DEF2EC" w:themeFill="accent6" w:themeFillTint="33"/>
      </w:tcPr>
    </w:tblStylePr>
    <w:tblStylePr w:type="band1Horz">
      <w:tblPr/>
      <w:tcPr>
        <w:shd w:val="clear" w:color="auto" w:fill="DEF2EC" w:themeFill="accent6" w:themeFillTint="33"/>
      </w:tcPr>
    </w:tblStylePr>
  </w:style>
  <w:style w:type="table" w:styleId="ListTable7Colorful">
    <w:name w:val="List Table 7 Colorful"/>
    <w:basedOn w:val="TableNormal"/>
    <w:uiPriority w:val="99"/>
    <w:rsid w:val="00911DE3"/>
    <w:pPr>
      <w:spacing w:line="240" w:lineRule="auto"/>
    </w:pPr>
    <w:rPr>
      <w:color w:val="30303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0303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0303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0303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03030" w:themeColor="text1"/>
        </w:tcBorders>
        <w:shd w:val="clear" w:color="auto" w:fill="FFFFFF" w:themeFill="background1"/>
      </w:tcPr>
    </w:tblStylePr>
    <w:tblStylePr w:type="band1Vert">
      <w:tblPr/>
      <w:tcPr>
        <w:shd w:val="clear" w:color="auto" w:fill="D5D5D5" w:themeFill="text1" w:themeFillTint="33"/>
      </w:tcPr>
    </w:tblStylePr>
    <w:tblStylePr w:type="band1Horz">
      <w:tblPr/>
      <w:tcPr>
        <w:shd w:val="clear" w:color="auto" w:fill="D5D5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99"/>
    <w:rsid w:val="00911DE3"/>
    <w:pPr>
      <w:spacing w:line="240" w:lineRule="auto"/>
    </w:pPr>
    <w:rPr>
      <w:color w:val="88AAA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4D5D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4D5D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4D5D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4D5D3" w:themeColor="accent1"/>
        </w:tcBorders>
        <w:shd w:val="clear" w:color="auto" w:fill="FFFFFF" w:themeFill="background1"/>
      </w:tcPr>
    </w:tblStylePr>
    <w:tblStylePr w:type="band1Vert">
      <w:tblPr/>
      <w:tcPr>
        <w:shd w:val="clear" w:color="auto" w:fill="F3F6F6" w:themeFill="accent1" w:themeFillTint="33"/>
      </w:tcPr>
    </w:tblStylePr>
    <w:tblStylePr w:type="band1Horz">
      <w:tblPr/>
      <w:tcPr>
        <w:shd w:val="clear" w:color="auto" w:fill="F3F6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99"/>
    <w:rsid w:val="00911DE3"/>
    <w:pPr>
      <w:spacing w:line="240" w:lineRule="auto"/>
    </w:pPr>
    <w:rPr>
      <w:color w:val="5E848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A9A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A9A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A9A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A9A6" w:themeColor="accent2"/>
        </w:tcBorders>
        <w:shd w:val="clear" w:color="auto" w:fill="FFFFFF" w:themeFill="background1"/>
      </w:tcPr>
    </w:tblStylePr>
    <w:tblStylePr w:type="band1Vert">
      <w:tblPr/>
      <w:tcPr>
        <w:shd w:val="clear" w:color="auto" w:fill="E6EDED" w:themeFill="accent2" w:themeFillTint="33"/>
      </w:tcPr>
    </w:tblStylePr>
    <w:tblStylePr w:type="band1Horz">
      <w:tblPr/>
      <w:tcPr>
        <w:shd w:val="clear" w:color="auto" w:fill="E6EDE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99"/>
    <w:rsid w:val="00911DE3"/>
    <w:pPr>
      <w:spacing w:line="240" w:lineRule="auto"/>
    </w:pPr>
    <w:rPr>
      <w:color w:val="466966"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E8D8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E8D8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E8D8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E8D89" w:themeColor="accent3"/>
        </w:tcBorders>
        <w:shd w:val="clear" w:color="auto" w:fill="FFFFFF" w:themeFill="background1"/>
      </w:tcPr>
    </w:tblStylePr>
    <w:tblStylePr w:type="band1Vert">
      <w:tblPr/>
      <w:tcPr>
        <w:shd w:val="clear" w:color="auto" w:fill="DEE9E8" w:themeFill="accent3" w:themeFillTint="33"/>
      </w:tcPr>
    </w:tblStylePr>
    <w:tblStylePr w:type="band1Horz">
      <w:tblPr/>
      <w:tcPr>
        <w:shd w:val="clear" w:color="auto" w:fill="DEE9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99"/>
    <w:rsid w:val="00911DE3"/>
    <w:pPr>
      <w:spacing w:line="240" w:lineRule="auto"/>
    </w:pPr>
    <w:rPr>
      <w:color w:val="28535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706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706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706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706B" w:themeColor="accent4"/>
        </w:tcBorders>
        <w:shd w:val="clear" w:color="auto" w:fill="FFFFFF" w:themeFill="background1"/>
      </w:tcPr>
    </w:tblStylePr>
    <w:tblStylePr w:type="band1Vert">
      <w:tblPr/>
      <w:tcPr>
        <w:shd w:val="clear" w:color="auto" w:fill="D0E8E6" w:themeFill="accent4" w:themeFillTint="33"/>
      </w:tcPr>
    </w:tblStylePr>
    <w:tblStylePr w:type="band1Horz">
      <w:tblPr/>
      <w:tcPr>
        <w:shd w:val="clear" w:color="auto" w:fill="D0E8E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99"/>
    <w:rsid w:val="00911DE3"/>
    <w:pPr>
      <w:spacing w:line="240" w:lineRule="auto"/>
    </w:pPr>
    <w:rPr>
      <w:color w:val="20434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5A5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A5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A5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5A56" w:themeColor="accent5"/>
        </w:tcBorders>
        <w:shd w:val="clear" w:color="auto" w:fill="FFFFFF" w:themeFill="background1"/>
      </w:tcPr>
    </w:tblStylePr>
    <w:tblStylePr w:type="band1Vert">
      <w:tblPr/>
      <w:tcPr>
        <w:shd w:val="clear" w:color="auto" w:fill="CBE6E4" w:themeFill="accent5" w:themeFillTint="33"/>
      </w:tcPr>
    </w:tblStylePr>
    <w:tblStylePr w:type="band1Horz">
      <w:tblPr/>
      <w:tcPr>
        <w:shd w:val="clear" w:color="auto" w:fill="CBE6E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99"/>
    <w:rsid w:val="00911DE3"/>
    <w:pPr>
      <w:spacing w:line="240" w:lineRule="auto"/>
    </w:pPr>
    <w:rPr>
      <w:color w:val="3B9A7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EC1A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EC1A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EC1A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EC1A0" w:themeColor="accent6"/>
        </w:tcBorders>
        <w:shd w:val="clear" w:color="auto" w:fill="FFFFFF" w:themeFill="background1"/>
      </w:tcPr>
    </w:tblStylePr>
    <w:tblStylePr w:type="band1Vert">
      <w:tblPr/>
      <w:tcPr>
        <w:shd w:val="clear" w:color="auto" w:fill="DEF2EC" w:themeFill="accent6" w:themeFillTint="33"/>
      </w:tcPr>
    </w:tblStylePr>
    <w:tblStylePr w:type="band1Horz">
      <w:tblPr/>
      <w:tcPr>
        <w:shd w:val="clear" w:color="auto" w:fill="DEF2E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911DE3"/>
    <w:pPr>
      <w:tabs>
        <w:tab w:val="left" w:pos="480"/>
        <w:tab w:val="left" w:pos="960"/>
        <w:tab w:val="left" w:pos="1440"/>
        <w:tab w:val="left" w:pos="1920"/>
        <w:tab w:val="left" w:pos="2400"/>
        <w:tab w:val="left" w:pos="2880"/>
        <w:tab w:val="left" w:pos="3360"/>
        <w:tab w:val="left" w:pos="3840"/>
        <w:tab w:val="left" w:pos="4320"/>
      </w:tabs>
    </w:pPr>
    <w:rPr>
      <w:rFonts w:cs="Arial"/>
      <w:lang w:val="en-GB"/>
    </w:rPr>
  </w:style>
  <w:style w:type="character" w:customStyle="1" w:styleId="MacroTextChar">
    <w:name w:val="Macro Text Char"/>
    <w:basedOn w:val="DefaultParagraphFont"/>
    <w:link w:val="MacroText"/>
    <w:uiPriority w:val="99"/>
    <w:semiHidden/>
    <w:rsid w:val="001261FA"/>
    <w:rPr>
      <w:rFonts w:cs="Arial"/>
      <w:lang w:val="en-GB"/>
    </w:rPr>
  </w:style>
  <w:style w:type="table" w:styleId="MediumGrid1">
    <w:name w:val="Medium Grid 1"/>
    <w:basedOn w:val="TableNormal"/>
    <w:uiPriority w:val="99"/>
    <w:semiHidden/>
    <w:unhideWhenUsed/>
    <w:rsid w:val="00911DE3"/>
    <w:pPr>
      <w:spacing w:line="240" w:lineRule="auto"/>
    </w:pPr>
    <w:tblPr>
      <w:tblStyleRowBandSize w:val="1"/>
      <w:tblStyleColBandSize w:val="1"/>
      <w:tblBorders>
        <w:top w:val="single" w:sz="8" w:space="0" w:color="636363" w:themeColor="text1" w:themeTint="BF"/>
        <w:left w:val="single" w:sz="8" w:space="0" w:color="636363" w:themeColor="text1" w:themeTint="BF"/>
        <w:bottom w:val="single" w:sz="8" w:space="0" w:color="636363" w:themeColor="text1" w:themeTint="BF"/>
        <w:right w:val="single" w:sz="8" w:space="0" w:color="636363" w:themeColor="text1" w:themeTint="BF"/>
        <w:insideH w:val="single" w:sz="8" w:space="0" w:color="636363" w:themeColor="text1" w:themeTint="BF"/>
        <w:insideV w:val="single" w:sz="8" w:space="0" w:color="636363" w:themeColor="text1" w:themeTint="BF"/>
      </w:tblBorders>
    </w:tblPr>
    <w:tcPr>
      <w:shd w:val="clear" w:color="auto" w:fill="CBCBCB" w:themeFill="text1" w:themeFillTint="3F"/>
    </w:tcPr>
    <w:tblStylePr w:type="firstRow">
      <w:rPr>
        <w:b/>
        <w:bCs/>
      </w:rPr>
    </w:tblStylePr>
    <w:tblStylePr w:type="lastRow">
      <w:rPr>
        <w:b/>
        <w:bCs/>
      </w:rPr>
      <w:tblPr/>
      <w:tcPr>
        <w:tcBorders>
          <w:top w:val="single" w:sz="18" w:space="0" w:color="636363" w:themeColor="text1" w:themeTint="BF"/>
        </w:tcBorders>
      </w:tcPr>
    </w:tblStylePr>
    <w:tblStylePr w:type="firstCol">
      <w:rPr>
        <w:b/>
        <w:bCs/>
      </w:rPr>
    </w:tblStylePr>
    <w:tblStylePr w:type="lastCol">
      <w:rPr>
        <w:b/>
        <w:bCs/>
      </w:rPr>
    </w:tblStylePr>
    <w:tblStylePr w:type="band1Vert">
      <w:tblPr/>
      <w:tcPr>
        <w:shd w:val="clear" w:color="auto" w:fill="979797" w:themeFill="text1" w:themeFillTint="7F"/>
      </w:tcPr>
    </w:tblStylePr>
    <w:tblStylePr w:type="band1Horz">
      <w:tblPr/>
      <w:tcPr>
        <w:shd w:val="clear" w:color="auto" w:fill="979797" w:themeFill="text1" w:themeFillTint="7F"/>
      </w:tcPr>
    </w:tblStylePr>
  </w:style>
  <w:style w:type="table" w:styleId="MediumGrid1-Accent1">
    <w:name w:val="Medium Grid 1 Accent 1"/>
    <w:basedOn w:val="TableNormal"/>
    <w:uiPriority w:val="99"/>
    <w:semiHidden/>
    <w:unhideWhenUsed/>
    <w:rsid w:val="00911DE3"/>
    <w:pPr>
      <w:spacing w:line="240" w:lineRule="auto"/>
    </w:pPr>
    <w:tblPr>
      <w:tblStyleRowBandSize w:val="1"/>
      <w:tblStyleColBandSize w:val="1"/>
      <w:tblBorders>
        <w:top w:val="single" w:sz="8" w:space="0" w:color="D2DFDE" w:themeColor="accent1" w:themeTint="BF"/>
        <w:left w:val="single" w:sz="8" w:space="0" w:color="D2DFDE" w:themeColor="accent1" w:themeTint="BF"/>
        <w:bottom w:val="single" w:sz="8" w:space="0" w:color="D2DFDE" w:themeColor="accent1" w:themeTint="BF"/>
        <w:right w:val="single" w:sz="8" w:space="0" w:color="D2DFDE" w:themeColor="accent1" w:themeTint="BF"/>
        <w:insideH w:val="single" w:sz="8" w:space="0" w:color="D2DFDE" w:themeColor="accent1" w:themeTint="BF"/>
        <w:insideV w:val="single" w:sz="8" w:space="0" w:color="D2DFDE" w:themeColor="accent1" w:themeTint="BF"/>
      </w:tblBorders>
    </w:tblPr>
    <w:tcPr>
      <w:shd w:val="clear" w:color="auto" w:fill="F0F4F4" w:themeFill="accent1" w:themeFillTint="3F"/>
    </w:tcPr>
    <w:tblStylePr w:type="firstRow">
      <w:rPr>
        <w:b/>
        <w:bCs/>
      </w:rPr>
    </w:tblStylePr>
    <w:tblStylePr w:type="lastRow">
      <w:rPr>
        <w:b/>
        <w:bCs/>
      </w:rPr>
      <w:tblPr/>
      <w:tcPr>
        <w:tcBorders>
          <w:top w:val="single" w:sz="18" w:space="0" w:color="D2DFDE" w:themeColor="accent1" w:themeTint="BF"/>
        </w:tcBorders>
      </w:tcPr>
    </w:tblStylePr>
    <w:tblStylePr w:type="firstCol">
      <w:rPr>
        <w:b/>
        <w:bCs/>
      </w:rPr>
    </w:tblStylePr>
    <w:tblStylePr w:type="lastCol">
      <w:rPr>
        <w:b/>
        <w:bCs/>
      </w:rPr>
    </w:tblStylePr>
    <w:tblStylePr w:type="band1Vert">
      <w:tblPr/>
      <w:tcPr>
        <w:shd w:val="clear" w:color="auto" w:fill="E1EAE9" w:themeFill="accent1" w:themeFillTint="7F"/>
      </w:tcPr>
    </w:tblStylePr>
    <w:tblStylePr w:type="band1Horz">
      <w:tblPr/>
      <w:tcPr>
        <w:shd w:val="clear" w:color="auto" w:fill="E1EAE9" w:themeFill="accent1" w:themeFillTint="7F"/>
      </w:tcPr>
    </w:tblStylePr>
  </w:style>
  <w:style w:type="table" w:styleId="MediumGrid1-Accent2">
    <w:name w:val="Medium Grid 1 Accent 2"/>
    <w:basedOn w:val="TableNormal"/>
    <w:uiPriority w:val="99"/>
    <w:semiHidden/>
    <w:unhideWhenUsed/>
    <w:rsid w:val="00911DE3"/>
    <w:pPr>
      <w:spacing w:line="240" w:lineRule="auto"/>
    </w:pPr>
    <w:tblPr>
      <w:tblStyleRowBandSize w:val="1"/>
      <w:tblStyleColBandSize w:val="1"/>
      <w:tblBorders>
        <w:top w:val="single" w:sz="8" w:space="0" w:color="A4BEBC" w:themeColor="accent2" w:themeTint="BF"/>
        <w:left w:val="single" w:sz="8" w:space="0" w:color="A4BEBC" w:themeColor="accent2" w:themeTint="BF"/>
        <w:bottom w:val="single" w:sz="8" w:space="0" w:color="A4BEBC" w:themeColor="accent2" w:themeTint="BF"/>
        <w:right w:val="single" w:sz="8" w:space="0" w:color="A4BEBC" w:themeColor="accent2" w:themeTint="BF"/>
        <w:insideH w:val="single" w:sz="8" w:space="0" w:color="A4BEBC" w:themeColor="accent2" w:themeTint="BF"/>
        <w:insideV w:val="single" w:sz="8" w:space="0" w:color="A4BEBC" w:themeColor="accent2" w:themeTint="BF"/>
      </w:tblBorders>
    </w:tblPr>
    <w:tcPr>
      <w:shd w:val="clear" w:color="auto" w:fill="E1E9E8" w:themeFill="accent2" w:themeFillTint="3F"/>
    </w:tcPr>
    <w:tblStylePr w:type="firstRow">
      <w:rPr>
        <w:b/>
        <w:bCs/>
      </w:rPr>
    </w:tblStylePr>
    <w:tblStylePr w:type="lastRow">
      <w:rPr>
        <w:b/>
        <w:bCs/>
      </w:rPr>
      <w:tblPr/>
      <w:tcPr>
        <w:tcBorders>
          <w:top w:val="single" w:sz="18" w:space="0" w:color="A4BEBC" w:themeColor="accent2" w:themeTint="BF"/>
        </w:tcBorders>
      </w:tcPr>
    </w:tblStylePr>
    <w:tblStylePr w:type="firstCol">
      <w:rPr>
        <w:b/>
        <w:bCs/>
      </w:rPr>
    </w:tblStylePr>
    <w:tblStylePr w:type="lastCol">
      <w:rPr>
        <w:b/>
        <w:bCs/>
      </w:rPr>
    </w:tblStylePr>
    <w:tblStylePr w:type="band1Vert">
      <w:tblPr/>
      <w:tcPr>
        <w:shd w:val="clear" w:color="auto" w:fill="C2D4D2" w:themeFill="accent2" w:themeFillTint="7F"/>
      </w:tcPr>
    </w:tblStylePr>
    <w:tblStylePr w:type="band1Horz">
      <w:tblPr/>
      <w:tcPr>
        <w:shd w:val="clear" w:color="auto" w:fill="C2D4D2" w:themeFill="accent2" w:themeFillTint="7F"/>
      </w:tcPr>
    </w:tblStylePr>
  </w:style>
  <w:style w:type="table" w:styleId="MediumGrid1-Accent3">
    <w:name w:val="Medium Grid 1 Accent 3"/>
    <w:basedOn w:val="TableNormal"/>
    <w:uiPriority w:val="99"/>
    <w:semiHidden/>
    <w:unhideWhenUsed/>
    <w:rsid w:val="00911DE3"/>
    <w:pPr>
      <w:spacing w:line="240" w:lineRule="auto"/>
    </w:pPr>
    <w:tblPr>
      <w:tblStyleRowBandSize w:val="1"/>
      <w:tblStyleColBandSize w:val="1"/>
      <w:tblBorders>
        <w:top w:val="single" w:sz="8" w:space="0" w:color="83ACA9" w:themeColor="accent3" w:themeTint="BF"/>
        <w:left w:val="single" w:sz="8" w:space="0" w:color="83ACA9" w:themeColor="accent3" w:themeTint="BF"/>
        <w:bottom w:val="single" w:sz="8" w:space="0" w:color="83ACA9" w:themeColor="accent3" w:themeTint="BF"/>
        <w:right w:val="single" w:sz="8" w:space="0" w:color="83ACA9" w:themeColor="accent3" w:themeTint="BF"/>
        <w:insideH w:val="single" w:sz="8" w:space="0" w:color="83ACA9" w:themeColor="accent3" w:themeTint="BF"/>
        <w:insideV w:val="single" w:sz="8" w:space="0" w:color="83ACA9" w:themeColor="accent3" w:themeTint="BF"/>
      </w:tblBorders>
    </w:tblPr>
    <w:tcPr>
      <w:shd w:val="clear" w:color="auto" w:fill="D6E3E2" w:themeFill="accent3" w:themeFillTint="3F"/>
    </w:tcPr>
    <w:tblStylePr w:type="firstRow">
      <w:rPr>
        <w:b/>
        <w:bCs/>
      </w:rPr>
    </w:tblStylePr>
    <w:tblStylePr w:type="lastRow">
      <w:rPr>
        <w:b/>
        <w:bCs/>
      </w:rPr>
      <w:tblPr/>
      <w:tcPr>
        <w:tcBorders>
          <w:top w:val="single" w:sz="18" w:space="0" w:color="83ACA9" w:themeColor="accent3" w:themeTint="BF"/>
        </w:tcBorders>
      </w:tcPr>
    </w:tblStylePr>
    <w:tblStylePr w:type="firstCol">
      <w:rPr>
        <w:b/>
        <w:bCs/>
      </w:rPr>
    </w:tblStylePr>
    <w:tblStylePr w:type="lastCol">
      <w:rPr>
        <w:b/>
        <w:bCs/>
      </w:rPr>
    </w:tblStylePr>
    <w:tblStylePr w:type="band1Vert">
      <w:tblPr/>
      <w:tcPr>
        <w:shd w:val="clear" w:color="auto" w:fill="ACC8C5" w:themeFill="accent3" w:themeFillTint="7F"/>
      </w:tcPr>
    </w:tblStylePr>
    <w:tblStylePr w:type="band1Horz">
      <w:tblPr/>
      <w:tcPr>
        <w:shd w:val="clear" w:color="auto" w:fill="ACC8C5" w:themeFill="accent3" w:themeFillTint="7F"/>
      </w:tcPr>
    </w:tblStylePr>
  </w:style>
  <w:style w:type="table" w:styleId="MediumGrid1-Accent4">
    <w:name w:val="Medium Grid 1 Accent 4"/>
    <w:basedOn w:val="TableNormal"/>
    <w:uiPriority w:val="99"/>
    <w:semiHidden/>
    <w:unhideWhenUsed/>
    <w:rsid w:val="00911DE3"/>
    <w:pPr>
      <w:spacing w:line="240" w:lineRule="auto"/>
    </w:pPr>
    <w:tblPr>
      <w:tblStyleRowBandSize w:val="1"/>
      <w:tblStyleColBandSize w:val="1"/>
      <w:tblBorders>
        <w:top w:val="single" w:sz="8" w:space="0" w:color="52AAA2" w:themeColor="accent4" w:themeTint="BF"/>
        <w:left w:val="single" w:sz="8" w:space="0" w:color="52AAA2" w:themeColor="accent4" w:themeTint="BF"/>
        <w:bottom w:val="single" w:sz="8" w:space="0" w:color="52AAA2" w:themeColor="accent4" w:themeTint="BF"/>
        <w:right w:val="single" w:sz="8" w:space="0" w:color="52AAA2" w:themeColor="accent4" w:themeTint="BF"/>
        <w:insideH w:val="single" w:sz="8" w:space="0" w:color="52AAA2" w:themeColor="accent4" w:themeTint="BF"/>
        <w:insideV w:val="single" w:sz="8" w:space="0" w:color="52AAA2" w:themeColor="accent4" w:themeTint="BF"/>
      </w:tblBorders>
    </w:tblPr>
    <w:tcPr>
      <w:shd w:val="clear" w:color="auto" w:fill="C5E3E0" w:themeFill="accent4" w:themeFillTint="3F"/>
    </w:tcPr>
    <w:tblStylePr w:type="firstRow">
      <w:rPr>
        <w:b/>
        <w:bCs/>
      </w:rPr>
    </w:tblStylePr>
    <w:tblStylePr w:type="lastRow">
      <w:rPr>
        <w:b/>
        <w:bCs/>
      </w:rPr>
      <w:tblPr/>
      <w:tcPr>
        <w:tcBorders>
          <w:top w:val="single" w:sz="18" w:space="0" w:color="52AAA2" w:themeColor="accent4" w:themeTint="BF"/>
        </w:tcBorders>
      </w:tcPr>
    </w:tblStylePr>
    <w:tblStylePr w:type="firstCol">
      <w:rPr>
        <w:b/>
        <w:bCs/>
      </w:rPr>
    </w:tblStylePr>
    <w:tblStylePr w:type="lastCol">
      <w:rPr>
        <w:b/>
        <w:bCs/>
      </w:rPr>
    </w:tblStylePr>
    <w:tblStylePr w:type="band1Vert">
      <w:tblPr/>
      <w:tcPr>
        <w:shd w:val="clear" w:color="auto" w:fill="8BC7C2" w:themeFill="accent4" w:themeFillTint="7F"/>
      </w:tcPr>
    </w:tblStylePr>
    <w:tblStylePr w:type="band1Horz">
      <w:tblPr/>
      <w:tcPr>
        <w:shd w:val="clear" w:color="auto" w:fill="8BC7C2" w:themeFill="accent4" w:themeFillTint="7F"/>
      </w:tcPr>
    </w:tblStylePr>
  </w:style>
  <w:style w:type="table" w:styleId="MediumGrid1-Accent5">
    <w:name w:val="Medium Grid 1 Accent 5"/>
    <w:basedOn w:val="TableNormal"/>
    <w:uiPriority w:val="99"/>
    <w:semiHidden/>
    <w:unhideWhenUsed/>
    <w:rsid w:val="00911DE3"/>
    <w:pPr>
      <w:spacing w:line="240" w:lineRule="auto"/>
    </w:pPr>
    <w:tblPr>
      <w:tblStyleRowBandSize w:val="1"/>
      <w:tblStyleColBandSize w:val="1"/>
      <w:tblBorders>
        <w:top w:val="single" w:sz="8" w:space="0" w:color="499992" w:themeColor="accent5" w:themeTint="BF"/>
        <w:left w:val="single" w:sz="8" w:space="0" w:color="499992" w:themeColor="accent5" w:themeTint="BF"/>
        <w:bottom w:val="single" w:sz="8" w:space="0" w:color="499992" w:themeColor="accent5" w:themeTint="BF"/>
        <w:right w:val="single" w:sz="8" w:space="0" w:color="499992" w:themeColor="accent5" w:themeTint="BF"/>
        <w:insideH w:val="single" w:sz="8" w:space="0" w:color="499992" w:themeColor="accent5" w:themeTint="BF"/>
        <w:insideV w:val="single" w:sz="8" w:space="0" w:color="499992" w:themeColor="accent5" w:themeTint="BF"/>
      </w:tblBorders>
    </w:tblPr>
    <w:tcPr>
      <w:shd w:val="clear" w:color="auto" w:fill="BFE0DD" w:themeFill="accent5" w:themeFillTint="3F"/>
    </w:tcPr>
    <w:tblStylePr w:type="firstRow">
      <w:rPr>
        <w:b/>
        <w:bCs/>
      </w:rPr>
    </w:tblStylePr>
    <w:tblStylePr w:type="lastRow">
      <w:rPr>
        <w:b/>
        <w:bCs/>
      </w:rPr>
      <w:tblPr/>
      <w:tcPr>
        <w:tcBorders>
          <w:top w:val="single" w:sz="18" w:space="0" w:color="499992" w:themeColor="accent5" w:themeTint="BF"/>
        </w:tcBorders>
      </w:tcPr>
    </w:tblStylePr>
    <w:tblStylePr w:type="firstCol">
      <w:rPr>
        <w:b/>
        <w:bCs/>
      </w:rPr>
    </w:tblStylePr>
    <w:tblStylePr w:type="lastCol">
      <w:rPr>
        <w:b/>
        <w:bCs/>
      </w:rPr>
    </w:tblStylePr>
    <w:tblStylePr w:type="band1Vert">
      <w:tblPr/>
      <w:tcPr>
        <w:shd w:val="clear" w:color="auto" w:fill="7FC2BC" w:themeFill="accent5" w:themeFillTint="7F"/>
      </w:tcPr>
    </w:tblStylePr>
    <w:tblStylePr w:type="band1Horz">
      <w:tblPr/>
      <w:tcPr>
        <w:shd w:val="clear" w:color="auto" w:fill="7FC2BC" w:themeFill="accent5" w:themeFillTint="7F"/>
      </w:tcPr>
    </w:tblStylePr>
  </w:style>
  <w:style w:type="table" w:styleId="MediumGrid1-Accent6">
    <w:name w:val="Medium Grid 1 Accent 6"/>
    <w:basedOn w:val="TableNormal"/>
    <w:uiPriority w:val="99"/>
    <w:semiHidden/>
    <w:unhideWhenUsed/>
    <w:rsid w:val="00911DE3"/>
    <w:pPr>
      <w:spacing w:line="240" w:lineRule="auto"/>
    </w:pPr>
    <w:tblPr>
      <w:tblStyleRowBandSize w:val="1"/>
      <w:tblStyleColBandSize w:val="1"/>
      <w:tblBorders>
        <w:top w:val="single" w:sz="8" w:space="0" w:color="86D0B7" w:themeColor="accent6" w:themeTint="BF"/>
        <w:left w:val="single" w:sz="8" w:space="0" w:color="86D0B7" w:themeColor="accent6" w:themeTint="BF"/>
        <w:bottom w:val="single" w:sz="8" w:space="0" w:color="86D0B7" w:themeColor="accent6" w:themeTint="BF"/>
        <w:right w:val="single" w:sz="8" w:space="0" w:color="86D0B7" w:themeColor="accent6" w:themeTint="BF"/>
        <w:insideH w:val="single" w:sz="8" w:space="0" w:color="86D0B7" w:themeColor="accent6" w:themeTint="BF"/>
        <w:insideV w:val="single" w:sz="8" w:space="0" w:color="86D0B7" w:themeColor="accent6" w:themeTint="BF"/>
      </w:tblBorders>
    </w:tblPr>
    <w:tcPr>
      <w:shd w:val="clear" w:color="auto" w:fill="D7EFE7" w:themeFill="accent6" w:themeFillTint="3F"/>
    </w:tcPr>
    <w:tblStylePr w:type="firstRow">
      <w:rPr>
        <w:b/>
        <w:bCs/>
      </w:rPr>
    </w:tblStylePr>
    <w:tblStylePr w:type="lastRow">
      <w:rPr>
        <w:b/>
        <w:bCs/>
      </w:rPr>
      <w:tblPr/>
      <w:tcPr>
        <w:tcBorders>
          <w:top w:val="single" w:sz="18" w:space="0" w:color="86D0B7" w:themeColor="accent6" w:themeTint="BF"/>
        </w:tcBorders>
      </w:tcPr>
    </w:tblStylePr>
    <w:tblStylePr w:type="firstCol">
      <w:rPr>
        <w:b/>
        <w:bCs/>
      </w:rPr>
    </w:tblStylePr>
    <w:tblStylePr w:type="lastCol">
      <w:rPr>
        <w:b/>
        <w:bCs/>
      </w:rPr>
    </w:tblStylePr>
    <w:tblStylePr w:type="band1Vert">
      <w:tblPr/>
      <w:tcPr>
        <w:shd w:val="clear" w:color="auto" w:fill="AEE0CF" w:themeFill="accent6" w:themeFillTint="7F"/>
      </w:tcPr>
    </w:tblStylePr>
    <w:tblStylePr w:type="band1Horz">
      <w:tblPr/>
      <w:tcPr>
        <w:shd w:val="clear" w:color="auto" w:fill="AEE0CF" w:themeFill="accent6" w:themeFillTint="7F"/>
      </w:tcPr>
    </w:tblStylePr>
  </w:style>
  <w:style w:type="table" w:styleId="MediumGrid2">
    <w:name w:val="Medium Grid 2"/>
    <w:basedOn w:val="TableNormal"/>
    <w:uiPriority w:val="99"/>
    <w:semiHidden/>
    <w:unhideWhenUsed/>
    <w:rsid w:val="00911DE3"/>
    <w:pPr>
      <w:spacing w:line="240" w:lineRule="auto"/>
    </w:pPr>
    <w:rPr>
      <w:rFonts w:eastAsiaTheme="majorEastAsia" w:cs="Arial"/>
      <w:color w:val="303030" w:themeColor="text1"/>
    </w:rPr>
    <w:tblPr>
      <w:tblStyleRowBandSize w:val="1"/>
      <w:tblStyleColBandSize w:val="1"/>
      <w:tblBorders>
        <w:top w:val="single" w:sz="8" w:space="0" w:color="303030" w:themeColor="text1"/>
        <w:left w:val="single" w:sz="8" w:space="0" w:color="303030" w:themeColor="text1"/>
        <w:bottom w:val="single" w:sz="8" w:space="0" w:color="303030" w:themeColor="text1"/>
        <w:right w:val="single" w:sz="8" w:space="0" w:color="303030" w:themeColor="text1"/>
        <w:insideH w:val="single" w:sz="8" w:space="0" w:color="303030" w:themeColor="text1"/>
        <w:insideV w:val="single" w:sz="8" w:space="0" w:color="303030" w:themeColor="text1"/>
      </w:tblBorders>
    </w:tblPr>
    <w:tcPr>
      <w:shd w:val="clear" w:color="auto" w:fill="CBCBCB" w:themeFill="text1" w:themeFillTint="3F"/>
    </w:tcPr>
    <w:tblStylePr w:type="firstRow">
      <w:rPr>
        <w:b/>
        <w:bCs/>
        <w:color w:val="303030" w:themeColor="text1"/>
      </w:rPr>
      <w:tblPr/>
      <w:tcPr>
        <w:shd w:val="clear" w:color="auto" w:fill="EAEAEA" w:themeFill="text1" w:themeFillTint="19"/>
      </w:tcPr>
    </w:tblStylePr>
    <w:tblStylePr w:type="lastRow">
      <w:rPr>
        <w:b/>
        <w:bCs/>
        <w:color w:val="303030" w:themeColor="text1"/>
      </w:rPr>
      <w:tblPr/>
      <w:tcPr>
        <w:tcBorders>
          <w:top w:val="single" w:sz="12" w:space="0" w:color="303030" w:themeColor="text1"/>
          <w:left w:val="nil"/>
          <w:bottom w:val="nil"/>
          <w:right w:val="nil"/>
          <w:insideH w:val="nil"/>
          <w:insideV w:val="nil"/>
        </w:tcBorders>
        <w:shd w:val="clear" w:color="auto" w:fill="FFFFFF" w:themeFill="background1"/>
      </w:tcPr>
    </w:tblStylePr>
    <w:tblStylePr w:type="firstCol">
      <w:rPr>
        <w:b/>
        <w:bCs/>
        <w:color w:val="30303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030" w:themeColor="text1"/>
      </w:rPr>
      <w:tblPr/>
      <w:tcPr>
        <w:tcBorders>
          <w:top w:val="nil"/>
          <w:left w:val="nil"/>
          <w:bottom w:val="nil"/>
          <w:right w:val="nil"/>
          <w:insideH w:val="nil"/>
          <w:insideV w:val="nil"/>
        </w:tcBorders>
        <w:shd w:val="clear" w:color="auto" w:fill="D5D5D5" w:themeFill="text1" w:themeFillTint="33"/>
      </w:tcPr>
    </w:tblStylePr>
    <w:tblStylePr w:type="band1Vert">
      <w:tblPr/>
      <w:tcPr>
        <w:shd w:val="clear" w:color="auto" w:fill="979797" w:themeFill="text1" w:themeFillTint="7F"/>
      </w:tcPr>
    </w:tblStylePr>
    <w:tblStylePr w:type="band1Horz">
      <w:tblPr/>
      <w:tcPr>
        <w:tcBorders>
          <w:insideH w:val="single" w:sz="6" w:space="0" w:color="303030" w:themeColor="text1"/>
          <w:insideV w:val="single" w:sz="6" w:space="0" w:color="303030" w:themeColor="text1"/>
        </w:tcBorders>
        <w:shd w:val="clear" w:color="auto" w:fill="979797"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unhideWhenUsed/>
    <w:rsid w:val="00911DE3"/>
    <w:pPr>
      <w:spacing w:line="240" w:lineRule="auto"/>
    </w:pPr>
    <w:rPr>
      <w:rFonts w:eastAsiaTheme="majorEastAsia" w:cs="Arial"/>
      <w:color w:val="303030" w:themeColor="text1"/>
    </w:rPr>
    <w:tblPr>
      <w:tblStyleRowBandSize w:val="1"/>
      <w:tblStyleColBandSize w:val="1"/>
      <w:tblBorders>
        <w:top w:val="single" w:sz="8" w:space="0" w:color="C4D5D3" w:themeColor="accent1"/>
        <w:left w:val="single" w:sz="8" w:space="0" w:color="C4D5D3" w:themeColor="accent1"/>
        <w:bottom w:val="single" w:sz="8" w:space="0" w:color="C4D5D3" w:themeColor="accent1"/>
        <w:right w:val="single" w:sz="8" w:space="0" w:color="C4D5D3" w:themeColor="accent1"/>
        <w:insideH w:val="single" w:sz="8" w:space="0" w:color="C4D5D3" w:themeColor="accent1"/>
        <w:insideV w:val="single" w:sz="8" w:space="0" w:color="C4D5D3" w:themeColor="accent1"/>
      </w:tblBorders>
    </w:tblPr>
    <w:tcPr>
      <w:shd w:val="clear" w:color="auto" w:fill="F0F4F4" w:themeFill="accent1" w:themeFillTint="3F"/>
    </w:tcPr>
    <w:tblStylePr w:type="firstRow">
      <w:rPr>
        <w:b/>
        <w:bCs/>
        <w:color w:val="303030" w:themeColor="text1"/>
      </w:rPr>
      <w:tblPr/>
      <w:tcPr>
        <w:shd w:val="clear" w:color="auto" w:fill="F9FBFA" w:themeFill="accent1" w:themeFillTint="19"/>
      </w:tcPr>
    </w:tblStylePr>
    <w:tblStylePr w:type="lastRow">
      <w:rPr>
        <w:b/>
        <w:bCs/>
        <w:color w:val="303030" w:themeColor="text1"/>
      </w:rPr>
      <w:tblPr/>
      <w:tcPr>
        <w:tcBorders>
          <w:top w:val="single" w:sz="12" w:space="0" w:color="303030" w:themeColor="text1"/>
          <w:left w:val="nil"/>
          <w:bottom w:val="nil"/>
          <w:right w:val="nil"/>
          <w:insideH w:val="nil"/>
          <w:insideV w:val="nil"/>
        </w:tcBorders>
        <w:shd w:val="clear" w:color="auto" w:fill="FFFFFF" w:themeFill="background1"/>
      </w:tcPr>
    </w:tblStylePr>
    <w:tblStylePr w:type="firstCol">
      <w:rPr>
        <w:b/>
        <w:bCs/>
        <w:color w:val="30303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030" w:themeColor="text1"/>
      </w:rPr>
      <w:tblPr/>
      <w:tcPr>
        <w:tcBorders>
          <w:top w:val="nil"/>
          <w:left w:val="nil"/>
          <w:bottom w:val="nil"/>
          <w:right w:val="nil"/>
          <w:insideH w:val="nil"/>
          <w:insideV w:val="nil"/>
        </w:tcBorders>
        <w:shd w:val="clear" w:color="auto" w:fill="F3F6F6" w:themeFill="accent1" w:themeFillTint="33"/>
      </w:tcPr>
    </w:tblStylePr>
    <w:tblStylePr w:type="band1Vert">
      <w:tblPr/>
      <w:tcPr>
        <w:shd w:val="clear" w:color="auto" w:fill="E1EAE9" w:themeFill="accent1" w:themeFillTint="7F"/>
      </w:tcPr>
    </w:tblStylePr>
    <w:tblStylePr w:type="band1Horz">
      <w:tblPr/>
      <w:tcPr>
        <w:tcBorders>
          <w:insideH w:val="single" w:sz="6" w:space="0" w:color="C4D5D3" w:themeColor="accent1"/>
          <w:insideV w:val="single" w:sz="6" w:space="0" w:color="C4D5D3" w:themeColor="accent1"/>
        </w:tcBorders>
        <w:shd w:val="clear" w:color="auto" w:fill="E1EAE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unhideWhenUsed/>
    <w:rsid w:val="00911DE3"/>
    <w:pPr>
      <w:spacing w:line="240" w:lineRule="auto"/>
    </w:pPr>
    <w:rPr>
      <w:rFonts w:eastAsiaTheme="majorEastAsia" w:cs="Arial"/>
      <w:color w:val="303030" w:themeColor="text1"/>
    </w:rPr>
    <w:tblPr>
      <w:tblStyleRowBandSize w:val="1"/>
      <w:tblStyleColBandSize w:val="1"/>
      <w:tblBorders>
        <w:top w:val="single" w:sz="8" w:space="0" w:color="86A9A6" w:themeColor="accent2"/>
        <w:left w:val="single" w:sz="8" w:space="0" w:color="86A9A6" w:themeColor="accent2"/>
        <w:bottom w:val="single" w:sz="8" w:space="0" w:color="86A9A6" w:themeColor="accent2"/>
        <w:right w:val="single" w:sz="8" w:space="0" w:color="86A9A6" w:themeColor="accent2"/>
        <w:insideH w:val="single" w:sz="8" w:space="0" w:color="86A9A6" w:themeColor="accent2"/>
        <w:insideV w:val="single" w:sz="8" w:space="0" w:color="86A9A6" w:themeColor="accent2"/>
      </w:tblBorders>
    </w:tblPr>
    <w:tcPr>
      <w:shd w:val="clear" w:color="auto" w:fill="E1E9E8" w:themeFill="accent2" w:themeFillTint="3F"/>
    </w:tcPr>
    <w:tblStylePr w:type="firstRow">
      <w:rPr>
        <w:b/>
        <w:bCs/>
        <w:color w:val="303030" w:themeColor="text1"/>
      </w:rPr>
      <w:tblPr/>
      <w:tcPr>
        <w:shd w:val="clear" w:color="auto" w:fill="F3F6F6" w:themeFill="accent2" w:themeFillTint="19"/>
      </w:tcPr>
    </w:tblStylePr>
    <w:tblStylePr w:type="lastRow">
      <w:rPr>
        <w:b/>
        <w:bCs/>
        <w:color w:val="303030" w:themeColor="text1"/>
      </w:rPr>
      <w:tblPr/>
      <w:tcPr>
        <w:tcBorders>
          <w:top w:val="single" w:sz="12" w:space="0" w:color="303030" w:themeColor="text1"/>
          <w:left w:val="nil"/>
          <w:bottom w:val="nil"/>
          <w:right w:val="nil"/>
          <w:insideH w:val="nil"/>
          <w:insideV w:val="nil"/>
        </w:tcBorders>
        <w:shd w:val="clear" w:color="auto" w:fill="FFFFFF" w:themeFill="background1"/>
      </w:tcPr>
    </w:tblStylePr>
    <w:tblStylePr w:type="firstCol">
      <w:rPr>
        <w:b/>
        <w:bCs/>
        <w:color w:val="30303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030" w:themeColor="text1"/>
      </w:rPr>
      <w:tblPr/>
      <w:tcPr>
        <w:tcBorders>
          <w:top w:val="nil"/>
          <w:left w:val="nil"/>
          <w:bottom w:val="nil"/>
          <w:right w:val="nil"/>
          <w:insideH w:val="nil"/>
          <w:insideV w:val="nil"/>
        </w:tcBorders>
        <w:shd w:val="clear" w:color="auto" w:fill="E6EDED" w:themeFill="accent2" w:themeFillTint="33"/>
      </w:tcPr>
    </w:tblStylePr>
    <w:tblStylePr w:type="band1Vert">
      <w:tblPr/>
      <w:tcPr>
        <w:shd w:val="clear" w:color="auto" w:fill="C2D4D2" w:themeFill="accent2" w:themeFillTint="7F"/>
      </w:tcPr>
    </w:tblStylePr>
    <w:tblStylePr w:type="band1Horz">
      <w:tblPr/>
      <w:tcPr>
        <w:tcBorders>
          <w:insideH w:val="single" w:sz="6" w:space="0" w:color="86A9A6" w:themeColor="accent2"/>
          <w:insideV w:val="single" w:sz="6" w:space="0" w:color="86A9A6" w:themeColor="accent2"/>
        </w:tcBorders>
        <w:shd w:val="clear" w:color="auto" w:fill="C2D4D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unhideWhenUsed/>
    <w:rsid w:val="00911DE3"/>
    <w:pPr>
      <w:spacing w:line="240" w:lineRule="auto"/>
    </w:pPr>
    <w:rPr>
      <w:rFonts w:eastAsiaTheme="majorEastAsia" w:cs="Arial"/>
      <w:color w:val="303030" w:themeColor="text1"/>
    </w:rPr>
    <w:tblPr>
      <w:tblStyleRowBandSize w:val="1"/>
      <w:tblStyleColBandSize w:val="1"/>
      <w:tblBorders>
        <w:top w:val="single" w:sz="8" w:space="0" w:color="5E8D89" w:themeColor="accent3"/>
        <w:left w:val="single" w:sz="8" w:space="0" w:color="5E8D89" w:themeColor="accent3"/>
        <w:bottom w:val="single" w:sz="8" w:space="0" w:color="5E8D89" w:themeColor="accent3"/>
        <w:right w:val="single" w:sz="8" w:space="0" w:color="5E8D89" w:themeColor="accent3"/>
        <w:insideH w:val="single" w:sz="8" w:space="0" w:color="5E8D89" w:themeColor="accent3"/>
        <w:insideV w:val="single" w:sz="8" w:space="0" w:color="5E8D89" w:themeColor="accent3"/>
      </w:tblBorders>
    </w:tblPr>
    <w:tcPr>
      <w:shd w:val="clear" w:color="auto" w:fill="D6E3E2" w:themeFill="accent3" w:themeFillTint="3F"/>
    </w:tcPr>
    <w:tblStylePr w:type="firstRow">
      <w:rPr>
        <w:b/>
        <w:bCs/>
        <w:color w:val="303030" w:themeColor="text1"/>
      </w:rPr>
      <w:tblPr/>
      <w:tcPr>
        <w:shd w:val="clear" w:color="auto" w:fill="EEF4F3" w:themeFill="accent3" w:themeFillTint="19"/>
      </w:tcPr>
    </w:tblStylePr>
    <w:tblStylePr w:type="lastRow">
      <w:rPr>
        <w:b/>
        <w:bCs/>
        <w:color w:val="303030" w:themeColor="text1"/>
      </w:rPr>
      <w:tblPr/>
      <w:tcPr>
        <w:tcBorders>
          <w:top w:val="single" w:sz="12" w:space="0" w:color="303030" w:themeColor="text1"/>
          <w:left w:val="nil"/>
          <w:bottom w:val="nil"/>
          <w:right w:val="nil"/>
          <w:insideH w:val="nil"/>
          <w:insideV w:val="nil"/>
        </w:tcBorders>
        <w:shd w:val="clear" w:color="auto" w:fill="FFFFFF" w:themeFill="background1"/>
      </w:tcPr>
    </w:tblStylePr>
    <w:tblStylePr w:type="firstCol">
      <w:rPr>
        <w:b/>
        <w:bCs/>
        <w:color w:val="30303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030" w:themeColor="text1"/>
      </w:rPr>
      <w:tblPr/>
      <w:tcPr>
        <w:tcBorders>
          <w:top w:val="nil"/>
          <w:left w:val="nil"/>
          <w:bottom w:val="nil"/>
          <w:right w:val="nil"/>
          <w:insideH w:val="nil"/>
          <w:insideV w:val="nil"/>
        </w:tcBorders>
        <w:shd w:val="clear" w:color="auto" w:fill="DEE9E8" w:themeFill="accent3" w:themeFillTint="33"/>
      </w:tcPr>
    </w:tblStylePr>
    <w:tblStylePr w:type="band1Vert">
      <w:tblPr/>
      <w:tcPr>
        <w:shd w:val="clear" w:color="auto" w:fill="ACC8C5" w:themeFill="accent3" w:themeFillTint="7F"/>
      </w:tcPr>
    </w:tblStylePr>
    <w:tblStylePr w:type="band1Horz">
      <w:tblPr/>
      <w:tcPr>
        <w:tcBorders>
          <w:insideH w:val="single" w:sz="6" w:space="0" w:color="5E8D89" w:themeColor="accent3"/>
          <w:insideV w:val="single" w:sz="6" w:space="0" w:color="5E8D89" w:themeColor="accent3"/>
        </w:tcBorders>
        <w:shd w:val="clear" w:color="auto" w:fill="ACC8C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unhideWhenUsed/>
    <w:rsid w:val="00911DE3"/>
    <w:pPr>
      <w:spacing w:line="240" w:lineRule="auto"/>
    </w:pPr>
    <w:rPr>
      <w:rFonts w:eastAsiaTheme="majorEastAsia" w:cs="Arial"/>
      <w:color w:val="303030" w:themeColor="text1"/>
    </w:rPr>
    <w:tblPr>
      <w:tblStyleRowBandSize w:val="1"/>
      <w:tblStyleColBandSize w:val="1"/>
      <w:tblBorders>
        <w:top w:val="single" w:sz="8" w:space="0" w:color="36706B" w:themeColor="accent4"/>
        <w:left w:val="single" w:sz="8" w:space="0" w:color="36706B" w:themeColor="accent4"/>
        <w:bottom w:val="single" w:sz="8" w:space="0" w:color="36706B" w:themeColor="accent4"/>
        <w:right w:val="single" w:sz="8" w:space="0" w:color="36706B" w:themeColor="accent4"/>
        <w:insideH w:val="single" w:sz="8" w:space="0" w:color="36706B" w:themeColor="accent4"/>
        <w:insideV w:val="single" w:sz="8" w:space="0" w:color="36706B" w:themeColor="accent4"/>
      </w:tblBorders>
    </w:tblPr>
    <w:tcPr>
      <w:shd w:val="clear" w:color="auto" w:fill="C5E3E0" w:themeFill="accent4" w:themeFillTint="3F"/>
    </w:tcPr>
    <w:tblStylePr w:type="firstRow">
      <w:rPr>
        <w:b/>
        <w:bCs/>
        <w:color w:val="303030" w:themeColor="text1"/>
      </w:rPr>
      <w:tblPr/>
      <w:tcPr>
        <w:shd w:val="clear" w:color="auto" w:fill="E8F4F2" w:themeFill="accent4" w:themeFillTint="19"/>
      </w:tcPr>
    </w:tblStylePr>
    <w:tblStylePr w:type="lastRow">
      <w:rPr>
        <w:b/>
        <w:bCs/>
        <w:color w:val="303030" w:themeColor="text1"/>
      </w:rPr>
      <w:tblPr/>
      <w:tcPr>
        <w:tcBorders>
          <w:top w:val="single" w:sz="12" w:space="0" w:color="303030" w:themeColor="text1"/>
          <w:left w:val="nil"/>
          <w:bottom w:val="nil"/>
          <w:right w:val="nil"/>
          <w:insideH w:val="nil"/>
          <w:insideV w:val="nil"/>
        </w:tcBorders>
        <w:shd w:val="clear" w:color="auto" w:fill="FFFFFF" w:themeFill="background1"/>
      </w:tcPr>
    </w:tblStylePr>
    <w:tblStylePr w:type="firstCol">
      <w:rPr>
        <w:b/>
        <w:bCs/>
        <w:color w:val="30303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030" w:themeColor="text1"/>
      </w:rPr>
      <w:tblPr/>
      <w:tcPr>
        <w:tcBorders>
          <w:top w:val="nil"/>
          <w:left w:val="nil"/>
          <w:bottom w:val="nil"/>
          <w:right w:val="nil"/>
          <w:insideH w:val="nil"/>
          <w:insideV w:val="nil"/>
        </w:tcBorders>
        <w:shd w:val="clear" w:color="auto" w:fill="D0E8E6" w:themeFill="accent4" w:themeFillTint="33"/>
      </w:tcPr>
    </w:tblStylePr>
    <w:tblStylePr w:type="band1Vert">
      <w:tblPr/>
      <w:tcPr>
        <w:shd w:val="clear" w:color="auto" w:fill="8BC7C2" w:themeFill="accent4" w:themeFillTint="7F"/>
      </w:tcPr>
    </w:tblStylePr>
    <w:tblStylePr w:type="band1Horz">
      <w:tblPr/>
      <w:tcPr>
        <w:tcBorders>
          <w:insideH w:val="single" w:sz="6" w:space="0" w:color="36706B" w:themeColor="accent4"/>
          <w:insideV w:val="single" w:sz="6" w:space="0" w:color="36706B" w:themeColor="accent4"/>
        </w:tcBorders>
        <w:shd w:val="clear" w:color="auto" w:fill="8BC7C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unhideWhenUsed/>
    <w:rsid w:val="00911DE3"/>
    <w:pPr>
      <w:spacing w:line="240" w:lineRule="auto"/>
    </w:pPr>
    <w:rPr>
      <w:rFonts w:eastAsiaTheme="majorEastAsia" w:cs="Arial"/>
      <w:color w:val="303030" w:themeColor="text1"/>
    </w:rPr>
    <w:tblPr>
      <w:tblStyleRowBandSize w:val="1"/>
      <w:tblStyleColBandSize w:val="1"/>
      <w:tblBorders>
        <w:top w:val="single" w:sz="8" w:space="0" w:color="2B5A56" w:themeColor="accent5"/>
        <w:left w:val="single" w:sz="8" w:space="0" w:color="2B5A56" w:themeColor="accent5"/>
        <w:bottom w:val="single" w:sz="8" w:space="0" w:color="2B5A56" w:themeColor="accent5"/>
        <w:right w:val="single" w:sz="8" w:space="0" w:color="2B5A56" w:themeColor="accent5"/>
        <w:insideH w:val="single" w:sz="8" w:space="0" w:color="2B5A56" w:themeColor="accent5"/>
        <w:insideV w:val="single" w:sz="8" w:space="0" w:color="2B5A56" w:themeColor="accent5"/>
      </w:tblBorders>
    </w:tblPr>
    <w:tcPr>
      <w:shd w:val="clear" w:color="auto" w:fill="BFE0DD" w:themeFill="accent5" w:themeFillTint="3F"/>
    </w:tcPr>
    <w:tblStylePr w:type="firstRow">
      <w:rPr>
        <w:b/>
        <w:bCs/>
        <w:color w:val="303030" w:themeColor="text1"/>
      </w:rPr>
      <w:tblPr/>
      <w:tcPr>
        <w:shd w:val="clear" w:color="auto" w:fill="E5F3F2" w:themeFill="accent5" w:themeFillTint="19"/>
      </w:tcPr>
    </w:tblStylePr>
    <w:tblStylePr w:type="lastRow">
      <w:rPr>
        <w:b/>
        <w:bCs/>
        <w:color w:val="303030" w:themeColor="text1"/>
      </w:rPr>
      <w:tblPr/>
      <w:tcPr>
        <w:tcBorders>
          <w:top w:val="single" w:sz="12" w:space="0" w:color="303030" w:themeColor="text1"/>
          <w:left w:val="nil"/>
          <w:bottom w:val="nil"/>
          <w:right w:val="nil"/>
          <w:insideH w:val="nil"/>
          <w:insideV w:val="nil"/>
        </w:tcBorders>
        <w:shd w:val="clear" w:color="auto" w:fill="FFFFFF" w:themeFill="background1"/>
      </w:tcPr>
    </w:tblStylePr>
    <w:tblStylePr w:type="firstCol">
      <w:rPr>
        <w:b/>
        <w:bCs/>
        <w:color w:val="30303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030" w:themeColor="text1"/>
      </w:rPr>
      <w:tblPr/>
      <w:tcPr>
        <w:tcBorders>
          <w:top w:val="nil"/>
          <w:left w:val="nil"/>
          <w:bottom w:val="nil"/>
          <w:right w:val="nil"/>
          <w:insideH w:val="nil"/>
          <w:insideV w:val="nil"/>
        </w:tcBorders>
        <w:shd w:val="clear" w:color="auto" w:fill="CBE6E4" w:themeFill="accent5" w:themeFillTint="33"/>
      </w:tcPr>
    </w:tblStylePr>
    <w:tblStylePr w:type="band1Vert">
      <w:tblPr/>
      <w:tcPr>
        <w:shd w:val="clear" w:color="auto" w:fill="7FC2BC" w:themeFill="accent5" w:themeFillTint="7F"/>
      </w:tcPr>
    </w:tblStylePr>
    <w:tblStylePr w:type="band1Horz">
      <w:tblPr/>
      <w:tcPr>
        <w:tcBorders>
          <w:insideH w:val="single" w:sz="6" w:space="0" w:color="2B5A56" w:themeColor="accent5"/>
          <w:insideV w:val="single" w:sz="6" w:space="0" w:color="2B5A56" w:themeColor="accent5"/>
        </w:tcBorders>
        <w:shd w:val="clear" w:color="auto" w:fill="7FC2BC"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unhideWhenUsed/>
    <w:rsid w:val="00911DE3"/>
    <w:pPr>
      <w:spacing w:line="240" w:lineRule="auto"/>
    </w:pPr>
    <w:rPr>
      <w:rFonts w:eastAsiaTheme="majorEastAsia" w:cs="Arial"/>
      <w:color w:val="303030" w:themeColor="text1"/>
    </w:rPr>
    <w:tblPr>
      <w:tblStyleRowBandSize w:val="1"/>
      <w:tblStyleColBandSize w:val="1"/>
      <w:tblBorders>
        <w:top w:val="single" w:sz="8" w:space="0" w:color="5EC1A0" w:themeColor="accent6"/>
        <w:left w:val="single" w:sz="8" w:space="0" w:color="5EC1A0" w:themeColor="accent6"/>
        <w:bottom w:val="single" w:sz="8" w:space="0" w:color="5EC1A0" w:themeColor="accent6"/>
        <w:right w:val="single" w:sz="8" w:space="0" w:color="5EC1A0" w:themeColor="accent6"/>
        <w:insideH w:val="single" w:sz="8" w:space="0" w:color="5EC1A0" w:themeColor="accent6"/>
        <w:insideV w:val="single" w:sz="8" w:space="0" w:color="5EC1A0" w:themeColor="accent6"/>
      </w:tblBorders>
    </w:tblPr>
    <w:tcPr>
      <w:shd w:val="clear" w:color="auto" w:fill="D7EFE7" w:themeFill="accent6" w:themeFillTint="3F"/>
    </w:tcPr>
    <w:tblStylePr w:type="firstRow">
      <w:rPr>
        <w:b/>
        <w:bCs/>
        <w:color w:val="303030" w:themeColor="text1"/>
      </w:rPr>
      <w:tblPr/>
      <w:tcPr>
        <w:shd w:val="clear" w:color="auto" w:fill="EFF9F5" w:themeFill="accent6" w:themeFillTint="19"/>
      </w:tcPr>
    </w:tblStylePr>
    <w:tblStylePr w:type="lastRow">
      <w:rPr>
        <w:b/>
        <w:bCs/>
        <w:color w:val="303030" w:themeColor="text1"/>
      </w:rPr>
      <w:tblPr/>
      <w:tcPr>
        <w:tcBorders>
          <w:top w:val="single" w:sz="12" w:space="0" w:color="303030" w:themeColor="text1"/>
          <w:left w:val="nil"/>
          <w:bottom w:val="nil"/>
          <w:right w:val="nil"/>
          <w:insideH w:val="nil"/>
          <w:insideV w:val="nil"/>
        </w:tcBorders>
        <w:shd w:val="clear" w:color="auto" w:fill="FFFFFF" w:themeFill="background1"/>
      </w:tcPr>
    </w:tblStylePr>
    <w:tblStylePr w:type="firstCol">
      <w:rPr>
        <w:b/>
        <w:bCs/>
        <w:color w:val="30303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03030" w:themeColor="text1"/>
      </w:rPr>
      <w:tblPr/>
      <w:tcPr>
        <w:tcBorders>
          <w:top w:val="nil"/>
          <w:left w:val="nil"/>
          <w:bottom w:val="nil"/>
          <w:right w:val="nil"/>
          <w:insideH w:val="nil"/>
          <w:insideV w:val="nil"/>
        </w:tcBorders>
        <w:shd w:val="clear" w:color="auto" w:fill="DEF2EC" w:themeFill="accent6" w:themeFillTint="33"/>
      </w:tcPr>
    </w:tblStylePr>
    <w:tblStylePr w:type="band1Vert">
      <w:tblPr/>
      <w:tcPr>
        <w:shd w:val="clear" w:color="auto" w:fill="AEE0CF" w:themeFill="accent6" w:themeFillTint="7F"/>
      </w:tcPr>
    </w:tblStylePr>
    <w:tblStylePr w:type="band1Horz">
      <w:tblPr/>
      <w:tcPr>
        <w:tcBorders>
          <w:insideH w:val="single" w:sz="6" w:space="0" w:color="5EC1A0" w:themeColor="accent6"/>
          <w:insideV w:val="single" w:sz="6" w:space="0" w:color="5EC1A0" w:themeColor="accent6"/>
        </w:tcBorders>
        <w:shd w:val="clear" w:color="auto" w:fill="AEE0C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unhideWhenUsed/>
    <w:rsid w:val="00911DE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BCB"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0303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0303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0303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0303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9797"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9797" w:themeFill="text1" w:themeFillTint="7F"/>
      </w:tcPr>
    </w:tblStylePr>
  </w:style>
  <w:style w:type="table" w:styleId="MediumGrid3-Accent1">
    <w:name w:val="Medium Grid 3 Accent 1"/>
    <w:basedOn w:val="TableNormal"/>
    <w:uiPriority w:val="99"/>
    <w:semiHidden/>
    <w:unhideWhenUsed/>
    <w:rsid w:val="00911DE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4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D5D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D5D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D5D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D5D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EAE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EAE9" w:themeFill="accent1" w:themeFillTint="7F"/>
      </w:tcPr>
    </w:tblStylePr>
  </w:style>
  <w:style w:type="table" w:styleId="MediumGrid3-Accent2">
    <w:name w:val="Medium Grid 3 Accent 2"/>
    <w:basedOn w:val="TableNormal"/>
    <w:uiPriority w:val="99"/>
    <w:semiHidden/>
    <w:unhideWhenUsed/>
    <w:rsid w:val="00911DE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9E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A9A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A9A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A9A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A9A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4D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4D2" w:themeFill="accent2" w:themeFillTint="7F"/>
      </w:tcPr>
    </w:tblStylePr>
  </w:style>
  <w:style w:type="table" w:styleId="MediumGrid3-Accent3">
    <w:name w:val="Medium Grid 3 Accent 3"/>
    <w:basedOn w:val="TableNormal"/>
    <w:uiPriority w:val="99"/>
    <w:semiHidden/>
    <w:unhideWhenUsed/>
    <w:rsid w:val="00911DE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3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E8D8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E8D8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E8D8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E8D8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C8C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C8C5" w:themeFill="accent3" w:themeFillTint="7F"/>
      </w:tcPr>
    </w:tblStylePr>
  </w:style>
  <w:style w:type="table" w:styleId="MediumGrid3-Accent4">
    <w:name w:val="Medium Grid 3 Accent 4"/>
    <w:basedOn w:val="TableNormal"/>
    <w:uiPriority w:val="99"/>
    <w:semiHidden/>
    <w:unhideWhenUsed/>
    <w:rsid w:val="00911DE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3E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706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706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706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706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BC7C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BC7C2" w:themeFill="accent4" w:themeFillTint="7F"/>
      </w:tcPr>
    </w:tblStylePr>
  </w:style>
  <w:style w:type="table" w:styleId="MediumGrid3-Accent5">
    <w:name w:val="Medium Grid 3 Accent 5"/>
    <w:basedOn w:val="TableNormal"/>
    <w:uiPriority w:val="99"/>
    <w:semiHidden/>
    <w:unhideWhenUsed/>
    <w:rsid w:val="00911DE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FE0D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A5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A5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A5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A5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FC2B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FC2BC" w:themeFill="accent5" w:themeFillTint="7F"/>
      </w:tcPr>
    </w:tblStylePr>
  </w:style>
  <w:style w:type="table" w:styleId="MediumGrid3-Accent6">
    <w:name w:val="Medium Grid 3 Accent 6"/>
    <w:basedOn w:val="TableNormal"/>
    <w:uiPriority w:val="99"/>
    <w:semiHidden/>
    <w:unhideWhenUsed/>
    <w:rsid w:val="00911DE3"/>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F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EC1A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EC1A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EC1A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EC1A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E0C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E0CF" w:themeFill="accent6" w:themeFillTint="7F"/>
      </w:tcPr>
    </w:tblStylePr>
  </w:style>
  <w:style w:type="table" w:styleId="MediumList1">
    <w:name w:val="Medium List 1"/>
    <w:basedOn w:val="TableNormal"/>
    <w:uiPriority w:val="99"/>
    <w:semiHidden/>
    <w:unhideWhenUsed/>
    <w:rsid w:val="00911DE3"/>
    <w:pPr>
      <w:spacing w:line="240" w:lineRule="auto"/>
    </w:pPr>
    <w:rPr>
      <w:color w:val="303030" w:themeColor="text1"/>
    </w:rPr>
    <w:tblPr>
      <w:tblStyleRowBandSize w:val="1"/>
      <w:tblStyleColBandSize w:val="1"/>
      <w:tblBorders>
        <w:top w:val="single" w:sz="8" w:space="0" w:color="303030" w:themeColor="text1"/>
        <w:bottom w:val="single" w:sz="8" w:space="0" w:color="303030" w:themeColor="text1"/>
      </w:tblBorders>
    </w:tblPr>
    <w:tblStylePr w:type="firstRow">
      <w:rPr>
        <w:rFonts w:asciiTheme="majorHAnsi" w:eastAsiaTheme="majorEastAsia" w:hAnsiTheme="majorHAnsi" w:cstheme="majorBidi"/>
      </w:rPr>
      <w:tblPr/>
      <w:tcPr>
        <w:tcBorders>
          <w:top w:val="nil"/>
          <w:bottom w:val="single" w:sz="8" w:space="0" w:color="303030" w:themeColor="text1"/>
        </w:tcBorders>
      </w:tcPr>
    </w:tblStylePr>
    <w:tblStylePr w:type="lastRow">
      <w:rPr>
        <w:b/>
        <w:bCs/>
        <w:color w:val="1D4542" w:themeColor="text2"/>
      </w:rPr>
      <w:tblPr/>
      <w:tcPr>
        <w:tcBorders>
          <w:top w:val="single" w:sz="8" w:space="0" w:color="303030" w:themeColor="text1"/>
          <w:bottom w:val="single" w:sz="8" w:space="0" w:color="303030" w:themeColor="text1"/>
        </w:tcBorders>
      </w:tcPr>
    </w:tblStylePr>
    <w:tblStylePr w:type="firstCol">
      <w:rPr>
        <w:b/>
        <w:bCs/>
      </w:rPr>
    </w:tblStylePr>
    <w:tblStylePr w:type="lastCol">
      <w:rPr>
        <w:b/>
        <w:bCs/>
      </w:rPr>
      <w:tblPr/>
      <w:tcPr>
        <w:tcBorders>
          <w:top w:val="single" w:sz="8" w:space="0" w:color="303030" w:themeColor="text1"/>
          <w:bottom w:val="single" w:sz="8" w:space="0" w:color="303030" w:themeColor="text1"/>
        </w:tcBorders>
      </w:tcPr>
    </w:tblStylePr>
    <w:tblStylePr w:type="band1Vert">
      <w:tblPr/>
      <w:tcPr>
        <w:shd w:val="clear" w:color="auto" w:fill="CBCBCB" w:themeFill="text1" w:themeFillTint="3F"/>
      </w:tcPr>
    </w:tblStylePr>
    <w:tblStylePr w:type="band1Horz">
      <w:tblPr/>
      <w:tcPr>
        <w:shd w:val="clear" w:color="auto" w:fill="CBCBCB" w:themeFill="text1" w:themeFillTint="3F"/>
      </w:tcPr>
    </w:tblStylePr>
  </w:style>
  <w:style w:type="table" w:styleId="MediumList1-Accent1">
    <w:name w:val="Medium List 1 Accent 1"/>
    <w:basedOn w:val="TableNormal"/>
    <w:uiPriority w:val="99"/>
    <w:semiHidden/>
    <w:unhideWhenUsed/>
    <w:rsid w:val="00911DE3"/>
    <w:pPr>
      <w:spacing w:line="240" w:lineRule="auto"/>
    </w:pPr>
    <w:rPr>
      <w:color w:val="303030" w:themeColor="text1"/>
    </w:rPr>
    <w:tblPr>
      <w:tblStyleRowBandSize w:val="1"/>
      <w:tblStyleColBandSize w:val="1"/>
      <w:tblBorders>
        <w:top w:val="single" w:sz="8" w:space="0" w:color="C4D5D3" w:themeColor="accent1"/>
        <w:bottom w:val="single" w:sz="8" w:space="0" w:color="C4D5D3" w:themeColor="accent1"/>
      </w:tblBorders>
    </w:tblPr>
    <w:tblStylePr w:type="firstRow">
      <w:rPr>
        <w:rFonts w:asciiTheme="majorHAnsi" w:eastAsiaTheme="majorEastAsia" w:hAnsiTheme="majorHAnsi" w:cstheme="majorBidi"/>
      </w:rPr>
      <w:tblPr/>
      <w:tcPr>
        <w:tcBorders>
          <w:top w:val="nil"/>
          <w:bottom w:val="single" w:sz="8" w:space="0" w:color="C4D5D3" w:themeColor="accent1"/>
        </w:tcBorders>
      </w:tcPr>
    </w:tblStylePr>
    <w:tblStylePr w:type="lastRow">
      <w:rPr>
        <w:b/>
        <w:bCs/>
        <w:color w:val="1D4542" w:themeColor="text2"/>
      </w:rPr>
      <w:tblPr/>
      <w:tcPr>
        <w:tcBorders>
          <w:top w:val="single" w:sz="8" w:space="0" w:color="C4D5D3" w:themeColor="accent1"/>
          <w:bottom w:val="single" w:sz="8" w:space="0" w:color="C4D5D3" w:themeColor="accent1"/>
        </w:tcBorders>
      </w:tcPr>
    </w:tblStylePr>
    <w:tblStylePr w:type="firstCol">
      <w:rPr>
        <w:b/>
        <w:bCs/>
      </w:rPr>
    </w:tblStylePr>
    <w:tblStylePr w:type="lastCol">
      <w:rPr>
        <w:b/>
        <w:bCs/>
      </w:rPr>
      <w:tblPr/>
      <w:tcPr>
        <w:tcBorders>
          <w:top w:val="single" w:sz="8" w:space="0" w:color="C4D5D3" w:themeColor="accent1"/>
          <w:bottom w:val="single" w:sz="8" w:space="0" w:color="C4D5D3" w:themeColor="accent1"/>
        </w:tcBorders>
      </w:tcPr>
    </w:tblStylePr>
    <w:tblStylePr w:type="band1Vert">
      <w:tblPr/>
      <w:tcPr>
        <w:shd w:val="clear" w:color="auto" w:fill="F0F4F4" w:themeFill="accent1" w:themeFillTint="3F"/>
      </w:tcPr>
    </w:tblStylePr>
    <w:tblStylePr w:type="band1Horz">
      <w:tblPr/>
      <w:tcPr>
        <w:shd w:val="clear" w:color="auto" w:fill="F0F4F4" w:themeFill="accent1" w:themeFillTint="3F"/>
      </w:tcPr>
    </w:tblStylePr>
  </w:style>
  <w:style w:type="table" w:styleId="MediumList1-Accent2">
    <w:name w:val="Medium List 1 Accent 2"/>
    <w:basedOn w:val="TableNormal"/>
    <w:uiPriority w:val="99"/>
    <w:semiHidden/>
    <w:unhideWhenUsed/>
    <w:rsid w:val="00911DE3"/>
    <w:pPr>
      <w:spacing w:line="240" w:lineRule="auto"/>
    </w:pPr>
    <w:rPr>
      <w:color w:val="303030" w:themeColor="text1"/>
    </w:rPr>
    <w:tblPr>
      <w:tblStyleRowBandSize w:val="1"/>
      <w:tblStyleColBandSize w:val="1"/>
      <w:tblBorders>
        <w:top w:val="single" w:sz="8" w:space="0" w:color="86A9A6" w:themeColor="accent2"/>
        <w:bottom w:val="single" w:sz="8" w:space="0" w:color="86A9A6" w:themeColor="accent2"/>
      </w:tblBorders>
    </w:tblPr>
    <w:tblStylePr w:type="firstRow">
      <w:rPr>
        <w:rFonts w:asciiTheme="majorHAnsi" w:eastAsiaTheme="majorEastAsia" w:hAnsiTheme="majorHAnsi" w:cstheme="majorBidi"/>
      </w:rPr>
      <w:tblPr/>
      <w:tcPr>
        <w:tcBorders>
          <w:top w:val="nil"/>
          <w:bottom w:val="single" w:sz="8" w:space="0" w:color="86A9A6" w:themeColor="accent2"/>
        </w:tcBorders>
      </w:tcPr>
    </w:tblStylePr>
    <w:tblStylePr w:type="lastRow">
      <w:rPr>
        <w:b/>
        <w:bCs/>
        <w:color w:val="1D4542" w:themeColor="text2"/>
      </w:rPr>
      <w:tblPr/>
      <w:tcPr>
        <w:tcBorders>
          <w:top w:val="single" w:sz="8" w:space="0" w:color="86A9A6" w:themeColor="accent2"/>
          <w:bottom w:val="single" w:sz="8" w:space="0" w:color="86A9A6" w:themeColor="accent2"/>
        </w:tcBorders>
      </w:tcPr>
    </w:tblStylePr>
    <w:tblStylePr w:type="firstCol">
      <w:rPr>
        <w:b/>
        <w:bCs/>
      </w:rPr>
    </w:tblStylePr>
    <w:tblStylePr w:type="lastCol">
      <w:rPr>
        <w:b/>
        <w:bCs/>
      </w:rPr>
      <w:tblPr/>
      <w:tcPr>
        <w:tcBorders>
          <w:top w:val="single" w:sz="8" w:space="0" w:color="86A9A6" w:themeColor="accent2"/>
          <w:bottom w:val="single" w:sz="8" w:space="0" w:color="86A9A6" w:themeColor="accent2"/>
        </w:tcBorders>
      </w:tcPr>
    </w:tblStylePr>
    <w:tblStylePr w:type="band1Vert">
      <w:tblPr/>
      <w:tcPr>
        <w:shd w:val="clear" w:color="auto" w:fill="E1E9E8" w:themeFill="accent2" w:themeFillTint="3F"/>
      </w:tcPr>
    </w:tblStylePr>
    <w:tblStylePr w:type="band1Horz">
      <w:tblPr/>
      <w:tcPr>
        <w:shd w:val="clear" w:color="auto" w:fill="E1E9E8" w:themeFill="accent2" w:themeFillTint="3F"/>
      </w:tcPr>
    </w:tblStylePr>
  </w:style>
  <w:style w:type="table" w:styleId="MediumList1-Accent3">
    <w:name w:val="Medium List 1 Accent 3"/>
    <w:basedOn w:val="TableNormal"/>
    <w:uiPriority w:val="99"/>
    <w:semiHidden/>
    <w:unhideWhenUsed/>
    <w:rsid w:val="00911DE3"/>
    <w:pPr>
      <w:spacing w:line="240" w:lineRule="auto"/>
    </w:pPr>
    <w:rPr>
      <w:color w:val="303030" w:themeColor="text1"/>
    </w:rPr>
    <w:tblPr>
      <w:tblStyleRowBandSize w:val="1"/>
      <w:tblStyleColBandSize w:val="1"/>
      <w:tblBorders>
        <w:top w:val="single" w:sz="8" w:space="0" w:color="5E8D89" w:themeColor="accent3"/>
        <w:bottom w:val="single" w:sz="8" w:space="0" w:color="5E8D89" w:themeColor="accent3"/>
      </w:tblBorders>
    </w:tblPr>
    <w:tblStylePr w:type="firstRow">
      <w:rPr>
        <w:rFonts w:asciiTheme="majorHAnsi" w:eastAsiaTheme="majorEastAsia" w:hAnsiTheme="majorHAnsi" w:cstheme="majorBidi"/>
      </w:rPr>
      <w:tblPr/>
      <w:tcPr>
        <w:tcBorders>
          <w:top w:val="nil"/>
          <w:bottom w:val="single" w:sz="8" w:space="0" w:color="5E8D89" w:themeColor="accent3"/>
        </w:tcBorders>
      </w:tcPr>
    </w:tblStylePr>
    <w:tblStylePr w:type="lastRow">
      <w:rPr>
        <w:b/>
        <w:bCs/>
        <w:color w:val="1D4542" w:themeColor="text2"/>
      </w:rPr>
      <w:tblPr/>
      <w:tcPr>
        <w:tcBorders>
          <w:top w:val="single" w:sz="8" w:space="0" w:color="5E8D89" w:themeColor="accent3"/>
          <w:bottom w:val="single" w:sz="8" w:space="0" w:color="5E8D89" w:themeColor="accent3"/>
        </w:tcBorders>
      </w:tcPr>
    </w:tblStylePr>
    <w:tblStylePr w:type="firstCol">
      <w:rPr>
        <w:b/>
        <w:bCs/>
      </w:rPr>
    </w:tblStylePr>
    <w:tblStylePr w:type="lastCol">
      <w:rPr>
        <w:b/>
        <w:bCs/>
      </w:rPr>
      <w:tblPr/>
      <w:tcPr>
        <w:tcBorders>
          <w:top w:val="single" w:sz="8" w:space="0" w:color="5E8D89" w:themeColor="accent3"/>
          <w:bottom w:val="single" w:sz="8" w:space="0" w:color="5E8D89" w:themeColor="accent3"/>
        </w:tcBorders>
      </w:tcPr>
    </w:tblStylePr>
    <w:tblStylePr w:type="band1Vert">
      <w:tblPr/>
      <w:tcPr>
        <w:shd w:val="clear" w:color="auto" w:fill="D6E3E2" w:themeFill="accent3" w:themeFillTint="3F"/>
      </w:tcPr>
    </w:tblStylePr>
    <w:tblStylePr w:type="band1Horz">
      <w:tblPr/>
      <w:tcPr>
        <w:shd w:val="clear" w:color="auto" w:fill="D6E3E2" w:themeFill="accent3" w:themeFillTint="3F"/>
      </w:tcPr>
    </w:tblStylePr>
  </w:style>
  <w:style w:type="table" w:styleId="MediumList1-Accent4">
    <w:name w:val="Medium List 1 Accent 4"/>
    <w:basedOn w:val="TableNormal"/>
    <w:uiPriority w:val="99"/>
    <w:semiHidden/>
    <w:unhideWhenUsed/>
    <w:rsid w:val="00911DE3"/>
    <w:pPr>
      <w:spacing w:line="240" w:lineRule="auto"/>
    </w:pPr>
    <w:rPr>
      <w:color w:val="303030" w:themeColor="text1"/>
    </w:rPr>
    <w:tblPr>
      <w:tblStyleRowBandSize w:val="1"/>
      <w:tblStyleColBandSize w:val="1"/>
      <w:tblBorders>
        <w:top w:val="single" w:sz="8" w:space="0" w:color="36706B" w:themeColor="accent4"/>
        <w:bottom w:val="single" w:sz="8" w:space="0" w:color="36706B" w:themeColor="accent4"/>
      </w:tblBorders>
    </w:tblPr>
    <w:tblStylePr w:type="firstRow">
      <w:rPr>
        <w:rFonts w:asciiTheme="majorHAnsi" w:eastAsiaTheme="majorEastAsia" w:hAnsiTheme="majorHAnsi" w:cstheme="majorBidi"/>
      </w:rPr>
      <w:tblPr/>
      <w:tcPr>
        <w:tcBorders>
          <w:top w:val="nil"/>
          <w:bottom w:val="single" w:sz="8" w:space="0" w:color="36706B" w:themeColor="accent4"/>
        </w:tcBorders>
      </w:tcPr>
    </w:tblStylePr>
    <w:tblStylePr w:type="lastRow">
      <w:rPr>
        <w:b/>
        <w:bCs/>
        <w:color w:val="1D4542" w:themeColor="text2"/>
      </w:rPr>
      <w:tblPr/>
      <w:tcPr>
        <w:tcBorders>
          <w:top w:val="single" w:sz="8" w:space="0" w:color="36706B" w:themeColor="accent4"/>
          <w:bottom w:val="single" w:sz="8" w:space="0" w:color="36706B" w:themeColor="accent4"/>
        </w:tcBorders>
      </w:tcPr>
    </w:tblStylePr>
    <w:tblStylePr w:type="firstCol">
      <w:rPr>
        <w:b/>
        <w:bCs/>
      </w:rPr>
    </w:tblStylePr>
    <w:tblStylePr w:type="lastCol">
      <w:rPr>
        <w:b/>
        <w:bCs/>
      </w:rPr>
      <w:tblPr/>
      <w:tcPr>
        <w:tcBorders>
          <w:top w:val="single" w:sz="8" w:space="0" w:color="36706B" w:themeColor="accent4"/>
          <w:bottom w:val="single" w:sz="8" w:space="0" w:color="36706B" w:themeColor="accent4"/>
        </w:tcBorders>
      </w:tcPr>
    </w:tblStylePr>
    <w:tblStylePr w:type="band1Vert">
      <w:tblPr/>
      <w:tcPr>
        <w:shd w:val="clear" w:color="auto" w:fill="C5E3E0" w:themeFill="accent4" w:themeFillTint="3F"/>
      </w:tcPr>
    </w:tblStylePr>
    <w:tblStylePr w:type="band1Horz">
      <w:tblPr/>
      <w:tcPr>
        <w:shd w:val="clear" w:color="auto" w:fill="C5E3E0" w:themeFill="accent4" w:themeFillTint="3F"/>
      </w:tcPr>
    </w:tblStylePr>
  </w:style>
  <w:style w:type="table" w:styleId="MediumList1-Accent5">
    <w:name w:val="Medium List 1 Accent 5"/>
    <w:basedOn w:val="TableNormal"/>
    <w:uiPriority w:val="99"/>
    <w:semiHidden/>
    <w:unhideWhenUsed/>
    <w:rsid w:val="00911DE3"/>
    <w:pPr>
      <w:spacing w:line="240" w:lineRule="auto"/>
    </w:pPr>
    <w:rPr>
      <w:color w:val="303030" w:themeColor="text1"/>
    </w:rPr>
    <w:tblPr>
      <w:tblStyleRowBandSize w:val="1"/>
      <w:tblStyleColBandSize w:val="1"/>
      <w:tblBorders>
        <w:top w:val="single" w:sz="8" w:space="0" w:color="2B5A56" w:themeColor="accent5"/>
        <w:bottom w:val="single" w:sz="8" w:space="0" w:color="2B5A56" w:themeColor="accent5"/>
      </w:tblBorders>
    </w:tblPr>
    <w:tblStylePr w:type="firstRow">
      <w:rPr>
        <w:rFonts w:asciiTheme="majorHAnsi" w:eastAsiaTheme="majorEastAsia" w:hAnsiTheme="majorHAnsi" w:cstheme="majorBidi"/>
      </w:rPr>
      <w:tblPr/>
      <w:tcPr>
        <w:tcBorders>
          <w:top w:val="nil"/>
          <w:bottom w:val="single" w:sz="8" w:space="0" w:color="2B5A56" w:themeColor="accent5"/>
        </w:tcBorders>
      </w:tcPr>
    </w:tblStylePr>
    <w:tblStylePr w:type="lastRow">
      <w:rPr>
        <w:b/>
        <w:bCs/>
        <w:color w:val="1D4542" w:themeColor="text2"/>
      </w:rPr>
      <w:tblPr/>
      <w:tcPr>
        <w:tcBorders>
          <w:top w:val="single" w:sz="8" w:space="0" w:color="2B5A56" w:themeColor="accent5"/>
          <w:bottom w:val="single" w:sz="8" w:space="0" w:color="2B5A56" w:themeColor="accent5"/>
        </w:tcBorders>
      </w:tcPr>
    </w:tblStylePr>
    <w:tblStylePr w:type="firstCol">
      <w:rPr>
        <w:b/>
        <w:bCs/>
      </w:rPr>
    </w:tblStylePr>
    <w:tblStylePr w:type="lastCol">
      <w:rPr>
        <w:b/>
        <w:bCs/>
      </w:rPr>
      <w:tblPr/>
      <w:tcPr>
        <w:tcBorders>
          <w:top w:val="single" w:sz="8" w:space="0" w:color="2B5A56" w:themeColor="accent5"/>
          <w:bottom w:val="single" w:sz="8" w:space="0" w:color="2B5A56" w:themeColor="accent5"/>
        </w:tcBorders>
      </w:tcPr>
    </w:tblStylePr>
    <w:tblStylePr w:type="band1Vert">
      <w:tblPr/>
      <w:tcPr>
        <w:shd w:val="clear" w:color="auto" w:fill="BFE0DD" w:themeFill="accent5" w:themeFillTint="3F"/>
      </w:tcPr>
    </w:tblStylePr>
    <w:tblStylePr w:type="band1Horz">
      <w:tblPr/>
      <w:tcPr>
        <w:shd w:val="clear" w:color="auto" w:fill="BFE0DD" w:themeFill="accent5" w:themeFillTint="3F"/>
      </w:tcPr>
    </w:tblStylePr>
  </w:style>
  <w:style w:type="table" w:styleId="MediumList1-Accent6">
    <w:name w:val="Medium List 1 Accent 6"/>
    <w:basedOn w:val="TableNormal"/>
    <w:uiPriority w:val="99"/>
    <w:semiHidden/>
    <w:unhideWhenUsed/>
    <w:rsid w:val="00911DE3"/>
    <w:pPr>
      <w:spacing w:line="240" w:lineRule="auto"/>
    </w:pPr>
    <w:rPr>
      <w:color w:val="303030" w:themeColor="text1"/>
    </w:rPr>
    <w:tblPr>
      <w:tblStyleRowBandSize w:val="1"/>
      <w:tblStyleColBandSize w:val="1"/>
      <w:tblBorders>
        <w:top w:val="single" w:sz="8" w:space="0" w:color="5EC1A0" w:themeColor="accent6"/>
        <w:bottom w:val="single" w:sz="8" w:space="0" w:color="5EC1A0" w:themeColor="accent6"/>
      </w:tblBorders>
    </w:tblPr>
    <w:tblStylePr w:type="firstRow">
      <w:rPr>
        <w:rFonts w:asciiTheme="majorHAnsi" w:eastAsiaTheme="majorEastAsia" w:hAnsiTheme="majorHAnsi" w:cstheme="majorBidi"/>
      </w:rPr>
      <w:tblPr/>
      <w:tcPr>
        <w:tcBorders>
          <w:top w:val="nil"/>
          <w:bottom w:val="single" w:sz="8" w:space="0" w:color="5EC1A0" w:themeColor="accent6"/>
        </w:tcBorders>
      </w:tcPr>
    </w:tblStylePr>
    <w:tblStylePr w:type="lastRow">
      <w:rPr>
        <w:b/>
        <w:bCs/>
        <w:color w:val="1D4542" w:themeColor="text2"/>
      </w:rPr>
      <w:tblPr/>
      <w:tcPr>
        <w:tcBorders>
          <w:top w:val="single" w:sz="8" w:space="0" w:color="5EC1A0" w:themeColor="accent6"/>
          <w:bottom w:val="single" w:sz="8" w:space="0" w:color="5EC1A0" w:themeColor="accent6"/>
        </w:tcBorders>
      </w:tcPr>
    </w:tblStylePr>
    <w:tblStylePr w:type="firstCol">
      <w:rPr>
        <w:b/>
        <w:bCs/>
      </w:rPr>
    </w:tblStylePr>
    <w:tblStylePr w:type="lastCol">
      <w:rPr>
        <w:b/>
        <w:bCs/>
      </w:rPr>
      <w:tblPr/>
      <w:tcPr>
        <w:tcBorders>
          <w:top w:val="single" w:sz="8" w:space="0" w:color="5EC1A0" w:themeColor="accent6"/>
          <w:bottom w:val="single" w:sz="8" w:space="0" w:color="5EC1A0" w:themeColor="accent6"/>
        </w:tcBorders>
      </w:tcPr>
    </w:tblStylePr>
    <w:tblStylePr w:type="band1Vert">
      <w:tblPr/>
      <w:tcPr>
        <w:shd w:val="clear" w:color="auto" w:fill="D7EFE7" w:themeFill="accent6" w:themeFillTint="3F"/>
      </w:tcPr>
    </w:tblStylePr>
    <w:tblStylePr w:type="band1Horz">
      <w:tblPr/>
      <w:tcPr>
        <w:shd w:val="clear" w:color="auto" w:fill="D7EFE7" w:themeFill="accent6" w:themeFillTint="3F"/>
      </w:tcPr>
    </w:tblStylePr>
  </w:style>
  <w:style w:type="table" w:styleId="MediumList2">
    <w:name w:val="Medium List 2"/>
    <w:basedOn w:val="TableNormal"/>
    <w:uiPriority w:val="99"/>
    <w:semiHidden/>
    <w:unhideWhenUsed/>
    <w:rsid w:val="00911DE3"/>
    <w:pPr>
      <w:spacing w:line="240" w:lineRule="auto"/>
    </w:pPr>
    <w:rPr>
      <w:rFonts w:eastAsiaTheme="majorEastAsia" w:cs="Arial"/>
      <w:color w:val="303030" w:themeColor="text1"/>
    </w:rPr>
    <w:tblPr>
      <w:tblStyleRowBandSize w:val="1"/>
      <w:tblStyleColBandSize w:val="1"/>
      <w:tblBorders>
        <w:top w:val="single" w:sz="8" w:space="0" w:color="303030" w:themeColor="text1"/>
        <w:left w:val="single" w:sz="8" w:space="0" w:color="303030" w:themeColor="text1"/>
        <w:bottom w:val="single" w:sz="8" w:space="0" w:color="303030" w:themeColor="text1"/>
        <w:right w:val="single" w:sz="8" w:space="0" w:color="303030" w:themeColor="text1"/>
      </w:tblBorders>
    </w:tblPr>
    <w:tblStylePr w:type="firstRow">
      <w:rPr>
        <w:sz w:val="24"/>
        <w:szCs w:val="24"/>
      </w:rPr>
      <w:tblPr/>
      <w:tcPr>
        <w:tcBorders>
          <w:top w:val="nil"/>
          <w:left w:val="nil"/>
          <w:bottom w:val="single" w:sz="24" w:space="0" w:color="303030" w:themeColor="text1"/>
          <w:right w:val="nil"/>
          <w:insideH w:val="nil"/>
          <w:insideV w:val="nil"/>
        </w:tcBorders>
        <w:shd w:val="clear" w:color="auto" w:fill="FFFFFF" w:themeFill="background1"/>
      </w:tcPr>
    </w:tblStylePr>
    <w:tblStylePr w:type="lastRow">
      <w:tblPr/>
      <w:tcPr>
        <w:tcBorders>
          <w:top w:val="single" w:sz="8" w:space="0" w:color="30303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03030" w:themeColor="text1"/>
          <w:insideH w:val="nil"/>
          <w:insideV w:val="nil"/>
        </w:tcBorders>
        <w:shd w:val="clear" w:color="auto" w:fill="FFFFFF" w:themeFill="background1"/>
      </w:tcPr>
    </w:tblStylePr>
    <w:tblStylePr w:type="lastCol">
      <w:tblPr/>
      <w:tcPr>
        <w:tcBorders>
          <w:top w:val="nil"/>
          <w:left w:val="single" w:sz="8" w:space="0" w:color="30303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BCB" w:themeFill="text1" w:themeFillTint="3F"/>
      </w:tcPr>
    </w:tblStylePr>
    <w:tblStylePr w:type="band1Horz">
      <w:tblPr/>
      <w:tcPr>
        <w:tcBorders>
          <w:top w:val="nil"/>
          <w:bottom w:val="nil"/>
          <w:insideH w:val="nil"/>
          <w:insideV w:val="nil"/>
        </w:tcBorders>
        <w:shd w:val="clear" w:color="auto" w:fill="CBCBCB"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unhideWhenUsed/>
    <w:rsid w:val="00911DE3"/>
    <w:pPr>
      <w:spacing w:line="240" w:lineRule="auto"/>
    </w:pPr>
    <w:rPr>
      <w:rFonts w:eastAsiaTheme="majorEastAsia" w:cs="Arial"/>
      <w:color w:val="303030" w:themeColor="text1"/>
    </w:rPr>
    <w:tblPr>
      <w:tblStyleRowBandSize w:val="1"/>
      <w:tblStyleColBandSize w:val="1"/>
      <w:tblBorders>
        <w:top w:val="single" w:sz="8" w:space="0" w:color="C4D5D3" w:themeColor="accent1"/>
        <w:left w:val="single" w:sz="8" w:space="0" w:color="C4D5D3" w:themeColor="accent1"/>
        <w:bottom w:val="single" w:sz="8" w:space="0" w:color="C4D5D3" w:themeColor="accent1"/>
        <w:right w:val="single" w:sz="8" w:space="0" w:color="C4D5D3" w:themeColor="accent1"/>
      </w:tblBorders>
    </w:tblPr>
    <w:tblStylePr w:type="firstRow">
      <w:rPr>
        <w:sz w:val="24"/>
        <w:szCs w:val="24"/>
      </w:rPr>
      <w:tblPr/>
      <w:tcPr>
        <w:tcBorders>
          <w:top w:val="nil"/>
          <w:left w:val="nil"/>
          <w:bottom w:val="single" w:sz="24" w:space="0" w:color="C4D5D3" w:themeColor="accent1"/>
          <w:right w:val="nil"/>
          <w:insideH w:val="nil"/>
          <w:insideV w:val="nil"/>
        </w:tcBorders>
        <w:shd w:val="clear" w:color="auto" w:fill="FFFFFF" w:themeFill="background1"/>
      </w:tcPr>
    </w:tblStylePr>
    <w:tblStylePr w:type="lastRow">
      <w:tblPr/>
      <w:tcPr>
        <w:tcBorders>
          <w:top w:val="single" w:sz="8" w:space="0" w:color="C4D5D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4D5D3" w:themeColor="accent1"/>
          <w:insideH w:val="nil"/>
          <w:insideV w:val="nil"/>
        </w:tcBorders>
        <w:shd w:val="clear" w:color="auto" w:fill="FFFFFF" w:themeFill="background1"/>
      </w:tcPr>
    </w:tblStylePr>
    <w:tblStylePr w:type="lastCol">
      <w:tblPr/>
      <w:tcPr>
        <w:tcBorders>
          <w:top w:val="nil"/>
          <w:left w:val="single" w:sz="8" w:space="0" w:color="C4D5D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4F4" w:themeFill="accent1" w:themeFillTint="3F"/>
      </w:tcPr>
    </w:tblStylePr>
    <w:tblStylePr w:type="band1Horz">
      <w:tblPr/>
      <w:tcPr>
        <w:tcBorders>
          <w:top w:val="nil"/>
          <w:bottom w:val="nil"/>
          <w:insideH w:val="nil"/>
          <w:insideV w:val="nil"/>
        </w:tcBorders>
        <w:shd w:val="clear" w:color="auto" w:fill="F0F4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unhideWhenUsed/>
    <w:rsid w:val="00911DE3"/>
    <w:pPr>
      <w:spacing w:line="240" w:lineRule="auto"/>
    </w:pPr>
    <w:rPr>
      <w:rFonts w:eastAsiaTheme="majorEastAsia" w:cs="Arial"/>
      <w:color w:val="303030" w:themeColor="text1"/>
    </w:rPr>
    <w:tblPr>
      <w:tblStyleRowBandSize w:val="1"/>
      <w:tblStyleColBandSize w:val="1"/>
      <w:tblBorders>
        <w:top w:val="single" w:sz="8" w:space="0" w:color="86A9A6" w:themeColor="accent2"/>
        <w:left w:val="single" w:sz="8" w:space="0" w:color="86A9A6" w:themeColor="accent2"/>
        <w:bottom w:val="single" w:sz="8" w:space="0" w:color="86A9A6" w:themeColor="accent2"/>
        <w:right w:val="single" w:sz="8" w:space="0" w:color="86A9A6" w:themeColor="accent2"/>
      </w:tblBorders>
    </w:tblPr>
    <w:tblStylePr w:type="firstRow">
      <w:rPr>
        <w:sz w:val="24"/>
        <w:szCs w:val="24"/>
      </w:rPr>
      <w:tblPr/>
      <w:tcPr>
        <w:tcBorders>
          <w:top w:val="nil"/>
          <w:left w:val="nil"/>
          <w:bottom w:val="single" w:sz="24" w:space="0" w:color="86A9A6" w:themeColor="accent2"/>
          <w:right w:val="nil"/>
          <w:insideH w:val="nil"/>
          <w:insideV w:val="nil"/>
        </w:tcBorders>
        <w:shd w:val="clear" w:color="auto" w:fill="FFFFFF" w:themeFill="background1"/>
      </w:tcPr>
    </w:tblStylePr>
    <w:tblStylePr w:type="lastRow">
      <w:tblPr/>
      <w:tcPr>
        <w:tcBorders>
          <w:top w:val="single" w:sz="8" w:space="0" w:color="86A9A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A9A6" w:themeColor="accent2"/>
          <w:insideH w:val="nil"/>
          <w:insideV w:val="nil"/>
        </w:tcBorders>
        <w:shd w:val="clear" w:color="auto" w:fill="FFFFFF" w:themeFill="background1"/>
      </w:tcPr>
    </w:tblStylePr>
    <w:tblStylePr w:type="lastCol">
      <w:tblPr/>
      <w:tcPr>
        <w:tcBorders>
          <w:top w:val="nil"/>
          <w:left w:val="single" w:sz="8" w:space="0" w:color="86A9A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9E8" w:themeFill="accent2" w:themeFillTint="3F"/>
      </w:tcPr>
    </w:tblStylePr>
    <w:tblStylePr w:type="band1Horz">
      <w:tblPr/>
      <w:tcPr>
        <w:tcBorders>
          <w:top w:val="nil"/>
          <w:bottom w:val="nil"/>
          <w:insideH w:val="nil"/>
          <w:insideV w:val="nil"/>
        </w:tcBorders>
        <w:shd w:val="clear" w:color="auto" w:fill="E1E9E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unhideWhenUsed/>
    <w:rsid w:val="00911DE3"/>
    <w:pPr>
      <w:spacing w:line="240" w:lineRule="auto"/>
    </w:pPr>
    <w:rPr>
      <w:rFonts w:eastAsiaTheme="majorEastAsia" w:cs="Arial"/>
      <w:color w:val="303030" w:themeColor="text1"/>
    </w:rPr>
    <w:tblPr>
      <w:tblStyleRowBandSize w:val="1"/>
      <w:tblStyleColBandSize w:val="1"/>
      <w:tblBorders>
        <w:top w:val="single" w:sz="8" w:space="0" w:color="5E8D89" w:themeColor="accent3"/>
        <w:left w:val="single" w:sz="8" w:space="0" w:color="5E8D89" w:themeColor="accent3"/>
        <w:bottom w:val="single" w:sz="8" w:space="0" w:color="5E8D89" w:themeColor="accent3"/>
        <w:right w:val="single" w:sz="8" w:space="0" w:color="5E8D89" w:themeColor="accent3"/>
      </w:tblBorders>
    </w:tblPr>
    <w:tblStylePr w:type="firstRow">
      <w:rPr>
        <w:sz w:val="24"/>
        <w:szCs w:val="24"/>
      </w:rPr>
      <w:tblPr/>
      <w:tcPr>
        <w:tcBorders>
          <w:top w:val="nil"/>
          <w:left w:val="nil"/>
          <w:bottom w:val="single" w:sz="24" w:space="0" w:color="5E8D89" w:themeColor="accent3"/>
          <w:right w:val="nil"/>
          <w:insideH w:val="nil"/>
          <w:insideV w:val="nil"/>
        </w:tcBorders>
        <w:shd w:val="clear" w:color="auto" w:fill="FFFFFF" w:themeFill="background1"/>
      </w:tcPr>
    </w:tblStylePr>
    <w:tblStylePr w:type="lastRow">
      <w:tblPr/>
      <w:tcPr>
        <w:tcBorders>
          <w:top w:val="single" w:sz="8" w:space="0" w:color="5E8D8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E8D89" w:themeColor="accent3"/>
          <w:insideH w:val="nil"/>
          <w:insideV w:val="nil"/>
        </w:tcBorders>
        <w:shd w:val="clear" w:color="auto" w:fill="FFFFFF" w:themeFill="background1"/>
      </w:tcPr>
    </w:tblStylePr>
    <w:tblStylePr w:type="lastCol">
      <w:tblPr/>
      <w:tcPr>
        <w:tcBorders>
          <w:top w:val="nil"/>
          <w:left w:val="single" w:sz="8" w:space="0" w:color="5E8D8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3E2" w:themeFill="accent3" w:themeFillTint="3F"/>
      </w:tcPr>
    </w:tblStylePr>
    <w:tblStylePr w:type="band1Horz">
      <w:tblPr/>
      <w:tcPr>
        <w:tcBorders>
          <w:top w:val="nil"/>
          <w:bottom w:val="nil"/>
          <w:insideH w:val="nil"/>
          <w:insideV w:val="nil"/>
        </w:tcBorders>
        <w:shd w:val="clear" w:color="auto" w:fill="D6E3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unhideWhenUsed/>
    <w:rsid w:val="00911DE3"/>
    <w:pPr>
      <w:spacing w:line="240" w:lineRule="auto"/>
    </w:pPr>
    <w:rPr>
      <w:rFonts w:eastAsiaTheme="majorEastAsia" w:cs="Arial"/>
      <w:color w:val="303030" w:themeColor="text1"/>
    </w:rPr>
    <w:tblPr>
      <w:tblStyleRowBandSize w:val="1"/>
      <w:tblStyleColBandSize w:val="1"/>
      <w:tblBorders>
        <w:top w:val="single" w:sz="8" w:space="0" w:color="36706B" w:themeColor="accent4"/>
        <w:left w:val="single" w:sz="8" w:space="0" w:color="36706B" w:themeColor="accent4"/>
        <w:bottom w:val="single" w:sz="8" w:space="0" w:color="36706B" w:themeColor="accent4"/>
        <w:right w:val="single" w:sz="8" w:space="0" w:color="36706B" w:themeColor="accent4"/>
      </w:tblBorders>
    </w:tblPr>
    <w:tblStylePr w:type="firstRow">
      <w:rPr>
        <w:sz w:val="24"/>
        <w:szCs w:val="24"/>
      </w:rPr>
      <w:tblPr/>
      <w:tcPr>
        <w:tcBorders>
          <w:top w:val="nil"/>
          <w:left w:val="nil"/>
          <w:bottom w:val="single" w:sz="24" w:space="0" w:color="36706B" w:themeColor="accent4"/>
          <w:right w:val="nil"/>
          <w:insideH w:val="nil"/>
          <w:insideV w:val="nil"/>
        </w:tcBorders>
        <w:shd w:val="clear" w:color="auto" w:fill="FFFFFF" w:themeFill="background1"/>
      </w:tcPr>
    </w:tblStylePr>
    <w:tblStylePr w:type="lastRow">
      <w:tblPr/>
      <w:tcPr>
        <w:tcBorders>
          <w:top w:val="single" w:sz="8" w:space="0" w:color="36706B"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706B" w:themeColor="accent4"/>
          <w:insideH w:val="nil"/>
          <w:insideV w:val="nil"/>
        </w:tcBorders>
        <w:shd w:val="clear" w:color="auto" w:fill="FFFFFF" w:themeFill="background1"/>
      </w:tcPr>
    </w:tblStylePr>
    <w:tblStylePr w:type="lastCol">
      <w:tblPr/>
      <w:tcPr>
        <w:tcBorders>
          <w:top w:val="nil"/>
          <w:left w:val="single" w:sz="8" w:space="0" w:color="36706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3E0" w:themeFill="accent4" w:themeFillTint="3F"/>
      </w:tcPr>
    </w:tblStylePr>
    <w:tblStylePr w:type="band1Horz">
      <w:tblPr/>
      <w:tcPr>
        <w:tcBorders>
          <w:top w:val="nil"/>
          <w:bottom w:val="nil"/>
          <w:insideH w:val="nil"/>
          <w:insideV w:val="nil"/>
        </w:tcBorders>
        <w:shd w:val="clear" w:color="auto" w:fill="C5E3E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unhideWhenUsed/>
    <w:rsid w:val="00911DE3"/>
    <w:pPr>
      <w:spacing w:line="240" w:lineRule="auto"/>
    </w:pPr>
    <w:rPr>
      <w:rFonts w:eastAsiaTheme="majorEastAsia" w:cs="Arial"/>
      <w:color w:val="303030" w:themeColor="text1"/>
    </w:rPr>
    <w:tblPr>
      <w:tblStyleRowBandSize w:val="1"/>
      <w:tblStyleColBandSize w:val="1"/>
      <w:tblBorders>
        <w:top w:val="single" w:sz="8" w:space="0" w:color="2B5A56" w:themeColor="accent5"/>
        <w:left w:val="single" w:sz="8" w:space="0" w:color="2B5A56" w:themeColor="accent5"/>
        <w:bottom w:val="single" w:sz="8" w:space="0" w:color="2B5A56" w:themeColor="accent5"/>
        <w:right w:val="single" w:sz="8" w:space="0" w:color="2B5A56" w:themeColor="accent5"/>
      </w:tblBorders>
    </w:tblPr>
    <w:tblStylePr w:type="firstRow">
      <w:rPr>
        <w:sz w:val="24"/>
        <w:szCs w:val="24"/>
      </w:rPr>
      <w:tblPr/>
      <w:tcPr>
        <w:tcBorders>
          <w:top w:val="nil"/>
          <w:left w:val="nil"/>
          <w:bottom w:val="single" w:sz="24" w:space="0" w:color="2B5A56" w:themeColor="accent5"/>
          <w:right w:val="nil"/>
          <w:insideH w:val="nil"/>
          <w:insideV w:val="nil"/>
        </w:tcBorders>
        <w:shd w:val="clear" w:color="auto" w:fill="FFFFFF" w:themeFill="background1"/>
      </w:tcPr>
    </w:tblStylePr>
    <w:tblStylePr w:type="lastRow">
      <w:tblPr/>
      <w:tcPr>
        <w:tcBorders>
          <w:top w:val="single" w:sz="8" w:space="0" w:color="2B5A5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A56" w:themeColor="accent5"/>
          <w:insideH w:val="nil"/>
          <w:insideV w:val="nil"/>
        </w:tcBorders>
        <w:shd w:val="clear" w:color="auto" w:fill="FFFFFF" w:themeFill="background1"/>
      </w:tcPr>
    </w:tblStylePr>
    <w:tblStylePr w:type="lastCol">
      <w:tblPr/>
      <w:tcPr>
        <w:tcBorders>
          <w:top w:val="nil"/>
          <w:left w:val="single" w:sz="8" w:space="0" w:color="2B5A5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E0DD" w:themeFill="accent5" w:themeFillTint="3F"/>
      </w:tcPr>
    </w:tblStylePr>
    <w:tblStylePr w:type="band1Horz">
      <w:tblPr/>
      <w:tcPr>
        <w:tcBorders>
          <w:top w:val="nil"/>
          <w:bottom w:val="nil"/>
          <w:insideH w:val="nil"/>
          <w:insideV w:val="nil"/>
        </w:tcBorders>
        <w:shd w:val="clear" w:color="auto" w:fill="BFE0D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unhideWhenUsed/>
    <w:rsid w:val="00911DE3"/>
    <w:pPr>
      <w:spacing w:line="240" w:lineRule="auto"/>
    </w:pPr>
    <w:rPr>
      <w:rFonts w:eastAsiaTheme="majorEastAsia" w:cs="Arial"/>
      <w:color w:val="303030" w:themeColor="text1"/>
    </w:rPr>
    <w:tblPr>
      <w:tblStyleRowBandSize w:val="1"/>
      <w:tblStyleColBandSize w:val="1"/>
      <w:tblBorders>
        <w:top w:val="single" w:sz="8" w:space="0" w:color="5EC1A0" w:themeColor="accent6"/>
        <w:left w:val="single" w:sz="8" w:space="0" w:color="5EC1A0" w:themeColor="accent6"/>
        <w:bottom w:val="single" w:sz="8" w:space="0" w:color="5EC1A0" w:themeColor="accent6"/>
        <w:right w:val="single" w:sz="8" w:space="0" w:color="5EC1A0" w:themeColor="accent6"/>
      </w:tblBorders>
    </w:tblPr>
    <w:tblStylePr w:type="firstRow">
      <w:rPr>
        <w:sz w:val="24"/>
        <w:szCs w:val="24"/>
      </w:rPr>
      <w:tblPr/>
      <w:tcPr>
        <w:tcBorders>
          <w:top w:val="nil"/>
          <w:left w:val="nil"/>
          <w:bottom w:val="single" w:sz="24" w:space="0" w:color="5EC1A0" w:themeColor="accent6"/>
          <w:right w:val="nil"/>
          <w:insideH w:val="nil"/>
          <w:insideV w:val="nil"/>
        </w:tcBorders>
        <w:shd w:val="clear" w:color="auto" w:fill="FFFFFF" w:themeFill="background1"/>
      </w:tcPr>
    </w:tblStylePr>
    <w:tblStylePr w:type="lastRow">
      <w:tblPr/>
      <w:tcPr>
        <w:tcBorders>
          <w:top w:val="single" w:sz="8" w:space="0" w:color="5EC1A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EC1A0" w:themeColor="accent6"/>
          <w:insideH w:val="nil"/>
          <w:insideV w:val="nil"/>
        </w:tcBorders>
        <w:shd w:val="clear" w:color="auto" w:fill="FFFFFF" w:themeFill="background1"/>
      </w:tcPr>
    </w:tblStylePr>
    <w:tblStylePr w:type="lastCol">
      <w:tblPr/>
      <w:tcPr>
        <w:tcBorders>
          <w:top w:val="nil"/>
          <w:left w:val="single" w:sz="8" w:space="0" w:color="5EC1A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FE7" w:themeFill="accent6" w:themeFillTint="3F"/>
      </w:tcPr>
    </w:tblStylePr>
    <w:tblStylePr w:type="band1Horz">
      <w:tblPr/>
      <w:tcPr>
        <w:tcBorders>
          <w:top w:val="nil"/>
          <w:bottom w:val="nil"/>
          <w:insideH w:val="nil"/>
          <w:insideV w:val="nil"/>
        </w:tcBorders>
        <w:shd w:val="clear" w:color="auto" w:fill="D7EF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unhideWhenUsed/>
    <w:rsid w:val="00911DE3"/>
    <w:pPr>
      <w:spacing w:line="240" w:lineRule="auto"/>
    </w:pPr>
    <w:tblPr>
      <w:tblStyleRowBandSize w:val="1"/>
      <w:tblStyleColBandSize w:val="1"/>
      <w:tblBorders>
        <w:top w:val="single" w:sz="8" w:space="0" w:color="636363" w:themeColor="text1" w:themeTint="BF"/>
        <w:left w:val="single" w:sz="8" w:space="0" w:color="636363" w:themeColor="text1" w:themeTint="BF"/>
        <w:bottom w:val="single" w:sz="8" w:space="0" w:color="636363" w:themeColor="text1" w:themeTint="BF"/>
        <w:right w:val="single" w:sz="8" w:space="0" w:color="636363" w:themeColor="text1" w:themeTint="BF"/>
        <w:insideH w:val="single" w:sz="8" w:space="0" w:color="636363" w:themeColor="text1" w:themeTint="BF"/>
      </w:tblBorders>
    </w:tblPr>
    <w:tblStylePr w:type="firstRow">
      <w:pPr>
        <w:spacing w:before="0" w:after="0" w:line="240" w:lineRule="auto"/>
      </w:pPr>
      <w:rPr>
        <w:b/>
        <w:bCs/>
        <w:color w:val="FFFFFF" w:themeColor="background1"/>
      </w:rPr>
      <w:tblPr/>
      <w:tcPr>
        <w:tcBorders>
          <w:top w:val="single" w:sz="8" w:space="0" w:color="636363" w:themeColor="text1" w:themeTint="BF"/>
          <w:left w:val="single" w:sz="8" w:space="0" w:color="636363" w:themeColor="text1" w:themeTint="BF"/>
          <w:bottom w:val="single" w:sz="8" w:space="0" w:color="636363" w:themeColor="text1" w:themeTint="BF"/>
          <w:right w:val="single" w:sz="8" w:space="0" w:color="636363" w:themeColor="text1" w:themeTint="BF"/>
          <w:insideH w:val="nil"/>
          <w:insideV w:val="nil"/>
        </w:tcBorders>
        <w:shd w:val="clear" w:color="auto" w:fill="303030" w:themeFill="text1"/>
      </w:tcPr>
    </w:tblStylePr>
    <w:tblStylePr w:type="lastRow">
      <w:pPr>
        <w:spacing w:before="0" w:after="0" w:line="240" w:lineRule="auto"/>
      </w:pPr>
      <w:rPr>
        <w:b/>
        <w:bCs/>
      </w:rPr>
      <w:tblPr/>
      <w:tcPr>
        <w:tcBorders>
          <w:top w:val="double" w:sz="6" w:space="0" w:color="636363" w:themeColor="text1" w:themeTint="BF"/>
          <w:left w:val="single" w:sz="8" w:space="0" w:color="636363" w:themeColor="text1" w:themeTint="BF"/>
          <w:bottom w:val="single" w:sz="8" w:space="0" w:color="636363" w:themeColor="text1" w:themeTint="BF"/>
          <w:right w:val="single" w:sz="8" w:space="0" w:color="636363" w:themeColor="text1" w:themeTint="BF"/>
          <w:insideH w:val="nil"/>
          <w:insideV w:val="nil"/>
        </w:tcBorders>
      </w:tcPr>
    </w:tblStylePr>
    <w:tblStylePr w:type="firstCol">
      <w:rPr>
        <w:b/>
        <w:bCs/>
      </w:rPr>
    </w:tblStylePr>
    <w:tblStylePr w:type="lastCol">
      <w:rPr>
        <w:b/>
        <w:bCs/>
      </w:rPr>
    </w:tblStylePr>
    <w:tblStylePr w:type="band1Vert">
      <w:tblPr/>
      <w:tcPr>
        <w:shd w:val="clear" w:color="auto" w:fill="CBCBCB" w:themeFill="text1" w:themeFillTint="3F"/>
      </w:tcPr>
    </w:tblStylePr>
    <w:tblStylePr w:type="band1Horz">
      <w:tblPr/>
      <w:tcPr>
        <w:tcBorders>
          <w:insideH w:val="nil"/>
          <w:insideV w:val="nil"/>
        </w:tcBorders>
        <w:shd w:val="clear" w:color="auto" w:fill="CBCBC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unhideWhenUsed/>
    <w:rsid w:val="00911DE3"/>
    <w:pPr>
      <w:spacing w:line="240" w:lineRule="auto"/>
    </w:pPr>
    <w:tblPr>
      <w:tblStyleRowBandSize w:val="1"/>
      <w:tblStyleColBandSize w:val="1"/>
      <w:tblBorders>
        <w:top w:val="single" w:sz="8" w:space="0" w:color="D2DFDE" w:themeColor="accent1" w:themeTint="BF"/>
        <w:left w:val="single" w:sz="8" w:space="0" w:color="D2DFDE" w:themeColor="accent1" w:themeTint="BF"/>
        <w:bottom w:val="single" w:sz="8" w:space="0" w:color="D2DFDE" w:themeColor="accent1" w:themeTint="BF"/>
        <w:right w:val="single" w:sz="8" w:space="0" w:color="D2DFDE" w:themeColor="accent1" w:themeTint="BF"/>
        <w:insideH w:val="single" w:sz="8" w:space="0" w:color="D2DFDE" w:themeColor="accent1" w:themeTint="BF"/>
      </w:tblBorders>
    </w:tblPr>
    <w:tblStylePr w:type="firstRow">
      <w:pPr>
        <w:spacing w:before="0" w:after="0" w:line="240" w:lineRule="auto"/>
      </w:pPr>
      <w:rPr>
        <w:b/>
        <w:bCs/>
        <w:color w:val="FFFFFF" w:themeColor="background1"/>
      </w:rPr>
      <w:tblPr/>
      <w:tcPr>
        <w:tcBorders>
          <w:top w:val="single" w:sz="8" w:space="0" w:color="D2DFDE" w:themeColor="accent1" w:themeTint="BF"/>
          <w:left w:val="single" w:sz="8" w:space="0" w:color="D2DFDE" w:themeColor="accent1" w:themeTint="BF"/>
          <w:bottom w:val="single" w:sz="8" w:space="0" w:color="D2DFDE" w:themeColor="accent1" w:themeTint="BF"/>
          <w:right w:val="single" w:sz="8" w:space="0" w:color="D2DFDE" w:themeColor="accent1" w:themeTint="BF"/>
          <w:insideH w:val="nil"/>
          <w:insideV w:val="nil"/>
        </w:tcBorders>
        <w:shd w:val="clear" w:color="auto" w:fill="C4D5D3" w:themeFill="accent1"/>
      </w:tcPr>
    </w:tblStylePr>
    <w:tblStylePr w:type="lastRow">
      <w:pPr>
        <w:spacing w:before="0" w:after="0" w:line="240" w:lineRule="auto"/>
      </w:pPr>
      <w:rPr>
        <w:b/>
        <w:bCs/>
      </w:rPr>
      <w:tblPr/>
      <w:tcPr>
        <w:tcBorders>
          <w:top w:val="double" w:sz="6" w:space="0" w:color="D2DFDE" w:themeColor="accent1" w:themeTint="BF"/>
          <w:left w:val="single" w:sz="8" w:space="0" w:color="D2DFDE" w:themeColor="accent1" w:themeTint="BF"/>
          <w:bottom w:val="single" w:sz="8" w:space="0" w:color="D2DFDE" w:themeColor="accent1" w:themeTint="BF"/>
          <w:right w:val="single" w:sz="8" w:space="0" w:color="D2DFD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0F4F4" w:themeFill="accent1" w:themeFillTint="3F"/>
      </w:tcPr>
    </w:tblStylePr>
    <w:tblStylePr w:type="band1Horz">
      <w:tblPr/>
      <w:tcPr>
        <w:tcBorders>
          <w:insideH w:val="nil"/>
          <w:insideV w:val="nil"/>
        </w:tcBorders>
        <w:shd w:val="clear" w:color="auto" w:fill="F0F4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unhideWhenUsed/>
    <w:rsid w:val="00911DE3"/>
    <w:pPr>
      <w:spacing w:line="240" w:lineRule="auto"/>
    </w:pPr>
    <w:tblPr>
      <w:tblStyleRowBandSize w:val="1"/>
      <w:tblStyleColBandSize w:val="1"/>
      <w:tblBorders>
        <w:top w:val="single" w:sz="8" w:space="0" w:color="A4BEBC" w:themeColor="accent2" w:themeTint="BF"/>
        <w:left w:val="single" w:sz="8" w:space="0" w:color="A4BEBC" w:themeColor="accent2" w:themeTint="BF"/>
        <w:bottom w:val="single" w:sz="8" w:space="0" w:color="A4BEBC" w:themeColor="accent2" w:themeTint="BF"/>
        <w:right w:val="single" w:sz="8" w:space="0" w:color="A4BEBC" w:themeColor="accent2" w:themeTint="BF"/>
        <w:insideH w:val="single" w:sz="8" w:space="0" w:color="A4BEBC" w:themeColor="accent2" w:themeTint="BF"/>
      </w:tblBorders>
    </w:tblPr>
    <w:tblStylePr w:type="firstRow">
      <w:pPr>
        <w:spacing w:before="0" w:after="0" w:line="240" w:lineRule="auto"/>
      </w:pPr>
      <w:rPr>
        <w:b/>
        <w:bCs/>
        <w:color w:val="FFFFFF" w:themeColor="background1"/>
      </w:rPr>
      <w:tblPr/>
      <w:tcPr>
        <w:tcBorders>
          <w:top w:val="single" w:sz="8" w:space="0" w:color="A4BEBC" w:themeColor="accent2" w:themeTint="BF"/>
          <w:left w:val="single" w:sz="8" w:space="0" w:color="A4BEBC" w:themeColor="accent2" w:themeTint="BF"/>
          <w:bottom w:val="single" w:sz="8" w:space="0" w:color="A4BEBC" w:themeColor="accent2" w:themeTint="BF"/>
          <w:right w:val="single" w:sz="8" w:space="0" w:color="A4BEBC" w:themeColor="accent2" w:themeTint="BF"/>
          <w:insideH w:val="nil"/>
          <w:insideV w:val="nil"/>
        </w:tcBorders>
        <w:shd w:val="clear" w:color="auto" w:fill="86A9A6" w:themeFill="accent2"/>
      </w:tcPr>
    </w:tblStylePr>
    <w:tblStylePr w:type="lastRow">
      <w:pPr>
        <w:spacing w:before="0" w:after="0" w:line="240" w:lineRule="auto"/>
      </w:pPr>
      <w:rPr>
        <w:b/>
        <w:bCs/>
      </w:rPr>
      <w:tblPr/>
      <w:tcPr>
        <w:tcBorders>
          <w:top w:val="double" w:sz="6" w:space="0" w:color="A4BEBC" w:themeColor="accent2" w:themeTint="BF"/>
          <w:left w:val="single" w:sz="8" w:space="0" w:color="A4BEBC" w:themeColor="accent2" w:themeTint="BF"/>
          <w:bottom w:val="single" w:sz="8" w:space="0" w:color="A4BEBC" w:themeColor="accent2" w:themeTint="BF"/>
          <w:right w:val="single" w:sz="8" w:space="0" w:color="A4BEB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E9E8" w:themeFill="accent2" w:themeFillTint="3F"/>
      </w:tcPr>
    </w:tblStylePr>
    <w:tblStylePr w:type="band1Horz">
      <w:tblPr/>
      <w:tcPr>
        <w:tcBorders>
          <w:insideH w:val="nil"/>
          <w:insideV w:val="nil"/>
        </w:tcBorders>
        <w:shd w:val="clear" w:color="auto" w:fill="E1E9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unhideWhenUsed/>
    <w:rsid w:val="00911DE3"/>
    <w:pPr>
      <w:spacing w:line="240" w:lineRule="auto"/>
    </w:pPr>
    <w:tblPr>
      <w:tblStyleRowBandSize w:val="1"/>
      <w:tblStyleColBandSize w:val="1"/>
      <w:tblBorders>
        <w:top w:val="single" w:sz="8" w:space="0" w:color="83ACA9" w:themeColor="accent3" w:themeTint="BF"/>
        <w:left w:val="single" w:sz="8" w:space="0" w:color="83ACA9" w:themeColor="accent3" w:themeTint="BF"/>
        <w:bottom w:val="single" w:sz="8" w:space="0" w:color="83ACA9" w:themeColor="accent3" w:themeTint="BF"/>
        <w:right w:val="single" w:sz="8" w:space="0" w:color="83ACA9" w:themeColor="accent3" w:themeTint="BF"/>
        <w:insideH w:val="single" w:sz="8" w:space="0" w:color="83ACA9" w:themeColor="accent3" w:themeTint="BF"/>
      </w:tblBorders>
    </w:tblPr>
    <w:tblStylePr w:type="firstRow">
      <w:pPr>
        <w:spacing w:before="0" w:after="0" w:line="240" w:lineRule="auto"/>
      </w:pPr>
      <w:rPr>
        <w:b/>
        <w:bCs/>
        <w:color w:val="FFFFFF" w:themeColor="background1"/>
      </w:rPr>
      <w:tblPr/>
      <w:tcPr>
        <w:tcBorders>
          <w:top w:val="single" w:sz="8" w:space="0" w:color="83ACA9" w:themeColor="accent3" w:themeTint="BF"/>
          <w:left w:val="single" w:sz="8" w:space="0" w:color="83ACA9" w:themeColor="accent3" w:themeTint="BF"/>
          <w:bottom w:val="single" w:sz="8" w:space="0" w:color="83ACA9" w:themeColor="accent3" w:themeTint="BF"/>
          <w:right w:val="single" w:sz="8" w:space="0" w:color="83ACA9" w:themeColor="accent3" w:themeTint="BF"/>
          <w:insideH w:val="nil"/>
          <w:insideV w:val="nil"/>
        </w:tcBorders>
        <w:shd w:val="clear" w:color="auto" w:fill="5E8D89" w:themeFill="accent3"/>
      </w:tcPr>
    </w:tblStylePr>
    <w:tblStylePr w:type="lastRow">
      <w:pPr>
        <w:spacing w:before="0" w:after="0" w:line="240" w:lineRule="auto"/>
      </w:pPr>
      <w:rPr>
        <w:b/>
        <w:bCs/>
      </w:rPr>
      <w:tblPr/>
      <w:tcPr>
        <w:tcBorders>
          <w:top w:val="double" w:sz="6" w:space="0" w:color="83ACA9" w:themeColor="accent3" w:themeTint="BF"/>
          <w:left w:val="single" w:sz="8" w:space="0" w:color="83ACA9" w:themeColor="accent3" w:themeTint="BF"/>
          <w:bottom w:val="single" w:sz="8" w:space="0" w:color="83ACA9" w:themeColor="accent3" w:themeTint="BF"/>
          <w:right w:val="single" w:sz="8" w:space="0" w:color="83ACA9" w:themeColor="accent3" w:themeTint="BF"/>
          <w:insideH w:val="nil"/>
          <w:insideV w:val="nil"/>
        </w:tcBorders>
      </w:tcPr>
    </w:tblStylePr>
    <w:tblStylePr w:type="firstCol">
      <w:rPr>
        <w:b/>
        <w:bCs/>
      </w:rPr>
    </w:tblStylePr>
    <w:tblStylePr w:type="lastCol">
      <w:rPr>
        <w:b/>
        <w:bCs/>
      </w:rPr>
    </w:tblStylePr>
    <w:tblStylePr w:type="band1Vert">
      <w:tblPr/>
      <w:tcPr>
        <w:shd w:val="clear" w:color="auto" w:fill="D6E3E2" w:themeFill="accent3" w:themeFillTint="3F"/>
      </w:tcPr>
    </w:tblStylePr>
    <w:tblStylePr w:type="band1Horz">
      <w:tblPr/>
      <w:tcPr>
        <w:tcBorders>
          <w:insideH w:val="nil"/>
          <w:insideV w:val="nil"/>
        </w:tcBorders>
        <w:shd w:val="clear" w:color="auto" w:fill="D6E3E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unhideWhenUsed/>
    <w:rsid w:val="00911DE3"/>
    <w:pPr>
      <w:spacing w:line="240" w:lineRule="auto"/>
    </w:pPr>
    <w:tblPr>
      <w:tblStyleRowBandSize w:val="1"/>
      <w:tblStyleColBandSize w:val="1"/>
      <w:tblBorders>
        <w:top w:val="single" w:sz="8" w:space="0" w:color="52AAA2" w:themeColor="accent4" w:themeTint="BF"/>
        <w:left w:val="single" w:sz="8" w:space="0" w:color="52AAA2" w:themeColor="accent4" w:themeTint="BF"/>
        <w:bottom w:val="single" w:sz="8" w:space="0" w:color="52AAA2" w:themeColor="accent4" w:themeTint="BF"/>
        <w:right w:val="single" w:sz="8" w:space="0" w:color="52AAA2" w:themeColor="accent4" w:themeTint="BF"/>
        <w:insideH w:val="single" w:sz="8" w:space="0" w:color="52AAA2" w:themeColor="accent4" w:themeTint="BF"/>
      </w:tblBorders>
    </w:tblPr>
    <w:tblStylePr w:type="firstRow">
      <w:pPr>
        <w:spacing w:before="0" w:after="0" w:line="240" w:lineRule="auto"/>
      </w:pPr>
      <w:rPr>
        <w:b/>
        <w:bCs/>
        <w:color w:val="FFFFFF" w:themeColor="background1"/>
      </w:rPr>
      <w:tblPr/>
      <w:tcPr>
        <w:tcBorders>
          <w:top w:val="single" w:sz="8" w:space="0" w:color="52AAA2" w:themeColor="accent4" w:themeTint="BF"/>
          <w:left w:val="single" w:sz="8" w:space="0" w:color="52AAA2" w:themeColor="accent4" w:themeTint="BF"/>
          <w:bottom w:val="single" w:sz="8" w:space="0" w:color="52AAA2" w:themeColor="accent4" w:themeTint="BF"/>
          <w:right w:val="single" w:sz="8" w:space="0" w:color="52AAA2" w:themeColor="accent4" w:themeTint="BF"/>
          <w:insideH w:val="nil"/>
          <w:insideV w:val="nil"/>
        </w:tcBorders>
        <w:shd w:val="clear" w:color="auto" w:fill="36706B" w:themeFill="accent4"/>
      </w:tcPr>
    </w:tblStylePr>
    <w:tblStylePr w:type="lastRow">
      <w:pPr>
        <w:spacing w:before="0" w:after="0" w:line="240" w:lineRule="auto"/>
      </w:pPr>
      <w:rPr>
        <w:b/>
        <w:bCs/>
      </w:rPr>
      <w:tblPr/>
      <w:tcPr>
        <w:tcBorders>
          <w:top w:val="double" w:sz="6" w:space="0" w:color="52AAA2" w:themeColor="accent4" w:themeTint="BF"/>
          <w:left w:val="single" w:sz="8" w:space="0" w:color="52AAA2" w:themeColor="accent4" w:themeTint="BF"/>
          <w:bottom w:val="single" w:sz="8" w:space="0" w:color="52AAA2" w:themeColor="accent4" w:themeTint="BF"/>
          <w:right w:val="single" w:sz="8" w:space="0" w:color="52AAA2" w:themeColor="accent4" w:themeTint="BF"/>
          <w:insideH w:val="nil"/>
          <w:insideV w:val="nil"/>
        </w:tcBorders>
      </w:tcPr>
    </w:tblStylePr>
    <w:tblStylePr w:type="firstCol">
      <w:rPr>
        <w:b/>
        <w:bCs/>
      </w:rPr>
    </w:tblStylePr>
    <w:tblStylePr w:type="lastCol">
      <w:rPr>
        <w:b/>
        <w:bCs/>
      </w:rPr>
    </w:tblStylePr>
    <w:tblStylePr w:type="band1Vert">
      <w:tblPr/>
      <w:tcPr>
        <w:shd w:val="clear" w:color="auto" w:fill="C5E3E0" w:themeFill="accent4" w:themeFillTint="3F"/>
      </w:tcPr>
    </w:tblStylePr>
    <w:tblStylePr w:type="band1Horz">
      <w:tblPr/>
      <w:tcPr>
        <w:tcBorders>
          <w:insideH w:val="nil"/>
          <w:insideV w:val="nil"/>
        </w:tcBorders>
        <w:shd w:val="clear" w:color="auto" w:fill="C5E3E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unhideWhenUsed/>
    <w:rsid w:val="00911DE3"/>
    <w:pPr>
      <w:spacing w:line="240" w:lineRule="auto"/>
    </w:pPr>
    <w:tblPr>
      <w:tblStyleRowBandSize w:val="1"/>
      <w:tblStyleColBandSize w:val="1"/>
      <w:tblBorders>
        <w:top w:val="single" w:sz="8" w:space="0" w:color="499992" w:themeColor="accent5" w:themeTint="BF"/>
        <w:left w:val="single" w:sz="8" w:space="0" w:color="499992" w:themeColor="accent5" w:themeTint="BF"/>
        <w:bottom w:val="single" w:sz="8" w:space="0" w:color="499992" w:themeColor="accent5" w:themeTint="BF"/>
        <w:right w:val="single" w:sz="8" w:space="0" w:color="499992" w:themeColor="accent5" w:themeTint="BF"/>
        <w:insideH w:val="single" w:sz="8" w:space="0" w:color="499992" w:themeColor="accent5" w:themeTint="BF"/>
      </w:tblBorders>
    </w:tblPr>
    <w:tblStylePr w:type="firstRow">
      <w:pPr>
        <w:spacing w:before="0" w:after="0" w:line="240" w:lineRule="auto"/>
      </w:pPr>
      <w:rPr>
        <w:b/>
        <w:bCs/>
        <w:color w:val="FFFFFF" w:themeColor="background1"/>
      </w:rPr>
      <w:tblPr/>
      <w:tcPr>
        <w:tcBorders>
          <w:top w:val="single" w:sz="8" w:space="0" w:color="499992" w:themeColor="accent5" w:themeTint="BF"/>
          <w:left w:val="single" w:sz="8" w:space="0" w:color="499992" w:themeColor="accent5" w:themeTint="BF"/>
          <w:bottom w:val="single" w:sz="8" w:space="0" w:color="499992" w:themeColor="accent5" w:themeTint="BF"/>
          <w:right w:val="single" w:sz="8" w:space="0" w:color="499992" w:themeColor="accent5" w:themeTint="BF"/>
          <w:insideH w:val="nil"/>
          <w:insideV w:val="nil"/>
        </w:tcBorders>
        <w:shd w:val="clear" w:color="auto" w:fill="2B5A56" w:themeFill="accent5"/>
      </w:tcPr>
    </w:tblStylePr>
    <w:tblStylePr w:type="lastRow">
      <w:pPr>
        <w:spacing w:before="0" w:after="0" w:line="240" w:lineRule="auto"/>
      </w:pPr>
      <w:rPr>
        <w:b/>
        <w:bCs/>
      </w:rPr>
      <w:tblPr/>
      <w:tcPr>
        <w:tcBorders>
          <w:top w:val="double" w:sz="6" w:space="0" w:color="499992" w:themeColor="accent5" w:themeTint="BF"/>
          <w:left w:val="single" w:sz="8" w:space="0" w:color="499992" w:themeColor="accent5" w:themeTint="BF"/>
          <w:bottom w:val="single" w:sz="8" w:space="0" w:color="499992" w:themeColor="accent5" w:themeTint="BF"/>
          <w:right w:val="single" w:sz="8" w:space="0" w:color="499992" w:themeColor="accent5" w:themeTint="BF"/>
          <w:insideH w:val="nil"/>
          <w:insideV w:val="nil"/>
        </w:tcBorders>
      </w:tcPr>
    </w:tblStylePr>
    <w:tblStylePr w:type="firstCol">
      <w:rPr>
        <w:b/>
        <w:bCs/>
      </w:rPr>
    </w:tblStylePr>
    <w:tblStylePr w:type="lastCol">
      <w:rPr>
        <w:b/>
        <w:bCs/>
      </w:rPr>
    </w:tblStylePr>
    <w:tblStylePr w:type="band1Vert">
      <w:tblPr/>
      <w:tcPr>
        <w:shd w:val="clear" w:color="auto" w:fill="BFE0DD" w:themeFill="accent5" w:themeFillTint="3F"/>
      </w:tcPr>
    </w:tblStylePr>
    <w:tblStylePr w:type="band1Horz">
      <w:tblPr/>
      <w:tcPr>
        <w:tcBorders>
          <w:insideH w:val="nil"/>
          <w:insideV w:val="nil"/>
        </w:tcBorders>
        <w:shd w:val="clear" w:color="auto" w:fill="BFE0D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unhideWhenUsed/>
    <w:rsid w:val="00911DE3"/>
    <w:pPr>
      <w:spacing w:line="240" w:lineRule="auto"/>
    </w:pPr>
    <w:tblPr>
      <w:tblStyleRowBandSize w:val="1"/>
      <w:tblStyleColBandSize w:val="1"/>
      <w:tblBorders>
        <w:top w:val="single" w:sz="8" w:space="0" w:color="86D0B7" w:themeColor="accent6" w:themeTint="BF"/>
        <w:left w:val="single" w:sz="8" w:space="0" w:color="86D0B7" w:themeColor="accent6" w:themeTint="BF"/>
        <w:bottom w:val="single" w:sz="8" w:space="0" w:color="86D0B7" w:themeColor="accent6" w:themeTint="BF"/>
        <w:right w:val="single" w:sz="8" w:space="0" w:color="86D0B7" w:themeColor="accent6" w:themeTint="BF"/>
        <w:insideH w:val="single" w:sz="8" w:space="0" w:color="86D0B7" w:themeColor="accent6" w:themeTint="BF"/>
      </w:tblBorders>
    </w:tblPr>
    <w:tblStylePr w:type="firstRow">
      <w:pPr>
        <w:spacing w:before="0" w:after="0" w:line="240" w:lineRule="auto"/>
      </w:pPr>
      <w:rPr>
        <w:b/>
        <w:bCs/>
        <w:color w:val="FFFFFF" w:themeColor="background1"/>
      </w:rPr>
      <w:tblPr/>
      <w:tcPr>
        <w:tcBorders>
          <w:top w:val="single" w:sz="8" w:space="0" w:color="86D0B7" w:themeColor="accent6" w:themeTint="BF"/>
          <w:left w:val="single" w:sz="8" w:space="0" w:color="86D0B7" w:themeColor="accent6" w:themeTint="BF"/>
          <w:bottom w:val="single" w:sz="8" w:space="0" w:color="86D0B7" w:themeColor="accent6" w:themeTint="BF"/>
          <w:right w:val="single" w:sz="8" w:space="0" w:color="86D0B7" w:themeColor="accent6" w:themeTint="BF"/>
          <w:insideH w:val="nil"/>
          <w:insideV w:val="nil"/>
        </w:tcBorders>
        <w:shd w:val="clear" w:color="auto" w:fill="5EC1A0" w:themeFill="accent6"/>
      </w:tcPr>
    </w:tblStylePr>
    <w:tblStylePr w:type="lastRow">
      <w:pPr>
        <w:spacing w:before="0" w:after="0" w:line="240" w:lineRule="auto"/>
      </w:pPr>
      <w:rPr>
        <w:b/>
        <w:bCs/>
      </w:rPr>
      <w:tblPr/>
      <w:tcPr>
        <w:tcBorders>
          <w:top w:val="double" w:sz="6" w:space="0" w:color="86D0B7" w:themeColor="accent6" w:themeTint="BF"/>
          <w:left w:val="single" w:sz="8" w:space="0" w:color="86D0B7" w:themeColor="accent6" w:themeTint="BF"/>
          <w:bottom w:val="single" w:sz="8" w:space="0" w:color="86D0B7" w:themeColor="accent6" w:themeTint="BF"/>
          <w:right w:val="single" w:sz="8" w:space="0" w:color="86D0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D7EFE7" w:themeFill="accent6" w:themeFillTint="3F"/>
      </w:tcPr>
    </w:tblStylePr>
    <w:tblStylePr w:type="band1Horz">
      <w:tblPr/>
      <w:tcPr>
        <w:tcBorders>
          <w:insideH w:val="nil"/>
          <w:insideV w:val="nil"/>
        </w:tcBorders>
        <w:shd w:val="clear" w:color="auto" w:fill="D7EF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semiHidden/>
    <w:unhideWhenUsed/>
    <w:rsid w:val="00911DE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0303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03030" w:themeFill="text1"/>
      </w:tcPr>
    </w:tblStylePr>
    <w:tblStylePr w:type="lastCol">
      <w:rPr>
        <w:b/>
        <w:bCs/>
        <w:color w:val="FFFFFF" w:themeColor="background1"/>
      </w:rPr>
      <w:tblPr/>
      <w:tcPr>
        <w:tcBorders>
          <w:left w:val="nil"/>
          <w:right w:val="nil"/>
          <w:insideH w:val="nil"/>
          <w:insideV w:val="nil"/>
        </w:tcBorders>
        <w:shd w:val="clear" w:color="auto" w:fill="30303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semiHidden/>
    <w:unhideWhenUsed/>
    <w:rsid w:val="00911DE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4D5D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4D5D3" w:themeFill="accent1"/>
      </w:tcPr>
    </w:tblStylePr>
    <w:tblStylePr w:type="lastCol">
      <w:rPr>
        <w:b/>
        <w:bCs/>
        <w:color w:val="FFFFFF" w:themeColor="background1"/>
      </w:rPr>
      <w:tblPr/>
      <w:tcPr>
        <w:tcBorders>
          <w:left w:val="nil"/>
          <w:right w:val="nil"/>
          <w:insideH w:val="nil"/>
          <w:insideV w:val="nil"/>
        </w:tcBorders>
        <w:shd w:val="clear" w:color="auto" w:fill="C4D5D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unhideWhenUsed/>
    <w:rsid w:val="00911DE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A9A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A9A6" w:themeFill="accent2"/>
      </w:tcPr>
    </w:tblStylePr>
    <w:tblStylePr w:type="lastCol">
      <w:rPr>
        <w:b/>
        <w:bCs/>
        <w:color w:val="FFFFFF" w:themeColor="background1"/>
      </w:rPr>
      <w:tblPr/>
      <w:tcPr>
        <w:tcBorders>
          <w:left w:val="nil"/>
          <w:right w:val="nil"/>
          <w:insideH w:val="nil"/>
          <w:insideV w:val="nil"/>
        </w:tcBorders>
        <w:shd w:val="clear" w:color="auto" w:fill="86A9A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unhideWhenUsed/>
    <w:rsid w:val="00911DE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8D8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E8D89" w:themeFill="accent3"/>
      </w:tcPr>
    </w:tblStylePr>
    <w:tblStylePr w:type="lastCol">
      <w:rPr>
        <w:b/>
        <w:bCs/>
        <w:color w:val="FFFFFF" w:themeColor="background1"/>
      </w:rPr>
      <w:tblPr/>
      <w:tcPr>
        <w:tcBorders>
          <w:left w:val="nil"/>
          <w:right w:val="nil"/>
          <w:insideH w:val="nil"/>
          <w:insideV w:val="nil"/>
        </w:tcBorders>
        <w:shd w:val="clear" w:color="auto" w:fill="5E8D8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unhideWhenUsed/>
    <w:rsid w:val="00911DE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706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706B" w:themeFill="accent4"/>
      </w:tcPr>
    </w:tblStylePr>
    <w:tblStylePr w:type="lastCol">
      <w:rPr>
        <w:b/>
        <w:bCs/>
        <w:color w:val="FFFFFF" w:themeColor="background1"/>
      </w:rPr>
      <w:tblPr/>
      <w:tcPr>
        <w:tcBorders>
          <w:left w:val="nil"/>
          <w:right w:val="nil"/>
          <w:insideH w:val="nil"/>
          <w:insideV w:val="nil"/>
        </w:tcBorders>
        <w:shd w:val="clear" w:color="auto" w:fill="36706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unhideWhenUsed/>
    <w:rsid w:val="00911DE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A5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5A56" w:themeFill="accent5"/>
      </w:tcPr>
    </w:tblStylePr>
    <w:tblStylePr w:type="lastCol">
      <w:rPr>
        <w:b/>
        <w:bCs/>
        <w:color w:val="FFFFFF" w:themeColor="background1"/>
      </w:rPr>
      <w:tblPr/>
      <w:tcPr>
        <w:tcBorders>
          <w:left w:val="nil"/>
          <w:right w:val="nil"/>
          <w:insideH w:val="nil"/>
          <w:insideV w:val="nil"/>
        </w:tcBorders>
        <w:shd w:val="clear" w:color="auto" w:fill="2B5A5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unhideWhenUsed/>
    <w:rsid w:val="00911DE3"/>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EC1A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EC1A0" w:themeFill="accent6"/>
      </w:tcPr>
    </w:tblStylePr>
    <w:tblStylePr w:type="lastCol">
      <w:rPr>
        <w:b/>
        <w:bCs/>
        <w:color w:val="FFFFFF" w:themeColor="background1"/>
      </w:rPr>
      <w:tblPr/>
      <w:tcPr>
        <w:tcBorders>
          <w:left w:val="nil"/>
          <w:right w:val="nil"/>
          <w:insideH w:val="nil"/>
          <w:insideV w:val="nil"/>
        </w:tcBorders>
        <w:shd w:val="clear" w:color="auto" w:fill="5EC1A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rsid w:val="00911DE3"/>
    <w:rPr>
      <w:color w:val="2B579A"/>
      <w:shd w:val="clear" w:color="auto" w:fill="E1DFDD"/>
      <w:lang w:val="en-GB"/>
    </w:rPr>
  </w:style>
  <w:style w:type="paragraph" w:styleId="MessageHeader">
    <w:name w:val="Message Header"/>
    <w:basedOn w:val="Normal"/>
    <w:link w:val="MessageHeaderChar"/>
    <w:uiPriority w:val="99"/>
    <w:semiHidden/>
    <w:rsid w:val="00911DE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Arial"/>
      <w:sz w:val="24"/>
      <w:szCs w:val="24"/>
    </w:rPr>
  </w:style>
  <w:style w:type="character" w:customStyle="1" w:styleId="MessageHeaderChar">
    <w:name w:val="Message Header Char"/>
    <w:basedOn w:val="DefaultParagraphFont"/>
    <w:link w:val="MessageHeader"/>
    <w:uiPriority w:val="99"/>
    <w:semiHidden/>
    <w:rsid w:val="001261FA"/>
    <w:rPr>
      <w:rFonts w:eastAsiaTheme="majorEastAsia" w:cs="Arial"/>
      <w:sz w:val="24"/>
      <w:szCs w:val="24"/>
      <w:shd w:val="pct20" w:color="auto" w:fill="auto"/>
      <w:lang w:val="en-GB"/>
    </w:rPr>
  </w:style>
  <w:style w:type="paragraph" w:styleId="NoSpacing">
    <w:name w:val="No Spacing"/>
    <w:rsid w:val="00911DE3"/>
    <w:pPr>
      <w:spacing w:line="240" w:lineRule="auto"/>
    </w:pPr>
    <w:rPr>
      <w:lang w:val="en-GB"/>
    </w:rPr>
  </w:style>
  <w:style w:type="paragraph" w:styleId="NormalWeb">
    <w:name w:val="Normal (Web)"/>
    <w:basedOn w:val="Normal"/>
    <w:uiPriority w:val="99"/>
    <w:semiHidden/>
    <w:rsid w:val="00911DE3"/>
    <w:pPr>
      <w:spacing w:after="0"/>
    </w:pPr>
    <w:rPr>
      <w:rFonts w:cs="Arial"/>
      <w:sz w:val="24"/>
      <w:szCs w:val="24"/>
    </w:rPr>
  </w:style>
  <w:style w:type="paragraph" w:styleId="NormalIndent">
    <w:name w:val="Normal Indent"/>
    <w:basedOn w:val="Normal"/>
    <w:semiHidden/>
    <w:rsid w:val="00757937"/>
    <w:pPr>
      <w:spacing w:after="0"/>
      <w:ind w:left="284"/>
    </w:pPr>
  </w:style>
  <w:style w:type="paragraph" w:styleId="NoteHeading">
    <w:name w:val="Note Heading"/>
    <w:basedOn w:val="Normal"/>
    <w:next w:val="Normal"/>
    <w:link w:val="NoteHeadingChar"/>
    <w:uiPriority w:val="99"/>
    <w:semiHidden/>
    <w:rsid w:val="00911DE3"/>
    <w:pPr>
      <w:spacing w:after="0" w:line="240" w:lineRule="auto"/>
    </w:pPr>
  </w:style>
  <w:style w:type="character" w:customStyle="1" w:styleId="NoteHeadingChar">
    <w:name w:val="Note Heading Char"/>
    <w:basedOn w:val="DefaultParagraphFont"/>
    <w:link w:val="NoteHeading"/>
    <w:uiPriority w:val="99"/>
    <w:semiHidden/>
    <w:rsid w:val="001261FA"/>
    <w:rPr>
      <w:lang w:val="en-GB"/>
    </w:rPr>
  </w:style>
  <w:style w:type="character" w:styleId="PageNumber">
    <w:name w:val="page number"/>
    <w:basedOn w:val="DefaultParagraphFont"/>
    <w:uiPriority w:val="99"/>
    <w:semiHidden/>
    <w:rsid w:val="00911DE3"/>
    <w:rPr>
      <w:lang w:val="en-GB"/>
    </w:rPr>
  </w:style>
  <w:style w:type="character" w:styleId="PlaceholderText">
    <w:name w:val="Placeholder Text"/>
    <w:basedOn w:val="DefaultParagraphFont"/>
    <w:uiPriority w:val="99"/>
    <w:semiHidden/>
    <w:rsid w:val="00911DE3"/>
    <w:rPr>
      <w:color w:val="808080"/>
      <w:lang w:val="en-GB"/>
    </w:rPr>
  </w:style>
  <w:style w:type="table" w:styleId="PlainTable1">
    <w:name w:val="Plain Table 1"/>
    <w:basedOn w:val="TableNormal"/>
    <w:uiPriority w:val="41"/>
    <w:rsid w:val="00911DE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911DE3"/>
    <w:pPr>
      <w:spacing w:line="240" w:lineRule="auto"/>
    </w:pPr>
    <w:tblPr>
      <w:tblStyleRowBandSize w:val="1"/>
      <w:tblStyleColBandSize w:val="1"/>
      <w:tblBorders>
        <w:top w:val="single" w:sz="4" w:space="0" w:color="979797" w:themeColor="text1" w:themeTint="80"/>
        <w:bottom w:val="single" w:sz="4" w:space="0" w:color="979797" w:themeColor="text1" w:themeTint="80"/>
      </w:tblBorders>
    </w:tblPr>
    <w:tblStylePr w:type="firstRow">
      <w:rPr>
        <w:b/>
        <w:bCs/>
      </w:rPr>
      <w:tblPr/>
      <w:tcPr>
        <w:tcBorders>
          <w:bottom w:val="single" w:sz="4" w:space="0" w:color="979797" w:themeColor="text1" w:themeTint="80"/>
        </w:tcBorders>
      </w:tcPr>
    </w:tblStylePr>
    <w:tblStylePr w:type="lastRow">
      <w:rPr>
        <w:b/>
        <w:bCs/>
      </w:rPr>
      <w:tblPr/>
      <w:tcPr>
        <w:tcBorders>
          <w:top w:val="single" w:sz="4" w:space="0" w:color="979797" w:themeColor="text1" w:themeTint="80"/>
        </w:tcBorders>
      </w:tcPr>
    </w:tblStylePr>
    <w:tblStylePr w:type="firstCol">
      <w:rPr>
        <w:b/>
        <w:bCs/>
      </w:rPr>
    </w:tblStylePr>
    <w:tblStylePr w:type="lastCol">
      <w:rPr>
        <w:b/>
        <w:bCs/>
      </w:rPr>
    </w:tblStylePr>
    <w:tblStylePr w:type="band1Vert">
      <w:tblPr/>
      <w:tcPr>
        <w:tcBorders>
          <w:left w:val="single" w:sz="4" w:space="0" w:color="979797" w:themeColor="text1" w:themeTint="80"/>
          <w:right w:val="single" w:sz="4" w:space="0" w:color="979797" w:themeColor="text1" w:themeTint="80"/>
        </w:tcBorders>
      </w:tcPr>
    </w:tblStylePr>
    <w:tblStylePr w:type="band2Vert">
      <w:tblPr/>
      <w:tcPr>
        <w:tcBorders>
          <w:left w:val="single" w:sz="4" w:space="0" w:color="979797" w:themeColor="text1" w:themeTint="80"/>
          <w:right w:val="single" w:sz="4" w:space="0" w:color="979797" w:themeColor="text1" w:themeTint="80"/>
        </w:tcBorders>
      </w:tcPr>
    </w:tblStylePr>
    <w:tblStylePr w:type="band1Horz">
      <w:tblPr/>
      <w:tcPr>
        <w:tcBorders>
          <w:top w:val="single" w:sz="4" w:space="0" w:color="979797" w:themeColor="text1" w:themeTint="80"/>
          <w:bottom w:val="single" w:sz="4" w:space="0" w:color="979797" w:themeColor="text1" w:themeTint="80"/>
        </w:tcBorders>
      </w:tcPr>
    </w:tblStylePr>
  </w:style>
  <w:style w:type="table" w:styleId="PlainTable3">
    <w:name w:val="Plain Table 3"/>
    <w:basedOn w:val="TableNormal"/>
    <w:uiPriority w:val="99"/>
    <w:rsid w:val="00911DE3"/>
    <w:pPr>
      <w:spacing w:line="240" w:lineRule="auto"/>
    </w:pPr>
    <w:tblPr>
      <w:tblStyleRowBandSize w:val="1"/>
      <w:tblStyleColBandSize w:val="1"/>
    </w:tblPr>
    <w:tblStylePr w:type="firstRow">
      <w:rPr>
        <w:b/>
        <w:bCs/>
        <w:caps/>
      </w:rPr>
      <w:tblPr/>
      <w:tcPr>
        <w:tcBorders>
          <w:bottom w:val="single" w:sz="4" w:space="0" w:color="9797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797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911DE3"/>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911DE3"/>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97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97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97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97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911DE3"/>
    <w:pPr>
      <w:spacing w:after="0" w:line="240" w:lineRule="auto"/>
    </w:pPr>
    <w:rPr>
      <w:rFonts w:cs="Arial"/>
      <w:sz w:val="21"/>
      <w:szCs w:val="21"/>
    </w:rPr>
  </w:style>
  <w:style w:type="character" w:customStyle="1" w:styleId="PlainTextChar">
    <w:name w:val="Plain Text Char"/>
    <w:basedOn w:val="DefaultParagraphFont"/>
    <w:link w:val="PlainText"/>
    <w:uiPriority w:val="99"/>
    <w:semiHidden/>
    <w:rsid w:val="001261FA"/>
    <w:rPr>
      <w:rFonts w:cs="Arial"/>
      <w:sz w:val="21"/>
      <w:szCs w:val="21"/>
      <w:lang w:val="en-GB"/>
    </w:rPr>
  </w:style>
  <w:style w:type="paragraph" w:styleId="Quote">
    <w:name w:val="Quote"/>
    <w:basedOn w:val="Normal"/>
    <w:next w:val="Normal"/>
    <w:link w:val="QuoteChar"/>
    <w:uiPriority w:val="29"/>
    <w:qFormat/>
    <w:rsid w:val="00115880"/>
    <w:pPr>
      <w:spacing w:before="120" w:after="0" w:line="380" w:lineRule="atLeast"/>
    </w:pPr>
    <w:rPr>
      <w:rFonts w:ascii="Palatino Linotype" w:hAnsi="Palatino Linotype" w:cs="Segoe UI"/>
      <w:b/>
      <w:iCs/>
      <w:color w:val="5EC1A0" w:themeColor="accent6"/>
      <w:sz w:val="30"/>
    </w:rPr>
  </w:style>
  <w:style w:type="character" w:customStyle="1" w:styleId="QuoteChar">
    <w:name w:val="Quote Char"/>
    <w:basedOn w:val="DefaultParagraphFont"/>
    <w:link w:val="Quote"/>
    <w:uiPriority w:val="29"/>
    <w:rsid w:val="00115880"/>
    <w:rPr>
      <w:rFonts w:ascii="Palatino Linotype" w:hAnsi="Palatino Linotype" w:cs="Segoe UI"/>
      <w:b/>
      <w:iCs/>
      <w:color w:val="5EC1A0" w:themeColor="accent6"/>
      <w:sz w:val="30"/>
      <w:lang w:val="en-GB"/>
    </w:rPr>
  </w:style>
  <w:style w:type="paragraph" w:styleId="Salutation">
    <w:name w:val="Salutation"/>
    <w:basedOn w:val="Normal"/>
    <w:next w:val="Normal"/>
    <w:link w:val="SalutationChar"/>
    <w:uiPriority w:val="99"/>
    <w:semiHidden/>
    <w:rsid w:val="00911DE3"/>
    <w:pPr>
      <w:spacing w:after="0"/>
    </w:pPr>
  </w:style>
  <w:style w:type="character" w:customStyle="1" w:styleId="SalutationChar">
    <w:name w:val="Salutation Char"/>
    <w:basedOn w:val="DefaultParagraphFont"/>
    <w:link w:val="Salutation"/>
    <w:uiPriority w:val="99"/>
    <w:semiHidden/>
    <w:rsid w:val="001261FA"/>
    <w:rPr>
      <w:lang w:val="en-GB"/>
    </w:rPr>
  </w:style>
  <w:style w:type="paragraph" w:styleId="Signature">
    <w:name w:val="Signature"/>
    <w:basedOn w:val="Normal"/>
    <w:link w:val="SignatureChar"/>
    <w:uiPriority w:val="99"/>
    <w:semiHidden/>
    <w:rsid w:val="00911DE3"/>
    <w:pPr>
      <w:spacing w:after="0" w:line="240" w:lineRule="auto"/>
      <w:ind w:left="4252"/>
    </w:pPr>
  </w:style>
  <w:style w:type="character" w:customStyle="1" w:styleId="SignatureChar">
    <w:name w:val="Signature Char"/>
    <w:basedOn w:val="DefaultParagraphFont"/>
    <w:link w:val="Signature"/>
    <w:uiPriority w:val="99"/>
    <w:semiHidden/>
    <w:rsid w:val="001261FA"/>
    <w:rPr>
      <w:lang w:val="en-GB"/>
    </w:rPr>
  </w:style>
  <w:style w:type="character" w:styleId="SmartHyperlink">
    <w:name w:val="Smart Hyperlink"/>
    <w:basedOn w:val="DefaultParagraphFont"/>
    <w:uiPriority w:val="99"/>
    <w:semiHidden/>
    <w:rsid w:val="00911DE3"/>
    <w:rPr>
      <w:u w:val="dotted"/>
      <w:lang w:val="en-GB"/>
    </w:rPr>
  </w:style>
  <w:style w:type="character" w:styleId="SmartLink">
    <w:name w:val="Smart Link"/>
    <w:basedOn w:val="DefaultParagraphFont"/>
    <w:uiPriority w:val="99"/>
    <w:semiHidden/>
    <w:rsid w:val="00911DE3"/>
    <w:rPr>
      <w:color w:val="0000FF"/>
      <w:u w:val="single"/>
      <w:shd w:val="clear" w:color="auto" w:fill="F3F2F1"/>
      <w:lang w:val="en-GB"/>
    </w:rPr>
  </w:style>
  <w:style w:type="character" w:styleId="Strong">
    <w:name w:val="Strong"/>
    <w:basedOn w:val="DefaultParagraphFont"/>
    <w:uiPriority w:val="8"/>
    <w:semiHidden/>
    <w:qFormat/>
    <w:rsid w:val="001C49EE"/>
    <w:rPr>
      <w:b/>
      <w:bCs/>
      <w:lang w:val="en-GB"/>
    </w:rPr>
  </w:style>
  <w:style w:type="paragraph" w:styleId="Subtitle">
    <w:name w:val="Subtitle"/>
    <w:basedOn w:val="Normal"/>
    <w:next w:val="Normal"/>
    <w:link w:val="SubtitleChar"/>
    <w:uiPriority w:val="11"/>
    <w:qFormat/>
    <w:rsid w:val="00901321"/>
    <w:pPr>
      <w:numPr>
        <w:ilvl w:val="1"/>
      </w:numPr>
      <w:spacing w:after="160"/>
    </w:pPr>
    <w:rPr>
      <w:rFonts w:eastAsiaTheme="minorEastAsia" w:cs="Arial"/>
      <w:color w:val="797979" w:themeColor="text1" w:themeTint="A5"/>
      <w:spacing w:val="15"/>
      <w:sz w:val="22"/>
      <w:szCs w:val="22"/>
    </w:rPr>
  </w:style>
  <w:style w:type="character" w:customStyle="1" w:styleId="SubtitleChar">
    <w:name w:val="Subtitle Char"/>
    <w:basedOn w:val="DefaultParagraphFont"/>
    <w:link w:val="Subtitle"/>
    <w:uiPriority w:val="11"/>
    <w:rsid w:val="00901321"/>
    <w:rPr>
      <w:rFonts w:eastAsiaTheme="minorEastAsia" w:cs="Arial"/>
      <w:color w:val="797979" w:themeColor="text1" w:themeTint="A5"/>
      <w:spacing w:val="15"/>
      <w:sz w:val="22"/>
      <w:szCs w:val="22"/>
      <w:lang w:val="en-GB"/>
    </w:rPr>
  </w:style>
  <w:style w:type="character" w:styleId="SubtleEmphasis">
    <w:name w:val="Subtle Emphasis"/>
    <w:basedOn w:val="DefaultParagraphFont"/>
    <w:uiPriority w:val="99"/>
    <w:semiHidden/>
    <w:qFormat/>
    <w:rsid w:val="00901321"/>
    <w:rPr>
      <w:i/>
      <w:iCs/>
      <w:color w:val="636363" w:themeColor="text1" w:themeTint="BF"/>
      <w:lang w:val="en-GB"/>
    </w:rPr>
  </w:style>
  <w:style w:type="character" w:styleId="SubtleReference">
    <w:name w:val="Subtle Reference"/>
    <w:basedOn w:val="DefaultParagraphFont"/>
    <w:uiPriority w:val="99"/>
    <w:semiHidden/>
    <w:qFormat/>
    <w:rsid w:val="00901321"/>
    <w:rPr>
      <w:smallCaps/>
      <w:color w:val="797979" w:themeColor="text1" w:themeTint="A5"/>
      <w:lang w:val="en-GB"/>
    </w:rPr>
  </w:style>
  <w:style w:type="table" w:styleId="Table3Deffects1">
    <w:name w:val="Table 3D effects 1"/>
    <w:basedOn w:val="TableNormal"/>
    <w:uiPriority w:val="99"/>
    <w:semiHidden/>
    <w:unhideWhenUsed/>
    <w:rsid w:val="00911DE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11DE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11DE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11DE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11DE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11DE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11DE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11DE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11DE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11DE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11DE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11DE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11DE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11DE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11DE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11DE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11DE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911DE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911D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11DE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11DE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11DE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11DE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11DE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11DE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11DE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99"/>
    <w:rsid w:val="00911DE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11DE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11DE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11DE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11DE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11DE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11DE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11DE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11DE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911DE3"/>
    <w:pPr>
      <w:spacing w:after="0"/>
      <w:ind w:left="200" w:hanging="200"/>
    </w:pPr>
  </w:style>
  <w:style w:type="paragraph" w:styleId="TableofFigures">
    <w:name w:val="table of figures"/>
    <w:basedOn w:val="Normal"/>
    <w:next w:val="Normal"/>
    <w:uiPriority w:val="99"/>
    <w:rsid w:val="004E57D2"/>
    <w:pPr>
      <w:tabs>
        <w:tab w:val="right" w:leader="dot" w:pos="9622"/>
      </w:tabs>
      <w:spacing w:after="0"/>
      <w:ind w:right="567"/>
    </w:pPr>
  </w:style>
  <w:style w:type="table" w:styleId="TableProfessional">
    <w:name w:val="Table Professional"/>
    <w:basedOn w:val="TableNormal"/>
    <w:uiPriority w:val="99"/>
    <w:semiHidden/>
    <w:unhideWhenUsed/>
    <w:rsid w:val="00911D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11DE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11DE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11DE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11DE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11DE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11D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11DE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11DE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11DE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901321"/>
    <w:pPr>
      <w:spacing w:after="0" w:line="240" w:lineRule="auto"/>
      <w:contextualSpacing/>
    </w:pPr>
    <w:rPr>
      <w:rFonts w:eastAsiaTheme="majorEastAsia" w:cs="Arial"/>
      <w:spacing w:val="-10"/>
      <w:kern w:val="28"/>
      <w:sz w:val="56"/>
      <w:szCs w:val="56"/>
    </w:rPr>
  </w:style>
  <w:style w:type="character" w:customStyle="1" w:styleId="TitleChar">
    <w:name w:val="Title Char"/>
    <w:basedOn w:val="DefaultParagraphFont"/>
    <w:link w:val="Title"/>
    <w:uiPriority w:val="10"/>
    <w:rsid w:val="00901321"/>
    <w:rPr>
      <w:rFonts w:eastAsiaTheme="majorEastAsia" w:cs="Arial"/>
      <w:spacing w:val="-10"/>
      <w:kern w:val="28"/>
      <w:sz w:val="56"/>
      <w:szCs w:val="56"/>
      <w:lang w:val="en-GB"/>
    </w:rPr>
  </w:style>
  <w:style w:type="paragraph" w:styleId="TOAHeading">
    <w:name w:val="toa heading"/>
    <w:basedOn w:val="Normal"/>
    <w:next w:val="Normal"/>
    <w:uiPriority w:val="39"/>
    <w:semiHidden/>
    <w:rsid w:val="00911DE3"/>
    <w:pPr>
      <w:spacing w:before="120" w:after="0"/>
    </w:pPr>
    <w:rPr>
      <w:rFonts w:eastAsiaTheme="majorEastAsia" w:cs="Arial"/>
      <w:b/>
      <w:bCs/>
      <w:sz w:val="24"/>
      <w:szCs w:val="24"/>
    </w:rPr>
  </w:style>
  <w:style w:type="paragraph" w:styleId="TOC1">
    <w:name w:val="toc 1"/>
    <w:basedOn w:val="Normal"/>
    <w:next w:val="Normal"/>
    <w:uiPriority w:val="39"/>
    <w:rsid w:val="00D46D70"/>
    <w:pPr>
      <w:tabs>
        <w:tab w:val="right" w:leader="dot" w:pos="9622"/>
      </w:tabs>
      <w:spacing w:before="200" w:after="40"/>
      <w:ind w:left="765" w:right="567" w:hanging="765"/>
    </w:pPr>
    <w:rPr>
      <w:b/>
    </w:rPr>
  </w:style>
  <w:style w:type="paragraph" w:styleId="TOC2">
    <w:name w:val="toc 2"/>
    <w:basedOn w:val="Normal"/>
    <w:next w:val="Normal"/>
    <w:uiPriority w:val="39"/>
    <w:rsid w:val="00D46D70"/>
    <w:pPr>
      <w:tabs>
        <w:tab w:val="right" w:leader="dot" w:pos="9622"/>
      </w:tabs>
      <w:spacing w:after="40"/>
      <w:ind w:left="935" w:right="567" w:hanging="765"/>
    </w:pPr>
  </w:style>
  <w:style w:type="paragraph" w:styleId="TOC3">
    <w:name w:val="toc 3"/>
    <w:basedOn w:val="Normal"/>
    <w:next w:val="Normal"/>
    <w:uiPriority w:val="39"/>
    <w:rsid w:val="00D46D70"/>
    <w:pPr>
      <w:tabs>
        <w:tab w:val="right" w:leader="dot" w:pos="9622"/>
      </w:tabs>
      <w:spacing w:after="40"/>
      <w:ind w:left="1077" w:right="567" w:hanging="765"/>
    </w:pPr>
  </w:style>
  <w:style w:type="paragraph" w:styleId="TOC4">
    <w:name w:val="toc 4"/>
    <w:basedOn w:val="Normal"/>
    <w:next w:val="Normal"/>
    <w:uiPriority w:val="39"/>
    <w:rsid w:val="00D46D70"/>
    <w:pPr>
      <w:tabs>
        <w:tab w:val="right" w:leader="dot" w:pos="9622"/>
      </w:tabs>
      <w:spacing w:after="40"/>
      <w:ind w:left="1219" w:right="567" w:hanging="765"/>
    </w:pPr>
  </w:style>
  <w:style w:type="paragraph" w:styleId="TOC5">
    <w:name w:val="toc 5"/>
    <w:basedOn w:val="Normal"/>
    <w:next w:val="Normal"/>
    <w:uiPriority w:val="39"/>
    <w:semiHidden/>
    <w:rsid w:val="00D46D70"/>
    <w:pPr>
      <w:tabs>
        <w:tab w:val="right" w:leader="dot" w:pos="9622"/>
      </w:tabs>
      <w:spacing w:after="40"/>
      <w:ind w:left="1219" w:right="567" w:hanging="765"/>
    </w:pPr>
  </w:style>
  <w:style w:type="paragraph" w:styleId="TOC6">
    <w:name w:val="toc 6"/>
    <w:basedOn w:val="Normal"/>
    <w:next w:val="Normal"/>
    <w:uiPriority w:val="39"/>
    <w:semiHidden/>
    <w:rsid w:val="00D46D70"/>
    <w:pPr>
      <w:tabs>
        <w:tab w:val="right" w:leader="dot" w:pos="9622"/>
      </w:tabs>
      <w:spacing w:after="40"/>
      <w:ind w:left="1219" w:right="567" w:hanging="765"/>
    </w:pPr>
  </w:style>
  <w:style w:type="paragraph" w:styleId="TOC7">
    <w:name w:val="toc 7"/>
    <w:basedOn w:val="Normal"/>
    <w:next w:val="Normal"/>
    <w:uiPriority w:val="39"/>
    <w:semiHidden/>
    <w:rsid w:val="00D46D70"/>
    <w:pPr>
      <w:tabs>
        <w:tab w:val="right" w:leader="dot" w:pos="9622"/>
      </w:tabs>
      <w:spacing w:after="40"/>
      <w:ind w:left="1219" w:right="567" w:hanging="765"/>
    </w:pPr>
  </w:style>
  <w:style w:type="paragraph" w:styleId="TOC8">
    <w:name w:val="toc 8"/>
    <w:basedOn w:val="Normal"/>
    <w:next w:val="Normal"/>
    <w:uiPriority w:val="39"/>
    <w:semiHidden/>
    <w:rsid w:val="00D46D70"/>
    <w:pPr>
      <w:tabs>
        <w:tab w:val="right" w:leader="dot" w:pos="9622"/>
      </w:tabs>
      <w:spacing w:after="40"/>
      <w:ind w:left="1219" w:right="567" w:hanging="765"/>
    </w:pPr>
  </w:style>
  <w:style w:type="paragraph" w:styleId="TOC9">
    <w:name w:val="toc 9"/>
    <w:basedOn w:val="Normal"/>
    <w:next w:val="Normal"/>
    <w:uiPriority w:val="39"/>
    <w:rsid w:val="00D46D70"/>
    <w:pPr>
      <w:tabs>
        <w:tab w:val="right" w:leader="dot" w:pos="9622"/>
      </w:tabs>
      <w:spacing w:before="160" w:after="40"/>
      <w:ind w:right="567"/>
    </w:pPr>
    <w:rPr>
      <w:b/>
    </w:rPr>
  </w:style>
  <w:style w:type="paragraph" w:styleId="TOCHeading">
    <w:name w:val="TOC Heading"/>
    <w:basedOn w:val="Heading1"/>
    <w:next w:val="Normal"/>
    <w:link w:val="TOCHeadingChar"/>
    <w:uiPriority w:val="39"/>
    <w:qFormat/>
    <w:rsid w:val="005B00EA"/>
    <w:pPr>
      <w:pageBreakBefore/>
      <w:numPr>
        <w:numId w:val="0"/>
      </w:numPr>
      <w:spacing w:after="1600" w:line="880" w:lineRule="exact"/>
      <w:outlineLvl w:val="9"/>
    </w:pPr>
    <w:rPr>
      <w:rFonts w:ascii="Segoe UI Light" w:hAnsi="Segoe UI Light" w:cs="Segoe UI"/>
      <w:b w:val="0"/>
      <w:sz w:val="80"/>
    </w:rPr>
  </w:style>
  <w:style w:type="character" w:styleId="UnresolvedMention">
    <w:name w:val="Unresolved Mention"/>
    <w:basedOn w:val="DefaultParagraphFont"/>
    <w:uiPriority w:val="99"/>
    <w:semiHidden/>
    <w:rsid w:val="00911DE3"/>
    <w:rPr>
      <w:color w:val="605E5C"/>
      <w:shd w:val="clear" w:color="auto" w:fill="E1DFDD"/>
      <w:lang w:val="en-GB"/>
    </w:rPr>
  </w:style>
  <w:style w:type="paragraph" w:customStyle="1" w:styleId="Template">
    <w:name w:val="Template"/>
    <w:uiPriority w:val="15"/>
    <w:semiHidden/>
    <w:rsid w:val="00846626"/>
    <w:pPr>
      <w:suppressAutoHyphens/>
    </w:pPr>
    <w:rPr>
      <w:noProof/>
      <w:sz w:val="16"/>
      <w:lang w:val="en-GB"/>
    </w:rPr>
  </w:style>
  <w:style w:type="paragraph" w:customStyle="1" w:styleId="Table">
    <w:name w:val="Table"/>
    <w:uiPriority w:val="4"/>
    <w:semiHidden/>
    <w:rsid w:val="001C49EE"/>
    <w:pPr>
      <w:spacing w:before="40" w:after="40"/>
      <w:ind w:left="113" w:right="113"/>
    </w:pPr>
    <w:rPr>
      <w:lang w:val="en-GB"/>
    </w:rPr>
  </w:style>
  <w:style w:type="paragraph" w:customStyle="1" w:styleId="Table-Heading">
    <w:name w:val="Table - Heading"/>
    <w:basedOn w:val="Table"/>
    <w:uiPriority w:val="4"/>
    <w:rsid w:val="001C49EE"/>
    <w:pPr>
      <w:keepNext/>
      <w:keepLines/>
    </w:pPr>
    <w:rPr>
      <w:b/>
    </w:rPr>
  </w:style>
  <w:style w:type="paragraph" w:customStyle="1" w:styleId="Table-HeadingRight">
    <w:name w:val="Table - Heading Right"/>
    <w:basedOn w:val="Table-Heading"/>
    <w:uiPriority w:val="4"/>
    <w:rsid w:val="001C49EE"/>
    <w:pPr>
      <w:jc w:val="right"/>
    </w:pPr>
  </w:style>
  <w:style w:type="paragraph" w:customStyle="1" w:styleId="Table-Text">
    <w:name w:val="Table - Text"/>
    <w:basedOn w:val="Table"/>
    <w:uiPriority w:val="4"/>
    <w:rsid w:val="001C49EE"/>
  </w:style>
  <w:style w:type="paragraph" w:customStyle="1" w:styleId="Table-TextTotal">
    <w:name w:val="Table - Text Total"/>
    <w:basedOn w:val="Table-Text"/>
    <w:uiPriority w:val="4"/>
    <w:rsid w:val="001C49EE"/>
    <w:rPr>
      <w:b/>
    </w:rPr>
  </w:style>
  <w:style w:type="paragraph" w:customStyle="1" w:styleId="Table-Number">
    <w:name w:val="Table - Number"/>
    <w:basedOn w:val="Table"/>
    <w:uiPriority w:val="4"/>
    <w:rsid w:val="001C49EE"/>
    <w:pPr>
      <w:jc w:val="right"/>
    </w:pPr>
  </w:style>
  <w:style w:type="paragraph" w:customStyle="1" w:styleId="Table-NumberTotal">
    <w:name w:val="Table - Number Total"/>
    <w:basedOn w:val="Table-Number"/>
    <w:uiPriority w:val="4"/>
    <w:rsid w:val="001C49EE"/>
    <w:rPr>
      <w:b/>
    </w:rPr>
  </w:style>
  <w:style w:type="paragraph" w:customStyle="1" w:styleId="Template-CompanyName">
    <w:name w:val="Template - Company Name"/>
    <w:basedOn w:val="Template"/>
    <w:next w:val="Template-Address"/>
    <w:uiPriority w:val="15"/>
    <w:semiHidden/>
    <w:rsid w:val="00B96627"/>
    <w:rPr>
      <w:b/>
    </w:rPr>
  </w:style>
  <w:style w:type="paragraph" w:customStyle="1" w:styleId="Template-Address">
    <w:name w:val="Template - Address"/>
    <w:basedOn w:val="Template"/>
    <w:uiPriority w:val="15"/>
    <w:semiHidden/>
    <w:rsid w:val="00936947"/>
    <w:pPr>
      <w:tabs>
        <w:tab w:val="left" w:pos="567"/>
      </w:tabs>
    </w:pPr>
  </w:style>
  <w:style w:type="paragraph" w:customStyle="1" w:styleId="Template-Date">
    <w:name w:val="Template - Date"/>
    <w:basedOn w:val="Template"/>
    <w:uiPriority w:val="15"/>
    <w:semiHidden/>
    <w:rsid w:val="00EB289A"/>
  </w:style>
  <w:style w:type="paragraph" w:customStyle="1" w:styleId="Image">
    <w:name w:val="Image"/>
    <w:basedOn w:val="Normal"/>
    <w:uiPriority w:val="11"/>
    <w:semiHidden/>
    <w:qFormat/>
    <w:rsid w:val="00901321"/>
    <w:pPr>
      <w:keepNext/>
      <w:keepLines/>
      <w:spacing w:after="0"/>
    </w:pPr>
    <w:rPr>
      <w:rFonts w:cs="Segoe UI Light"/>
    </w:rPr>
  </w:style>
  <w:style w:type="paragraph" w:customStyle="1" w:styleId="Cover-Title">
    <w:name w:val="Cover - Title"/>
    <w:basedOn w:val="Normal"/>
    <w:link w:val="Cover-TitleChar"/>
    <w:uiPriority w:val="10"/>
    <w:rsid w:val="006B3D8A"/>
    <w:pPr>
      <w:suppressAutoHyphens/>
      <w:spacing w:after="260" w:line="880" w:lineRule="exact"/>
      <w:contextualSpacing/>
      <w:jc w:val="right"/>
    </w:pPr>
    <w:rPr>
      <w:rFonts w:ascii="Segoe UI Light" w:hAnsi="Segoe UI Light" w:cs="Segoe UI"/>
      <w:sz w:val="80"/>
    </w:rPr>
  </w:style>
  <w:style w:type="paragraph" w:customStyle="1" w:styleId="Cover-Subtitle">
    <w:name w:val="Cover - Subtitle"/>
    <w:basedOn w:val="Normal"/>
    <w:link w:val="Cover-SubtitleChar"/>
    <w:uiPriority w:val="10"/>
    <w:rsid w:val="00CB13A6"/>
    <w:pPr>
      <w:suppressAutoHyphens/>
      <w:spacing w:after="0" w:line="480" w:lineRule="atLeast"/>
      <w:jc w:val="right"/>
    </w:pPr>
    <w:rPr>
      <w:b/>
      <w:bCs/>
      <w:sz w:val="40"/>
      <w:szCs w:val="40"/>
    </w:rPr>
  </w:style>
  <w:style w:type="paragraph" w:customStyle="1" w:styleId="Table-ListBullet">
    <w:name w:val="Table - List Bullet"/>
    <w:basedOn w:val="Table"/>
    <w:uiPriority w:val="4"/>
    <w:rsid w:val="001C49EE"/>
    <w:pPr>
      <w:tabs>
        <w:tab w:val="num" w:pos="720"/>
      </w:tabs>
      <w:ind w:left="284" w:hanging="171"/>
    </w:pPr>
  </w:style>
  <w:style w:type="numbering" w:customStyle="1" w:styleId="ListStyle-ListBullet">
    <w:name w:val="_List Style - List Bullet"/>
    <w:uiPriority w:val="99"/>
    <w:rsid w:val="00B76738"/>
    <w:pPr>
      <w:numPr>
        <w:numId w:val="3"/>
      </w:numPr>
    </w:pPr>
  </w:style>
  <w:style w:type="numbering" w:customStyle="1" w:styleId="ListStyle-ListNumber">
    <w:name w:val="_List Style - List Number"/>
    <w:uiPriority w:val="99"/>
    <w:rsid w:val="00B76738"/>
    <w:pPr>
      <w:numPr>
        <w:numId w:val="12"/>
      </w:numPr>
    </w:pPr>
  </w:style>
  <w:style w:type="numbering" w:customStyle="1" w:styleId="ListStyle-TableListBullet">
    <w:name w:val="_List Style - Table List Bullet"/>
    <w:uiPriority w:val="99"/>
    <w:rsid w:val="0033224A"/>
    <w:pPr>
      <w:numPr>
        <w:numId w:val="11"/>
      </w:numPr>
    </w:pPr>
  </w:style>
  <w:style w:type="paragraph" w:customStyle="1" w:styleId="Table-ListNumber">
    <w:name w:val="Table - List Number"/>
    <w:basedOn w:val="Table"/>
    <w:uiPriority w:val="4"/>
    <w:rsid w:val="00B76738"/>
    <w:pPr>
      <w:tabs>
        <w:tab w:val="num" w:pos="720"/>
      </w:tabs>
      <w:ind w:left="340" w:hanging="227"/>
    </w:pPr>
  </w:style>
  <w:style w:type="numbering" w:customStyle="1" w:styleId="ListStyle-TableListNumber">
    <w:name w:val="_List Style - Table List Number"/>
    <w:uiPriority w:val="99"/>
    <w:rsid w:val="00B76738"/>
    <w:pPr>
      <w:numPr>
        <w:numId w:val="6"/>
      </w:numPr>
    </w:pPr>
  </w:style>
  <w:style w:type="table" w:customStyle="1" w:styleId="Blank">
    <w:name w:val="Blank"/>
    <w:basedOn w:val="TableNormal"/>
    <w:uiPriority w:val="99"/>
    <w:rsid w:val="00722264"/>
    <w:rPr>
      <w:rFonts w:cs="Segoe UI Light"/>
    </w:rPr>
    <w:tblPr>
      <w:tblCellMar>
        <w:left w:w="0" w:type="dxa"/>
        <w:right w:w="0" w:type="dxa"/>
      </w:tblCellMar>
    </w:tblPr>
  </w:style>
  <w:style w:type="paragraph" w:customStyle="1" w:styleId="Cover-Date">
    <w:name w:val="Cover - Date"/>
    <w:basedOn w:val="Normal"/>
    <w:link w:val="Cover-DateChar"/>
    <w:uiPriority w:val="10"/>
    <w:rsid w:val="00B76738"/>
    <w:pPr>
      <w:spacing w:after="0" w:line="240" w:lineRule="atLeast"/>
      <w:jc w:val="right"/>
    </w:pPr>
    <w:rPr>
      <w:rFonts w:ascii="Segoe UI Light" w:hAnsi="Segoe UI Light" w:cs="Segoe UI"/>
    </w:rPr>
  </w:style>
  <w:style w:type="paragraph" w:customStyle="1" w:styleId="Cover-Text">
    <w:name w:val="Cover - Text"/>
    <w:basedOn w:val="Normal"/>
    <w:link w:val="Cover-TextChar"/>
    <w:uiPriority w:val="10"/>
    <w:rsid w:val="00B76738"/>
    <w:pPr>
      <w:spacing w:after="0" w:line="480" w:lineRule="atLeast"/>
      <w:jc w:val="right"/>
    </w:pPr>
    <w:rPr>
      <w:rFonts w:ascii="Segoe UI Light" w:hAnsi="Segoe UI Light" w:cs="Segoe UI"/>
      <w:sz w:val="40"/>
      <w:szCs w:val="40"/>
    </w:rPr>
  </w:style>
  <w:style w:type="paragraph" w:customStyle="1" w:styleId="Line">
    <w:name w:val="Line"/>
    <w:basedOn w:val="Normal"/>
    <w:next w:val="Normal"/>
    <w:uiPriority w:val="3"/>
    <w:rsid w:val="002527EA"/>
    <w:pPr>
      <w:pBdr>
        <w:top w:val="single" w:sz="12" w:space="1" w:color="77787B"/>
      </w:pBdr>
      <w:spacing w:after="0" w:line="120" w:lineRule="exact"/>
    </w:pPr>
    <w:rPr>
      <w:sz w:val="12"/>
    </w:rPr>
  </w:style>
  <w:style w:type="paragraph" w:customStyle="1" w:styleId="Heading9AppendixSub">
    <w:name w:val="Heading 9 Appendix Sub"/>
    <w:basedOn w:val="Normal"/>
    <w:link w:val="Heading9AppendixSubChar"/>
    <w:uiPriority w:val="9"/>
    <w:rsid w:val="00C47ED8"/>
    <w:pPr>
      <w:spacing w:before="180" w:after="0" w:line="440" w:lineRule="atLeast"/>
      <w:jc w:val="right"/>
    </w:pPr>
    <w:rPr>
      <w:b/>
      <w:color w:val="5EC1A0" w:themeColor="accent6"/>
      <w:sz w:val="40"/>
    </w:rPr>
  </w:style>
  <w:style w:type="table" w:customStyle="1" w:styleId="NirasTableStyle">
    <w:name w:val="Niras Table Style"/>
    <w:basedOn w:val="TableNormal"/>
    <w:uiPriority w:val="99"/>
    <w:rsid w:val="005A52E0"/>
    <w:rPr>
      <w:rFonts w:cs="Segoe UI Light"/>
    </w:rPr>
    <w:tblPr>
      <w:tblStyleRowBandSize w:val="1"/>
      <w:tblBorders>
        <w:insideV w:val="single" w:sz="4" w:space="0" w:color="auto"/>
      </w:tblBorders>
      <w:tblCellMar>
        <w:left w:w="0" w:type="dxa"/>
        <w:right w:w="0" w:type="dxa"/>
      </w:tblCellMar>
    </w:tblPr>
    <w:tblStylePr w:type="firstRow">
      <w:rPr>
        <w:u w:val="none"/>
      </w:rPr>
      <w:tblPr/>
      <w:trPr>
        <w:tblHeader/>
      </w:trPr>
      <w:tcPr>
        <w:tcBorders>
          <w:insideV w:val="nil"/>
        </w:tcBorders>
      </w:tcPr>
    </w:tblStylePr>
    <w:tblStylePr w:type="band1Horz">
      <w:tblPr/>
      <w:tcPr>
        <w:shd w:val="clear" w:color="auto" w:fill="C4D5D3" w:themeFill="accent1"/>
      </w:tcPr>
    </w:tblStylePr>
  </w:style>
  <w:style w:type="paragraph" w:customStyle="1" w:styleId="FactBox">
    <w:name w:val="Fact Box"/>
    <w:basedOn w:val="Normal"/>
    <w:uiPriority w:val="5"/>
    <w:semiHidden/>
    <w:rsid w:val="00B03386"/>
    <w:pPr>
      <w:spacing w:before="170" w:after="170"/>
      <w:ind w:left="170" w:right="170"/>
    </w:pPr>
  </w:style>
  <w:style w:type="paragraph" w:customStyle="1" w:styleId="FactBox-Text">
    <w:name w:val="Fact Box - Text"/>
    <w:basedOn w:val="FactBox"/>
    <w:uiPriority w:val="5"/>
    <w:semiHidden/>
    <w:rsid w:val="00271A6B"/>
  </w:style>
  <w:style w:type="paragraph" w:customStyle="1" w:styleId="FactBox-Heading">
    <w:name w:val="Fact Box - Heading"/>
    <w:basedOn w:val="FactBox"/>
    <w:next w:val="FactBox-Text"/>
    <w:uiPriority w:val="5"/>
    <w:semiHidden/>
    <w:rsid w:val="008750F5"/>
    <w:pPr>
      <w:keepNext/>
      <w:keepLines/>
    </w:pPr>
    <w:rPr>
      <w:b/>
    </w:rPr>
  </w:style>
  <w:style w:type="paragraph" w:customStyle="1" w:styleId="FactBox-ListBullet">
    <w:name w:val="Fact Box - List Bullet"/>
    <w:basedOn w:val="FactBox"/>
    <w:uiPriority w:val="5"/>
    <w:semiHidden/>
    <w:rsid w:val="00B76738"/>
    <w:pPr>
      <w:tabs>
        <w:tab w:val="num" w:pos="720"/>
      </w:tabs>
      <w:ind w:left="454" w:hanging="284"/>
    </w:pPr>
  </w:style>
  <w:style w:type="numbering" w:customStyle="1" w:styleId="ListStyle-FactBoxListBullet">
    <w:name w:val="_List Style - Fact Box List Bullet"/>
    <w:uiPriority w:val="99"/>
    <w:rsid w:val="00B76738"/>
    <w:pPr>
      <w:numPr>
        <w:numId w:val="4"/>
      </w:numPr>
    </w:pPr>
  </w:style>
  <w:style w:type="paragraph" w:customStyle="1" w:styleId="Footer-PageNumber">
    <w:name w:val="Footer - Page Number"/>
    <w:basedOn w:val="Footer"/>
    <w:next w:val="Footer"/>
    <w:uiPriority w:val="13"/>
    <w:rsid w:val="001C49EE"/>
    <w:pPr>
      <w:jc w:val="right"/>
    </w:pPr>
  </w:style>
  <w:style w:type="numbering" w:customStyle="1" w:styleId="ListStyle-AppendixHeading">
    <w:name w:val="_List Style - Appendix Heading"/>
    <w:uiPriority w:val="99"/>
    <w:rsid w:val="00B76738"/>
    <w:pPr>
      <w:numPr>
        <w:numId w:val="5"/>
      </w:numPr>
    </w:pPr>
  </w:style>
  <w:style w:type="paragraph" w:customStyle="1" w:styleId="GuidanceText">
    <w:name w:val="GuidanceText"/>
    <w:basedOn w:val="Normal"/>
    <w:uiPriority w:val="3"/>
    <w:rsid w:val="00901321"/>
    <w:pPr>
      <w:spacing w:after="0" w:line="240" w:lineRule="atLeast"/>
    </w:pPr>
    <w:rPr>
      <w:i/>
      <w:color w:val="C00000"/>
      <w:sz w:val="17"/>
    </w:rPr>
  </w:style>
  <w:style w:type="paragraph" w:customStyle="1" w:styleId="ListAlphabet">
    <w:name w:val="List Alphabet"/>
    <w:basedOn w:val="Normal"/>
    <w:uiPriority w:val="2"/>
    <w:semiHidden/>
    <w:rsid w:val="00B76738"/>
    <w:pPr>
      <w:numPr>
        <w:numId w:val="8"/>
      </w:numPr>
      <w:spacing w:after="0"/>
    </w:pPr>
  </w:style>
  <w:style w:type="numbering" w:customStyle="1" w:styleId="ListStyle-ListAlphabet">
    <w:name w:val="_List Style - List Alphabet"/>
    <w:uiPriority w:val="99"/>
    <w:rsid w:val="00B76738"/>
    <w:pPr>
      <w:numPr>
        <w:numId w:val="8"/>
      </w:numPr>
    </w:pPr>
  </w:style>
  <w:style w:type="paragraph" w:customStyle="1" w:styleId="ListAlphabet2">
    <w:name w:val="List Alphabet 2"/>
    <w:basedOn w:val="Normal"/>
    <w:uiPriority w:val="2"/>
    <w:semiHidden/>
    <w:rsid w:val="00B76738"/>
    <w:pPr>
      <w:numPr>
        <w:ilvl w:val="1"/>
        <w:numId w:val="8"/>
      </w:numPr>
      <w:spacing w:after="0"/>
    </w:pPr>
  </w:style>
  <w:style w:type="paragraph" w:customStyle="1" w:styleId="ListAlphabet3">
    <w:name w:val="List Alphabet 3"/>
    <w:basedOn w:val="Normal"/>
    <w:uiPriority w:val="2"/>
    <w:semiHidden/>
    <w:rsid w:val="00B76738"/>
    <w:pPr>
      <w:numPr>
        <w:ilvl w:val="2"/>
        <w:numId w:val="8"/>
      </w:numPr>
      <w:spacing w:after="0"/>
    </w:pPr>
  </w:style>
  <w:style w:type="paragraph" w:customStyle="1" w:styleId="FactBox-ListNumber">
    <w:name w:val="Fact Box - List Number"/>
    <w:basedOn w:val="FactBox"/>
    <w:uiPriority w:val="5"/>
    <w:semiHidden/>
    <w:rsid w:val="00B76738"/>
    <w:pPr>
      <w:tabs>
        <w:tab w:val="num" w:pos="720"/>
      </w:tabs>
      <w:ind w:left="510" w:hanging="340"/>
    </w:pPr>
  </w:style>
  <w:style w:type="numbering" w:customStyle="1" w:styleId="ListStyle-FactBoxListNumber">
    <w:name w:val="_List Style - Fact Box List Number"/>
    <w:uiPriority w:val="99"/>
    <w:rsid w:val="00B76738"/>
    <w:pPr>
      <w:numPr>
        <w:numId w:val="30"/>
      </w:numPr>
    </w:pPr>
  </w:style>
  <w:style w:type="character" w:customStyle="1" w:styleId="Cover-TitleChar">
    <w:name w:val="Cover - Title Char"/>
    <w:basedOn w:val="DefaultParagraphFont"/>
    <w:link w:val="Cover-Title"/>
    <w:uiPriority w:val="10"/>
    <w:rsid w:val="006B3D8A"/>
    <w:rPr>
      <w:rFonts w:ascii="Segoe UI Light" w:hAnsi="Segoe UI Light" w:cs="Segoe UI"/>
      <w:sz w:val="80"/>
      <w:lang w:val="en-GB"/>
    </w:rPr>
  </w:style>
  <w:style w:type="character" w:customStyle="1" w:styleId="Cover-SubtitleChar">
    <w:name w:val="Cover - Subtitle Char"/>
    <w:basedOn w:val="DefaultParagraphFont"/>
    <w:link w:val="Cover-Subtitle"/>
    <w:uiPriority w:val="10"/>
    <w:rsid w:val="00CB13A6"/>
    <w:rPr>
      <w:b/>
      <w:bCs/>
      <w:sz w:val="40"/>
      <w:szCs w:val="40"/>
      <w:lang w:val="en-GB"/>
    </w:rPr>
  </w:style>
  <w:style w:type="character" w:customStyle="1" w:styleId="Cover-TextChar">
    <w:name w:val="Cover - Text Char"/>
    <w:basedOn w:val="DefaultParagraphFont"/>
    <w:link w:val="Cover-Text"/>
    <w:uiPriority w:val="10"/>
    <w:rsid w:val="00B76738"/>
    <w:rPr>
      <w:rFonts w:ascii="Segoe UI Light" w:hAnsi="Segoe UI Light" w:cs="Segoe UI"/>
      <w:sz w:val="40"/>
      <w:szCs w:val="40"/>
      <w:lang w:val="en-GB"/>
    </w:rPr>
  </w:style>
  <w:style w:type="character" w:customStyle="1" w:styleId="Cover-DateChar">
    <w:name w:val="Cover - Date Char"/>
    <w:basedOn w:val="DefaultParagraphFont"/>
    <w:link w:val="Cover-Date"/>
    <w:uiPriority w:val="10"/>
    <w:rsid w:val="00B76738"/>
    <w:rPr>
      <w:rFonts w:ascii="Segoe UI Light" w:hAnsi="Segoe UI Light" w:cs="Segoe UI"/>
      <w:lang w:val="en-GB"/>
    </w:rPr>
  </w:style>
  <w:style w:type="character" w:customStyle="1" w:styleId="TOCHeadingChar">
    <w:name w:val="TOC Heading Char"/>
    <w:basedOn w:val="Heading1Char"/>
    <w:link w:val="TOCHeading"/>
    <w:uiPriority w:val="39"/>
    <w:rsid w:val="005B00EA"/>
    <w:rPr>
      <w:rFonts w:ascii="Segoe UI Light" w:eastAsiaTheme="majorEastAsia" w:hAnsi="Segoe UI Light" w:cs="Segoe UI"/>
      <w:b w:val="0"/>
      <w:sz w:val="80"/>
      <w:szCs w:val="32"/>
      <w:lang w:val="en-GB"/>
    </w:rPr>
  </w:style>
  <w:style w:type="character" w:customStyle="1" w:styleId="Heading9AppendixSubChar">
    <w:name w:val="Heading 9 Appendix Sub Char"/>
    <w:basedOn w:val="DefaultParagraphFont"/>
    <w:link w:val="Heading9AppendixSub"/>
    <w:uiPriority w:val="9"/>
    <w:rsid w:val="00114F08"/>
    <w:rPr>
      <w:b/>
      <w:color w:val="5EC1A0" w:themeColor="accent6"/>
      <w:sz w:val="40"/>
      <w:lang w:val="en-GB"/>
    </w:rPr>
  </w:style>
  <w:style w:type="paragraph" w:customStyle="1" w:styleId="Template-N">
    <w:name w:val="Template - N"/>
    <w:basedOn w:val="Normal"/>
    <w:uiPriority w:val="15"/>
    <w:semiHidden/>
    <w:qFormat/>
    <w:rsid w:val="00C249D1"/>
    <w:pPr>
      <w:spacing w:after="0"/>
    </w:pPr>
  </w:style>
  <w:style w:type="paragraph" w:customStyle="1" w:styleId="AppendixHeading1">
    <w:name w:val="Appendix Heading 1"/>
    <w:basedOn w:val="Normal"/>
    <w:uiPriority w:val="9"/>
    <w:rsid w:val="001C49EE"/>
    <w:pPr>
      <w:spacing w:before="480" w:line="360" w:lineRule="atLeast"/>
    </w:pPr>
    <w:rPr>
      <w:rFonts w:cstheme="minorHAnsi"/>
      <w:b/>
      <w:bCs/>
      <w:sz w:val="28"/>
      <w:szCs w:val="28"/>
    </w:rPr>
  </w:style>
  <w:style w:type="paragraph" w:customStyle="1" w:styleId="AppendixHeading2">
    <w:name w:val="Appendix Heading 2"/>
    <w:basedOn w:val="Normal"/>
    <w:next w:val="Normal"/>
    <w:uiPriority w:val="9"/>
    <w:rsid w:val="001C49EE"/>
    <w:pPr>
      <w:spacing w:before="180" w:after="0" w:line="320" w:lineRule="atLeast"/>
    </w:pPr>
    <w:rPr>
      <w:b/>
      <w:sz w:val="24"/>
    </w:rPr>
  </w:style>
  <w:style w:type="paragraph" w:customStyle="1" w:styleId="AppendixHeading3">
    <w:name w:val="Appendix Heading 3"/>
    <w:basedOn w:val="Normal"/>
    <w:uiPriority w:val="9"/>
    <w:rsid w:val="001C49EE"/>
    <w:pPr>
      <w:spacing w:before="180" w:after="0"/>
    </w:pPr>
    <w:rPr>
      <w:b/>
    </w:rPr>
  </w:style>
  <w:style w:type="paragraph" w:customStyle="1" w:styleId="AppendixHeading4">
    <w:name w:val="Appendix Heading 4"/>
    <w:basedOn w:val="Normal"/>
    <w:next w:val="Normal"/>
    <w:uiPriority w:val="9"/>
    <w:rsid w:val="001C49EE"/>
    <w:pPr>
      <w:spacing w:before="180" w:after="0"/>
    </w:pPr>
    <w:rPr>
      <w:i/>
    </w:rPr>
  </w:style>
  <w:style w:type="paragraph" w:customStyle="1" w:styleId="AppendixHeading5">
    <w:name w:val="Appendix Heading 5"/>
    <w:basedOn w:val="Normal"/>
    <w:next w:val="Normal"/>
    <w:uiPriority w:val="9"/>
    <w:rsid w:val="001C49EE"/>
    <w:pPr>
      <w:spacing w:before="180" w:after="0"/>
    </w:pPr>
    <w:rPr>
      <w:rFonts w:cs="Segoe UI"/>
      <w:u w:val="single"/>
    </w:rPr>
  </w:style>
  <w:style w:type="paragraph" w:customStyle="1" w:styleId="Quote-Name">
    <w:name w:val="Quote - Name"/>
    <w:basedOn w:val="Normal"/>
    <w:uiPriority w:val="12"/>
    <w:rsid w:val="00115880"/>
    <w:pPr>
      <w:spacing w:after="140"/>
      <w:jc w:val="right"/>
    </w:pPr>
    <w:rPr>
      <w:rFonts w:ascii="Palatino Linotype" w:hAnsi="Palatino Linotype" w:cs="Segoe UI Light"/>
      <w:i/>
      <w:color w:val="5EC1A0" w:themeColor="accent6"/>
    </w:rPr>
  </w:style>
  <w:style w:type="paragraph" w:customStyle="1" w:styleId="Table-ColumnHeading">
    <w:name w:val="Table - Column Heading"/>
    <w:basedOn w:val="Table-Heading"/>
    <w:uiPriority w:val="4"/>
    <w:rsid w:val="00CF1C43"/>
    <w:pPr>
      <w:keepNext w:val="0"/>
    </w:pPr>
  </w:style>
  <w:style w:type="paragraph" w:customStyle="1" w:styleId="SlipsheetHeading">
    <w:name w:val="Slipsheet Heading"/>
    <w:basedOn w:val="Cover-Title"/>
    <w:uiPriority w:val="10"/>
    <w:rsid w:val="00B46C68"/>
    <w:pPr>
      <w:framePr w:hSpace="142" w:wrap="around" w:vAnchor="page" w:hAnchor="text" w:xAlign="right" w:y="7060"/>
      <w:spacing w:after="100" w:line="640" w:lineRule="atLeast"/>
    </w:pPr>
    <w:rPr>
      <w:rFonts w:ascii="Segoe UI Black" w:hAnsi="Segoe UI Black" w:cs="Segoe UI Light"/>
      <w:color w:val="5EC1A0" w:themeColor="accent6"/>
      <w:sz w:val="56"/>
    </w:rPr>
  </w:style>
  <w:style w:type="paragraph" w:customStyle="1" w:styleId="SlipsheetSubheading">
    <w:name w:val="Slipsheet Subheading"/>
    <w:basedOn w:val="SlipsheetHeading"/>
    <w:uiPriority w:val="10"/>
    <w:rsid w:val="00B46C68"/>
    <w:pPr>
      <w:framePr w:wrap="around"/>
      <w:spacing w:before="120" w:line="400" w:lineRule="atLeast"/>
    </w:pPr>
    <w:rPr>
      <w:rFonts w:ascii="Segoe UI" w:hAnsi="Segoe UI"/>
      <w:sz w:val="32"/>
    </w:rPr>
  </w:style>
  <w:style w:type="paragraph" w:styleId="Revision">
    <w:name w:val="Revision"/>
    <w:hidden/>
    <w:uiPriority w:val="99"/>
    <w:semiHidden/>
    <w:rsid w:val="00262826"/>
    <w:pPr>
      <w:spacing w:line="240" w:lineRule="auto"/>
    </w:pPr>
    <w:rPr>
      <w:lang w:val="en-GB"/>
    </w:rPr>
  </w:style>
  <w:style w:type="character" w:customStyle="1" w:styleId="ui-provider">
    <w:name w:val="ui-provider"/>
    <w:basedOn w:val="DefaultParagraphFont"/>
    <w:rsid w:val="00B011F6"/>
  </w:style>
  <w:style w:type="table" w:customStyle="1" w:styleId="TableGrid10">
    <w:name w:val="Table Grid1"/>
    <w:basedOn w:val="TableNormal"/>
    <w:next w:val="TableGrid"/>
    <w:uiPriority w:val="39"/>
    <w:rsid w:val="00B60010"/>
    <w:pPr>
      <w:spacing w:line="240" w:lineRule="auto"/>
    </w:pPr>
    <w:rPr>
      <w:rFonts w:ascii="Aptos" w:hAnsi="Aptos"/>
      <w:kern w:val="2"/>
      <w:sz w:val="22"/>
      <w:szCs w:val="2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600C6C"/>
    <w:rPr>
      <w:rFonts w:ascii="Segoe UI" w:hAnsi="Segoe UI" w:cs="Segoe UI" w:hint="default"/>
      <w:sz w:val="18"/>
      <w:szCs w:val="18"/>
    </w:rPr>
  </w:style>
  <w:style w:type="paragraph" w:customStyle="1" w:styleId="pf0">
    <w:name w:val="pf0"/>
    <w:basedOn w:val="Normal"/>
    <w:rsid w:val="00600C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link w:val="ListParagraph"/>
    <w:uiPriority w:val="34"/>
    <w:rsid w:val="00600C6C"/>
    <w:rPr>
      <w:lang w:val="en-GB"/>
    </w:rPr>
  </w:style>
  <w:style w:type="paragraph" w:customStyle="1" w:styleId="berschrift4">
    <w:name w:val="überschrift 4"/>
    <w:basedOn w:val="Normal"/>
    <w:qFormat/>
    <w:rsid w:val="007E1EB5"/>
    <w:pPr>
      <w:spacing w:before="240" w:line="300" w:lineRule="exact"/>
    </w:pPr>
    <w:rPr>
      <w:rFonts w:ascii="Calibri" w:eastAsiaTheme="minorEastAsia" w:hAnsi="Calibri"/>
      <w:b/>
      <w:color w:val="2D61A7"/>
      <w:sz w:val="26"/>
      <w:szCs w:val="24"/>
      <w:lang w:val="en-US"/>
    </w:rPr>
  </w:style>
  <w:style w:type="paragraph" w:customStyle="1" w:styleId="Paragraph">
    <w:name w:val="Paragraph"/>
    <w:basedOn w:val="Normal"/>
    <w:uiPriority w:val="1"/>
    <w:qFormat/>
    <w:rsid w:val="00AA031A"/>
    <w:pPr>
      <w:spacing w:after="0" w:line="260" w:lineRule="atLeast"/>
    </w:pPr>
    <w:rPr>
      <w:rFonts w:ascii="Cambria" w:eastAsia="Cambria" w:hAnsi="Cambria" w:cs="Cambria"/>
      <w:color w:val="000000"/>
      <w:sz w:val="22"/>
      <w:szCs w:val="22"/>
      <w:lang w:eastAsia="en-GB" w:bidi="en-GB"/>
      <w14:ligatures w14:val="standardContextual"/>
    </w:rPr>
  </w:style>
  <w:style w:type="character" w:customStyle="1" w:styleId="normaltextrun">
    <w:name w:val="normaltextrun"/>
    <w:basedOn w:val="DefaultParagraphFont"/>
    <w:rsid w:val="00B60DE4"/>
    <w:rPr>
      <w:rFonts w:ascii="Segoe UI" w:eastAsiaTheme="minorEastAsia" w:hAnsi="Segoe UI" w:cstheme="minorBidi"/>
    </w:rPr>
  </w:style>
  <w:style w:type="character" w:customStyle="1" w:styleId="eop">
    <w:name w:val="eop"/>
    <w:basedOn w:val="DefaultParagraphFont"/>
    <w:uiPriority w:val="1"/>
    <w:rsid w:val="00B60DE4"/>
    <w:rPr>
      <w:rFonts w:ascii="Segoe UI" w:eastAsiaTheme="minorEastAsia" w:hAnsi="Segoe UI" w:cstheme="minorBidi"/>
    </w:rPr>
  </w:style>
  <w:style w:type="paragraph" w:customStyle="1" w:styleId="BVIfnrCharCar1CarChar">
    <w:name w:val="BVI fnr Char Car1 Car Char"/>
    <w:aliases w:val="BVI fnr Char Car Car Char,ftref Char Car Car Char,BVI fnr Char Car Char Char Car Car Char,ftref Char Car Char Char Car Car Char,BVI fnr Char, BVI fnr Char Car Char Char Car Car Char, BVI fnr Char"/>
    <w:basedOn w:val="Normal"/>
    <w:next w:val="Normal"/>
    <w:link w:val="FootnoteReference"/>
    <w:uiPriority w:val="13"/>
    <w:rsid w:val="00FB6DDE"/>
    <w:pPr>
      <w:spacing w:after="0" w:line="240" w:lineRule="exact"/>
    </w:pPr>
    <w:rPr>
      <w:vertAlign w:val="superscript"/>
    </w:rPr>
  </w:style>
  <w:style w:type="table" w:customStyle="1" w:styleId="GridTable5Dark-Accent11">
    <w:name w:val="Grid Table 5 Dark - Accent 11"/>
    <w:basedOn w:val="TableNormal"/>
    <w:next w:val="GridTable5Dark-Accent1"/>
    <w:uiPriority w:val="50"/>
    <w:rsid w:val="000940E0"/>
    <w:pPr>
      <w:spacing w:line="240" w:lineRule="auto"/>
    </w:pPr>
    <w:rPr>
      <w:rFonts w:asciiTheme="minorHAnsi" w:hAnsiTheme="minorHAnsi"/>
      <w:kern w:val="2"/>
      <w:sz w:val="22"/>
      <w:szCs w:val="22"/>
      <w:lang w:val="en-GB"/>
      <w14:ligatures w14:val="standardContextu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3F6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4D5D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4D5D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4D5D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4D5D3"/>
      </w:tcPr>
    </w:tblStylePr>
    <w:tblStylePr w:type="band1Vert">
      <w:tblPr/>
      <w:tcPr>
        <w:shd w:val="clear" w:color="auto" w:fill="E7EEED"/>
      </w:tcPr>
    </w:tblStylePr>
    <w:tblStylePr w:type="band1Horz">
      <w:tblPr/>
      <w:tcPr>
        <w:shd w:val="clear" w:color="auto" w:fill="E7EEE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2076">
      <w:bodyDiv w:val="1"/>
      <w:marLeft w:val="0"/>
      <w:marRight w:val="0"/>
      <w:marTop w:val="0"/>
      <w:marBottom w:val="0"/>
      <w:divBdr>
        <w:top w:val="none" w:sz="0" w:space="0" w:color="auto"/>
        <w:left w:val="none" w:sz="0" w:space="0" w:color="auto"/>
        <w:bottom w:val="none" w:sz="0" w:space="0" w:color="auto"/>
        <w:right w:val="none" w:sz="0" w:space="0" w:color="auto"/>
      </w:divBdr>
    </w:div>
    <w:div w:id="28339897">
      <w:bodyDiv w:val="1"/>
      <w:marLeft w:val="0"/>
      <w:marRight w:val="0"/>
      <w:marTop w:val="0"/>
      <w:marBottom w:val="0"/>
      <w:divBdr>
        <w:top w:val="none" w:sz="0" w:space="0" w:color="auto"/>
        <w:left w:val="none" w:sz="0" w:space="0" w:color="auto"/>
        <w:bottom w:val="none" w:sz="0" w:space="0" w:color="auto"/>
        <w:right w:val="none" w:sz="0" w:space="0" w:color="auto"/>
      </w:divBdr>
      <w:divsChild>
        <w:div w:id="1035159350">
          <w:marLeft w:val="0"/>
          <w:marRight w:val="0"/>
          <w:marTop w:val="0"/>
          <w:marBottom w:val="160"/>
          <w:divBdr>
            <w:top w:val="none" w:sz="0" w:space="0" w:color="auto"/>
            <w:left w:val="none" w:sz="0" w:space="0" w:color="auto"/>
            <w:bottom w:val="none" w:sz="0" w:space="0" w:color="auto"/>
            <w:right w:val="none" w:sz="0" w:space="0" w:color="auto"/>
          </w:divBdr>
        </w:div>
        <w:div w:id="1402405965">
          <w:marLeft w:val="0"/>
          <w:marRight w:val="0"/>
          <w:marTop w:val="0"/>
          <w:marBottom w:val="160"/>
          <w:divBdr>
            <w:top w:val="none" w:sz="0" w:space="0" w:color="auto"/>
            <w:left w:val="none" w:sz="0" w:space="0" w:color="auto"/>
            <w:bottom w:val="none" w:sz="0" w:space="0" w:color="auto"/>
            <w:right w:val="none" w:sz="0" w:space="0" w:color="auto"/>
          </w:divBdr>
        </w:div>
      </w:divsChild>
    </w:div>
    <w:div w:id="65999410">
      <w:bodyDiv w:val="1"/>
      <w:marLeft w:val="0"/>
      <w:marRight w:val="0"/>
      <w:marTop w:val="0"/>
      <w:marBottom w:val="0"/>
      <w:divBdr>
        <w:top w:val="none" w:sz="0" w:space="0" w:color="auto"/>
        <w:left w:val="none" w:sz="0" w:space="0" w:color="auto"/>
        <w:bottom w:val="none" w:sz="0" w:space="0" w:color="auto"/>
        <w:right w:val="none" w:sz="0" w:space="0" w:color="auto"/>
      </w:divBdr>
      <w:divsChild>
        <w:div w:id="1336346504">
          <w:marLeft w:val="446"/>
          <w:marRight w:val="0"/>
          <w:marTop w:val="200"/>
          <w:marBottom w:val="160"/>
          <w:divBdr>
            <w:top w:val="none" w:sz="0" w:space="0" w:color="auto"/>
            <w:left w:val="none" w:sz="0" w:space="0" w:color="auto"/>
            <w:bottom w:val="none" w:sz="0" w:space="0" w:color="auto"/>
            <w:right w:val="none" w:sz="0" w:space="0" w:color="auto"/>
          </w:divBdr>
        </w:div>
      </w:divsChild>
    </w:div>
    <w:div w:id="78530500">
      <w:bodyDiv w:val="1"/>
      <w:marLeft w:val="0"/>
      <w:marRight w:val="0"/>
      <w:marTop w:val="0"/>
      <w:marBottom w:val="0"/>
      <w:divBdr>
        <w:top w:val="none" w:sz="0" w:space="0" w:color="auto"/>
        <w:left w:val="none" w:sz="0" w:space="0" w:color="auto"/>
        <w:bottom w:val="none" w:sz="0" w:space="0" w:color="auto"/>
        <w:right w:val="none" w:sz="0" w:space="0" w:color="auto"/>
      </w:divBdr>
      <w:divsChild>
        <w:div w:id="28537116">
          <w:marLeft w:val="0"/>
          <w:marRight w:val="0"/>
          <w:marTop w:val="0"/>
          <w:marBottom w:val="0"/>
          <w:divBdr>
            <w:top w:val="none" w:sz="0" w:space="0" w:color="auto"/>
            <w:left w:val="none" w:sz="0" w:space="0" w:color="auto"/>
            <w:bottom w:val="none" w:sz="0" w:space="0" w:color="auto"/>
            <w:right w:val="none" w:sz="0" w:space="0" w:color="auto"/>
          </w:divBdr>
        </w:div>
        <w:div w:id="31536156">
          <w:marLeft w:val="0"/>
          <w:marRight w:val="0"/>
          <w:marTop w:val="0"/>
          <w:marBottom w:val="0"/>
          <w:divBdr>
            <w:top w:val="none" w:sz="0" w:space="0" w:color="auto"/>
            <w:left w:val="none" w:sz="0" w:space="0" w:color="auto"/>
            <w:bottom w:val="none" w:sz="0" w:space="0" w:color="auto"/>
            <w:right w:val="none" w:sz="0" w:space="0" w:color="auto"/>
          </w:divBdr>
        </w:div>
        <w:div w:id="58752985">
          <w:marLeft w:val="0"/>
          <w:marRight w:val="0"/>
          <w:marTop w:val="0"/>
          <w:marBottom w:val="0"/>
          <w:divBdr>
            <w:top w:val="none" w:sz="0" w:space="0" w:color="auto"/>
            <w:left w:val="none" w:sz="0" w:space="0" w:color="auto"/>
            <w:bottom w:val="none" w:sz="0" w:space="0" w:color="auto"/>
            <w:right w:val="none" w:sz="0" w:space="0" w:color="auto"/>
          </w:divBdr>
        </w:div>
        <w:div w:id="68578380">
          <w:marLeft w:val="0"/>
          <w:marRight w:val="0"/>
          <w:marTop w:val="0"/>
          <w:marBottom w:val="0"/>
          <w:divBdr>
            <w:top w:val="none" w:sz="0" w:space="0" w:color="auto"/>
            <w:left w:val="none" w:sz="0" w:space="0" w:color="auto"/>
            <w:bottom w:val="none" w:sz="0" w:space="0" w:color="auto"/>
            <w:right w:val="none" w:sz="0" w:space="0" w:color="auto"/>
          </w:divBdr>
        </w:div>
        <w:div w:id="74860739">
          <w:marLeft w:val="0"/>
          <w:marRight w:val="0"/>
          <w:marTop w:val="0"/>
          <w:marBottom w:val="0"/>
          <w:divBdr>
            <w:top w:val="none" w:sz="0" w:space="0" w:color="auto"/>
            <w:left w:val="none" w:sz="0" w:space="0" w:color="auto"/>
            <w:bottom w:val="none" w:sz="0" w:space="0" w:color="auto"/>
            <w:right w:val="none" w:sz="0" w:space="0" w:color="auto"/>
          </w:divBdr>
        </w:div>
        <w:div w:id="77798421">
          <w:marLeft w:val="0"/>
          <w:marRight w:val="0"/>
          <w:marTop w:val="0"/>
          <w:marBottom w:val="0"/>
          <w:divBdr>
            <w:top w:val="none" w:sz="0" w:space="0" w:color="auto"/>
            <w:left w:val="none" w:sz="0" w:space="0" w:color="auto"/>
            <w:bottom w:val="none" w:sz="0" w:space="0" w:color="auto"/>
            <w:right w:val="none" w:sz="0" w:space="0" w:color="auto"/>
          </w:divBdr>
        </w:div>
        <w:div w:id="111948633">
          <w:marLeft w:val="0"/>
          <w:marRight w:val="0"/>
          <w:marTop w:val="0"/>
          <w:marBottom w:val="0"/>
          <w:divBdr>
            <w:top w:val="none" w:sz="0" w:space="0" w:color="auto"/>
            <w:left w:val="none" w:sz="0" w:space="0" w:color="auto"/>
            <w:bottom w:val="none" w:sz="0" w:space="0" w:color="auto"/>
            <w:right w:val="none" w:sz="0" w:space="0" w:color="auto"/>
          </w:divBdr>
        </w:div>
        <w:div w:id="140781336">
          <w:marLeft w:val="0"/>
          <w:marRight w:val="0"/>
          <w:marTop w:val="0"/>
          <w:marBottom w:val="0"/>
          <w:divBdr>
            <w:top w:val="none" w:sz="0" w:space="0" w:color="auto"/>
            <w:left w:val="none" w:sz="0" w:space="0" w:color="auto"/>
            <w:bottom w:val="none" w:sz="0" w:space="0" w:color="auto"/>
            <w:right w:val="none" w:sz="0" w:space="0" w:color="auto"/>
          </w:divBdr>
        </w:div>
        <w:div w:id="155343110">
          <w:marLeft w:val="0"/>
          <w:marRight w:val="0"/>
          <w:marTop w:val="0"/>
          <w:marBottom w:val="0"/>
          <w:divBdr>
            <w:top w:val="none" w:sz="0" w:space="0" w:color="auto"/>
            <w:left w:val="none" w:sz="0" w:space="0" w:color="auto"/>
            <w:bottom w:val="none" w:sz="0" w:space="0" w:color="auto"/>
            <w:right w:val="none" w:sz="0" w:space="0" w:color="auto"/>
          </w:divBdr>
        </w:div>
        <w:div w:id="160507167">
          <w:marLeft w:val="0"/>
          <w:marRight w:val="0"/>
          <w:marTop w:val="0"/>
          <w:marBottom w:val="0"/>
          <w:divBdr>
            <w:top w:val="none" w:sz="0" w:space="0" w:color="auto"/>
            <w:left w:val="none" w:sz="0" w:space="0" w:color="auto"/>
            <w:bottom w:val="none" w:sz="0" w:space="0" w:color="auto"/>
            <w:right w:val="none" w:sz="0" w:space="0" w:color="auto"/>
          </w:divBdr>
        </w:div>
        <w:div w:id="180750189">
          <w:marLeft w:val="0"/>
          <w:marRight w:val="0"/>
          <w:marTop w:val="0"/>
          <w:marBottom w:val="0"/>
          <w:divBdr>
            <w:top w:val="none" w:sz="0" w:space="0" w:color="auto"/>
            <w:left w:val="none" w:sz="0" w:space="0" w:color="auto"/>
            <w:bottom w:val="none" w:sz="0" w:space="0" w:color="auto"/>
            <w:right w:val="none" w:sz="0" w:space="0" w:color="auto"/>
          </w:divBdr>
        </w:div>
        <w:div w:id="189295611">
          <w:marLeft w:val="0"/>
          <w:marRight w:val="0"/>
          <w:marTop w:val="0"/>
          <w:marBottom w:val="0"/>
          <w:divBdr>
            <w:top w:val="none" w:sz="0" w:space="0" w:color="auto"/>
            <w:left w:val="none" w:sz="0" w:space="0" w:color="auto"/>
            <w:bottom w:val="none" w:sz="0" w:space="0" w:color="auto"/>
            <w:right w:val="none" w:sz="0" w:space="0" w:color="auto"/>
          </w:divBdr>
        </w:div>
        <w:div w:id="194579319">
          <w:marLeft w:val="0"/>
          <w:marRight w:val="0"/>
          <w:marTop w:val="0"/>
          <w:marBottom w:val="0"/>
          <w:divBdr>
            <w:top w:val="none" w:sz="0" w:space="0" w:color="auto"/>
            <w:left w:val="none" w:sz="0" w:space="0" w:color="auto"/>
            <w:bottom w:val="none" w:sz="0" w:space="0" w:color="auto"/>
            <w:right w:val="none" w:sz="0" w:space="0" w:color="auto"/>
          </w:divBdr>
        </w:div>
        <w:div w:id="208341570">
          <w:marLeft w:val="0"/>
          <w:marRight w:val="0"/>
          <w:marTop w:val="0"/>
          <w:marBottom w:val="0"/>
          <w:divBdr>
            <w:top w:val="none" w:sz="0" w:space="0" w:color="auto"/>
            <w:left w:val="none" w:sz="0" w:space="0" w:color="auto"/>
            <w:bottom w:val="none" w:sz="0" w:space="0" w:color="auto"/>
            <w:right w:val="none" w:sz="0" w:space="0" w:color="auto"/>
          </w:divBdr>
        </w:div>
        <w:div w:id="253053936">
          <w:marLeft w:val="0"/>
          <w:marRight w:val="0"/>
          <w:marTop w:val="0"/>
          <w:marBottom w:val="0"/>
          <w:divBdr>
            <w:top w:val="none" w:sz="0" w:space="0" w:color="auto"/>
            <w:left w:val="none" w:sz="0" w:space="0" w:color="auto"/>
            <w:bottom w:val="none" w:sz="0" w:space="0" w:color="auto"/>
            <w:right w:val="none" w:sz="0" w:space="0" w:color="auto"/>
          </w:divBdr>
        </w:div>
        <w:div w:id="256182088">
          <w:marLeft w:val="0"/>
          <w:marRight w:val="0"/>
          <w:marTop w:val="0"/>
          <w:marBottom w:val="0"/>
          <w:divBdr>
            <w:top w:val="none" w:sz="0" w:space="0" w:color="auto"/>
            <w:left w:val="none" w:sz="0" w:space="0" w:color="auto"/>
            <w:bottom w:val="none" w:sz="0" w:space="0" w:color="auto"/>
            <w:right w:val="none" w:sz="0" w:space="0" w:color="auto"/>
          </w:divBdr>
        </w:div>
        <w:div w:id="279804373">
          <w:marLeft w:val="-75"/>
          <w:marRight w:val="0"/>
          <w:marTop w:val="30"/>
          <w:marBottom w:val="30"/>
          <w:divBdr>
            <w:top w:val="none" w:sz="0" w:space="0" w:color="auto"/>
            <w:left w:val="none" w:sz="0" w:space="0" w:color="auto"/>
            <w:bottom w:val="none" w:sz="0" w:space="0" w:color="auto"/>
            <w:right w:val="none" w:sz="0" w:space="0" w:color="auto"/>
          </w:divBdr>
          <w:divsChild>
            <w:div w:id="267005478">
              <w:marLeft w:val="0"/>
              <w:marRight w:val="0"/>
              <w:marTop w:val="0"/>
              <w:marBottom w:val="0"/>
              <w:divBdr>
                <w:top w:val="none" w:sz="0" w:space="0" w:color="auto"/>
                <w:left w:val="none" w:sz="0" w:space="0" w:color="auto"/>
                <w:bottom w:val="none" w:sz="0" w:space="0" w:color="auto"/>
                <w:right w:val="none" w:sz="0" w:space="0" w:color="auto"/>
              </w:divBdr>
              <w:divsChild>
                <w:div w:id="1973169793">
                  <w:marLeft w:val="0"/>
                  <w:marRight w:val="0"/>
                  <w:marTop w:val="0"/>
                  <w:marBottom w:val="0"/>
                  <w:divBdr>
                    <w:top w:val="none" w:sz="0" w:space="0" w:color="auto"/>
                    <w:left w:val="none" w:sz="0" w:space="0" w:color="auto"/>
                    <w:bottom w:val="none" w:sz="0" w:space="0" w:color="auto"/>
                    <w:right w:val="none" w:sz="0" w:space="0" w:color="auto"/>
                  </w:divBdr>
                </w:div>
              </w:divsChild>
            </w:div>
            <w:div w:id="283510095">
              <w:marLeft w:val="0"/>
              <w:marRight w:val="0"/>
              <w:marTop w:val="0"/>
              <w:marBottom w:val="0"/>
              <w:divBdr>
                <w:top w:val="none" w:sz="0" w:space="0" w:color="auto"/>
                <w:left w:val="none" w:sz="0" w:space="0" w:color="auto"/>
                <w:bottom w:val="none" w:sz="0" w:space="0" w:color="auto"/>
                <w:right w:val="none" w:sz="0" w:space="0" w:color="auto"/>
              </w:divBdr>
              <w:divsChild>
                <w:div w:id="1782722457">
                  <w:marLeft w:val="0"/>
                  <w:marRight w:val="0"/>
                  <w:marTop w:val="0"/>
                  <w:marBottom w:val="0"/>
                  <w:divBdr>
                    <w:top w:val="none" w:sz="0" w:space="0" w:color="auto"/>
                    <w:left w:val="none" w:sz="0" w:space="0" w:color="auto"/>
                    <w:bottom w:val="none" w:sz="0" w:space="0" w:color="auto"/>
                    <w:right w:val="none" w:sz="0" w:space="0" w:color="auto"/>
                  </w:divBdr>
                </w:div>
              </w:divsChild>
            </w:div>
            <w:div w:id="591740688">
              <w:marLeft w:val="0"/>
              <w:marRight w:val="0"/>
              <w:marTop w:val="0"/>
              <w:marBottom w:val="0"/>
              <w:divBdr>
                <w:top w:val="none" w:sz="0" w:space="0" w:color="auto"/>
                <w:left w:val="none" w:sz="0" w:space="0" w:color="auto"/>
                <w:bottom w:val="none" w:sz="0" w:space="0" w:color="auto"/>
                <w:right w:val="none" w:sz="0" w:space="0" w:color="auto"/>
              </w:divBdr>
              <w:divsChild>
                <w:div w:id="1350063745">
                  <w:marLeft w:val="0"/>
                  <w:marRight w:val="0"/>
                  <w:marTop w:val="0"/>
                  <w:marBottom w:val="0"/>
                  <w:divBdr>
                    <w:top w:val="none" w:sz="0" w:space="0" w:color="auto"/>
                    <w:left w:val="none" w:sz="0" w:space="0" w:color="auto"/>
                    <w:bottom w:val="none" w:sz="0" w:space="0" w:color="auto"/>
                    <w:right w:val="none" w:sz="0" w:space="0" w:color="auto"/>
                  </w:divBdr>
                </w:div>
              </w:divsChild>
            </w:div>
            <w:div w:id="606742485">
              <w:marLeft w:val="0"/>
              <w:marRight w:val="0"/>
              <w:marTop w:val="0"/>
              <w:marBottom w:val="0"/>
              <w:divBdr>
                <w:top w:val="none" w:sz="0" w:space="0" w:color="auto"/>
                <w:left w:val="none" w:sz="0" w:space="0" w:color="auto"/>
                <w:bottom w:val="none" w:sz="0" w:space="0" w:color="auto"/>
                <w:right w:val="none" w:sz="0" w:space="0" w:color="auto"/>
              </w:divBdr>
              <w:divsChild>
                <w:div w:id="1895505503">
                  <w:marLeft w:val="0"/>
                  <w:marRight w:val="0"/>
                  <w:marTop w:val="0"/>
                  <w:marBottom w:val="0"/>
                  <w:divBdr>
                    <w:top w:val="none" w:sz="0" w:space="0" w:color="auto"/>
                    <w:left w:val="none" w:sz="0" w:space="0" w:color="auto"/>
                    <w:bottom w:val="none" w:sz="0" w:space="0" w:color="auto"/>
                    <w:right w:val="none" w:sz="0" w:space="0" w:color="auto"/>
                  </w:divBdr>
                </w:div>
                <w:div w:id="2027781662">
                  <w:marLeft w:val="0"/>
                  <w:marRight w:val="0"/>
                  <w:marTop w:val="0"/>
                  <w:marBottom w:val="0"/>
                  <w:divBdr>
                    <w:top w:val="none" w:sz="0" w:space="0" w:color="auto"/>
                    <w:left w:val="none" w:sz="0" w:space="0" w:color="auto"/>
                    <w:bottom w:val="none" w:sz="0" w:space="0" w:color="auto"/>
                    <w:right w:val="none" w:sz="0" w:space="0" w:color="auto"/>
                  </w:divBdr>
                </w:div>
              </w:divsChild>
            </w:div>
            <w:div w:id="610667105">
              <w:marLeft w:val="0"/>
              <w:marRight w:val="0"/>
              <w:marTop w:val="0"/>
              <w:marBottom w:val="0"/>
              <w:divBdr>
                <w:top w:val="none" w:sz="0" w:space="0" w:color="auto"/>
                <w:left w:val="none" w:sz="0" w:space="0" w:color="auto"/>
                <w:bottom w:val="none" w:sz="0" w:space="0" w:color="auto"/>
                <w:right w:val="none" w:sz="0" w:space="0" w:color="auto"/>
              </w:divBdr>
              <w:divsChild>
                <w:div w:id="662322802">
                  <w:marLeft w:val="0"/>
                  <w:marRight w:val="0"/>
                  <w:marTop w:val="0"/>
                  <w:marBottom w:val="0"/>
                  <w:divBdr>
                    <w:top w:val="none" w:sz="0" w:space="0" w:color="auto"/>
                    <w:left w:val="none" w:sz="0" w:space="0" w:color="auto"/>
                    <w:bottom w:val="none" w:sz="0" w:space="0" w:color="auto"/>
                    <w:right w:val="none" w:sz="0" w:space="0" w:color="auto"/>
                  </w:divBdr>
                </w:div>
              </w:divsChild>
            </w:div>
            <w:div w:id="687876410">
              <w:marLeft w:val="0"/>
              <w:marRight w:val="0"/>
              <w:marTop w:val="0"/>
              <w:marBottom w:val="0"/>
              <w:divBdr>
                <w:top w:val="none" w:sz="0" w:space="0" w:color="auto"/>
                <w:left w:val="none" w:sz="0" w:space="0" w:color="auto"/>
                <w:bottom w:val="none" w:sz="0" w:space="0" w:color="auto"/>
                <w:right w:val="none" w:sz="0" w:space="0" w:color="auto"/>
              </w:divBdr>
              <w:divsChild>
                <w:div w:id="257178182">
                  <w:marLeft w:val="0"/>
                  <w:marRight w:val="0"/>
                  <w:marTop w:val="0"/>
                  <w:marBottom w:val="0"/>
                  <w:divBdr>
                    <w:top w:val="none" w:sz="0" w:space="0" w:color="auto"/>
                    <w:left w:val="none" w:sz="0" w:space="0" w:color="auto"/>
                    <w:bottom w:val="none" w:sz="0" w:space="0" w:color="auto"/>
                    <w:right w:val="none" w:sz="0" w:space="0" w:color="auto"/>
                  </w:divBdr>
                </w:div>
              </w:divsChild>
            </w:div>
            <w:div w:id="773944636">
              <w:marLeft w:val="0"/>
              <w:marRight w:val="0"/>
              <w:marTop w:val="0"/>
              <w:marBottom w:val="0"/>
              <w:divBdr>
                <w:top w:val="none" w:sz="0" w:space="0" w:color="auto"/>
                <w:left w:val="none" w:sz="0" w:space="0" w:color="auto"/>
                <w:bottom w:val="none" w:sz="0" w:space="0" w:color="auto"/>
                <w:right w:val="none" w:sz="0" w:space="0" w:color="auto"/>
              </w:divBdr>
              <w:divsChild>
                <w:div w:id="1009138530">
                  <w:marLeft w:val="0"/>
                  <w:marRight w:val="0"/>
                  <w:marTop w:val="0"/>
                  <w:marBottom w:val="0"/>
                  <w:divBdr>
                    <w:top w:val="none" w:sz="0" w:space="0" w:color="auto"/>
                    <w:left w:val="none" w:sz="0" w:space="0" w:color="auto"/>
                    <w:bottom w:val="none" w:sz="0" w:space="0" w:color="auto"/>
                    <w:right w:val="none" w:sz="0" w:space="0" w:color="auto"/>
                  </w:divBdr>
                </w:div>
              </w:divsChild>
            </w:div>
            <w:div w:id="871648448">
              <w:marLeft w:val="0"/>
              <w:marRight w:val="0"/>
              <w:marTop w:val="0"/>
              <w:marBottom w:val="0"/>
              <w:divBdr>
                <w:top w:val="none" w:sz="0" w:space="0" w:color="auto"/>
                <w:left w:val="none" w:sz="0" w:space="0" w:color="auto"/>
                <w:bottom w:val="none" w:sz="0" w:space="0" w:color="auto"/>
                <w:right w:val="none" w:sz="0" w:space="0" w:color="auto"/>
              </w:divBdr>
              <w:divsChild>
                <w:div w:id="788085298">
                  <w:marLeft w:val="0"/>
                  <w:marRight w:val="0"/>
                  <w:marTop w:val="0"/>
                  <w:marBottom w:val="0"/>
                  <w:divBdr>
                    <w:top w:val="none" w:sz="0" w:space="0" w:color="auto"/>
                    <w:left w:val="none" w:sz="0" w:space="0" w:color="auto"/>
                    <w:bottom w:val="none" w:sz="0" w:space="0" w:color="auto"/>
                    <w:right w:val="none" w:sz="0" w:space="0" w:color="auto"/>
                  </w:divBdr>
                </w:div>
                <w:div w:id="948974637">
                  <w:marLeft w:val="0"/>
                  <w:marRight w:val="0"/>
                  <w:marTop w:val="0"/>
                  <w:marBottom w:val="0"/>
                  <w:divBdr>
                    <w:top w:val="none" w:sz="0" w:space="0" w:color="auto"/>
                    <w:left w:val="none" w:sz="0" w:space="0" w:color="auto"/>
                    <w:bottom w:val="none" w:sz="0" w:space="0" w:color="auto"/>
                    <w:right w:val="none" w:sz="0" w:space="0" w:color="auto"/>
                  </w:divBdr>
                </w:div>
              </w:divsChild>
            </w:div>
            <w:div w:id="990984047">
              <w:marLeft w:val="0"/>
              <w:marRight w:val="0"/>
              <w:marTop w:val="0"/>
              <w:marBottom w:val="0"/>
              <w:divBdr>
                <w:top w:val="none" w:sz="0" w:space="0" w:color="auto"/>
                <w:left w:val="none" w:sz="0" w:space="0" w:color="auto"/>
                <w:bottom w:val="none" w:sz="0" w:space="0" w:color="auto"/>
                <w:right w:val="none" w:sz="0" w:space="0" w:color="auto"/>
              </w:divBdr>
              <w:divsChild>
                <w:div w:id="1743218256">
                  <w:marLeft w:val="0"/>
                  <w:marRight w:val="0"/>
                  <w:marTop w:val="0"/>
                  <w:marBottom w:val="0"/>
                  <w:divBdr>
                    <w:top w:val="none" w:sz="0" w:space="0" w:color="auto"/>
                    <w:left w:val="none" w:sz="0" w:space="0" w:color="auto"/>
                    <w:bottom w:val="none" w:sz="0" w:space="0" w:color="auto"/>
                    <w:right w:val="none" w:sz="0" w:space="0" w:color="auto"/>
                  </w:divBdr>
                </w:div>
              </w:divsChild>
            </w:div>
            <w:div w:id="1320694664">
              <w:marLeft w:val="0"/>
              <w:marRight w:val="0"/>
              <w:marTop w:val="0"/>
              <w:marBottom w:val="0"/>
              <w:divBdr>
                <w:top w:val="none" w:sz="0" w:space="0" w:color="auto"/>
                <w:left w:val="none" w:sz="0" w:space="0" w:color="auto"/>
                <w:bottom w:val="none" w:sz="0" w:space="0" w:color="auto"/>
                <w:right w:val="none" w:sz="0" w:space="0" w:color="auto"/>
              </w:divBdr>
              <w:divsChild>
                <w:div w:id="1423994633">
                  <w:marLeft w:val="0"/>
                  <w:marRight w:val="0"/>
                  <w:marTop w:val="0"/>
                  <w:marBottom w:val="0"/>
                  <w:divBdr>
                    <w:top w:val="none" w:sz="0" w:space="0" w:color="auto"/>
                    <w:left w:val="none" w:sz="0" w:space="0" w:color="auto"/>
                    <w:bottom w:val="none" w:sz="0" w:space="0" w:color="auto"/>
                    <w:right w:val="none" w:sz="0" w:space="0" w:color="auto"/>
                  </w:divBdr>
                </w:div>
              </w:divsChild>
            </w:div>
            <w:div w:id="1490752072">
              <w:marLeft w:val="0"/>
              <w:marRight w:val="0"/>
              <w:marTop w:val="0"/>
              <w:marBottom w:val="0"/>
              <w:divBdr>
                <w:top w:val="none" w:sz="0" w:space="0" w:color="auto"/>
                <w:left w:val="none" w:sz="0" w:space="0" w:color="auto"/>
                <w:bottom w:val="none" w:sz="0" w:space="0" w:color="auto"/>
                <w:right w:val="none" w:sz="0" w:space="0" w:color="auto"/>
              </w:divBdr>
              <w:divsChild>
                <w:div w:id="654534312">
                  <w:marLeft w:val="0"/>
                  <w:marRight w:val="0"/>
                  <w:marTop w:val="0"/>
                  <w:marBottom w:val="0"/>
                  <w:divBdr>
                    <w:top w:val="none" w:sz="0" w:space="0" w:color="auto"/>
                    <w:left w:val="none" w:sz="0" w:space="0" w:color="auto"/>
                    <w:bottom w:val="none" w:sz="0" w:space="0" w:color="auto"/>
                    <w:right w:val="none" w:sz="0" w:space="0" w:color="auto"/>
                  </w:divBdr>
                </w:div>
              </w:divsChild>
            </w:div>
            <w:div w:id="1509712113">
              <w:marLeft w:val="0"/>
              <w:marRight w:val="0"/>
              <w:marTop w:val="0"/>
              <w:marBottom w:val="0"/>
              <w:divBdr>
                <w:top w:val="none" w:sz="0" w:space="0" w:color="auto"/>
                <w:left w:val="none" w:sz="0" w:space="0" w:color="auto"/>
                <w:bottom w:val="none" w:sz="0" w:space="0" w:color="auto"/>
                <w:right w:val="none" w:sz="0" w:space="0" w:color="auto"/>
              </w:divBdr>
              <w:divsChild>
                <w:div w:id="1212841475">
                  <w:marLeft w:val="0"/>
                  <w:marRight w:val="0"/>
                  <w:marTop w:val="0"/>
                  <w:marBottom w:val="0"/>
                  <w:divBdr>
                    <w:top w:val="none" w:sz="0" w:space="0" w:color="auto"/>
                    <w:left w:val="none" w:sz="0" w:space="0" w:color="auto"/>
                    <w:bottom w:val="none" w:sz="0" w:space="0" w:color="auto"/>
                    <w:right w:val="none" w:sz="0" w:space="0" w:color="auto"/>
                  </w:divBdr>
                </w:div>
              </w:divsChild>
            </w:div>
            <w:div w:id="1585722609">
              <w:marLeft w:val="0"/>
              <w:marRight w:val="0"/>
              <w:marTop w:val="0"/>
              <w:marBottom w:val="0"/>
              <w:divBdr>
                <w:top w:val="none" w:sz="0" w:space="0" w:color="auto"/>
                <w:left w:val="none" w:sz="0" w:space="0" w:color="auto"/>
                <w:bottom w:val="none" w:sz="0" w:space="0" w:color="auto"/>
                <w:right w:val="none" w:sz="0" w:space="0" w:color="auto"/>
              </w:divBdr>
              <w:divsChild>
                <w:div w:id="327289456">
                  <w:marLeft w:val="0"/>
                  <w:marRight w:val="0"/>
                  <w:marTop w:val="0"/>
                  <w:marBottom w:val="0"/>
                  <w:divBdr>
                    <w:top w:val="none" w:sz="0" w:space="0" w:color="auto"/>
                    <w:left w:val="none" w:sz="0" w:space="0" w:color="auto"/>
                    <w:bottom w:val="none" w:sz="0" w:space="0" w:color="auto"/>
                    <w:right w:val="none" w:sz="0" w:space="0" w:color="auto"/>
                  </w:divBdr>
                </w:div>
                <w:div w:id="885140994">
                  <w:marLeft w:val="0"/>
                  <w:marRight w:val="0"/>
                  <w:marTop w:val="0"/>
                  <w:marBottom w:val="0"/>
                  <w:divBdr>
                    <w:top w:val="none" w:sz="0" w:space="0" w:color="auto"/>
                    <w:left w:val="none" w:sz="0" w:space="0" w:color="auto"/>
                    <w:bottom w:val="none" w:sz="0" w:space="0" w:color="auto"/>
                    <w:right w:val="none" w:sz="0" w:space="0" w:color="auto"/>
                  </w:divBdr>
                </w:div>
                <w:div w:id="2106919942">
                  <w:marLeft w:val="0"/>
                  <w:marRight w:val="0"/>
                  <w:marTop w:val="0"/>
                  <w:marBottom w:val="0"/>
                  <w:divBdr>
                    <w:top w:val="none" w:sz="0" w:space="0" w:color="auto"/>
                    <w:left w:val="none" w:sz="0" w:space="0" w:color="auto"/>
                    <w:bottom w:val="none" w:sz="0" w:space="0" w:color="auto"/>
                    <w:right w:val="none" w:sz="0" w:space="0" w:color="auto"/>
                  </w:divBdr>
                </w:div>
              </w:divsChild>
            </w:div>
            <w:div w:id="1863543479">
              <w:marLeft w:val="0"/>
              <w:marRight w:val="0"/>
              <w:marTop w:val="0"/>
              <w:marBottom w:val="0"/>
              <w:divBdr>
                <w:top w:val="none" w:sz="0" w:space="0" w:color="auto"/>
                <w:left w:val="none" w:sz="0" w:space="0" w:color="auto"/>
                <w:bottom w:val="none" w:sz="0" w:space="0" w:color="auto"/>
                <w:right w:val="none" w:sz="0" w:space="0" w:color="auto"/>
              </w:divBdr>
              <w:divsChild>
                <w:div w:id="1689602116">
                  <w:marLeft w:val="0"/>
                  <w:marRight w:val="0"/>
                  <w:marTop w:val="0"/>
                  <w:marBottom w:val="0"/>
                  <w:divBdr>
                    <w:top w:val="none" w:sz="0" w:space="0" w:color="auto"/>
                    <w:left w:val="none" w:sz="0" w:space="0" w:color="auto"/>
                    <w:bottom w:val="none" w:sz="0" w:space="0" w:color="auto"/>
                    <w:right w:val="none" w:sz="0" w:space="0" w:color="auto"/>
                  </w:divBdr>
                </w:div>
              </w:divsChild>
            </w:div>
            <w:div w:id="1901790220">
              <w:marLeft w:val="0"/>
              <w:marRight w:val="0"/>
              <w:marTop w:val="0"/>
              <w:marBottom w:val="0"/>
              <w:divBdr>
                <w:top w:val="none" w:sz="0" w:space="0" w:color="auto"/>
                <w:left w:val="none" w:sz="0" w:space="0" w:color="auto"/>
                <w:bottom w:val="none" w:sz="0" w:space="0" w:color="auto"/>
                <w:right w:val="none" w:sz="0" w:space="0" w:color="auto"/>
              </w:divBdr>
              <w:divsChild>
                <w:div w:id="1022900027">
                  <w:marLeft w:val="0"/>
                  <w:marRight w:val="0"/>
                  <w:marTop w:val="0"/>
                  <w:marBottom w:val="0"/>
                  <w:divBdr>
                    <w:top w:val="none" w:sz="0" w:space="0" w:color="auto"/>
                    <w:left w:val="none" w:sz="0" w:space="0" w:color="auto"/>
                    <w:bottom w:val="none" w:sz="0" w:space="0" w:color="auto"/>
                    <w:right w:val="none" w:sz="0" w:space="0" w:color="auto"/>
                  </w:divBdr>
                </w:div>
              </w:divsChild>
            </w:div>
            <w:div w:id="1905722080">
              <w:marLeft w:val="0"/>
              <w:marRight w:val="0"/>
              <w:marTop w:val="0"/>
              <w:marBottom w:val="0"/>
              <w:divBdr>
                <w:top w:val="none" w:sz="0" w:space="0" w:color="auto"/>
                <w:left w:val="none" w:sz="0" w:space="0" w:color="auto"/>
                <w:bottom w:val="none" w:sz="0" w:space="0" w:color="auto"/>
                <w:right w:val="none" w:sz="0" w:space="0" w:color="auto"/>
              </w:divBdr>
              <w:divsChild>
                <w:div w:id="77098295">
                  <w:marLeft w:val="0"/>
                  <w:marRight w:val="0"/>
                  <w:marTop w:val="0"/>
                  <w:marBottom w:val="0"/>
                  <w:divBdr>
                    <w:top w:val="none" w:sz="0" w:space="0" w:color="auto"/>
                    <w:left w:val="none" w:sz="0" w:space="0" w:color="auto"/>
                    <w:bottom w:val="none" w:sz="0" w:space="0" w:color="auto"/>
                    <w:right w:val="none" w:sz="0" w:space="0" w:color="auto"/>
                  </w:divBdr>
                </w:div>
              </w:divsChild>
            </w:div>
            <w:div w:id="1960794377">
              <w:marLeft w:val="0"/>
              <w:marRight w:val="0"/>
              <w:marTop w:val="0"/>
              <w:marBottom w:val="0"/>
              <w:divBdr>
                <w:top w:val="none" w:sz="0" w:space="0" w:color="auto"/>
                <w:left w:val="none" w:sz="0" w:space="0" w:color="auto"/>
                <w:bottom w:val="none" w:sz="0" w:space="0" w:color="auto"/>
                <w:right w:val="none" w:sz="0" w:space="0" w:color="auto"/>
              </w:divBdr>
              <w:divsChild>
                <w:div w:id="692998793">
                  <w:marLeft w:val="0"/>
                  <w:marRight w:val="0"/>
                  <w:marTop w:val="0"/>
                  <w:marBottom w:val="0"/>
                  <w:divBdr>
                    <w:top w:val="none" w:sz="0" w:space="0" w:color="auto"/>
                    <w:left w:val="none" w:sz="0" w:space="0" w:color="auto"/>
                    <w:bottom w:val="none" w:sz="0" w:space="0" w:color="auto"/>
                    <w:right w:val="none" w:sz="0" w:space="0" w:color="auto"/>
                  </w:divBdr>
                </w:div>
              </w:divsChild>
            </w:div>
            <w:div w:id="2001537895">
              <w:marLeft w:val="0"/>
              <w:marRight w:val="0"/>
              <w:marTop w:val="0"/>
              <w:marBottom w:val="0"/>
              <w:divBdr>
                <w:top w:val="none" w:sz="0" w:space="0" w:color="auto"/>
                <w:left w:val="none" w:sz="0" w:space="0" w:color="auto"/>
                <w:bottom w:val="none" w:sz="0" w:space="0" w:color="auto"/>
                <w:right w:val="none" w:sz="0" w:space="0" w:color="auto"/>
              </w:divBdr>
              <w:divsChild>
                <w:div w:id="1941836030">
                  <w:marLeft w:val="0"/>
                  <w:marRight w:val="0"/>
                  <w:marTop w:val="0"/>
                  <w:marBottom w:val="0"/>
                  <w:divBdr>
                    <w:top w:val="none" w:sz="0" w:space="0" w:color="auto"/>
                    <w:left w:val="none" w:sz="0" w:space="0" w:color="auto"/>
                    <w:bottom w:val="none" w:sz="0" w:space="0" w:color="auto"/>
                    <w:right w:val="none" w:sz="0" w:space="0" w:color="auto"/>
                  </w:divBdr>
                </w:div>
              </w:divsChild>
            </w:div>
            <w:div w:id="2122216807">
              <w:marLeft w:val="0"/>
              <w:marRight w:val="0"/>
              <w:marTop w:val="0"/>
              <w:marBottom w:val="0"/>
              <w:divBdr>
                <w:top w:val="none" w:sz="0" w:space="0" w:color="auto"/>
                <w:left w:val="none" w:sz="0" w:space="0" w:color="auto"/>
                <w:bottom w:val="none" w:sz="0" w:space="0" w:color="auto"/>
                <w:right w:val="none" w:sz="0" w:space="0" w:color="auto"/>
              </w:divBdr>
              <w:divsChild>
                <w:div w:id="869759798">
                  <w:marLeft w:val="0"/>
                  <w:marRight w:val="0"/>
                  <w:marTop w:val="0"/>
                  <w:marBottom w:val="0"/>
                  <w:divBdr>
                    <w:top w:val="none" w:sz="0" w:space="0" w:color="auto"/>
                    <w:left w:val="none" w:sz="0" w:space="0" w:color="auto"/>
                    <w:bottom w:val="none" w:sz="0" w:space="0" w:color="auto"/>
                    <w:right w:val="none" w:sz="0" w:space="0" w:color="auto"/>
                  </w:divBdr>
                </w:div>
              </w:divsChild>
            </w:div>
            <w:div w:id="2141871775">
              <w:marLeft w:val="0"/>
              <w:marRight w:val="0"/>
              <w:marTop w:val="0"/>
              <w:marBottom w:val="0"/>
              <w:divBdr>
                <w:top w:val="none" w:sz="0" w:space="0" w:color="auto"/>
                <w:left w:val="none" w:sz="0" w:space="0" w:color="auto"/>
                <w:bottom w:val="none" w:sz="0" w:space="0" w:color="auto"/>
                <w:right w:val="none" w:sz="0" w:space="0" w:color="auto"/>
              </w:divBdr>
              <w:divsChild>
                <w:div w:id="49869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04154">
          <w:marLeft w:val="0"/>
          <w:marRight w:val="0"/>
          <w:marTop w:val="0"/>
          <w:marBottom w:val="0"/>
          <w:divBdr>
            <w:top w:val="none" w:sz="0" w:space="0" w:color="auto"/>
            <w:left w:val="none" w:sz="0" w:space="0" w:color="auto"/>
            <w:bottom w:val="none" w:sz="0" w:space="0" w:color="auto"/>
            <w:right w:val="none" w:sz="0" w:space="0" w:color="auto"/>
          </w:divBdr>
        </w:div>
        <w:div w:id="306789589">
          <w:marLeft w:val="0"/>
          <w:marRight w:val="0"/>
          <w:marTop w:val="0"/>
          <w:marBottom w:val="0"/>
          <w:divBdr>
            <w:top w:val="none" w:sz="0" w:space="0" w:color="auto"/>
            <w:left w:val="none" w:sz="0" w:space="0" w:color="auto"/>
            <w:bottom w:val="none" w:sz="0" w:space="0" w:color="auto"/>
            <w:right w:val="none" w:sz="0" w:space="0" w:color="auto"/>
          </w:divBdr>
        </w:div>
        <w:div w:id="337075621">
          <w:marLeft w:val="0"/>
          <w:marRight w:val="0"/>
          <w:marTop w:val="0"/>
          <w:marBottom w:val="0"/>
          <w:divBdr>
            <w:top w:val="none" w:sz="0" w:space="0" w:color="auto"/>
            <w:left w:val="none" w:sz="0" w:space="0" w:color="auto"/>
            <w:bottom w:val="none" w:sz="0" w:space="0" w:color="auto"/>
            <w:right w:val="none" w:sz="0" w:space="0" w:color="auto"/>
          </w:divBdr>
        </w:div>
        <w:div w:id="337922892">
          <w:marLeft w:val="0"/>
          <w:marRight w:val="0"/>
          <w:marTop w:val="0"/>
          <w:marBottom w:val="0"/>
          <w:divBdr>
            <w:top w:val="none" w:sz="0" w:space="0" w:color="auto"/>
            <w:left w:val="none" w:sz="0" w:space="0" w:color="auto"/>
            <w:bottom w:val="none" w:sz="0" w:space="0" w:color="auto"/>
            <w:right w:val="none" w:sz="0" w:space="0" w:color="auto"/>
          </w:divBdr>
        </w:div>
        <w:div w:id="358700534">
          <w:marLeft w:val="0"/>
          <w:marRight w:val="0"/>
          <w:marTop w:val="0"/>
          <w:marBottom w:val="0"/>
          <w:divBdr>
            <w:top w:val="none" w:sz="0" w:space="0" w:color="auto"/>
            <w:left w:val="none" w:sz="0" w:space="0" w:color="auto"/>
            <w:bottom w:val="none" w:sz="0" w:space="0" w:color="auto"/>
            <w:right w:val="none" w:sz="0" w:space="0" w:color="auto"/>
          </w:divBdr>
        </w:div>
        <w:div w:id="380440665">
          <w:marLeft w:val="0"/>
          <w:marRight w:val="0"/>
          <w:marTop w:val="0"/>
          <w:marBottom w:val="0"/>
          <w:divBdr>
            <w:top w:val="none" w:sz="0" w:space="0" w:color="auto"/>
            <w:left w:val="none" w:sz="0" w:space="0" w:color="auto"/>
            <w:bottom w:val="none" w:sz="0" w:space="0" w:color="auto"/>
            <w:right w:val="none" w:sz="0" w:space="0" w:color="auto"/>
          </w:divBdr>
        </w:div>
        <w:div w:id="405811373">
          <w:marLeft w:val="0"/>
          <w:marRight w:val="0"/>
          <w:marTop w:val="0"/>
          <w:marBottom w:val="0"/>
          <w:divBdr>
            <w:top w:val="none" w:sz="0" w:space="0" w:color="auto"/>
            <w:left w:val="none" w:sz="0" w:space="0" w:color="auto"/>
            <w:bottom w:val="none" w:sz="0" w:space="0" w:color="auto"/>
            <w:right w:val="none" w:sz="0" w:space="0" w:color="auto"/>
          </w:divBdr>
        </w:div>
        <w:div w:id="424083472">
          <w:marLeft w:val="0"/>
          <w:marRight w:val="0"/>
          <w:marTop w:val="0"/>
          <w:marBottom w:val="0"/>
          <w:divBdr>
            <w:top w:val="none" w:sz="0" w:space="0" w:color="auto"/>
            <w:left w:val="none" w:sz="0" w:space="0" w:color="auto"/>
            <w:bottom w:val="none" w:sz="0" w:space="0" w:color="auto"/>
            <w:right w:val="none" w:sz="0" w:space="0" w:color="auto"/>
          </w:divBdr>
        </w:div>
        <w:div w:id="475490300">
          <w:marLeft w:val="0"/>
          <w:marRight w:val="0"/>
          <w:marTop w:val="0"/>
          <w:marBottom w:val="0"/>
          <w:divBdr>
            <w:top w:val="none" w:sz="0" w:space="0" w:color="auto"/>
            <w:left w:val="none" w:sz="0" w:space="0" w:color="auto"/>
            <w:bottom w:val="none" w:sz="0" w:space="0" w:color="auto"/>
            <w:right w:val="none" w:sz="0" w:space="0" w:color="auto"/>
          </w:divBdr>
        </w:div>
        <w:div w:id="527842372">
          <w:marLeft w:val="0"/>
          <w:marRight w:val="0"/>
          <w:marTop w:val="0"/>
          <w:marBottom w:val="0"/>
          <w:divBdr>
            <w:top w:val="none" w:sz="0" w:space="0" w:color="auto"/>
            <w:left w:val="none" w:sz="0" w:space="0" w:color="auto"/>
            <w:bottom w:val="none" w:sz="0" w:space="0" w:color="auto"/>
            <w:right w:val="none" w:sz="0" w:space="0" w:color="auto"/>
          </w:divBdr>
        </w:div>
        <w:div w:id="555555217">
          <w:marLeft w:val="0"/>
          <w:marRight w:val="0"/>
          <w:marTop w:val="0"/>
          <w:marBottom w:val="0"/>
          <w:divBdr>
            <w:top w:val="none" w:sz="0" w:space="0" w:color="auto"/>
            <w:left w:val="none" w:sz="0" w:space="0" w:color="auto"/>
            <w:bottom w:val="none" w:sz="0" w:space="0" w:color="auto"/>
            <w:right w:val="none" w:sz="0" w:space="0" w:color="auto"/>
          </w:divBdr>
        </w:div>
        <w:div w:id="576323638">
          <w:marLeft w:val="0"/>
          <w:marRight w:val="0"/>
          <w:marTop w:val="0"/>
          <w:marBottom w:val="0"/>
          <w:divBdr>
            <w:top w:val="none" w:sz="0" w:space="0" w:color="auto"/>
            <w:left w:val="none" w:sz="0" w:space="0" w:color="auto"/>
            <w:bottom w:val="none" w:sz="0" w:space="0" w:color="auto"/>
            <w:right w:val="none" w:sz="0" w:space="0" w:color="auto"/>
          </w:divBdr>
        </w:div>
        <w:div w:id="598441959">
          <w:marLeft w:val="0"/>
          <w:marRight w:val="0"/>
          <w:marTop w:val="0"/>
          <w:marBottom w:val="0"/>
          <w:divBdr>
            <w:top w:val="none" w:sz="0" w:space="0" w:color="auto"/>
            <w:left w:val="none" w:sz="0" w:space="0" w:color="auto"/>
            <w:bottom w:val="none" w:sz="0" w:space="0" w:color="auto"/>
            <w:right w:val="none" w:sz="0" w:space="0" w:color="auto"/>
          </w:divBdr>
        </w:div>
        <w:div w:id="602760220">
          <w:marLeft w:val="0"/>
          <w:marRight w:val="0"/>
          <w:marTop w:val="0"/>
          <w:marBottom w:val="0"/>
          <w:divBdr>
            <w:top w:val="none" w:sz="0" w:space="0" w:color="auto"/>
            <w:left w:val="none" w:sz="0" w:space="0" w:color="auto"/>
            <w:bottom w:val="none" w:sz="0" w:space="0" w:color="auto"/>
            <w:right w:val="none" w:sz="0" w:space="0" w:color="auto"/>
          </w:divBdr>
        </w:div>
        <w:div w:id="613442785">
          <w:marLeft w:val="0"/>
          <w:marRight w:val="0"/>
          <w:marTop w:val="0"/>
          <w:marBottom w:val="0"/>
          <w:divBdr>
            <w:top w:val="none" w:sz="0" w:space="0" w:color="auto"/>
            <w:left w:val="none" w:sz="0" w:space="0" w:color="auto"/>
            <w:bottom w:val="none" w:sz="0" w:space="0" w:color="auto"/>
            <w:right w:val="none" w:sz="0" w:space="0" w:color="auto"/>
          </w:divBdr>
        </w:div>
        <w:div w:id="644353570">
          <w:marLeft w:val="0"/>
          <w:marRight w:val="0"/>
          <w:marTop w:val="0"/>
          <w:marBottom w:val="0"/>
          <w:divBdr>
            <w:top w:val="none" w:sz="0" w:space="0" w:color="auto"/>
            <w:left w:val="none" w:sz="0" w:space="0" w:color="auto"/>
            <w:bottom w:val="none" w:sz="0" w:space="0" w:color="auto"/>
            <w:right w:val="none" w:sz="0" w:space="0" w:color="auto"/>
          </w:divBdr>
        </w:div>
        <w:div w:id="676152125">
          <w:marLeft w:val="0"/>
          <w:marRight w:val="0"/>
          <w:marTop w:val="0"/>
          <w:marBottom w:val="0"/>
          <w:divBdr>
            <w:top w:val="none" w:sz="0" w:space="0" w:color="auto"/>
            <w:left w:val="none" w:sz="0" w:space="0" w:color="auto"/>
            <w:bottom w:val="none" w:sz="0" w:space="0" w:color="auto"/>
            <w:right w:val="none" w:sz="0" w:space="0" w:color="auto"/>
          </w:divBdr>
        </w:div>
        <w:div w:id="678584572">
          <w:marLeft w:val="0"/>
          <w:marRight w:val="0"/>
          <w:marTop w:val="0"/>
          <w:marBottom w:val="0"/>
          <w:divBdr>
            <w:top w:val="none" w:sz="0" w:space="0" w:color="auto"/>
            <w:left w:val="none" w:sz="0" w:space="0" w:color="auto"/>
            <w:bottom w:val="none" w:sz="0" w:space="0" w:color="auto"/>
            <w:right w:val="none" w:sz="0" w:space="0" w:color="auto"/>
          </w:divBdr>
        </w:div>
        <w:div w:id="683366643">
          <w:marLeft w:val="0"/>
          <w:marRight w:val="0"/>
          <w:marTop w:val="0"/>
          <w:marBottom w:val="0"/>
          <w:divBdr>
            <w:top w:val="none" w:sz="0" w:space="0" w:color="auto"/>
            <w:left w:val="none" w:sz="0" w:space="0" w:color="auto"/>
            <w:bottom w:val="none" w:sz="0" w:space="0" w:color="auto"/>
            <w:right w:val="none" w:sz="0" w:space="0" w:color="auto"/>
          </w:divBdr>
        </w:div>
        <w:div w:id="689767406">
          <w:marLeft w:val="0"/>
          <w:marRight w:val="0"/>
          <w:marTop w:val="0"/>
          <w:marBottom w:val="0"/>
          <w:divBdr>
            <w:top w:val="none" w:sz="0" w:space="0" w:color="auto"/>
            <w:left w:val="none" w:sz="0" w:space="0" w:color="auto"/>
            <w:bottom w:val="none" w:sz="0" w:space="0" w:color="auto"/>
            <w:right w:val="none" w:sz="0" w:space="0" w:color="auto"/>
          </w:divBdr>
        </w:div>
        <w:div w:id="715663148">
          <w:marLeft w:val="0"/>
          <w:marRight w:val="0"/>
          <w:marTop w:val="0"/>
          <w:marBottom w:val="0"/>
          <w:divBdr>
            <w:top w:val="none" w:sz="0" w:space="0" w:color="auto"/>
            <w:left w:val="none" w:sz="0" w:space="0" w:color="auto"/>
            <w:bottom w:val="none" w:sz="0" w:space="0" w:color="auto"/>
            <w:right w:val="none" w:sz="0" w:space="0" w:color="auto"/>
          </w:divBdr>
        </w:div>
        <w:div w:id="732194992">
          <w:marLeft w:val="0"/>
          <w:marRight w:val="0"/>
          <w:marTop w:val="0"/>
          <w:marBottom w:val="0"/>
          <w:divBdr>
            <w:top w:val="none" w:sz="0" w:space="0" w:color="auto"/>
            <w:left w:val="none" w:sz="0" w:space="0" w:color="auto"/>
            <w:bottom w:val="none" w:sz="0" w:space="0" w:color="auto"/>
            <w:right w:val="none" w:sz="0" w:space="0" w:color="auto"/>
          </w:divBdr>
        </w:div>
        <w:div w:id="752775010">
          <w:marLeft w:val="0"/>
          <w:marRight w:val="0"/>
          <w:marTop w:val="0"/>
          <w:marBottom w:val="0"/>
          <w:divBdr>
            <w:top w:val="none" w:sz="0" w:space="0" w:color="auto"/>
            <w:left w:val="none" w:sz="0" w:space="0" w:color="auto"/>
            <w:bottom w:val="none" w:sz="0" w:space="0" w:color="auto"/>
            <w:right w:val="none" w:sz="0" w:space="0" w:color="auto"/>
          </w:divBdr>
        </w:div>
        <w:div w:id="756756885">
          <w:marLeft w:val="0"/>
          <w:marRight w:val="0"/>
          <w:marTop w:val="0"/>
          <w:marBottom w:val="0"/>
          <w:divBdr>
            <w:top w:val="none" w:sz="0" w:space="0" w:color="auto"/>
            <w:left w:val="none" w:sz="0" w:space="0" w:color="auto"/>
            <w:bottom w:val="none" w:sz="0" w:space="0" w:color="auto"/>
            <w:right w:val="none" w:sz="0" w:space="0" w:color="auto"/>
          </w:divBdr>
        </w:div>
        <w:div w:id="774908090">
          <w:marLeft w:val="0"/>
          <w:marRight w:val="0"/>
          <w:marTop w:val="0"/>
          <w:marBottom w:val="0"/>
          <w:divBdr>
            <w:top w:val="none" w:sz="0" w:space="0" w:color="auto"/>
            <w:left w:val="none" w:sz="0" w:space="0" w:color="auto"/>
            <w:bottom w:val="none" w:sz="0" w:space="0" w:color="auto"/>
            <w:right w:val="none" w:sz="0" w:space="0" w:color="auto"/>
          </w:divBdr>
        </w:div>
        <w:div w:id="785317977">
          <w:marLeft w:val="0"/>
          <w:marRight w:val="0"/>
          <w:marTop w:val="0"/>
          <w:marBottom w:val="0"/>
          <w:divBdr>
            <w:top w:val="none" w:sz="0" w:space="0" w:color="auto"/>
            <w:left w:val="none" w:sz="0" w:space="0" w:color="auto"/>
            <w:bottom w:val="none" w:sz="0" w:space="0" w:color="auto"/>
            <w:right w:val="none" w:sz="0" w:space="0" w:color="auto"/>
          </w:divBdr>
        </w:div>
        <w:div w:id="790444571">
          <w:marLeft w:val="0"/>
          <w:marRight w:val="0"/>
          <w:marTop w:val="0"/>
          <w:marBottom w:val="0"/>
          <w:divBdr>
            <w:top w:val="none" w:sz="0" w:space="0" w:color="auto"/>
            <w:left w:val="none" w:sz="0" w:space="0" w:color="auto"/>
            <w:bottom w:val="none" w:sz="0" w:space="0" w:color="auto"/>
            <w:right w:val="none" w:sz="0" w:space="0" w:color="auto"/>
          </w:divBdr>
        </w:div>
        <w:div w:id="825514423">
          <w:marLeft w:val="0"/>
          <w:marRight w:val="0"/>
          <w:marTop w:val="0"/>
          <w:marBottom w:val="0"/>
          <w:divBdr>
            <w:top w:val="none" w:sz="0" w:space="0" w:color="auto"/>
            <w:left w:val="none" w:sz="0" w:space="0" w:color="auto"/>
            <w:bottom w:val="none" w:sz="0" w:space="0" w:color="auto"/>
            <w:right w:val="none" w:sz="0" w:space="0" w:color="auto"/>
          </w:divBdr>
        </w:div>
        <w:div w:id="845248006">
          <w:marLeft w:val="0"/>
          <w:marRight w:val="0"/>
          <w:marTop w:val="0"/>
          <w:marBottom w:val="0"/>
          <w:divBdr>
            <w:top w:val="none" w:sz="0" w:space="0" w:color="auto"/>
            <w:left w:val="none" w:sz="0" w:space="0" w:color="auto"/>
            <w:bottom w:val="none" w:sz="0" w:space="0" w:color="auto"/>
            <w:right w:val="none" w:sz="0" w:space="0" w:color="auto"/>
          </w:divBdr>
        </w:div>
        <w:div w:id="866143895">
          <w:marLeft w:val="-75"/>
          <w:marRight w:val="0"/>
          <w:marTop w:val="30"/>
          <w:marBottom w:val="30"/>
          <w:divBdr>
            <w:top w:val="none" w:sz="0" w:space="0" w:color="auto"/>
            <w:left w:val="none" w:sz="0" w:space="0" w:color="auto"/>
            <w:bottom w:val="none" w:sz="0" w:space="0" w:color="auto"/>
            <w:right w:val="none" w:sz="0" w:space="0" w:color="auto"/>
          </w:divBdr>
          <w:divsChild>
            <w:div w:id="106199447">
              <w:marLeft w:val="0"/>
              <w:marRight w:val="0"/>
              <w:marTop w:val="0"/>
              <w:marBottom w:val="0"/>
              <w:divBdr>
                <w:top w:val="none" w:sz="0" w:space="0" w:color="auto"/>
                <w:left w:val="none" w:sz="0" w:space="0" w:color="auto"/>
                <w:bottom w:val="none" w:sz="0" w:space="0" w:color="auto"/>
                <w:right w:val="none" w:sz="0" w:space="0" w:color="auto"/>
              </w:divBdr>
              <w:divsChild>
                <w:div w:id="2039617911">
                  <w:marLeft w:val="0"/>
                  <w:marRight w:val="0"/>
                  <w:marTop w:val="0"/>
                  <w:marBottom w:val="0"/>
                  <w:divBdr>
                    <w:top w:val="none" w:sz="0" w:space="0" w:color="auto"/>
                    <w:left w:val="none" w:sz="0" w:space="0" w:color="auto"/>
                    <w:bottom w:val="none" w:sz="0" w:space="0" w:color="auto"/>
                    <w:right w:val="none" w:sz="0" w:space="0" w:color="auto"/>
                  </w:divBdr>
                </w:div>
              </w:divsChild>
            </w:div>
            <w:div w:id="120995937">
              <w:marLeft w:val="0"/>
              <w:marRight w:val="0"/>
              <w:marTop w:val="0"/>
              <w:marBottom w:val="0"/>
              <w:divBdr>
                <w:top w:val="none" w:sz="0" w:space="0" w:color="auto"/>
                <w:left w:val="none" w:sz="0" w:space="0" w:color="auto"/>
                <w:bottom w:val="none" w:sz="0" w:space="0" w:color="auto"/>
                <w:right w:val="none" w:sz="0" w:space="0" w:color="auto"/>
              </w:divBdr>
              <w:divsChild>
                <w:div w:id="190846674">
                  <w:marLeft w:val="0"/>
                  <w:marRight w:val="0"/>
                  <w:marTop w:val="0"/>
                  <w:marBottom w:val="0"/>
                  <w:divBdr>
                    <w:top w:val="none" w:sz="0" w:space="0" w:color="auto"/>
                    <w:left w:val="none" w:sz="0" w:space="0" w:color="auto"/>
                    <w:bottom w:val="none" w:sz="0" w:space="0" w:color="auto"/>
                    <w:right w:val="none" w:sz="0" w:space="0" w:color="auto"/>
                  </w:divBdr>
                </w:div>
              </w:divsChild>
            </w:div>
            <w:div w:id="154495054">
              <w:marLeft w:val="0"/>
              <w:marRight w:val="0"/>
              <w:marTop w:val="0"/>
              <w:marBottom w:val="0"/>
              <w:divBdr>
                <w:top w:val="none" w:sz="0" w:space="0" w:color="auto"/>
                <w:left w:val="none" w:sz="0" w:space="0" w:color="auto"/>
                <w:bottom w:val="none" w:sz="0" w:space="0" w:color="auto"/>
                <w:right w:val="none" w:sz="0" w:space="0" w:color="auto"/>
              </w:divBdr>
              <w:divsChild>
                <w:div w:id="1656372685">
                  <w:marLeft w:val="0"/>
                  <w:marRight w:val="0"/>
                  <w:marTop w:val="0"/>
                  <w:marBottom w:val="0"/>
                  <w:divBdr>
                    <w:top w:val="none" w:sz="0" w:space="0" w:color="auto"/>
                    <w:left w:val="none" w:sz="0" w:space="0" w:color="auto"/>
                    <w:bottom w:val="none" w:sz="0" w:space="0" w:color="auto"/>
                    <w:right w:val="none" w:sz="0" w:space="0" w:color="auto"/>
                  </w:divBdr>
                </w:div>
              </w:divsChild>
            </w:div>
            <w:div w:id="162207663">
              <w:marLeft w:val="0"/>
              <w:marRight w:val="0"/>
              <w:marTop w:val="0"/>
              <w:marBottom w:val="0"/>
              <w:divBdr>
                <w:top w:val="none" w:sz="0" w:space="0" w:color="auto"/>
                <w:left w:val="none" w:sz="0" w:space="0" w:color="auto"/>
                <w:bottom w:val="none" w:sz="0" w:space="0" w:color="auto"/>
                <w:right w:val="none" w:sz="0" w:space="0" w:color="auto"/>
              </w:divBdr>
              <w:divsChild>
                <w:div w:id="773407215">
                  <w:marLeft w:val="0"/>
                  <w:marRight w:val="0"/>
                  <w:marTop w:val="0"/>
                  <w:marBottom w:val="0"/>
                  <w:divBdr>
                    <w:top w:val="none" w:sz="0" w:space="0" w:color="auto"/>
                    <w:left w:val="none" w:sz="0" w:space="0" w:color="auto"/>
                    <w:bottom w:val="none" w:sz="0" w:space="0" w:color="auto"/>
                    <w:right w:val="none" w:sz="0" w:space="0" w:color="auto"/>
                  </w:divBdr>
                </w:div>
                <w:div w:id="1519545052">
                  <w:marLeft w:val="0"/>
                  <w:marRight w:val="0"/>
                  <w:marTop w:val="0"/>
                  <w:marBottom w:val="0"/>
                  <w:divBdr>
                    <w:top w:val="none" w:sz="0" w:space="0" w:color="auto"/>
                    <w:left w:val="none" w:sz="0" w:space="0" w:color="auto"/>
                    <w:bottom w:val="none" w:sz="0" w:space="0" w:color="auto"/>
                    <w:right w:val="none" w:sz="0" w:space="0" w:color="auto"/>
                  </w:divBdr>
                </w:div>
              </w:divsChild>
            </w:div>
            <w:div w:id="391660066">
              <w:marLeft w:val="0"/>
              <w:marRight w:val="0"/>
              <w:marTop w:val="0"/>
              <w:marBottom w:val="0"/>
              <w:divBdr>
                <w:top w:val="none" w:sz="0" w:space="0" w:color="auto"/>
                <w:left w:val="none" w:sz="0" w:space="0" w:color="auto"/>
                <w:bottom w:val="none" w:sz="0" w:space="0" w:color="auto"/>
                <w:right w:val="none" w:sz="0" w:space="0" w:color="auto"/>
              </w:divBdr>
              <w:divsChild>
                <w:div w:id="996113774">
                  <w:marLeft w:val="0"/>
                  <w:marRight w:val="0"/>
                  <w:marTop w:val="0"/>
                  <w:marBottom w:val="0"/>
                  <w:divBdr>
                    <w:top w:val="none" w:sz="0" w:space="0" w:color="auto"/>
                    <w:left w:val="none" w:sz="0" w:space="0" w:color="auto"/>
                    <w:bottom w:val="none" w:sz="0" w:space="0" w:color="auto"/>
                    <w:right w:val="none" w:sz="0" w:space="0" w:color="auto"/>
                  </w:divBdr>
                </w:div>
              </w:divsChild>
            </w:div>
            <w:div w:id="413165859">
              <w:marLeft w:val="0"/>
              <w:marRight w:val="0"/>
              <w:marTop w:val="0"/>
              <w:marBottom w:val="0"/>
              <w:divBdr>
                <w:top w:val="none" w:sz="0" w:space="0" w:color="auto"/>
                <w:left w:val="none" w:sz="0" w:space="0" w:color="auto"/>
                <w:bottom w:val="none" w:sz="0" w:space="0" w:color="auto"/>
                <w:right w:val="none" w:sz="0" w:space="0" w:color="auto"/>
              </w:divBdr>
              <w:divsChild>
                <w:div w:id="828398599">
                  <w:marLeft w:val="0"/>
                  <w:marRight w:val="0"/>
                  <w:marTop w:val="0"/>
                  <w:marBottom w:val="0"/>
                  <w:divBdr>
                    <w:top w:val="none" w:sz="0" w:space="0" w:color="auto"/>
                    <w:left w:val="none" w:sz="0" w:space="0" w:color="auto"/>
                    <w:bottom w:val="none" w:sz="0" w:space="0" w:color="auto"/>
                    <w:right w:val="none" w:sz="0" w:space="0" w:color="auto"/>
                  </w:divBdr>
                </w:div>
              </w:divsChild>
            </w:div>
            <w:div w:id="417408826">
              <w:marLeft w:val="0"/>
              <w:marRight w:val="0"/>
              <w:marTop w:val="0"/>
              <w:marBottom w:val="0"/>
              <w:divBdr>
                <w:top w:val="none" w:sz="0" w:space="0" w:color="auto"/>
                <w:left w:val="none" w:sz="0" w:space="0" w:color="auto"/>
                <w:bottom w:val="none" w:sz="0" w:space="0" w:color="auto"/>
                <w:right w:val="none" w:sz="0" w:space="0" w:color="auto"/>
              </w:divBdr>
              <w:divsChild>
                <w:div w:id="1062017937">
                  <w:marLeft w:val="0"/>
                  <w:marRight w:val="0"/>
                  <w:marTop w:val="0"/>
                  <w:marBottom w:val="0"/>
                  <w:divBdr>
                    <w:top w:val="none" w:sz="0" w:space="0" w:color="auto"/>
                    <w:left w:val="none" w:sz="0" w:space="0" w:color="auto"/>
                    <w:bottom w:val="none" w:sz="0" w:space="0" w:color="auto"/>
                    <w:right w:val="none" w:sz="0" w:space="0" w:color="auto"/>
                  </w:divBdr>
                </w:div>
              </w:divsChild>
            </w:div>
            <w:div w:id="418865239">
              <w:marLeft w:val="0"/>
              <w:marRight w:val="0"/>
              <w:marTop w:val="0"/>
              <w:marBottom w:val="0"/>
              <w:divBdr>
                <w:top w:val="none" w:sz="0" w:space="0" w:color="auto"/>
                <w:left w:val="none" w:sz="0" w:space="0" w:color="auto"/>
                <w:bottom w:val="none" w:sz="0" w:space="0" w:color="auto"/>
                <w:right w:val="none" w:sz="0" w:space="0" w:color="auto"/>
              </w:divBdr>
              <w:divsChild>
                <w:div w:id="1134911485">
                  <w:marLeft w:val="0"/>
                  <w:marRight w:val="0"/>
                  <w:marTop w:val="0"/>
                  <w:marBottom w:val="0"/>
                  <w:divBdr>
                    <w:top w:val="none" w:sz="0" w:space="0" w:color="auto"/>
                    <w:left w:val="none" w:sz="0" w:space="0" w:color="auto"/>
                    <w:bottom w:val="none" w:sz="0" w:space="0" w:color="auto"/>
                    <w:right w:val="none" w:sz="0" w:space="0" w:color="auto"/>
                  </w:divBdr>
                </w:div>
              </w:divsChild>
            </w:div>
            <w:div w:id="696275795">
              <w:marLeft w:val="0"/>
              <w:marRight w:val="0"/>
              <w:marTop w:val="0"/>
              <w:marBottom w:val="0"/>
              <w:divBdr>
                <w:top w:val="none" w:sz="0" w:space="0" w:color="auto"/>
                <w:left w:val="none" w:sz="0" w:space="0" w:color="auto"/>
                <w:bottom w:val="none" w:sz="0" w:space="0" w:color="auto"/>
                <w:right w:val="none" w:sz="0" w:space="0" w:color="auto"/>
              </w:divBdr>
              <w:divsChild>
                <w:div w:id="1009454292">
                  <w:marLeft w:val="0"/>
                  <w:marRight w:val="0"/>
                  <w:marTop w:val="0"/>
                  <w:marBottom w:val="0"/>
                  <w:divBdr>
                    <w:top w:val="none" w:sz="0" w:space="0" w:color="auto"/>
                    <w:left w:val="none" w:sz="0" w:space="0" w:color="auto"/>
                    <w:bottom w:val="none" w:sz="0" w:space="0" w:color="auto"/>
                    <w:right w:val="none" w:sz="0" w:space="0" w:color="auto"/>
                  </w:divBdr>
                </w:div>
              </w:divsChild>
            </w:div>
            <w:div w:id="728961350">
              <w:marLeft w:val="0"/>
              <w:marRight w:val="0"/>
              <w:marTop w:val="0"/>
              <w:marBottom w:val="0"/>
              <w:divBdr>
                <w:top w:val="none" w:sz="0" w:space="0" w:color="auto"/>
                <w:left w:val="none" w:sz="0" w:space="0" w:color="auto"/>
                <w:bottom w:val="none" w:sz="0" w:space="0" w:color="auto"/>
                <w:right w:val="none" w:sz="0" w:space="0" w:color="auto"/>
              </w:divBdr>
              <w:divsChild>
                <w:div w:id="764114083">
                  <w:marLeft w:val="0"/>
                  <w:marRight w:val="0"/>
                  <w:marTop w:val="0"/>
                  <w:marBottom w:val="0"/>
                  <w:divBdr>
                    <w:top w:val="none" w:sz="0" w:space="0" w:color="auto"/>
                    <w:left w:val="none" w:sz="0" w:space="0" w:color="auto"/>
                    <w:bottom w:val="none" w:sz="0" w:space="0" w:color="auto"/>
                    <w:right w:val="none" w:sz="0" w:space="0" w:color="auto"/>
                  </w:divBdr>
                </w:div>
              </w:divsChild>
            </w:div>
            <w:div w:id="831218863">
              <w:marLeft w:val="0"/>
              <w:marRight w:val="0"/>
              <w:marTop w:val="0"/>
              <w:marBottom w:val="0"/>
              <w:divBdr>
                <w:top w:val="none" w:sz="0" w:space="0" w:color="auto"/>
                <w:left w:val="none" w:sz="0" w:space="0" w:color="auto"/>
                <w:bottom w:val="none" w:sz="0" w:space="0" w:color="auto"/>
                <w:right w:val="none" w:sz="0" w:space="0" w:color="auto"/>
              </w:divBdr>
              <w:divsChild>
                <w:div w:id="1681076742">
                  <w:marLeft w:val="0"/>
                  <w:marRight w:val="0"/>
                  <w:marTop w:val="0"/>
                  <w:marBottom w:val="0"/>
                  <w:divBdr>
                    <w:top w:val="none" w:sz="0" w:space="0" w:color="auto"/>
                    <w:left w:val="none" w:sz="0" w:space="0" w:color="auto"/>
                    <w:bottom w:val="none" w:sz="0" w:space="0" w:color="auto"/>
                    <w:right w:val="none" w:sz="0" w:space="0" w:color="auto"/>
                  </w:divBdr>
                </w:div>
              </w:divsChild>
            </w:div>
            <w:div w:id="1056316418">
              <w:marLeft w:val="0"/>
              <w:marRight w:val="0"/>
              <w:marTop w:val="0"/>
              <w:marBottom w:val="0"/>
              <w:divBdr>
                <w:top w:val="none" w:sz="0" w:space="0" w:color="auto"/>
                <w:left w:val="none" w:sz="0" w:space="0" w:color="auto"/>
                <w:bottom w:val="none" w:sz="0" w:space="0" w:color="auto"/>
                <w:right w:val="none" w:sz="0" w:space="0" w:color="auto"/>
              </w:divBdr>
              <w:divsChild>
                <w:div w:id="305015222">
                  <w:marLeft w:val="0"/>
                  <w:marRight w:val="0"/>
                  <w:marTop w:val="0"/>
                  <w:marBottom w:val="0"/>
                  <w:divBdr>
                    <w:top w:val="none" w:sz="0" w:space="0" w:color="auto"/>
                    <w:left w:val="none" w:sz="0" w:space="0" w:color="auto"/>
                    <w:bottom w:val="none" w:sz="0" w:space="0" w:color="auto"/>
                    <w:right w:val="none" w:sz="0" w:space="0" w:color="auto"/>
                  </w:divBdr>
                </w:div>
              </w:divsChild>
            </w:div>
            <w:div w:id="1104114692">
              <w:marLeft w:val="0"/>
              <w:marRight w:val="0"/>
              <w:marTop w:val="0"/>
              <w:marBottom w:val="0"/>
              <w:divBdr>
                <w:top w:val="none" w:sz="0" w:space="0" w:color="auto"/>
                <w:left w:val="none" w:sz="0" w:space="0" w:color="auto"/>
                <w:bottom w:val="none" w:sz="0" w:space="0" w:color="auto"/>
                <w:right w:val="none" w:sz="0" w:space="0" w:color="auto"/>
              </w:divBdr>
              <w:divsChild>
                <w:div w:id="1440679614">
                  <w:marLeft w:val="0"/>
                  <w:marRight w:val="0"/>
                  <w:marTop w:val="0"/>
                  <w:marBottom w:val="0"/>
                  <w:divBdr>
                    <w:top w:val="none" w:sz="0" w:space="0" w:color="auto"/>
                    <w:left w:val="none" w:sz="0" w:space="0" w:color="auto"/>
                    <w:bottom w:val="none" w:sz="0" w:space="0" w:color="auto"/>
                    <w:right w:val="none" w:sz="0" w:space="0" w:color="auto"/>
                  </w:divBdr>
                </w:div>
              </w:divsChild>
            </w:div>
            <w:div w:id="1188105366">
              <w:marLeft w:val="0"/>
              <w:marRight w:val="0"/>
              <w:marTop w:val="0"/>
              <w:marBottom w:val="0"/>
              <w:divBdr>
                <w:top w:val="none" w:sz="0" w:space="0" w:color="auto"/>
                <w:left w:val="none" w:sz="0" w:space="0" w:color="auto"/>
                <w:bottom w:val="none" w:sz="0" w:space="0" w:color="auto"/>
                <w:right w:val="none" w:sz="0" w:space="0" w:color="auto"/>
              </w:divBdr>
              <w:divsChild>
                <w:div w:id="1532263329">
                  <w:marLeft w:val="0"/>
                  <w:marRight w:val="0"/>
                  <w:marTop w:val="0"/>
                  <w:marBottom w:val="0"/>
                  <w:divBdr>
                    <w:top w:val="none" w:sz="0" w:space="0" w:color="auto"/>
                    <w:left w:val="none" w:sz="0" w:space="0" w:color="auto"/>
                    <w:bottom w:val="none" w:sz="0" w:space="0" w:color="auto"/>
                    <w:right w:val="none" w:sz="0" w:space="0" w:color="auto"/>
                  </w:divBdr>
                </w:div>
                <w:div w:id="1914776247">
                  <w:marLeft w:val="0"/>
                  <w:marRight w:val="0"/>
                  <w:marTop w:val="0"/>
                  <w:marBottom w:val="0"/>
                  <w:divBdr>
                    <w:top w:val="none" w:sz="0" w:space="0" w:color="auto"/>
                    <w:left w:val="none" w:sz="0" w:space="0" w:color="auto"/>
                    <w:bottom w:val="none" w:sz="0" w:space="0" w:color="auto"/>
                    <w:right w:val="none" w:sz="0" w:space="0" w:color="auto"/>
                  </w:divBdr>
                </w:div>
              </w:divsChild>
            </w:div>
            <w:div w:id="1238633112">
              <w:marLeft w:val="0"/>
              <w:marRight w:val="0"/>
              <w:marTop w:val="0"/>
              <w:marBottom w:val="0"/>
              <w:divBdr>
                <w:top w:val="none" w:sz="0" w:space="0" w:color="auto"/>
                <w:left w:val="none" w:sz="0" w:space="0" w:color="auto"/>
                <w:bottom w:val="none" w:sz="0" w:space="0" w:color="auto"/>
                <w:right w:val="none" w:sz="0" w:space="0" w:color="auto"/>
              </w:divBdr>
              <w:divsChild>
                <w:div w:id="1388601429">
                  <w:marLeft w:val="0"/>
                  <w:marRight w:val="0"/>
                  <w:marTop w:val="0"/>
                  <w:marBottom w:val="0"/>
                  <w:divBdr>
                    <w:top w:val="none" w:sz="0" w:space="0" w:color="auto"/>
                    <w:left w:val="none" w:sz="0" w:space="0" w:color="auto"/>
                    <w:bottom w:val="none" w:sz="0" w:space="0" w:color="auto"/>
                    <w:right w:val="none" w:sz="0" w:space="0" w:color="auto"/>
                  </w:divBdr>
                </w:div>
              </w:divsChild>
            </w:div>
            <w:div w:id="1338920321">
              <w:marLeft w:val="0"/>
              <w:marRight w:val="0"/>
              <w:marTop w:val="0"/>
              <w:marBottom w:val="0"/>
              <w:divBdr>
                <w:top w:val="none" w:sz="0" w:space="0" w:color="auto"/>
                <w:left w:val="none" w:sz="0" w:space="0" w:color="auto"/>
                <w:bottom w:val="none" w:sz="0" w:space="0" w:color="auto"/>
                <w:right w:val="none" w:sz="0" w:space="0" w:color="auto"/>
              </w:divBdr>
              <w:divsChild>
                <w:div w:id="584151804">
                  <w:marLeft w:val="0"/>
                  <w:marRight w:val="0"/>
                  <w:marTop w:val="0"/>
                  <w:marBottom w:val="0"/>
                  <w:divBdr>
                    <w:top w:val="none" w:sz="0" w:space="0" w:color="auto"/>
                    <w:left w:val="none" w:sz="0" w:space="0" w:color="auto"/>
                    <w:bottom w:val="none" w:sz="0" w:space="0" w:color="auto"/>
                    <w:right w:val="none" w:sz="0" w:space="0" w:color="auto"/>
                  </w:divBdr>
                </w:div>
              </w:divsChild>
            </w:div>
            <w:div w:id="1503550629">
              <w:marLeft w:val="0"/>
              <w:marRight w:val="0"/>
              <w:marTop w:val="0"/>
              <w:marBottom w:val="0"/>
              <w:divBdr>
                <w:top w:val="none" w:sz="0" w:space="0" w:color="auto"/>
                <w:left w:val="none" w:sz="0" w:space="0" w:color="auto"/>
                <w:bottom w:val="none" w:sz="0" w:space="0" w:color="auto"/>
                <w:right w:val="none" w:sz="0" w:space="0" w:color="auto"/>
              </w:divBdr>
              <w:divsChild>
                <w:div w:id="915624281">
                  <w:marLeft w:val="0"/>
                  <w:marRight w:val="0"/>
                  <w:marTop w:val="0"/>
                  <w:marBottom w:val="0"/>
                  <w:divBdr>
                    <w:top w:val="none" w:sz="0" w:space="0" w:color="auto"/>
                    <w:left w:val="none" w:sz="0" w:space="0" w:color="auto"/>
                    <w:bottom w:val="none" w:sz="0" w:space="0" w:color="auto"/>
                    <w:right w:val="none" w:sz="0" w:space="0" w:color="auto"/>
                  </w:divBdr>
                </w:div>
              </w:divsChild>
            </w:div>
            <w:div w:id="1775049605">
              <w:marLeft w:val="0"/>
              <w:marRight w:val="0"/>
              <w:marTop w:val="0"/>
              <w:marBottom w:val="0"/>
              <w:divBdr>
                <w:top w:val="none" w:sz="0" w:space="0" w:color="auto"/>
                <w:left w:val="none" w:sz="0" w:space="0" w:color="auto"/>
                <w:bottom w:val="none" w:sz="0" w:space="0" w:color="auto"/>
                <w:right w:val="none" w:sz="0" w:space="0" w:color="auto"/>
              </w:divBdr>
              <w:divsChild>
                <w:div w:id="396242877">
                  <w:marLeft w:val="0"/>
                  <w:marRight w:val="0"/>
                  <w:marTop w:val="0"/>
                  <w:marBottom w:val="0"/>
                  <w:divBdr>
                    <w:top w:val="none" w:sz="0" w:space="0" w:color="auto"/>
                    <w:left w:val="none" w:sz="0" w:space="0" w:color="auto"/>
                    <w:bottom w:val="none" w:sz="0" w:space="0" w:color="auto"/>
                    <w:right w:val="none" w:sz="0" w:space="0" w:color="auto"/>
                  </w:divBdr>
                </w:div>
              </w:divsChild>
            </w:div>
            <w:div w:id="1875730016">
              <w:marLeft w:val="0"/>
              <w:marRight w:val="0"/>
              <w:marTop w:val="0"/>
              <w:marBottom w:val="0"/>
              <w:divBdr>
                <w:top w:val="none" w:sz="0" w:space="0" w:color="auto"/>
                <w:left w:val="none" w:sz="0" w:space="0" w:color="auto"/>
                <w:bottom w:val="none" w:sz="0" w:space="0" w:color="auto"/>
                <w:right w:val="none" w:sz="0" w:space="0" w:color="auto"/>
              </w:divBdr>
              <w:divsChild>
                <w:div w:id="258491813">
                  <w:marLeft w:val="0"/>
                  <w:marRight w:val="0"/>
                  <w:marTop w:val="0"/>
                  <w:marBottom w:val="0"/>
                  <w:divBdr>
                    <w:top w:val="none" w:sz="0" w:space="0" w:color="auto"/>
                    <w:left w:val="none" w:sz="0" w:space="0" w:color="auto"/>
                    <w:bottom w:val="none" w:sz="0" w:space="0" w:color="auto"/>
                    <w:right w:val="none" w:sz="0" w:space="0" w:color="auto"/>
                  </w:divBdr>
                </w:div>
              </w:divsChild>
            </w:div>
            <w:div w:id="1904634166">
              <w:marLeft w:val="0"/>
              <w:marRight w:val="0"/>
              <w:marTop w:val="0"/>
              <w:marBottom w:val="0"/>
              <w:divBdr>
                <w:top w:val="none" w:sz="0" w:space="0" w:color="auto"/>
                <w:left w:val="none" w:sz="0" w:space="0" w:color="auto"/>
                <w:bottom w:val="none" w:sz="0" w:space="0" w:color="auto"/>
                <w:right w:val="none" w:sz="0" w:space="0" w:color="auto"/>
              </w:divBdr>
              <w:divsChild>
                <w:div w:id="999581186">
                  <w:marLeft w:val="0"/>
                  <w:marRight w:val="0"/>
                  <w:marTop w:val="0"/>
                  <w:marBottom w:val="0"/>
                  <w:divBdr>
                    <w:top w:val="none" w:sz="0" w:space="0" w:color="auto"/>
                    <w:left w:val="none" w:sz="0" w:space="0" w:color="auto"/>
                    <w:bottom w:val="none" w:sz="0" w:space="0" w:color="auto"/>
                    <w:right w:val="none" w:sz="0" w:space="0" w:color="auto"/>
                  </w:divBdr>
                </w:div>
              </w:divsChild>
            </w:div>
            <w:div w:id="1994530153">
              <w:marLeft w:val="0"/>
              <w:marRight w:val="0"/>
              <w:marTop w:val="0"/>
              <w:marBottom w:val="0"/>
              <w:divBdr>
                <w:top w:val="none" w:sz="0" w:space="0" w:color="auto"/>
                <w:left w:val="none" w:sz="0" w:space="0" w:color="auto"/>
                <w:bottom w:val="none" w:sz="0" w:space="0" w:color="auto"/>
                <w:right w:val="none" w:sz="0" w:space="0" w:color="auto"/>
              </w:divBdr>
              <w:divsChild>
                <w:div w:id="1402606776">
                  <w:marLeft w:val="0"/>
                  <w:marRight w:val="0"/>
                  <w:marTop w:val="0"/>
                  <w:marBottom w:val="0"/>
                  <w:divBdr>
                    <w:top w:val="none" w:sz="0" w:space="0" w:color="auto"/>
                    <w:left w:val="none" w:sz="0" w:space="0" w:color="auto"/>
                    <w:bottom w:val="none" w:sz="0" w:space="0" w:color="auto"/>
                    <w:right w:val="none" w:sz="0" w:space="0" w:color="auto"/>
                  </w:divBdr>
                </w:div>
              </w:divsChild>
            </w:div>
            <w:div w:id="2019388725">
              <w:marLeft w:val="0"/>
              <w:marRight w:val="0"/>
              <w:marTop w:val="0"/>
              <w:marBottom w:val="0"/>
              <w:divBdr>
                <w:top w:val="none" w:sz="0" w:space="0" w:color="auto"/>
                <w:left w:val="none" w:sz="0" w:space="0" w:color="auto"/>
                <w:bottom w:val="none" w:sz="0" w:space="0" w:color="auto"/>
                <w:right w:val="none" w:sz="0" w:space="0" w:color="auto"/>
              </w:divBdr>
              <w:divsChild>
                <w:div w:id="407728129">
                  <w:marLeft w:val="0"/>
                  <w:marRight w:val="0"/>
                  <w:marTop w:val="0"/>
                  <w:marBottom w:val="0"/>
                  <w:divBdr>
                    <w:top w:val="none" w:sz="0" w:space="0" w:color="auto"/>
                    <w:left w:val="none" w:sz="0" w:space="0" w:color="auto"/>
                    <w:bottom w:val="none" w:sz="0" w:space="0" w:color="auto"/>
                    <w:right w:val="none" w:sz="0" w:space="0" w:color="auto"/>
                  </w:divBdr>
                </w:div>
              </w:divsChild>
            </w:div>
            <w:div w:id="2131777617">
              <w:marLeft w:val="0"/>
              <w:marRight w:val="0"/>
              <w:marTop w:val="0"/>
              <w:marBottom w:val="0"/>
              <w:divBdr>
                <w:top w:val="none" w:sz="0" w:space="0" w:color="auto"/>
                <w:left w:val="none" w:sz="0" w:space="0" w:color="auto"/>
                <w:bottom w:val="none" w:sz="0" w:space="0" w:color="auto"/>
                <w:right w:val="none" w:sz="0" w:space="0" w:color="auto"/>
              </w:divBdr>
              <w:divsChild>
                <w:div w:id="177466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36549">
          <w:marLeft w:val="0"/>
          <w:marRight w:val="0"/>
          <w:marTop w:val="0"/>
          <w:marBottom w:val="0"/>
          <w:divBdr>
            <w:top w:val="none" w:sz="0" w:space="0" w:color="auto"/>
            <w:left w:val="none" w:sz="0" w:space="0" w:color="auto"/>
            <w:bottom w:val="none" w:sz="0" w:space="0" w:color="auto"/>
            <w:right w:val="none" w:sz="0" w:space="0" w:color="auto"/>
          </w:divBdr>
        </w:div>
        <w:div w:id="910432733">
          <w:marLeft w:val="0"/>
          <w:marRight w:val="0"/>
          <w:marTop w:val="0"/>
          <w:marBottom w:val="0"/>
          <w:divBdr>
            <w:top w:val="none" w:sz="0" w:space="0" w:color="auto"/>
            <w:left w:val="none" w:sz="0" w:space="0" w:color="auto"/>
            <w:bottom w:val="none" w:sz="0" w:space="0" w:color="auto"/>
            <w:right w:val="none" w:sz="0" w:space="0" w:color="auto"/>
          </w:divBdr>
        </w:div>
        <w:div w:id="916324963">
          <w:marLeft w:val="0"/>
          <w:marRight w:val="0"/>
          <w:marTop w:val="0"/>
          <w:marBottom w:val="0"/>
          <w:divBdr>
            <w:top w:val="none" w:sz="0" w:space="0" w:color="auto"/>
            <w:left w:val="none" w:sz="0" w:space="0" w:color="auto"/>
            <w:bottom w:val="none" w:sz="0" w:space="0" w:color="auto"/>
            <w:right w:val="none" w:sz="0" w:space="0" w:color="auto"/>
          </w:divBdr>
        </w:div>
        <w:div w:id="922564898">
          <w:marLeft w:val="0"/>
          <w:marRight w:val="0"/>
          <w:marTop w:val="0"/>
          <w:marBottom w:val="0"/>
          <w:divBdr>
            <w:top w:val="none" w:sz="0" w:space="0" w:color="auto"/>
            <w:left w:val="none" w:sz="0" w:space="0" w:color="auto"/>
            <w:bottom w:val="none" w:sz="0" w:space="0" w:color="auto"/>
            <w:right w:val="none" w:sz="0" w:space="0" w:color="auto"/>
          </w:divBdr>
        </w:div>
        <w:div w:id="941496273">
          <w:marLeft w:val="0"/>
          <w:marRight w:val="0"/>
          <w:marTop w:val="0"/>
          <w:marBottom w:val="0"/>
          <w:divBdr>
            <w:top w:val="none" w:sz="0" w:space="0" w:color="auto"/>
            <w:left w:val="none" w:sz="0" w:space="0" w:color="auto"/>
            <w:bottom w:val="none" w:sz="0" w:space="0" w:color="auto"/>
            <w:right w:val="none" w:sz="0" w:space="0" w:color="auto"/>
          </w:divBdr>
        </w:div>
        <w:div w:id="973561426">
          <w:marLeft w:val="0"/>
          <w:marRight w:val="0"/>
          <w:marTop w:val="0"/>
          <w:marBottom w:val="0"/>
          <w:divBdr>
            <w:top w:val="none" w:sz="0" w:space="0" w:color="auto"/>
            <w:left w:val="none" w:sz="0" w:space="0" w:color="auto"/>
            <w:bottom w:val="none" w:sz="0" w:space="0" w:color="auto"/>
            <w:right w:val="none" w:sz="0" w:space="0" w:color="auto"/>
          </w:divBdr>
        </w:div>
        <w:div w:id="979964046">
          <w:marLeft w:val="0"/>
          <w:marRight w:val="0"/>
          <w:marTop w:val="0"/>
          <w:marBottom w:val="0"/>
          <w:divBdr>
            <w:top w:val="none" w:sz="0" w:space="0" w:color="auto"/>
            <w:left w:val="none" w:sz="0" w:space="0" w:color="auto"/>
            <w:bottom w:val="none" w:sz="0" w:space="0" w:color="auto"/>
            <w:right w:val="none" w:sz="0" w:space="0" w:color="auto"/>
          </w:divBdr>
        </w:div>
        <w:div w:id="981495952">
          <w:marLeft w:val="0"/>
          <w:marRight w:val="0"/>
          <w:marTop w:val="0"/>
          <w:marBottom w:val="0"/>
          <w:divBdr>
            <w:top w:val="none" w:sz="0" w:space="0" w:color="auto"/>
            <w:left w:val="none" w:sz="0" w:space="0" w:color="auto"/>
            <w:bottom w:val="none" w:sz="0" w:space="0" w:color="auto"/>
            <w:right w:val="none" w:sz="0" w:space="0" w:color="auto"/>
          </w:divBdr>
        </w:div>
        <w:div w:id="986668094">
          <w:marLeft w:val="0"/>
          <w:marRight w:val="0"/>
          <w:marTop w:val="0"/>
          <w:marBottom w:val="0"/>
          <w:divBdr>
            <w:top w:val="none" w:sz="0" w:space="0" w:color="auto"/>
            <w:left w:val="none" w:sz="0" w:space="0" w:color="auto"/>
            <w:bottom w:val="none" w:sz="0" w:space="0" w:color="auto"/>
            <w:right w:val="none" w:sz="0" w:space="0" w:color="auto"/>
          </w:divBdr>
        </w:div>
        <w:div w:id="1006901259">
          <w:marLeft w:val="0"/>
          <w:marRight w:val="0"/>
          <w:marTop w:val="0"/>
          <w:marBottom w:val="0"/>
          <w:divBdr>
            <w:top w:val="none" w:sz="0" w:space="0" w:color="auto"/>
            <w:left w:val="none" w:sz="0" w:space="0" w:color="auto"/>
            <w:bottom w:val="none" w:sz="0" w:space="0" w:color="auto"/>
            <w:right w:val="none" w:sz="0" w:space="0" w:color="auto"/>
          </w:divBdr>
        </w:div>
        <w:div w:id="1051809619">
          <w:marLeft w:val="0"/>
          <w:marRight w:val="0"/>
          <w:marTop w:val="0"/>
          <w:marBottom w:val="0"/>
          <w:divBdr>
            <w:top w:val="none" w:sz="0" w:space="0" w:color="auto"/>
            <w:left w:val="none" w:sz="0" w:space="0" w:color="auto"/>
            <w:bottom w:val="none" w:sz="0" w:space="0" w:color="auto"/>
            <w:right w:val="none" w:sz="0" w:space="0" w:color="auto"/>
          </w:divBdr>
        </w:div>
        <w:div w:id="1057584835">
          <w:marLeft w:val="0"/>
          <w:marRight w:val="0"/>
          <w:marTop w:val="0"/>
          <w:marBottom w:val="0"/>
          <w:divBdr>
            <w:top w:val="none" w:sz="0" w:space="0" w:color="auto"/>
            <w:left w:val="none" w:sz="0" w:space="0" w:color="auto"/>
            <w:bottom w:val="none" w:sz="0" w:space="0" w:color="auto"/>
            <w:right w:val="none" w:sz="0" w:space="0" w:color="auto"/>
          </w:divBdr>
        </w:div>
        <w:div w:id="1061633650">
          <w:marLeft w:val="0"/>
          <w:marRight w:val="0"/>
          <w:marTop w:val="0"/>
          <w:marBottom w:val="0"/>
          <w:divBdr>
            <w:top w:val="none" w:sz="0" w:space="0" w:color="auto"/>
            <w:left w:val="none" w:sz="0" w:space="0" w:color="auto"/>
            <w:bottom w:val="none" w:sz="0" w:space="0" w:color="auto"/>
            <w:right w:val="none" w:sz="0" w:space="0" w:color="auto"/>
          </w:divBdr>
        </w:div>
        <w:div w:id="1096709368">
          <w:marLeft w:val="0"/>
          <w:marRight w:val="0"/>
          <w:marTop w:val="0"/>
          <w:marBottom w:val="0"/>
          <w:divBdr>
            <w:top w:val="none" w:sz="0" w:space="0" w:color="auto"/>
            <w:left w:val="none" w:sz="0" w:space="0" w:color="auto"/>
            <w:bottom w:val="none" w:sz="0" w:space="0" w:color="auto"/>
            <w:right w:val="none" w:sz="0" w:space="0" w:color="auto"/>
          </w:divBdr>
        </w:div>
        <w:div w:id="1098140905">
          <w:marLeft w:val="0"/>
          <w:marRight w:val="0"/>
          <w:marTop w:val="0"/>
          <w:marBottom w:val="0"/>
          <w:divBdr>
            <w:top w:val="none" w:sz="0" w:space="0" w:color="auto"/>
            <w:left w:val="none" w:sz="0" w:space="0" w:color="auto"/>
            <w:bottom w:val="none" w:sz="0" w:space="0" w:color="auto"/>
            <w:right w:val="none" w:sz="0" w:space="0" w:color="auto"/>
          </w:divBdr>
        </w:div>
        <w:div w:id="1117486386">
          <w:marLeft w:val="0"/>
          <w:marRight w:val="0"/>
          <w:marTop w:val="0"/>
          <w:marBottom w:val="0"/>
          <w:divBdr>
            <w:top w:val="none" w:sz="0" w:space="0" w:color="auto"/>
            <w:left w:val="none" w:sz="0" w:space="0" w:color="auto"/>
            <w:bottom w:val="none" w:sz="0" w:space="0" w:color="auto"/>
            <w:right w:val="none" w:sz="0" w:space="0" w:color="auto"/>
          </w:divBdr>
        </w:div>
        <w:div w:id="1123042940">
          <w:marLeft w:val="0"/>
          <w:marRight w:val="0"/>
          <w:marTop w:val="0"/>
          <w:marBottom w:val="0"/>
          <w:divBdr>
            <w:top w:val="none" w:sz="0" w:space="0" w:color="auto"/>
            <w:left w:val="none" w:sz="0" w:space="0" w:color="auto"/>
            <w:bottom w:val="none" w:sz="0" w:space="0" w:color="auto"/>
            <w:right w:val="none" w:sz="0" w:space="0" w:color="auto"/>
          </w:divBdr>
        </w:div>
        <w:div w:id="1140266985">
          <w:marLeft w:val="0"/>
          <w:marRight w:val="0"/>
          <w:marTop w:val="0"/>
          <w:marBottom w:val="0"/>
          <w:divBdr>
            <w:top w:val="none" w:sz="0" w:space="0" w:color="auto"/>
            <w:left w:val="none" w:sz="0" w:space="0" w:color="auto"/>
            <w:bottom w:val="none" w:sz="0" w:space="0" w:color="auto"/>
            <w:right w:val="none" w:sz="0" w:space="0" w:color="auto"/>
          </w:divBdr>
        </w:div>
        <w:div w:id="1152335247">
          <w:marLeft w:val="0"/>
          <w:marRight w:val="0"/>
          <w:marTop w:val="0"/>
          <w:marBottom w:val="0"/>
          <w:divBdr>
            <w:top w:val="none" w:sz="0" w:space="0" w:color="auto"/>
            <w:left w:val="none" w:sz="0" w:space="0" w:color="auto"/>
            <w:bottom w:val="none" w:sz="0" w:space="0" w:color="auto"/>
            <w:right w:val="none" w:sz="0" w:space="0" w:color="auto"/>
          </w:divBdr>
        </w:div>
        <w:div w:id="1168444832">
          <w:marLeft w:val="0"/>
          <w:marRight w:val="0"/>
          <w:marTop w:val="0"/>
          <w:marBottom w:val="0"/>
          <w:divBdr>
            <w:top w:val="none" w:sz="0" w:space="0" w:color="auto"/>
            <w:left w:val="none" w:sz="0" w:space="0" w:color="auto"/>
            <w:bottom w:val="none" w:sz="0" w:space="0" w:color="auto"/>
            <w:right w:val="none" w:sz="0" w:space="0" w:color="auto"/>
          </w:divBdr>
        </w:div>
        <w:div w:id="1172337538">
          <w:marLeft w:val="0"/>
          <w:marRight w:val="0"/>
          <w:marTop w:val="0"/>
          <w:marBottom w:val="0"/>
          <w:divBdr>
            <w:top w:val="none" w:sz="0" w:space="0" w:color="auto"/>
            <w:left w:val="none" w:sz="0" w:space="0" w:color="auto"/>
            <w:bottom w:val="none" w:sz="0" w:space="0" w:color="auto"/>
            <w:right w:val="none" w:sz="0" w:space="0" w:color="auto"/>
          </w:divBdr>
        </w:div>
        <w:div w:id="1172840894">
          <w:marLeft w:val="0"/>
          <w:marRight w:val="0"/>
          <w:marTop w:val="0"/>
          <w:marBottom w:val="0"/>
          <w:divBdr>
            <w:top w:val="none" w:sz="0" w:space="0" w:color="auto"/>
            <w:left w:val="none" w:sz="0" w:space="0" w:color="auto"/>
            <w:bottom w:val="none" w:sz="0" w:space="0" w:color="auto"/>
            <w:right w:val="none" w:sz="0" w:space="0" w:color="auto"/>
          </w:divBdr>
        </w:div>
        <w:div w:id="1177966374">
          <w:marLeft w:val="0"/>
          <w:marRight w:val="0"/>
          <w:marTop w:val="0"/>
          <w:marBottom w:val="0"/>
          <w:divBdr>
            <w:top w:val="none" w:sz="0" w:space="0" w:color="auto"/>
            <w:left w:val="none" w:sz="0" w:space="0" w:color="auto"/>
            <w:bottom w:val="none" w:sz="0" w:space="0" w:color="auto"/>
            <w:right w:val="none" w:sz="0" w:space="0" w:color="auto"/>
          </w:divBdr>
        </w:div>
        <w:div w:id="1189946563">
          <w:marLeft w:val="0"/>
          <w:marRight w:val="0"/>
          <w:marTop w:val="0"/>
          <w:marBottom w:val="0"/>
          <w:divBdr>
            <w:top w:val="none" w:sz="0" w:space="0" w:color="auto"/>
            <w:left w:val="none" w:sz="0" w:space="0" w:color="auto"/>
            <w:bottom w:val="none" w:sz="0" w:space="0" w:color="auto"/>
            <w:right w:val="none" w:sz="0" w:space="0" w:color="auto"/>
          </w:divBdr>
        </w:div>
        <w:div w:id="1227373849">
          <w:marLeft w:val="0"/>
          <w:marRight w:val="0"/>
          <w:marTop w:val="0"/>
          <w:marBottom w:val="0"/>
          <w:divBdr>
            <w:top w:val="none" w:sz="0" w:space="0" w:color="auto"/>
            <w:left w:val="none" w:sz="0" w:space="0" w:color="auto"/>
            <w:bottom w:val="none" w:sz="0" w:space="0" w:color="auto"/>
            <w:right w:val="none" w:sz="0" w:space="0" w:color="auto"/>
          </w:divBdr>
        </w:div>
        <w:div w:id="1231698155">
          <w:marLeft w:val="0"/>
          <w:marRight w:val="0"/>
          <w:marTop w:val="0"/>
          <w:marBottom w:val="0"/>
          <w:divBdr>
            <w:top w:val="none" w:sz="0" w:space="0" w:color="auto"/>
            <w:left w:val="none" w:sz="0" w:space="0" w:color="auto"/>
            <w:bottom w:val="none" w:sz="0" w:space="0" w:color="auto"/>
            <w:right w:val="none" w:sz="0" w:space="0" w:color="auto"/>
          </w:divBdr>
        </w:div>
        <w:div w:id="1232152625">
          <w:marLeft w:val="0"/>
          <w:marRight w:val="0"/>
          <w:marTop w:val="0"/>
          <w:marBottom w:val="0"/>
          <w:divBdr>
            <w:top w:val="none" w:sz="0" w:space="0" w:color="auto"/>
            <w:left w:val="none" w:sz="0" w:space="0" w:color="auto"/>
            <w:bottom w:val="none" w:sz="0" w:space="0" w:color="auto"/>
            <w:right w:val="none" w:sz="0" w:space="0" w:color="auto"/>
          </w:divBdr>
        </w:div>
        <w:div w:id="1273592220">
          <w:marLeft w:val="-75"/>
          <w:marRight w:val="0"/>
          <w:marTop w:val="30"/>
          <w:marBottom w:val="30"/>
          <w:divBdr>
            <w:top w:val="none" w:sz="0" w:space="0" w:color="auto"/>
            <w:left w:val="none" w:sz="0" w:space="0" w:color="auto"/>
            <w:bottom w:val="none" w:sz="0" w:space="0" w:color="auto"/>
            <w:right w:val="none" w:sz="0" w:space="0" w:color="auto"/>
          </w:divBdr>
          <w:divsChild>
            <w:div w:id="197090661">
              <w:marLeft w:val="0"/>
              <w:marRight w:val="0"/>
              <w:marTop w:val="0"/>
              <w:marBottom w:val="0"/>
              <w:divBdr>
                <w:top w:val="none" w:sz="0" w:space="0" w:color="auto"/>
                <w:left w:val="none" w:sz="0" w:space="0" w:color="auto"/>
                <w:bottom w:val="none" w:sz="0" w:space="0" w:color="auto"/>
                <w:right w:val="none" w:sz="0" w:space="0" w:color="auto"/>
              </w:divBdr>
              <w:divsChild>
                <w:div w:id="1404528310">
                  <w:marLeft w:val="0"/>
                  <w:marRight w:val="0"/>
                  <w:marTop w:val="0"/>
                  <w:marBottom w:val="0"/>
                  <w:divBdr>
                    <w:top w:val="none" w:sz="0" w:space="0" w:color="auto"/>
                    <w:left w:val="none" w:sz="0" w:space="0" w:color="auto"/>
                    <w:bottom w:val="none" w:sz="0" w:space="0" w:color="auto"/>
                    <w:right w:val="none" w:sz="0" w:space="0" w:color="auto"/>
                  </w:divBdr>
                </w:div>
              </w:divsChild>
            </w:div>
            <w:div w:id="211625437">
              <w:marLeft w:val="0"/>
              <w:marRight w:val="0"/>
              <w:marTop w:val="0"/>
              <w:marBottom w:val="0"/>
              <w:divBdr>
                <w:top w:val="none" w:sz="0" w:space="0" w:color="auto"/>
                <w:left w:val="none" w:sz="0" w:space="0" w:color="auto"/>
                <w:bottom w:val="none" w:sz="0" w:space="0" w:color="auto"/>
                <w:right w:val="none" w:sz="0" w:space="0" w:color="auto"/>
              </w:divBdr>
              <w:divsChild>
                <w:div w:id="1590768083">
                  <w:marLeft w:val="0"/>
                  <w:marRight w:val="0"/>
                  <w:marTop w:val="0"/>
                  <w:marBottom w:val="0"/>
                  <w:divBdr>
                    <w:top w:val="none" w:sz="0" w:space="0" w:color="auto"/>
                    <w:left w:val="none" w:sz="0" w:space="0" w:color="auto"/>
                    <w:bottom w:val="none" w:sz="0" w:space="0" w:color="auto"/>
                    <w:right w:val="none" w:sz="0" w:space="0" w:color="auto"/>
                  </w:divBdr>
                </w:div>
              </w:divsChild>
            </w:div>
            <w:div w:id="233392111">
              <w:marLeft w:val="0"/>
              <w:marRight w:val="0"/>
              <w:marTop w:val="0"/>
              <w:marBottom w:val="0"/>
              <w:divBdr>
                <w:top w:val="none" w:sz="0" w:space="0" w:color="auto"/>
                <w:left w:val="none" w:sz="0" w:space="0" w:color="auto"/>
                <w:bottom w:val="none" w:sz="0" w:space="0" w:color="auto"/>
                <w:right w:val="none" w:sz="0" w:space="0" w:color="auto"/>
              </w:divBdr>
              <w:divsChild>
                <w:div w:id="29453193">
                  <w:marLeft w:val="0"/>
                  <w:marRight w:val="0"/>
                  <w:marTop w:val="0"/>
                  <w:marBottom w:val="0"/>
                  <w:divBdr>
                    <w:top w:val="none" w:sz="0" w:space="0" w:color="auto"/>
                    <w:left w:val="none" w:sz="0" w:space="0" w:color="auto"/>
                    <w:bottom w:val="none" w:sz="0" w:space="0" w:color="auto"/>
                    <w:right w:val="none" w:sz="0" w:space="0" w:color="auto"/>
                  </w:divBdr>
                </w:div>
              </w:divsChild>
            </w:div>
            <w:div w:id="441532476">
              <w:marLeft w:val="0"/>
              <w:marRight w:val="0"/>
              <w:marTop w:val="0"/>
              <w:marBottom w:val="0"/>
              <w:divBdr>
                <w:top w:val="none" w:sz="0" w:space="0" w:color="auto"/>
                <w:left w:val="none" w:sz="0" w:space="0" w:color="auto"/>
                <w:bottom w:val="none" w:sz="0" w:space="0" w:color="auto"/>
                <w:right w:val="none" w:sz="0" w:space="0" w:color="auto"/>
              </w:divBdr>
              <w:divsChild>
                <w:div w:id="657466602">
                  <w:marLeft w:val="0"/>
                  <w:marRight w:val="0"/>
                  <w:marTop w:val="0"/>
                  <w:marBottom w:val="0"/>
                  <w:divBdr>
                    <w:top w:val="none" w:sz="0" w:space="0" w:color="auto"/>
                    <w:left w:val="none" w:sz="0" w:space="0" w:color="auto"/>
                    <w:bottom w:val="none" w:sz="0" w:space="0" w:color="auto"/>
                    <w:right w:val="none" w:sz="0" w:space="0" w:color="auto"/>
                  </w:divBdr>
                </w:div>
                <w:div w:id="1198352300">
                  <w:marLeft w:val="0"/>
                  <w:marRight w:val="0"/>
                  <w:marTop w:val="0"/>
                  <w:marBottom w:val="0"/>
                  <w:divBdr>
                    <w:top w:val="none" w:sz="0" w:space="0" w:color="auto"/>
                    <w:left w:val="none" w:sz="0" w:space="0" w:color="auto"/>
                    <w:bottom w:val="none" w:sz="0" w:space="0" w:color="auto"/>
                    <w:right w:val="none" w:sz="0" w:space="0" w:color="auto"/>
                  </w:divBdr>
                </w:div>
                <w:div w:id="1387988854">
                  <w:marLeft w:val="0"/>
                  <w:marRight w:val="0"/>
                  <w:marTop w:val="0"/>
                  <w:marBottom w:val="0"/>
                  <w:divBdr>
                    <w:top w:val="none" w:sz="0" w:space="0" w:color="auto"/>
                    <w:left w:val="none" w:sz="0" w:space="0" w:color="auto"/>
                    <w:bottom w:val="none" w:sz="0" w:space="0" w:color="auto"/>
                    <w:right w:val="none" w:sz="0" w:space="0" w:color="auto"/>
                  </w:divBdr>
                </w:div>
                <w:div w:id="1582642997">
                  <w:marLeft w:val="0"/>
                  <w:marRight w:val="0"/>
                  <w:marTop w:val="0"/>
                  <w:marBottom w:val="0"/>
                  <w:divBdr>
                    <w:top w:val="none" w:sz="0" w:space="0" w:color="auto"/>
                    <w:left w:val="none" w:sz="0" w:space="0" w:color="auto"/>
                    <w:bottom w:val="none" w:sz="0" w:space="0" w:color="auto"/>
                    <w:right w:val="none" w:sz="0" w:space="0" w:color="auto"/>
                  </w:divBdr>
                </w:div>
                <w:div w:id="1860046920">
                  <w:marLeft w:val="0"/>
                  <w:marRight w:val="0"/>
                  <w:marTop w:val="0"/>
                  <w:marBottom w:val="0"/>
                  <w:divBdr>
                    <w:top w:val="none" w:sz="0" w:space="0" w:color="auto"/>
                    <w:left w:val="none" w:sz="0" w:space="0" w:color="auto"/>
                    <w:bottom w:val="none" w:sz="0" w:space="0" w:color="auto"/>
                    <w:right w:val="none" w:sz="0" w:space="0" w:color="auto"/>
                  </w:divBdr>
                </w:div>
              </w:divsChild>
            </w:div>
            <w:div w:id="541749947">
              <w:marLeft w:val="0"/>
              <w:marRight w:val="0"/>
              <w:marTop w:val="0"/>
              <w:marBottom w:val="0"/>
              <w:divBdr>
                <w:top w:val="none" w:sz="0" w:space="0" w:color="auto"/>
                <w:left w:val="none" w:sz="0" w:space="0" w:color="auto"/>
                <w:bottom w:val="none" w:sz="0" w:space="0" w:color="auto"/>
                <w:right w:val="none" w:sz="0" w:space="0" w:color="auto"/>
              </w:divBdr>
              <w:divsChild>
                <w:div w:id="147403270">
                  <w:marLeft w:val="0"/>
                  <w:marRight w:val="0"/>
                  <w:marTop w:val="0"/>
                  <w:marBottom w:val="0"/>
                  <w:divBdr>
                    <w:top w:val="none" w:sz="0" w:space="0" w:color="auto"/>
                    <w:left w:val="none" w:sz="0" w:space="0" w:color="auto"/>
                    <w:bottom w:val="none" w:sz="0" w:space="0" w:color="auto"/>
                    <w:right w:val="none" w:sz="0" w:space="0" w:color="auto"/>
                  </w:divBdr>
                </w:div>
              </w:divsChild>
            </w:div>
            <w:div w:id="665210715">
              <w:marLeft w:val="0"/>
              <w:marRight w:val="0"/>
              <w:marTop w:val="0"/>
              <w:marBottom w:val="0"/>
              <w:divBdr>
                <w:top w:val="none" w:sz="0" w:space="0" w:color="auto"/>
                <w:left w:val="none" w:sz="0" w:space="0" w:color="auto"/>
                <w:bottom w:val="none" w:sz="0" w:space="0" w:color="auto"/>
                <w:right w:val="none" w:sz="0" w:space="0" w:color="auto"/>
              </w:divBdr>
              <w:divsChild>
                <w:div w:id="35668477">
                  <w:marLeft w:val="0"/>
                  <w:marRight w:val="0"/>
                  <w:marTop w:val="0"/>
                  <w:marBottom w:val="0"/>
                  <w:divBdr>
                    <w:top w:val="none" w:sz="0" w:space="0" w:color="auto"/>
                    <w:left w:val="none" w:sz="0" w:space="0" w:color="auto"/>
                    <w:bottom w:val="none" w:sz="0" w:space="0" w:color="auto"/>
                    <w:right w:val="none" w:sz="0" w:space="0" w:color="auto"/>
                  </w:divBdr>
                </w:div>
              </w:divsChild>
            </w:div>
            <w:div w:id="820736985">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
              </w:divsChild>
            </w:div>
            <w:div w:id="1193542122">
              <w:marLeft w:val="0"/>
              <w:marRight w:val="0"/>
              <w:marTop w:val="0"/>
              <w:marBottom w:val="0"/>
              <w:divBdr>
                <w:top w:val="none" w:sz="0" w:space="0" w:color="auto"/>
                <w:left w:val="none" w:sz="0" w:space="0" w:color="auto"/>
                <w:bottom w:val="none" w:sz="0" w:space="0" w:color="auto"/>
                <w:right w:val="none" w:sz="0" w:space="0" w:color="auto"/>
              </w:divBdr>
              <w:divsChild>
                <w:div w:id="507864876">
                  <w:marLeft w:val="0"/>
                  <w:marRight w:val="0"/>
                  <w:marTop w:val="0"/>
                  <w:marBottom w:val="0"/>
                  <w:divBdr>
                    <w:top w:val="none" w:sz="0" w:space="0" w:color="auto"/>
                    <w:left w:val="none" w:sz="0" w:space="0" w:color="auto"/>
                    <w:bottom w:val="none" w:sz="0" w:space="0" w:color="auto"/>
                    <w:right w:val="none" w:sz="0" w:space="0" w:color="auto"/>
                  </w:divBdr>
                </w:div>
                <w:div w:id="514003881">
                  <w:marLeft w:val="0"/>
                  <w:marRight w:val="0"/>
                  <w:marTop w:val="0"/>
                  <w:marBottom w:val="0"/>
                  <w:divBdr>
                    <w:top w:val="none" w:sz="0" w:space="0" w:color="auto"/>
                    <w:left w:val="none" w:sz="0" w:space="0" w:color="auto"/>
                    <w:bottom w:val="none" w:sz="0" w:space="0" w:color="auto"/>
                    <w:right w:val="none" w:sz="0" w:space="0" w:color="auto"/>
                  </w:divBdr>
                </w:div>
              </w:divsChild>
            </w:div>
            <w:div w:id="1212382805">
              <w:marLeft w:val="0"/>
              <w:marRight w:val="0"/>
              <w:marTop w:val="0"/>
              <w:marBottom w:val="0"/>
              <w:divBdr>
                <w:top w:val="none" w:sz="0" w:space="0" w:color="auto"/>
                <w:left w:val="none" w:sz="0" w:space="0" w:color="auto"/>
                <w:bottom w:val="none" w:sz="0" w:space="0" w:color="auto"/>
                <w:right w:val="none" w:sz="0" w:space="0" w:color="auto"/>
              </w:divBdr>
              <w:divsChild>
                <w:div w:id="319234269">
                  <w:marLeft w:val="0"/>
                  <w:marRight w:val="0"/>
                  <w:marTop w:val="0"/>
                  <w:marBottom w:val="0"/>
                  <w:divBdr>
                    <w:top w:val="none" w:sz="0" w:space="0" w:color="auto"/>
                    <w:left w:val="none" w:sz="0" w:space="0" w:color="auto"/>
                    <w:bottom w:val="none" w:sz="0" w:space="0" w:color="auto"/>
                    <w:right w:val="none" w:sz="0" w:space="0" w:color="auto"/>
                  </w:divBdr>
                </w:div>
              </w:divsChild>
            </w:div>
            <w:div w:id="1428187503">
              <w:marLeft w:val="0"/>
              <w:marRight w:val="0"/>
              <w:marTop w:val="0"/>
              <w:marBottom w:val="0"/>
              <w:divBdr>
                <w:top w:val="none" w:sz="0" w:space="0" w:color="auto"/>
                <w:left w:val="none" w:sz="0" w:space="0" w:color="auto"/>
                <w:bottom w:val="none" w:sz="0" w:space="0" w:color="auto"/>
                <w:right w:val="none" w:sz="0" w:space="0" w:color="auto"/>
              </w:divBdr>
              <w:divsChild>
                <w:div w:id="612783305">
                  <w:marLeft w:val="0"/>
                  <w:marRight w:val="0"/>
                  <w:marTop w:val="0"/>
                  <w:marBottom w:val="0"/>
                  <w:divBdr>
                    <w:top w:val="none" w:sz="0" w:space="0" w:color="auto"/>
                    <w:left w:val="none" w:sz="0" w:space="0" w:color="auto"/>
                    <w:bottom w:val="none" w:sz="0" w:space="0" w:color="auto"/>
                    <w:right w:val="none" w:sz="0" w:space="0" w:color="auto"/>
                  </w:divBdr>
                </w:div>
              </w:divsChild>
            </w:div>
            <w:div w:id="1546867445">
              <w:marLeft w:val="0"/>
              <w:marRight w:val="0"/>
              <w:marTop w:val="0"/>
              <w:marBottom w:val="0"/>
              <w:divBdr>
                <w:top w:val="none" w:sz="0" w:space="0" w:color="auto"/>
                <w:left w:val="none" w:sz="0" w:space="0" w:color="auto"/>
                <w:bottom w:val="none" w:sz="0" w:space="0" w:color="auto"/>
                <w:right w:val="none" w:sz="0" w:space="0" w:color="auto"/>
              </w:divBdr>
              <w:divsChild>
                <w:div w:id="1802459214">
                  <w:marLeft w:val="0"/>
                  <w:marRight w:val="0"/>
                  <w:marTop w:val="0"/>
                  <w:marBottom w:val="0"/>
                  <w:divBdr>
                    <w:top w:val="none" w:sz="0" w:space="0" w:color="auto"/>
                    <w:left w:val="none" w:sz="0" w:space="0" w:color="auto"/>
                    <w:bottom w:val="none" w:sz="0" w:space="0" w:color="auto"/>
                    <w:right w:val="none" w:sz="0" w:space="0" w:color="auto"/>
                  </w:divBdr>
                </w:div>
              </w:divsChild>
            </w:div>
            <w:div w:id="1603493617">
              <w:marLeft w:val="0"/>
              <w:marRight w:val="0"/>
              <w:marTop w:val="0"/>
              <w:marBottom w:val="0"/>
              <w:divBdr>
                <w:top w:val="none" w:sz="0" w:space="0" w:color="auto"/>
                <w:left w:val="none" w:sz="0" w:space="0" w:color="auto"/>
                <w:bottom w:val="none" w:sz="0" w:space="0" w:color="auto"/>
                <w:right w:val="none" w:sz="0" w:space="0" w:color="auto"/>
              </w:divBdr>
              <w:divsChild>
                <w:div w:id="65137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968494">
          <w:marLeft w:val="0"/>
          <w:marRight w:val="0"/>
          <w:marTop w:val="0"/>
          <w:marBottom w:val="0"/>
          <w:divBdr>
            <w:top w:val="none" w:sz="0" w:space="0" w:color="auto"/>
            <w:left w:val="none" w:sz="0" w:space="0" w:color="auto"/>
            <w:bottom w:val="none" w:sz="0" w:space="0" w:color="auto"/>
            <w:right w:val="none" w:sz="0" w:space="0" w:color="auto"/>
          </w:divBdr>
        </w:div>
        <w:div w:id="1317149894">
          <w:marLeft w:val="0"/>
          <w:marRight w:val="0"/>
          <w:marTop w:val="0"/>
          <w:marBottom w:val="0"/>
          <w:divBdr>
            <w:top w:val="none" w:sz="0" w:space="0" w:color="auto"/>
            <w:left w:val="none" w:sz="0" w:space="0" w:color="auto"/>
            <w:bottom w:val="none" w:sz="0" w:space="0" w:color="auto"/>
            <w:right w:val="none" w:sz="0" w:space="0" w:color="auto"/>
          </w:divBdr>
        </w:div>
        <w:div w:id="1341081381">
          <w:marLeft w:val="0"/>
          <w:marRight w:val="0"/>
          <w:marTop w:val="0"/>
          <w:marBottom w:val="0"/>
          <w:divBdr>
            <w:top w:val="none" w:sz="0" w:space="0" w:color="auto"/>
            <w:left w:val="none" w:sz="0" w:space="0" w:color="auto"/>
            <w:bottom w:val="none" w:sz="0" w:space="0" w:color="auto"/>
            <w:right w:val="none" w:sz="0" w:space="0" w:color="auto"/>
          </w:divBdr>
        </w:div>
        <w:div w:id="1341660626">
          <w:marLeft w:val="0"/>
          <w:marRight w:val="0"/>
          <w:marTop w:val="0"/>
          <w:marBottom w:val="0"/>
          <w:divBdr>
            <w:top w:val="none" w:sz="0" w:space="0" w:color="auto"/>
            <w:left w:val="none" w:sz="0" w:space="0" w:color="auto"/>
            <w:bottom w:val="none" w:sz="0" w:space="0" w:color="auto"/>
            <w:right w:val="none" w:sz="0" w:space="0" w:color="auto"/>
          </w:divBdr>
        </w:div>
        <w:div w:id="1366322839">
          <w:marLeft w:val="0"/>
          <w:marRight w:val="0"/>
          <w:marTop w:val="0"/>
          <w:marBottom w:val="0"/>
          <w:divBdr>
            <w:top w:val="none" w:sz="0" w:space="0" w:color="auto"/>
            <w:left w:val="none" w:sz="0" w:space="0" w:color="auto"/>
            <w:bottom w:val="none" w:sz="0" w:space="0" w:color="auto"/>
            <w:right w:val="none" w:sz="0" w:space="0" w:color="auto"/>
          </w:divBdr>
        </w:div>
        <w:div w:id="1402171677">
          <w:marLeft w:val="0"/>
          <w:marRight w:val="0"/>
          <w:marTop w:val="0"/>
          <w:marBottom w:val="0"/>
          <w:divBdr>
            <w:top w:val="none" w:sz="0" w:space="0" w:color="auto"/>
            <w:left w:val="none" w:sz="0" w:space="0" w:color="auto"/>
            <w:bottom w:val="none" w:sz="0" w:space="0" w:color="auto"/>
            <w:right w:val="none" w:sz="0" w:space="0" w:color="auto"/>
          </w:divBdr>
        </w:div>
        <w:div w:id="1411924573">
          <w:marLeft w:val="0"/>
          <w:marRight w:val="0"/>
          <w:marTop w:val="0"/>
          <w:marBottom w:val="0"/>
          <w:divBdr>
            <w:top w:val="none" w:sz="0" w:space="0" w:color="auto"/>
            <w:left w:val="none" w:sz="0" w:space="0" w:color="auto"/>
            <w:bottom w:val="none" w:sz="0" w:space="0" w:color="auto"/>
            <w:right w:val="none" w:sz="0" w:space="0" w:color="auto"/>
          </w:divBdr>
        </w:div>
        <w:div w:id="1499079551">
          <w:marLeft w:val="0"/>
          <w:marRight w:val="0"/>
          <w:marTop w:val="0"/>
          <w:marBottom w:val="0"/>
          <w:divBdr>
            <w:top w:val="none" w:sz="0" w:space="0" w:color="auto"/>
            <w:left w:val="none" w:sz="0" w:space="0" w:color="auto"/>
            <w:bottom w:val="none" w:sz="0" w:space="0" w:color="auto"/>
            <w:right w:val="none" w:sz="0" w:space="0" w:color="auto"/>
          </w:divBdr>
        </w:div>
        <w:div w:id="1516261222">
          <w:marLeft w:val="0"/>
          <w:marRight w:val="0"/>
          <w:marTop w:val="0"/>
          <w:marBottom w:val="0"/>
          <w:divBdr>
            <w:top w:val="none" w:sz="0" w:space="0" w:color="auto"/>
            <w:left w:val="none" w:sz="0" w:space="0" w:color="auto"/>
            <w:bottom w:val="none" w:sz="0" w:space="0" w:color="auto"/>
            <w:right w:val="none" w:sz="0" w:space="0" w:color="auto"/>
          </w:divBdr>
        </w:div>
        <w:div w:id="1529879237">
          <w:marLeft w:val="-75"/>
          <w:marRight w:val="0"/>
          <w:marTop w:val="30"/>
          <w:marBottom w:val="30"/>
          <w:divBdr>
            <w:top w:val="none" w:sz="0" w:space="0" w:color="auto"/>
            <w:left w:val="none" w:sz="0" w:space="0" w:color="auto"/>
            <w:bottom w:val="none" w:sz="0" w:space="0" w:color="auto"/>
            <w:right w:val="none" w:sz="0" w:space="0" w:color="auto"/>
          </w:divBdr>
          <w:divsChild>
            <w:div w:id="95256249">
              <w:marLeft w:val="0"/>
              <w:marRight w:val="0"/>
              <w:marTop w:val="0"/>
              <w:marBottom w:val="0"/>
              <w:divBdr>
                <w:top w:val="none" w:sz="0" w:space="0" w:color="auto"/>
                <w:left w:val="none" w:sz="0" w:space="0" w:color="auto"/>
                <w:bottom w:val="none" w:sz="0" w:space="0" w:color="auto"/>
                <w:right w:val="none" w:sz="0" w:space="0" w:color="auto"/>
              </w:divBdr>
              <w:divsChild>
                <w:div w:id="1518158726">
                  <w:marLeft w:val="0"/>
                  <w:marRight w:val="0"/>
                  <w:marTop w:val="0"/>
                  <w:marBottom w:val="0"/>
                  <w:divBdr>
                    <w:top w:val="none" w:sz="0" w:space="0" w:color="auto"/>
                    <w:left w:val="none" w:sz="0" w:space="0" w:color="auto"/>
                    <w:bottom w:val="none" w:sz="0" w:space="0" w:color="auto"/>
                    <w:right w:val="none" w:sz="0" w:space="0" w:color="auto"/>
                  </w:divBdr>
                </w:div>
              </w:divsChild>
            </w:div>
            <w:div w:id="506019114">
              <w:marLeft w:val="0"/>
              <w:marRight w:val="0"/>
              <w:marTop w:val="0"/>
              <w:marBottom w:val="0"/>
              <w:divBdr>
                <w:top w:val="none" w:sz="0" w:space="0" w:color="auto"/>
                <w:left w:val="none" w:sz="0" w:space="0" w:color="auto"/>
                <w:bottom w:val="none" w:sz="0" w:space="0" w:color="auto"/>
                <w:right w:val="none" w:sz="0" w:space="0" w:color="auto"/>
              </w:divBdr>
              <w:divsChild>
                <w:div w:id="1237087574">
                  <w:marLeft w:val="0"/>
                  <w:marRight w:val="0"/>
                  <w:marTop w:val="0"/>
                  <w:marBottom w:val="0"/>
                  <w:divBdr>
                    <w:top w:val="none" w:sz="0" w:space="0" w:color="auto"/>
                    <w:left w:val="none" w:sz="0" w:space="0" w:color="auto"/>
                    <w:bottom w:val="none" w:sz="0" w:space="0" w:color="auto"/>
                    <w:right w:val="none" w:sz="0" w:space="0" w:color="auto"/>
                  </w:divBdr>
                </w:div>
              </w:divsChild>
            </w:div>
            <w:div w:id="809127102">
              <w:marLeft w:val="0"/>
              <w:marRight w:val="0"/>
              <w:marTop w:val="0"/>
              <w:marBottom w:val="0"/>
              <w:divBdr>
                <w:top w:val="none" w:sz="0" w:space="0" w:color="auto"/>
                <w:left w:val="none" w:sz="0" w:space="0" w:color="auto"/>
                <w:bottom w:val="none" w:sz="0" w:space="0" w:color="auto"/>
                <w:right w:val="none" w:sz="0" w:space="0" w:color="auto"/>
              </w:divBdr>
              <w:divsChild>
                <w:div w:id="1006399740">
                  <w:marLeft w:val="0"/>
                  <w:marRight w:val="0"/>
                  <w:marTop w:val="0"/>
                  <w:marBottom w:val="0"/>
                  <w:divBdr>
                    <w:top w:val="none" w:sz="0" w:space="0" w:color="auto"/>
                    <w:left w:val="none" w:sz="0" w:space="0" w:color="auto"/>
                    <w:bottom w:val="none" w:sz="0" w:space="0" w:color="auto"/>
                    <w:right w:val="none" w:sz="0" w:space="0" w:color="auto"/>
                  </w:divBdr>
                </w:div>
              </w:divsChild>
            </w:div>
            <w:div w:id="1486824866">
              <w:marLeft w:val="0"/>
              <w:marRight w:val="0"/>
              <w:marTop w:val="0"/>
              <w:marBottom w:val="0"/>
              <w:divBdr>
                <w:top w:val="none" w:sz="0" w:space="0" w:color="auto"/>
                <w:left w:val="none" w:sz="0" w:space="0" w:color="auto"/>
                <w:bottom w:val="none" w:sz="0" w:space="0" w:color="auto"/>
                <w:right w:val="none" w:sz="0" w:space="0" w:color="auto"/>
              </w:divBdr>
              <w:divsChild>
                <w:div w:id="717095802">
                  <w:marLeft w:val="0"/>
                  <w:marRight w:val="0"/>
                  <w:marTop w:val="0"/>
                  <w:marBottom w:val="0"/>
                  <w:divBdr>
                    <w:top w:val="none" w:sz="0" w:space="0" w:color="auto"/>
                    <w:left w:val="none" w:sz="0" w:space="0" w:color="auto"/>
                    <w:bottom w:val="none" w:sz="0" w:space="0" w:color="auto"/>
                    <w:right w:val="none" w:sz="0" w:space="0" w:color="auto"/>
                  </w:divBdr>
                </w:div>
              </w:divsChild>
            </w:div>
            <w:div w:id="2047673833">
              <w:marLeft w:val="0"/>
              <w:marRight w:val="0"/>
              <w:marTop w:val="0"/>
              <w:marBottom w:val="0"/>
              <w:divBdr>
                <w:top w:val="none" w:sz="0" w:space="0" w:color="auto"/>
                <w:left w:val="none" w:sz="0" w:space="0" w:color="auto"/>
                <w:bottom w:val="none" w:sz="0" w:space="0" w:color="auto"/>
                <w:right w:val="none" w:sz="0" w:space="0" w:color="auto"/>
              </w:divBdr>
              <w:divsChild>
                <w:div w:id="250090540">
                  <w:marLeft w:val="0"/>
                  <w:marRight w:val="0"/>
                  <w:marTop w:val="0"/>
                  <w:marBottom w:val="0"/>
                  <w:divBdr>
                    <w:top w:val="none" w:sz="0" w:space="0" w:color="auto"/>
                    <w:left w:val="none" w:sz="0" w:space="0" w:color="auto"/>
                    <w:bottom w:val="none" w:sz="0" w:space="0" w:color="auto"/>
                    <w:right w:val="none" w:sz="0" w:space="0" w:color="auto"/>
                  </w:divBdr>
                </w:div>
              </w:divsChild>
            </w:div>
            <w:div w:id="2088189004">
              <w:marLeft w:val="0"/>
              <w:marRight w:val="0"/>
              <w:marTop w:val="0"/>
              <w:marBottom w:val="0"/>
              <w:divBdr>
                <w:top w:val="none" w:sz="0" w:space="0" w:color="auto"/>
                <w:left w:val="none" w:sz="0" w:space="0" w:color="auto"/>
                <w:bottom w:val="none" w:sz="0" w:space="0" w:color="auto"/>
                <w:right w:val="none" w:sz="0" w:space="0" w:color="auto"/>
              </w:divBdr>
              <w:divsChild>
                <w:div w:id="82046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505401">
          <w:marLeft w:val="0"/>
          <w:marRight w:val="0"/>
          <w:marTop w:val="0"/>
          <w:marBottom w:val="0"/>
          <w:divBdr>
            <w:top w:val="none" w:sz="0" w:space="0" w:color="auto"/>
            <w:left w:val="none" w:sz="0" w:space="0" w:color="auto"/>
            <w:bottom w:val="none" w:sz="0" w:space="0" w:color="auto"/>
            <w:right w:val="none" w:sz="0" w:space="0" w:color="auto"/>
          </w:divBdr>
        </w:div>
        <w:div w:id="1540321205">
          <w:marLeft w:val="0"/>
          <w:marRight w:val="0"/>
          <w:marTop w:val="0"/>
          <w:marBottom w:val="0"/>
          <w:divBdr>
            <w:top w:val="none" w:sz="0" w:space="0" w:color="auto"/>
            <w:left w:val="none" w:sz="0" w:space="0" w:color="auto"/>
            <w:bottom w:val="none" w:sz="0" w:space="0" w:color="auto"/>
            <w:right w:val="none" w:sz="0" w:space="0" w:color="auto"/>
          </w:divBdr>
        </w:div>
        <w:div w:id="1556429662">
          <w:marLeft w:val="0"/>
          <w:marRight w:val="0"/>
          <w:marTop w:val="0"/>
          <w:marBottom w:val="0"/>
          <w:divBdr>
            <w:top w:val="none" w:sz="0" w:space="0" w:color="auto"/>
            <w:left w:val="none" w:sz="0" w:space="0" w:color="auto"/>
            <w:bottom w:val="none" w:sz="0" w:space="0" w:color="auto"/>
            <w:right w:val="none" w:sz="0" w:space="0" w:color="auto"/>
          </w:divBdr>
        </w:div>
        <w:div w:id="1561549832">
          <w:marLeft w:val="0"/>
          <w:marRight w:val="0"/>
          <w:marTop w:val="0"/>
          <w:marBottom w:val="0"/>
          <w:divBdr>
            <w:top w:val="none" w:sz="0" w:space="0" w:color="auto"/>
            <w:left w:val="none" w:sz="0" w:space="0" w:color="auto"/>
            <w:bottom w:val="none" w:sz="0" w:space="0" w:color="auto"/>
            <w:right w:val="none" w:sz="0" w:space="0" w:color="auto"/>
          </w:divBdr>
        </w:div>
        <w:div w:id="1580670210">
          <w:marLeft w:val="0"/>
          <w:marRight w:val="0"/>
          <w:marTop w:val="0"/>
          <w:marBottom w:val="0"/>
          <w:divBdr>
            <w:top w:val="none" w:sz="0" w:space="0" w:color="auto"/>
            <w:left w:val="none" w:sz="0" w:space="0" w:color="auto"/>
            <w:bottom w:val="none" w:sz="0" w:space="0" w:color="auto"/>
            <w:right w:val="none" w:sz="0" w:space="0" w:color="auto"/>
          </w:divBdr>
        </w:div>
        <w:div w:id="1597134994">
          <w:marLeft w:val="0"/>
          <w:marRight w:val="0"/>
          <w:marTop w:val="0"/>
          <w:marBottom w:val="0"/>
          <w:divBdr>
            <w:top w:val="none" w:sz="0" w:space="0" w:color="auto"/>
            <w:left w:val="none" w:sz="0" w:space="0" w:color="auto"/>
            <w:bottom w:val="none" w:sz="0" w:space="0" w:color="auto"/>
            <w:right w:val="none" w:sz="0" w:space="0" w:color="auto"/>
          </w:divBdr>
        </w:div>
        <w:div w:id="1624728070">
          <w:marLeft w:val="0"/>
          <w:marRight w:val="0"/>
          <w:marTop w:val="0"/>
          <w:marBottom w:val="0"/>
          <w:divBdr>
            <w:top w:val="none" w:sz="0" w:space="0" w:color="auto"/>
            <w:left w:val="none" w:sz="0" w:space="0" w:color="auto"/>
            <w:bottom w:val="none" w:sz="0" w:space="0" w:color="auto"/>
            <w:right w:val="none" w:sz="0" w:space="0" w:color="auto"/>
          </w:divBdr>
        </w:div>
        <w:div w:id="1658076270">
          <w:marLeft w:val="0"/>
          <w:marRight w:val="0"/>
          <w:marTop w:val="0"/>
          <w:marBottom w:val="0"/>
          <w:divBdr>
            <w:top w:val="none" w:sz="0" w:space="0" w:color="auto"/>
            <w:left w:val="none" w:sz="0" w:space="0" w:color="auto"/>
            <w:bottom w:val="none" w:sz="0" w:space="0" w:color="auto"/>
            <w:right w:val="none" w:sz="0" w:space="0" w:color="auto"/>
          </w:divBdr>
        </w:div>
        <w:div w:id="1665432408">
          <w:marLeft w:val="0"/>
          <w:marRight w:val="0"/>
          <w:marTop w:val="0"/>
          <w:marBottom w:val="0"/>
          <w:divBdr>
            <w:top w:val="none" w:sz="0" w:space="0" w:color="auto"/>
            <w:left w:val="none" w:sz="0" w:space="0" w:color="auto"/>
            <w:bottom w:val="none" w:sz="0" w:space="0" w:color="auto"/>
            <w:right w:val="none" w:sz="0" w:space="0" w:color="auto"/>
          </w:divBdr>
        </w:div>
        <w:div w:id="1690372937">
          <w:marLeft w:val="0"/>
          <w:marRight w:val="0"/>
          <w:marTop w:val="0"/>
          <w:marBottom w:val="0"/>
          <w:divBdr>
            <w:top w:val="none" w:sz="0" w:space="0" w:color="auto"/>
            <w:left w:val="none" w:sz="0" w:space="0" w:color="auto"/>
            <w:bottom w:val="none" w:sz="0" w:space="0" w:color="auto"/>
            <w:right w:val="none" w:sz="0" w:space="0" w:color="auto"/>
          </w:divBdr>
        </w:div>
        <w:div w:id="1723674642">
          <w:marLeft w:val="0"/>
          <w:marRight w:val="0"/>
          <w:marTop w:val="0"/>
          <w:marBottom w:val="0"/>
          <w:divBdr>
            <w:top w:val="none" w:sz="0" w:space="0" w:color="auto"/>
            <w:left w:val="none" w:sz="0" w:space="0" w:color="auto"/>
            <w:bottom w:val="none" w:sz="0" w:space="0" w:color="auto"/>
            <w:right w:val="none" w:sz="0" w:space="0" w:color="auto"/>
          </w:divBdr>
        </w:div>
        <w:div w:id="1738670981">
          <w:marLeft w:val="0"/>
          <w:marRight w:val="0"/>
          <w:marTop w:val="0"/>
          <w:marBottom w:val="0"/>
          <w:divBdr>
            <w:top w:val="none" w:sz="0" w:space="0" w:color="auto"/>
            <w:left w:val="none" w:sz="0" w:space="0" w:color="auto"/>
            <w:bottom w:val="none" w:sz="0" w:space="0" w:color="auto"/>
            <w:right w:val="none" w:sz="0" w:space="0" w:color="auto"/>
          </w:divBdr>
        </w:div>
        <w:div w:id="1766802879">
          <w:marLeft w:val="0"/>
          <w:marRight w:val="0"/>
          <w:marTop w:val="0"/>
          <w:marBottom w:val="0"/>
          <w:divBdr>
            <w:top w:val="none" w:sz="0" w:space="0" w:color="auto"/>
            <w:left w:val="none" w:sz="0" w:space="0" w:color="auto"/>
            <w:bottom w:val="none" w:sz="0" w:space="0" w:color="auto"/>
            <w:right w:val="none" w:sz="0" w:space="0" w:color="auto"/>
          </w:divBdr>
        </w:div>
        <w:div w:id="1783574393">
          <w:marLeft w:val="0"/>
          <w:marRight w:val="0"/>
          <w:marTop w:val="0"/>
          <w:marBottom w:val="0"/>
          <w:divBdr>
            <w:top w:val="none" w:sz="0" w:space="0" w:color="auto"/>
            <w:left w:val="none" w:sz="0" w:space="0" w:color="auto"/>
            <w:bottom w:val="none" w:sz="0" w:space="0" w:color="auto"/>
            <w:right w:val="none" w:sz="0" w:space="0" w:color="auto"/>
          </w:divBdr>
        </w:div>
        <w:div w:id="1784232161">
          <w:marLeft w:val="0"/>
          <w:marRight w:val="0"/>
          <w:marTop w:val="0"/>
          <w:marBottom w:val="0"/>
          <w:divBdr>
            <w:top w:val="none" w:sz="0" w:space="0" w:color="auto"/>
            <w:left w:val="none" w:sz="0" w:space="0" w:color="auto"/>
            <w:bottom w:val="none" w:sz="0" w:space="0" w:color="auto"/>
            <w:right w:val="none" w:sz="0" w:space="0" w:color="auto"/>
          </w:divBdr>
        </w:div>
        <w:div w:id="1795175710">
          <w:marLeft w:val="0"/>
          <w:marRight w:val="0"/>
          <w:marTop w:val="0"/>
          <w:marBottom w:val="0"/>
          <w:divBdr>
            <w:top w:val="none" w:sz="0" w:space="0" w:color="auto"/>
            <w:left w:val="none" w:sz="0" w:space="0" w:color="auto"/>
            <w:bottom w:val="none" w:sz="0" w:space="0" w:color="auto"/>
            <w:right w:val="none" w:sz="0" w:space="0" w:color="auto"/>
          </w:divBdr>
        </w:div>
        <w:div w:id="1809280873">
          <w:marLeft w:val="0"/>
          <w:marRight w:val="0"/>
          <w:marTop w:val="0"/>
          <w:marBottom w:val="0"/>
          <w:divBdr>
            <w:top w:val="none" w:sz="0" w:space="0" w:color="auto"/>
            <w:left w:val="none" w:sz="0" w:space="0" w:color="auto"/>
            <w:bottom w:val="none" w:sz="0" w:space="0" w:color="auto"/>
            <w:right w:val="none" w:sz="0" w:space="0" w:color="auto"/>
          </w:divBdr>
        </w:div>
        <w:div w:id="1828209541">
          <w:marLeft w:val="0"/>
          <w:marRight w:val="0"/>
          <w:marTop w:val="0"/>
          <w:marBottom w:val="0"/>
          <w:divBdr>
            <w:top w:val="none" w:sz="0" w:space="0" w:color="auto"/>
            <w:left w:val="none" w:sz="0" w:space="0" w:color="auto"/>
            <w:bottom w:val="none" w:sz="0" w:space="0" w:color="auto"/>
            <w:right w:val="none" w:sz="0" w:space="0" w:color="auto"/>
          </w:divBdr>
        </w:div>
        <w:div w:id="1832597009">
          <w:marLeft w:val="0"/>
          <w:marRight w:val="0"/>
          <w:marTop w:val="0"/>
          <w:marBottom w:val="0"/>
          <w:divBdr>
            <w:top w:val="none" w:sz="0" w:space="0" w:color="auto"/>
            <w:left w:val="none" w:sz="0" w:space="0" w:color="auto"/>
            <w:bottom w:val="none" w:sz="0" w:space="0" w:color="auto"/>
            <w:right w:val="none" w:sz="0" w:space="0" w:color="auto"/>
          </w:divBdr>
        </w:div>
        <w:div w:id="1836800798">
          <w:marLeft w:val="0"/>
          <w:marRight w:val="0"/>
          <w:marTop w:val="0"/>
          <w:marBottom w:val="0"/>
          <w:divBdr>
            <w:top w:val="none" w:sz="0" w:space="0" w:color="auto"/>
            <w:left w:val="none" w:sz="0" w:space="0" w:color="auto"/>
            <w:bottom w:val="none" w:sz="0" w:space="0" w:color="auto"/>
            <w:right w:val="none" w:sz="0" w:space="0" w:color="auto"/>
          </w:divBdr>
        </w:div>
        <w:div w:id="1850370839">
          <w:marLeft w:val="0"/>
          <w:marRight w:val="0"/>
          <w:marTop w:val="0"/>
          <w:marBottom w:val="0"/>
          <w:divBdr>
            <w:top w:val="none" w:sz="0" w:space="0" w:color="auto"/>
            <w:left w:val="none" w:sz="0" w:space="0" w:color="auto"/>
            <w:bottom w:val="none" w:sz="0" w:space="0" w:color="auto"/>
            <w:right w:val="none" w:sz="0" w:space="0" w:color="auto"/>
          </w:divBdr>
        </w:div>
        <w:div w:id="1858077595">
          <w:marLeft w:val="0"/>
          <w:marRight w:val="0"/>
          <w:marTop w:val="0"/>
          <w:marBottom w:val="0"/>
          <w:divBdr>
            <w:top w:val="none" w:sz="0" w:space="0" w:color="auto"/>
            <w:left w:val="none" w:sz="0" w:space="0" w:color="auto"/>
            <w:bottom w:val="none" w:sz="0" w:space="0" w:color="auto"/>
            <w:right w:val="none" w:sz="0" w:space="0" w:color="auto"/>
          </w:divBdr>
        </w:div>
        <w:div w:id="1884247632">
          <w:marLeft w:val="0"/>
          <w:marRight w:val="0"/>
          <w:marTop w:val="0"/>
          <w:marBottom w:val="0"/>
          <w:divBdr>
            <w:top w:val="none" w:sz="0" w:space="0" w:color="auto"/>
            <w:left w:val="none" w:sz="0" w:space="0" w:color="auto"/>
            <w:bottom w:val="none" w:sz="0" w:space="0" w:color="auto"/>
            <w:right w:val="none" w:sz="0" w:space="0" w:color="auto"/>
          </w:divBdr>
        </w:div>
        <w:div w:id="1907496360">
          <w:marLeft w:val="0"/>
          <w:marRight w:val="0"/>
          <w:marTop w:val="0"/>
          <w:marBottom w:val="0"/>
          <w:divBdr>
            <w:top w:val="none" w:sz="0" w:space="0" w:color="auto"/>
            <w:left w:val="none" w:sz="0" w:space="0" w:color="auto"/>
            <w:bottom w:val="none" w:sz="0" w:space="0" w:color="auto"/>
            <w:right w:val="none" w:sz="0" w:space="0" w:color="auto"/>
          </w:divBdr>
        </w:div>
        <w:div w:id="1915773292">
          <w:marLeft w:val="0"/>
          <w:marRight w:val="0"/>
          <w:marTop w:val="0"/>
          <w:marBottom w:val="0"/>
          <w:divBdr>
            <w:top w:val="none" w:sz="0" w:space="0" w:color="auto"/>
            <w:left w:val="none" w:sz="0" w:space="0" w:color="auto"/>
            <w:bottom w:val="none" w:sz="0" w:space="0" w:color="auto"/>
            <w:right w:val="none" w:sz="0" w:space="0" w:color="auto"/>
          </w:divBdr>
        </w:div>
        <w:div w:id="1927183796">
          <w:marLeft w:val="0"/>
          <w:marRight w:val="0"/>
          <w:marTop w:val="0"/>
          <w:marBottom w:val="0"/>
          <w:divBdr>
            <w:top w:val="none" w:sz="0" w:space="0" w:color="auto"/>
            <w:left w:val="none" w:sz="0" w:space="0" w:color="auto"/>
            <w:bottom w:val="none" w:sz="0" w:space="0" w:color="auto"/>
            <w:right w:val="none" w:sz="0" w:space="0" w:color="auto"/>
          </w:divBdr>
        </w:div>
        <w:div w:id="1939176286">
          <w:marLeft w:val="0"/>
          <w:marRight w:val="0"/>
          <w:marTop w:val="0"/>
          <w:marBottom w:val="0"/>
          <w:divBdr>
            <w:top w:val="none" w:sz="0" w:space="0" w:color="auto"/>
            <w:left w:val="none" w:sz="0" w:space="0" w:color="auto"/>
            <w:bottom w:val="none" w:sz="0" w:space="0" w:color="auto"/>
            <w:right w:val="none" w:sz="0" w:space="0" w:color="auto"/>
          </w:divBdr>
        </w:div>
        <w:div w:id="1942762507">
          <w:marLeft w:val="0"/>
          <w:marRight w:val="0"/>
          <w:marTop w:val="0"/>
          <w:marBottom w:val="0"/>
          <w:divBdr>
            <w:top w:val="none" w:sz="0" w:space="0" w:color="auto"/>
            <w:left w:val="none" w:sz="0" w:space="0" w:color="auto"/>
            <w:bottom w:val="none" w:sz="0" w:space="0" w:color="auto"/>
            <w:right w:val="none" w:sz="0" w:space="0" w:color="auto"/>
          </w:divBdr>
        </w:div>
        <w:div w:id="1945451946">
          <w:marLeft w:val="0"/>
          <w:marRight w:val="0"/>
          <w:marTop w:val="0"/>
          <w:marBottom w:val="0"/>
          <w:divBdr>
            <w:top w:val="none" w:sz="0" w:space="0" w:color="auto"/>
            <w:left w:val="none" w:sz="0" w:space="0" w:color="auto"/>
            <w:bottom w:val="none" w:sz="0" w:space="0" w:color="auto"/>
            <w:right w:val="none" w:sz="0" w:space="0" w:color="auto"/>
          </w:divBdr>
        </w:div>
        <w:div w:id="1951089477">
          <w:marLeft w:val="0"/>
          <w:marRight w:val="0"/>
          <w:marTop w:val="0"/>
          <w:marBottom w:val="0"/>
          <w:divBdr>
            <w:top w:val="none" w:sz="0" w:space="0" w:color="auto"/>
            <w:left w:val="none" w:sz="0" w:space="0" w:color="auto"/>
            <w:bottom w:val="none" w:sz="0" w:space="0" w:color="auto"/>
            <w:right w:val="none" w:sz="0" w:space="0" w:color="auto"/>
          </w:divBdr>
        </w:div>
        <w:div w:id="1954241115">
          <w:marLeft w:val="-75"/>
          <w:marRight w:val="0"/>
          <w:marTop w:val="30"/>
          <w:marBottom w:val="30"/>
          <w:divBdr>
            <w:top w:val="none" w:sz="0" w:space="0" w:color="auto"/>
            <w:left w:val="none" w:sz="0" w:space="0" w:color="auto"/>
            <w:bottom w:val="none" w:sz="0" w:space="0" w:color="auto"/>
            <w:right w:val="none" w:sz="0" w:space="0" w:color="auto"/>
          </w:divBdr>
          <w:divsChild>
            <w:div w:id="7561811">
              <w:marLeft w:val="0"/>
              <w:marRight w:val="0"/>
              <w:marTop w:val="0"/>
              <w:marBottom w:val="0"/>
              <w:divBdr>
                <w:top w:val="none" w:sz="0" w:space="0" w:color="auto"/>
                <w:left w:val="none" w:sz="0" w:space="0" w:color="auto"/>
                <w:bottom w:val="none" w:sz="0" w:space="0" w:color="auto"/>
                <w:right w:val="none" w:sz="0" w:space="0" w:color="auto"/>
              </w:divBdr>
              <w:divsChild>
                <w:div w:id="1643540825">
                  <w:marLeft w:val="0"/>
                  <w:marRight w:val="0"/>
                  <w:marTop w:val="0"/>
                  <w:marBottom w:val="0"/>
                  <w:divBdr>
                    <w:top w:val="none" w:sz="0" w:space="0" w:color="auto"/>
                    <w:left w:val="none" w:sz="0" w:space="0" w:color="auto"/>
                    <w:bottom w:val="none" w:sz="0" w:space="0" w:color="auto"/>
                    <w:right w:val="none" w:sz="0" w:space="0" w:color="auto"/>
                  </w:divBdr>
                </w:div>
              </w:divsChild>
            </w:div>
            <w:div w:id="91171068">
              <w:marLeft w:val="0"/>
              <w:marRight w:val="0"/>
              <w:marTop w:val="0"/>
              <w:marBottom w:val="0"/>
              <w:divBdr>
                <w:top w:val="none" w:sz="0" w:space="0" w:color="auto"/>
                <w:left w:val="none" w:sz="0" w:space="0" w:color="auto"/>
                <w:bottom w:val="none" w:sz="0" w:space="0" w:color="auto"/>
                <w:right w:val="none" w:sz="0" w:space="0" w:color="auto"/>
              </w:divBdr>
              <w:divsChild>
                <w:div w:id="70931465">
                  <w:marLeft w:val="0"/>
                  <w:marRight w:val="0"/>
                  <w:marTop w:val="0"/>
                  <w:marBottom w:val="0"/>
                  <w:divBdr>
                    <w:top w:val="none" w:sz="0" w:space="0" w:color="auto"/>
                    <w:left w:val="none" w:sz="0" w:space="0" w:color="auto"/>
                    <w:bottom w:val="none" w:sz="0" w:space="0" w:color="auto"/>
                    <w:right w:val="none" w:sz="0" w:space="0" w:color="auto"/>
                  </w:divBdr>
                </w:div>
              </w:divsChild>
            </w:div>
            <w:div w:id="118115592">
              <w:marLeft w:val="0"/>
              <w:marRight w:val="0"/>
              <w:marTop w:val="0"/>
              <w:marBottom w:val="0"/>
              <w:divBdr>
                <w:top w:val="none" w:sz="0" w:space="0" w:color="auto"/>
                <w:left w:val="none" w:sz="0" w:space="0" w:color="auto"/>
                <w:bottom w:val="none" w:sz="0" w:space="0" w:color="auto"/>
                <w:right w:val="none" w:sz="0" w:space="0" w:color="auto"/>
              </w:divBdr>
              <w:divsChild>
                <w:div w:id="1892183575">
                  <w:marLeft w:val="0"/>
                  <w:marRight w:val="0"/>
                  <w:marTop w:val="0"/>
                  <w:marBottom w:val="0"/>
                  <w:divBdr>
                    <w:top w:val="none" w:sz="0" w:space="0" w:color="auto"/>
                    <w:left w:val="none" w:sz="0" w:space="0" w:color="auto"/>
                    <w:bottom w:val="none" w:sz="0" w:space="0" w:color="auto"/>
                    <w:right w:val="none" w:sz="0" w:space="0" w:color="auto"/>
                  </w:divBdr>
                </w:div>
              </w:divsChild>
            </w:div>
            <w:div w:id="189223696">
              <w:marLeft w:val="0"/>
              <w:marRight w:val="0"/>
              <w:marTop w:val="0"/>
              <w:marBottom w:val="0"/>
              <w:divBdr>
                <w:top w:val="none" w:sz="0" w:space="0" w:color="auto"/>
                <w:left w:val="none" w:sz="0" w:space="0" w:color="auto"/>
                <w:bottom w:val="none" w:sz="0" w:space="0" w:color="auto"/>
                <w:right w:val="none" w:sz="0" w:space="0" w:color="auto"/>
              </w:divBdr>
              <w:divsChild>
                <w:div w:id="1565066881">
                  <w:marLeft w:val="0"/>
                  <w:marRight w:val="0"/>
                  <w:marTop w:val="0"/>
                  <w:marBottom w:val="0"/>
                  <w:divBdr>
                    <w:top w:val="none" w:sz="0" w:space="0" w:color="auto"/>
                    <w:left w:val="none" w:sz="0" w:space="0" w:color="auto"/>
                    <w:bottom w:val="none" w:sz="0" w:space="0" w:color="auto"/>
                    <w:right w:val="none" w:sz="0" w:space="0" w:color="auto"/>
                  </w:divBdr>
                </w:div>
              </w:divsChild>
            </w:div>
            <w:div w:id="466944273">
              <w:marLeft w:val="0"/>
              <w:marRight w:val="0"/>
              <w:marTop w:val="0"/>
              <w:marBottom w:val="0"/>
              <w:divBdr>
                <w:top w:val="none" w:sz="0" w:space="0" w:color="auto"/>
                <w:left w:val="none" w:sz="0" w:space="0" w:color="auto"/>
                <w:bottom w:val="none" w:sz="0" w:space="0" w:color="auto"/>
                <w:right w:val="none" w:sz="0" w:space="0" w:color="auto"/>
              </w:divBdr>
              <w:divsChild>
                <w:div w:id="1176993545">
                  <w:marLeft w:val="0"/>
                  <w:marRight w:val="0"/>
                  <w:marTop w:val="0"/>
                  <w:marBottom w:val="0"/>
                  <w:divBdr>
                    <w:top w:val="none" w:sz="0" w:space="0" w:color="auto"/>
                    <w:left w:val="none" w:sz="0" w:space="0" w:color="auto"/>
                    <w:bottom w:val="none" w:sz="0" w:space="0" w:color="auto"/>
                    <w:right w:val="none" w:sz="0" w:space="0" w:color="auto"/>
                  </w:divBdr>
                </w:div>
              </w:divsChild>
            </w:div>
            <w:div w:id="553278983">
              <w:marLeft w:val="0"/>
              <w:marRight w:val="0"/>
              <w:marTop w:val="0"/>
              <w:marBottom w:val="0"/>
              <w:divBdr>
                <w:top w:val="none" w:sz="0" w:space="0" w:color="auto"/>
                <w:left w:val="none" w:sz="0" w:space="0" w:color="auto"/>
                <w:bottom w:val="none" w:sz="0" w:space="0" w:color="auto"/>
                <w:right w:val="none" w:sz="0" w:space="0" w:color="auto"/>
              </w:divBdr>
              <w:divsChild>
                <w:div w:id="332414337">
                  <w:marLeft w:val="0"/>
                  <w:marRight w:val="0"/>
                  <w:marTop w:val="0"/>
                  <w:marBottom w:val="0"/>
                  <w:divBdr>
                    <w:top w:val="none" w:sz="0" w:space="0" w:color="auto"/>
                    <w:left w:val="none" w:sz="0" w:space="0" w:color="auto"/>
                    <w:bottom w:val="none" w:sz="0" w:space="0" w:color="auto"/>
                    <w:right w:val="none" w:sz="0" w:space="0" w:color="auto"/>
                  </w:divBdr>
                </w:div>
              </w:divsChild>
            </w:div>
            <w:div w:id="832137864">
              <w:marLeft w:val="0"/>
              <w:marRight w:val="0"/>
              <w:marTop w:val="0"/>
              <w:marBottom w:val="0"/>
              <w:divBdr>
                <w:top w:val="none" w:sz="0" w:space="0" w:color="auto"/>
                <w:left w:val="none" w:sz="0" w:space="0" w:color="auto"/>
                <w:bottom w:val="none" w:sz="0" w:space="0" w:color="auto"/>
                <w:right w:val="none" w:sz="0" w:space="0" w:color="auto"/>
              </w:divBdr>
              <w:divsChild>
                <w:div w:id="532767118">
                  <w:marLeft w:val="0"/>
                  <w:marRight w:val="0"/>
                  <w:marTop w:val="0"/>
                  <w:marBottom w:val="0"/>
                  <w:divBdr>
                    <w:top w:val="none" w:sz="0" w:space="0" w:color="auto"/>
                    <w:left w:val="none" w:sz="0" w:space="0" w:color="auto"/>
                    <w:bottom w:val="none" w:sz="0" w:space="0" w:color="auto"/>
                    <w:right w:val="none" w:sz="0" w:space="0" w:color="auto"/>
                  </w:divBdr>
                </w:div>
              </w:divsChild>
            </w:div>
            <w:div w:id="1018697842">
              <w:marLeft w:val="0"/>
              <w:marRight w:val="0"/>
              <w:marTop w:val="0"/>
              <w:marBottom w:val="0"/>
              <w:divBdr>
                <w:top w:val="none" w:sz="0" w:space="0" w:color="auto"/>
                <w:left w:val="none" w:sz="0" w:space="0" w:color="auto"/>
                <w:bottom w:val="none" w:sz="0" w:space="0" w:color="auto"/>
                <w:right w:val="none" w:sz="0" w:space="0" w:color="auto"/>
              </w:divBdr>
              <w:divsChild>
                <w:div w:id="84234737">
                  <w:marLeft w:val="0"/>
                  <w:marRight w:val="0"/>
                  <w:marTop w:val="0"/>
                  <w:marBottom w:val="0"/>
                  <w:divBdr>
                    <w:top w:val="none" w:sz="0" w:space="0" w:color="auto"/>
                    <w:left w:val="none" w:sz="0" w:space="0" w:color="auto"/>
                    <w:bottom w:val="none" w:sz="0" w:space="0" w:color="auto"/>
                    <w:right w:val="none" w:sz="0" w:space="0" w:color="auto"/>
                  </w:divBdr>
                </w:div>
              </w:divsChild>
            </w:div>
            <w:div w:id="1493835777">
              <w:marLeft w:val="0"/>
              <w:marRight w:val="0"/>
              <w:marTop w:val="0"/>
              <w:marBottom w:val="0"/>
              <w:divBdr>
                <w:top w:val="none" w:sz="0" w:space="0" w:color="auto"/>
                <w:left w:val="none" w:sz="0" w:space="0" w:color="auto"/>
                <w:bottom w:val="none" w:sz="0" w:space="0" w:color="auto"/>
                <w:right w:val="none" w:sz="0" w:space="0" w:color="auto"/>
              </w:divBdr>
              <w:divsChild>
                <w:div w:id="1298030307">
                  <w:marLeft w:val="0"/>
                  <w:marRight w:val="0"/>
                  <w:marTop w:val="0"/>
                  <w:marBottom w:val="0"/>
                  <w:divBdr>
                    <w:top w:val="none" w:sz="0" w:space="0" w:color="auto"/>
                    <w:left w:val="none" w:sz="0" w:space="0" w:color="auto"/>
                    <w:bottom w:val="none" w:sz="0" w:space="0" w:color="auto"/>
                    <w:right w:val="none" w:sz="0" w:space="0" w:color="auto"/>
                  </w:divBdr>
                </w:div>
              </w:divsChild>
            </w:div>
            <w:div w:id="1653870327">
              <w:marLeft w:val="0"/>
              <w:marRight w:val="0"/>
              <w:marTop w:val="0"/>
              <w:marBottom w:val="0"/>
              <w:divBdr>
                <w:top w:val="none" w:sz="0" w:space="0" w:color="auto"/>
                <w:left w:val="none" w:sz="0" w:space="0" w:color="auto"/>
                <w:bottom w:val="none" w:sz="0" w:space="0" w:color="auto"/>
                <w:right w:val="none" w:sz="0" w:space="0" w:color="auto"/>
              </w:divBdr>
              <w:divsChild>
                <w:div w:id="1331981355">
                  <w:marLeft w:val="0"/>
                  <w:marRight w:val="0"/>
                  <w:marTop w:val="0"/>
                  <w:marBottom w:val="0"/>
                  <w:divBdr>
                    <w:top w:val="none" w:sz="0" w:space="0" w:color="auto"/>
                    <w:left w:val="none" w:sz="0" w:space="0" w:color="auto"/>
                    <w:bottom w:val="none" w:sz="0" w:space="0" w:color="auto"/>
                    <w:right w:val="none" w:sz="0" w:space="0" w:color="auto"/>
                  </w:divBdr>
                </w:div>
                <w:div w:id="1708139865">
                  <w:marLeft w:val="0"/>
                  <w:marRight w:val="0"/>
                  <w:marTop w:val="0"/>
                  <w:marBottom w:val="0"/>
                  <w:divBdr>
                    <w:top w:val="none" w:sz="0" w:space="0" w:color="auto"/>
                    <w:left w:val="none" w:sz="0" w:space="0" w:color="auto"/>
                    <w:bottom w:val="none" w:sz="0" w:space="0" w:color="auto"/>
                    <w:right w:val="none" w:sz="0" w:space="0" w:color="auto"/>
                  </w:divBdr>
                </w:div>
              </w:divsChild>
            </w:div>
            <w:div w:id="1993174029">
              <w:marLeft w:val="0"/>
              <w:marRight w:val="0"/>
              <w:marTop w:val="0"/>
              <w:marBottom w:val="0"/>
              <w:divBdr>
                <w:top w:val="none" w:sz="0" w:space="0" w:color="auto"/>
                <w:left w:val="none" w:sz="0" w:space="0" w:color="auto"/>
                <w:bottom w:val="none" w:sz="0" w:space="0" w:color="auto"/>
                <w:right w:val="none" w:sz="0" w:space="0" w:color="auto"/>
              </w:divBdr>
              <w:divsChild>
                <w:div w:id="79714450">
                  <w:marLeft w:val="0"/>
                  <w:marRight w:val="0"/>
                  <w:marTop w:val="0"/>
                  <w:marBottom w:val="0"/>
                  <w:divBdr>
                    <w:top w:val="none" w:sz="0" w:space="0" w:color="auto"/>
                    <w:left w:val="none" w:sz="0" w:space="0" w:color="auto"/>
                    <w:bottom w:val="none" w:sz="0" w:space="0" w:color="auto"/>
                    <w:right w:val="none" w:sz="0" w:space="0" w:color="auto"/>
                  </w:divBdr>
                </w:div>
                <w:div w:id="346370736">
                  <w:marLeft w:val="0"/>
                  <w:marRight w:val="0"/>
                  <w:marTop w:val="0"/>
                  <w:marBottom w:val="0"/>
                  <w:divBdr>
                    <w:top w:val="none" w:sz="0" w:space="0" w:color="auto"/>
                    <w:left w:val="none" w:sz="0" w:space="0" w:color="auto"/>
                    <w:bottom w:val="none" w:sz="0" w:space="0" w:color="auto"/>
                    <w:right w:val="none" w:sz="0" w:space="0" w:color="auto"/>
                  </w:divBdr>
                </w:div>
                <w:div w:id="1703089018">
                  <w:marLeft w:val="0"/>
                  <w:marRight w:val="0"/>
                  <w:marTop w:val="0"/>
                  <w:marBottom w:val="0"/>
                  <w:divBdr>
                    <w:top w:val="none" w:sz="0" w:space="0" w:color="auto"/>
                    <w:left w:val="none" w:sz="0" w:space="0" w:color="auto"/>
                    <w:bottom w:val="none" w:sz="0" w:space="0" w:color="auto"/>
                    <w:right w:val="none" w:sz="0" w:space="0" w:color="auto"/>
                  </w:divBdr>
                </w:div>
                <w:div w:id="1818035217">
                  <w:marLeft w:val="0"/>
                  <w:marRight w:val="0"/>
                  <w:marTop w:val="0"/>
                  <w:marBottom w:val="0"/>
                  <w:divBdr>
                    <w:top w:val="none" w:sz="0" w:space="0" w:color="auto"/>
                    <w:left w:val="none" w:sz="0" w:space="0" w:color="auto"/>
                    <w:bottom w:val="none" w:sz="0" w:space="0" w:color="auto"/>
                    <w:right w:val="none" w:sz="0" w:space="0" w:color="auto"/>
                  </w:divBdr>
                </w:div>
                <w:div w:id="1951080800">
                  <w:marLeft w:val="0"/>
                  <w:marRight w:val="0"/>
                  <w:marTop w:val="0"/>
                  <w:marBottom w:val="0"/>
                  <w:divBdr>
                    <w:top w:val="none" w:sz="0" w:space="0" w:color="auto"/>
                    <w:left w:val="none" w:sz="0" w:space="0" w:color="auto"/>
                    <w:bottom w:val="none" w:sz="0" w:space="0" w:color="auto"/>
                    <w:right w:val="none" w:sz="0" w:space="0" w:color="auto"/>
                  </w:divBdr>
                </w:div>
              </w:divsChild>
            </w:div>
            <w:div w:id="2046904501">
              <w:marLeft w:val="0"/>
              <w:marRight w:val="0"/>
              <w:marTop w:val="0"/>
              <w:marBottom w:val="0"/>
              <w:divBdr>
                <w:top w:val="none" w:sz="0" w:space="0" w:color="auto"/>
                <w:left w:val="none" w:sz="0" w:space="0" w:color="auto"/>
                <w:bottom w:val="none" w:sz="0" w:space="0" w:color="auto"/>
                <w:right w:val="none" w:sz="0" w:space="0" w:color="auto"/>
              </w:divBdr>
              <w:divsChild>
                <w:div w:id="1055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05767">
          <w:marLeft w:val="0"/>
          <w:marRight w:val="0"/>
          <w:marTop w:val="0"/>
          <w:marBottom w:val="0"/>
          <w:divBdr>
            <w:top w:val="none" w:sz="0" w:space="0" w:color="auto"/>
            <w:left w:val="none" w:sz="0" w:space="0" w:color="auto"/>
            <w:bottom w:val="none" w:sz="0" w:space="0" w:color="auto"/>
            <w:right w:val="none" w:sz="0" w:space="0" w:color="auto"/>
          </w:divBdr>
        </w:div>
        <w:div w:id="1980256714">
          <w:marLeft w:val="0"/>
          <w:marRight w:val="0"/>
          <w:marTop w:val="0"/>
          <w:marBottom w:val="0"/>
          <w:divBdr>
            <w:top w:val="none" w:sz="0" w:space="0" w:color="auto"/>
            <w:left w:val="none" w:sz="0" w:space="0" w:color="auto"/>
            <w:bottom w:val="none" w:sz="0" w:space="0" w:color="auto"/>
            <w:right w:val="none" w:sz="0" w:space="0" w:color="auto"/>
          </w:divBdr>
        </w:div>
        <w:div w:id="1999963596">
          <w:marLeft w:val="0"/>
          <w:marRight w:val="0"/>
          <w:marTop w:val="0"/>
          <w:marBottom w:val="0"/>
          <w:divBdr>
            <w:top w:val="none" w:sz="0" w:space="0" w:color="auto"/>
            <w:left w:val="none" w:sz="0" w:space="0" w:color="auto"/>
            <w:bottom w:val="none" w:sz="0" w:space="0" w:color="auto"/>
            <w:right w:val="none" w:sz="0" w:space="0" w:color="auto"/>
          </w:divBdr>
        </w:div>
        <w:div w:id="2011907249">
          <w:marLeft w:val="0"/>
          <w:marRight w:val="0"/>
          <w:marTop w:val="0"/>
          <w:marBottom w:val="0"/>
          <w:divBdr>
            <w:top w:val="none" w:sz="0" w:space="0" w:color="auto"/>
            <w:left w:val="none" w:sz="0" w:space="0" w:color="auto"/>
            <w:bottom w:val="none" w:sz="0" w:space="0" w:color="auto"/>
            <w:right w:val="none" w:sz="0" w:space="0" w:color="auto"/>
          </w:divBdr>
        </w:div>
        <w:div w:id="2066295221">
          <w:marLeft w:val="0"/>
          <w:marRight w:val="0"/>
          <w:marTop w:val="0"/>
          <w:marBottom w:val="0"/>
          <w:divBdr>
            <w:top w:val="none" w:sz="0" w:space="0" w:color="auto"/>
            <w:left w:val="none" w:sz="0" w:space="0" w:color="auto"/>
            <w:bottom w:val="none" w:sz="0" w:space="0" w:color="auto"/>
            <w:right w:val="none" w:sz="0" w:space="0" w:color="auto"/>
          </w:divBdr>
        </w:div>
        <w:div w:id="2134403041">
          <w:marLeft w:val="0"/>
          <w:marRight w:val="0"/>
          <w:marTop w:val="0"/>
          <w:marBottom w:val="0"/>
          <w:divBdr>
            <w:top w:val="none" w:sz="0" w:space="0" w:color="auto"/>
            <w:left w:val="none" w:sz="0" w:space="0" w:color="auto"/>
            <w:bottom w:val="none" w:sz="0" w:space="0" w:color="auto"/>
            <w:right w:val="none" w:sz="0" w:space="0" w:color="auto"/>
          </w:divBdr>
        </w:div>
      </w:divsChild>
    </w:div>
    <w:div w:id="91626753">
      <w:bodyDiv w:val="1"/>
      <w:marLeft w:val="0"/>
      <w:marRight w:val="0"/>
      <w:marTop w:val="0"/>
      <w:marBottom w:val="0"/>
      <w:divBdr>
        <w:top w:val="none" w:sz="0" w:space="0" w:color="auto"/>
        <w:left w:val="none" w:sz="0" w:space="0" w:color="auto"/>
        <w:bottom w:val="none" w:sz="0" w:space="0" w:color="auto"/>
        <w:right w:val="none" w:sz="0" w:space="0" w:color="auto"/>
      </w:divBdr>
    </w:div>
    <w:div w:id="99839689">
      <w:bodyDiv w:val="1"/>
      <w:marLeft w:val="0"/>
      <w:marRight w:val="0"/>
      <w:marTop w:val="0"/>
      <w:marBottom w:val="0"/>
      <w:divBdr>
        <w:top w:val="none" w:sz="0" w:space="0" w:color="auto"/>
        <w:left w:val="none" w:sz="0" w:space="0" w:color="auto"/>
        <w:bottom w:val="none" w:sz="0" w:space="0" w:color="auto"/>
        <w:right w:val="none" w:sz="0" w:space="0" w:color="auto"/>
      </w:divBdr>
      <w:divsChild>
        <w:div w:id="194930685">
          <w:marLeft w:val="893"/>
          <w:marRight w:val="0"/>
          <w:marTop w:val="0"/>
          <w:marBottom w:val="160"/>
          <w:divBdr>
            <w:top w:val="none" w:sz="0" w:space="0" w:color="auto"/>
            <w:left w:val="none" w:sz="0" w:space="0" w:color="auto"/>
            <w:bottom w:val="none" w:sz="0" w:space="0" w:color="auto"/>
            <w:right w:val="none" w:sz="0" w:space="0" w:color="auto"/>
          </w:divBdr>
        </w:div>
        <w:div w:id="750545534">
          <w:marLeft w:val="893"/>
          <w:marRight w:val="0"/>
          <w:marTop w:val="0"/>
          <w:marBottom w:val="160"/>
          <w:divBdr>
            <w:top w:val="none" w:sz="0" w:space="0" w:color="auto"/>
            <w:left w:val="none" w:sz="0" w:space="0" w:color="auto"/>
            <w:bottom w:val="none" w:sz="0" w:space="0" w:color="auto"/>
            <w:right w:val="none" w:sz="0" w:space="0" w:color="auto"/>
          </w:divBdr>
        </w:div>
        <w:div w:id="974599702">
          <w:marLeft w:val="893"/>
          <w:marRight w:val="0"/>
          <w:marTop w:val="0"/>
          <w:marBottom w:val="160"/>
          <w:divBdr>
            <w:top w:val="none" w:sz="0" w:space="0" w:color="auto"/>
            <w:left w:val="none" w:sz="0" w:space="0" w:color="auto"/>
            <w:bottom w:val="none" w:sz="0" w:space="0" w:color="auto"/>
            <w:right w:val="none" w:sz="0" w:space="0" w:color="auto"/>
          </w:divBdr>
        </w:div>
        <w:div w:id="1157261005">
          <w:marLeft w:val="893"/>
          <w:marRight w:val="0"/>
          <w:marTop w:val="0"/>
          <w:marBottom w:val="160"/>
          <w:divBdr>
            <w:top w:val="none" w:sz="0" w:space="0" w:color="auto"/>
            <w:left w:val="none" w:sz="0" w:space="0" w:color="auto"/>
            <w:bottom w:val="none" w:sz="0" w:space="0" w:color="auto"/>
            <w:right w:val="none" w:sz="0" w:space="0" w:color="auto"/>
          </w:divBdr>
        </w:div>
        <w:div w:id="1729259521">
          <w:marLeft w:val="893"/>
          <w:marRight w:val="0"/>
          <w:marTop w:val="0"/>
          <w:marBottom w:val="160"/>
          <w:divBdr>
            <w:top w:val="none" w:sz="0" w:space="0" w:color="auto"/>
            <w:left w:val="none" w:sz="0" w:space="0" w:color="auto"/>
            <w:bottom w:val="none" w:sz="0" w:space="0" w:color="auto"/>
            <w:right w:val="none" w:sz="0" w:space="0" w:color="auto"/>
          </w:divBdr>
        </w:div>
      </w:divsChild>
    </w:div>
    <w:div w:id="116488487">
      <w:bodyDiv w:val="1"/>
      <w:marLeft w:val="0"/>
      <w:marRight w:val="0"/>
      <w:marTop w:val="0"/>
      <w:marBottom w:val="0"/>
      <w:divBdr>
        <w:top w:val="none" w:sz="0" w:space="0" w:color="auto"/>
        <w:left w:val="none" w:sz="0" w:space="0" w:color="auto"/>
        <w:bottom w:val="none" w:sz="0" w:space="0" w:color="auto"/>
        <w:right w:val="none" w:sz="0" w:space="0" w:color="auto"/>
      </w:divBdr>
      <w:divsChild>
        <w:div w:id="98066962">
          <w:marLeft w:val="446"/>
          <w:marRight w:val="0"/>
          <w:marTop w:val="200"/>
          <w:marBottom w:val="160"/>
          <w:divBdr>
            <w:top w:val="none" w:sz="0" w:space="0" w:color="auto"/>
            <w:left w:val="none" w:sz="0" w:space="0" w:color="auto"/>
            <w:bottom w:val="none" w:sz="0" w:space="0" w:color="auto"/>
            <w:right w:val="none" w:sz="0" w:space="0" w:color="auto"/>
          </w:divBdr>
        </w:div>
        <w:div w:id="609703272">
          <w:marLeft w:val="446"/>
          <w:marRight w:val="0"/>
          <w:marTop w:val="200"/>
          <w:marBottom w:val="160"/>
          <w:divBdr>
            <w:top w:val="none" w:sz="0" w:space="0" w:color="auto"/>
            <w:left w:val="none" w:sz="0" w:space="0" w:color="auto"/>
            <w:bottom w:val="none" w:sz="0" w:space="0" w:color="auto"/>
            <w:right w:val="none" w:sz="0" w:space="0" w:color="auto"/>
          </w:divBdr>
        </w:div>
        <w:div w:id="901871785">
          <w:marLeft w:val="446"/>
          <w:marRight w:val="0"/>
          <w:marTop w:val="200"/>
          <w:marBottom w:val="160"/>
          <w:divBdr>
            <w:top w:val="none" w:sz="0" w:space="0" w:color="auto"/>
            <w:left w:val="none" w:sz="0" w:space="0" w:color="auto"/>
            <w:bottom w:val="none" w:sz="0" w:space="0" w:color="auto"/>
            <w:right w:val="none" w:sz="0" w:space="0" w:color="auto"/>
          </w:divBdr>
        </w:div>
        <w:div w:id="1862667390">
          <w:marLeft w:val="446"/>
          <w:marRight w:val="0"/>
          <w:marTop w:val="200"/>
          <w:marBottom w:val="160"/>
          <w:divBdr>
            <w:top w:val="none" w:sz="0" w:space="0" w:color="auto"/>
            <w:left w:val="none" w:sz="0" w:space="0" w:color="auto"/>
            <w:bottom w:val="none" w:sz="0" w:space="0" w:color="auto"/>
            <w:right w:val="none" w:sz="0" w:space="0" w:color="auto"/>
          </w:divBdr>
        </w:div>
      </w:divsChild>
    </w:div>
    <w:div w:id="119686747">
      <w:bodyDiv w:val="1"/>
      <w:marLeft w:val="0"/>
      <w:marRight w:val="0"/>
      <w:marTop w:val="0"/>
      <w:marBottom w:val="0"/>
      <w:divBdr>
        <w:top w:val="none" w:sz="0" w:space="0" w:color="auto"/>
        <w:left w:val="none" w:sz="0" w:space="0" w:color="auto"/>
        <w:bottom w:val="none" w:sz="0" w:space="0" w:color="auto"/>
        <w:right w:val="none" w:sz="0" w:space="0" w:color="auto"/>
      </w:divBdr>
    </w:div>
    <w:div w:id="122815332">
      <w:bodyDiv w:val="1"/>
      <w:marLeft w:val="0"/>
      <w:marRight w:val="0"/>
      <w:marTop w:val="0"/>
      <w:marBottom w:val="0"/>
      <w:divBdr>
        <w:top w:val="none" w:sz="0" w:space="0" w:color="auto"/>
        <w:left w:val="none" w:sz="0" w:space="0" w:color="auto"/>
        <w:bottom w:val="none" w:sz="0" w:space="0" w:color="auto"/>
        <w:right w:val="none" w:sz="0" w:space="0" w:color="auto"/>
      </w:divBdr>
      <w:divsChild>
        <w:div w:id="122772909">
          <w:marLeft w:val="893"/>
          <w:marRight w:val="0"/>
          <w:marTop w:val="0"/>
          <w:marBottom w:val="120"/>
          <w:divBdr>
            <w:top w:val="none" w:sz="0" w:space="0" w:color="auto"/>
            <w:left w:val="none" w:sz="0" w:space="0" w:color="auto"/>
            <w:bottom w:val="none" w:sz="0" w:space="0" w:color="auto"/>
            <w:right w:val="none" w:sz="0" w:space="0" w:color="auto"/>
          </w:divBdr>
        </w:div>
        <w:div w:id="409888166">
          <w:marLeft w:val="893"/>
          <w:marRight w:val="0"/>
          <w:marTop w:val="0"/>
          <w:marBottom w:val="120"/>
          <w:divBdr>
            <w:top w:val="none" w:sz="0" w:space="0" w:color="auto"/>
            <w:left w:val="none" w:sz="0" w:space="0" w:color="auto"/>
            <w:bottom w:val="none" w:sz="0" w:space="0" w:color="auto"/>
            <w:right w:val="none" w:sz="0" w:space="0" w:color="auto"/>
          </w:divBdr>
        </w:div>
        <w:div w:id="704062451">
          <w:marLeft w:val="893"/>
          <w:marRight w:val="0"/>
          <w:marTop w:val="0"/>
          <w:marBottom w:val="120"/>
          <w:divBdr>
            <w:top w:val="none" w:sz="0" w:space="0" w:color="auto"/>
            <w:left w:val="none" w:sz="0" w:space="0" w:color="auto"/>
            <w:bottom w:val="none" w:sz="0" w:space="0" w:color="auto"/>
            <w:right w:val="none" w:sz="0" w:space="0" w:color="auto"/>
          </w:divBdr>
        </w:div>
        <w:div w:id="1389769905">
          <w:marLeft w:val="893"/>
          <w:marRight w:val="0"/>
          <w:marTop w:val="0"/>
          <w:marBottom w:val="120"/>
          <w:divBdr>
            <w:top w:val="none" w:sz="0" w:space="0" w:color="auto"/>
            <w:left w:val="none" w:sz="0" w:space="0" w:color="auto"/>
            <w:bottom w:val="none" w:sz="0" w:space="0" w:color="auto"/>
            <w:right w:val="none" w:sz="0" w:space="0" w:color="auto"/>
          </w:divBdr>
        </w:div>
        <w:div w:id="2065369953">
          <w:marLeft w:val="893"/>
          <w:marRight w:val="0"/>
          <w:marTop w:val="0"/>
          <w:marBottom w:val="120"/>
          <w:divBdr>
            <w:top w:val="none" w:sz="0" w:space="0" w:color="auto"/>
            <w:left w:val="none" w:sz="0" w:space="0" w:color="auto"/>
            <w:bottom w:val="none" w:sz="0" w:space="0" w:color="auto"/>
            <w:right w:val="none" w:sz="0" w:space="0" w:color="auto"/>
          </w:divBdr>
        </w:div>
        <w:div w:id="2128575628">
          <w:marLeft w:val="893"/>
          <w:marRight w:val="0"/>
          <w:marTop w:val="0"/>
          <w:marBottom w:val="120"/>
          <w:divBdr>
            <w:top w:val="none" w:sz="0" w:space="0" w:color="auto"/>
            <w:left w:val="none" w:sz="0" w:space="0" w:color="auto"/>
            <w:bottom w:val="none" w:sz="0" w:space="0" w:color="auto"/>
            <w:right w:val="none" w:sz="0" w:space="0" w:color="auto"/>
          </w:divBdr>
        </w:div>
      </w:divsChild>
    </w:div>
    <w:div w:id="164173011">
      <w:bodyDiv w:val="1"/>
      <w:marLeft w:val="0"/>
      <w:marRight w:val="0"/>
      <w:marTop w:val="0"/>
      <w:marBottom w:val="0"/>
      <w:divBdr>
        <w:top w:val="none" w:sz="0" w:space="0" w:color="auto"/>
        <w:left w:val="none" w:sz="0" w:space="0" w:color="auto"/>
        <w:bottom w:val="none" w:sz="0" w:space="0" w:color="auto"/>
        <w:right w:val="none" w:sz="0" w:space="0" w:color="auto"/>
      </w:divBdr>
      <w:divsChild>
        <w:div w:id="43338129">
          <w:marLeft w:val="446"/>
          <w:marRight w:val="0"/>
          <w:marTop w:val="200"/>
          <w:marBottom w:val="0"/>
          <w:divBdr>
            <w:top w:val="none" w:sz="0" w:space="0" w:color="auto"/>
            <w:left w:val="none" w:sz="0" w:space="0" w:color="auto"/>
            <w:bottom w:val="none" w:sz="0" w:space="0" w:color="auto"/>
            <w:right w:val="none" w:sz="0" w:space="0" w:color="auto"/>
          </w:divBdr>
        </w:div>
        <w:div w:id="910386974">
          <w:marLeft w:val="446"/>
          <w:marRight w:val="0"/>
          <w:marTop w:val="200"/>
          <w:marBottom w:val="0"/>
          <w:divBdr>
            <w:top w:val="none" w:sz="0" w:space="0" w:color="auto"/>
            <w:left w:val="none" w:sz="0" w:space="0" w:color="auto"/>
            <w:bottom w:val="none" w:sz="0" w:space="0" w:color="auto"/>
            <w:right w:val="none" w:sz="0" w:space="0" w:color="auto"/>
          </w:divBdr>
        </w:div>
        <w:div w:id="1190950196">
          <w:marLeft w:val="446"/>
          <w:marRight w:val="0"/>
          <w:marTop w:val="200"/>
          <w:marBottom w:val="0"/>
          <w:divBdr>
            <w:top w:val="none" w:sz="0" w:space="0" w:color="auto"/>
            <w:left w:val="none" w:sz="0" w:space="0" w:color="auto"/>
            <w:bottom w:val="none" w:sz="0" w:space="0" w:color="auto"/>
            <w:right w:val="none" w:sz="0" w:space="0" w:color="auto"/>
          </w:divBdr>
        </w:div>
        <w:div w:id="1463184328">
          <w:marLeft w:val="446"/>
          <w:marRight w:val="0"/>
          <w:marTop w:val="200"/>
          <w:marBottom w:val="0"/>
          <w:divBdr>
            <w:top w:val="none" w:sz="0" w:space="0" w:color="auto"/>
            <w:left w:val="none" w:sz="0" w:space="0" w:color="auto"/>
            <w:bottom w:val="none" w:sz="0" w:space="0" w:color="auto"/>
            <w:right w:val="none" w:sz="0" w:space="0" w:color="auto"/>
          </w:divBdr>
        </w:div>
        <w:div w:id="1833526418">
          <w:marLeft w:val="446"/>
          <w:marRight w:val="0"/>
          <w:marTop w:val="200"/>
          <w:marBottom w:val="0"/>
          <w:divBdr>
            <w:top w:val="none" w:sz="0" w:space="0" w:color="auto"/>
            <w:left w:val="none" w:sz="0" w:space="0" w:color="auto"/>
            <w:bottom w:val="none" w:sz="0" w:space="0" w:color="auto"/>
            <w:right w:val="none" w:sz="0" w:space="0" w:color="auto"/>
          </w:divBdr>
        </w:div>
      </w:divsChild>
    </w:div>
    <w:div w:id="166335081">
      <w:bodyDiv w:val="1"/>
      <w:marLeft w:val="0"/>
      <w:marRight w:val="0"/>
      <w:marTop w:val="0"/>
      <w:marBottom w:val="0"/>
      <w:divBdr>
        <w:top w:val="none" w:sz="0" w:space="0" w:color="auto"/>
        <w:left w:val="none" w:sz="0" w:space="0" w:color="auto"/>
        <w:bottom w:val="none" w:sz="0" w:space="0" w:color="auto"/>
        <w:right w:val="none" w:sz="0" w:space="0" w:color="auto"/>
      </w:divBdr>
      <w:divsChild>
        <w:div w:id="634289045">
          <w:marLeft w:val="0"/>
          <w:marRight w:val="0"/>
          <w:marTop w:val="0"/>
          <w:marBottom w:val="0"/>
          <w:divBdr>
            <w:top w:val="none" w:sz="0" w:space="0" w:color="auto"/>
            <w:left w:val="none" w:sz="0" w:space="0" w:color="auto"/>
            <w:bottom w:val="none" w:sz="0" w:space="0" w:color="auto"/>
            <w:right w:val="none" w:sz="0" w:space="0" w:color="auto"/>
          </w:divBdr>
          <w:divsChild>
            <w:div w:id="191961669">
              <w:marLeft w:val="0"/>
              <w:marRight w:val="0"/>
              <w:marTop w:val="0"/>
              <w:marBottom w:val="0"/>
              <w:divBdr>
                <w:top w:val="none" w:sz="0" w:space="0" w:color="auto"/>
                <w:left w:val="none" w:sz="0" w:space="0" w:color="auto"/>
                <w:bottom w:val="none" w:sz="0" w:space="0" w:color="auto"/>
                <w:right w:val="none" w:sz="0" w:space="0" w:color="auto"/>
              </w:divBdr>
            </w:div>
            <w:div w:id="638535108">
              <w:marLeft w:val="0"/>
              <w:marRight w:val="0"/>
              <w:marTop w:val="0"/>
              <w:marBottom w:val="0"/>
              <w:divBdr>
                <w:top w:val="none" w:sz="0" w:space="0" w:color="auto"/>
                <w:left w:val="none" w:sz="0" w:space="0" w:color="auto"/>
                <w:bottom w:val="none" w:sz="0" w:space="0" w:color="auto"/>
                <w:right w:val="none" w:sz="0" w:space="0" w:color="auto"/>
              </w:divBdr>
            </w:div>
            <w:div w:id="1433626796">
              <w:marLeft w:val="0"/>
              <w:marRight w:val="0"/>
              <w:marTop w:val="0"/>
              <w:marBottom w:val="0"/>
              <w:divBdr>
                <w:top w:val="none" w:sz="0" w:space="0" w:color="auto"/>
                <w:left w:val="none" w:sz="0" w:space="0" w:color="auto"/>
                <w:bottom w:val="none" w:sz="0" w:space="0" w:color="auto"/>
                <w:right w:val="none" w:sz="0" w:space="0" w:color="auto"/>
              </w:divBdr>
            </w:div>
            <w:div w:id="1574468371">
              <w:marLeft w:val="0"/>
              <w:marRight w:val="0"/>
              <w:marTop w:val="0"/>
              <w:marBottom w:val="0"/>
              <w:divBdr>
                <w:top w:val="none" w:sz="0" w:space="0" w:color="auto"/>
                <w:left w:val="none" w:sz="0" w:space="0" w:color="auto"/>
                <w:bottom w:val="none" w:sz="0" w:space="0" w:color="auto"/>
                <w:right w:val="none" w:sz="0" w:space="0" w:color="auto"/>
              </w:divBdr>
            </w:div>
          </w:divsChild>
        </w:div>
        <w:div w:id="1130706388">
          <w:marLeft w:val="0"/>
          <w:marRight w:val="0"/>
          <w:marTop w:val="0"/>
          <w:marBottom w:val="0"/>
          <w:divBdr>
            <w:top w:val="none" w:sz="0" w:space="0" w:color="auto"/>
            <w:left w:val="none" w:sz="0" w:space="0" w:color="auto"/>
            <w:bottom w:val="none" w:sz="0" w:space="0" w:color="auto"/>
            <w:right w:val="none" w:sz="0" w:space="0" w:color="auto"/>
          </w:divBdr>
          <w:divsChild>
            <w:div w:id="3480231">
              <w:marLeft w:val="0"/>
              <w:marRight w:val="0"/>
              <w:marTop w:val="0"/>
              <w:marBottom w:val="0"/>
              <w:divBdr>
                <w:top w:val="none" w:sz="0" w:space="0" w:color="auto"/>
                <w:left w:val="none" w:sz="0" w:space="0" w:color="auto"/>
                <w:bottom w:val="none" w:sz="0" w:space="0" w:color="auto"/>
                <w:right w:val="none" w:sz="0" w:space="0" w:color="auto"/>
              </w:divBdr>
            </w:div>
            <w:div w:id="319622945">
              <w:marLeft w:val="0"/>
              <w:marRight w:val="0"/>
              <w:marTop w:val="0"/>
              <w:marBottom w:val="0"/>
              <w:divBdr>
                <w:top w:val="none" w:sz="0" w:space="0" w:color="auto"/>
                <w:left w:val="none" w:sz="0" w:space="0" w:color="auto"/>
                <w:bottom w:val="none" w:sz="0" w:space="0" w:color="auto"/>
                <w:right w:val="none" w:sz="0" w:space="0" w:color="auto"/>
              </w:divBdr>
            </w:div>
            <w:div w:id="544685652">
              <w:marLeft w:val="0"/>
              <w:marRight w:val="0"/>
              <w:marTop w:val="0"/>
              <w:marBottom w:val="0"/>
              <w:divBdr>
                <w:top w:val="none" w:sz="0" w:space="0" w:color="auto"/>
                <w:left w:val="none" w:sz="0" w:space="0" w:color="auto"/>
                <w:bottom w:val="none" w:sz="0" w:space="0" w:color="auto"/>
                <w:right w:val="none" w:sz="0" w:space="0" w:color="auto"/>
              </w:divBdr>
            </w:div>
            <w:div w:id="573971652">
              <w:marLeft w:val="0"/>
              <w:marRight w:val="0"/>
              <w:marTop w:val="0"/>
              <w:marBottom w:val="0"/>
              <w:divBdr>
                <w:top w:val="none" w:sz="0" w:space="0" w:color="auto"/>
                <w:left w:val="none" w:sz="0" w:space="0" w:color="auto"/>
                <w:bottom w:val="none" w:sz="0" w:space="0" w:color="auto"/>
                <w:right w:val="none" w:sz="0" w:space="0" w:color="auto"/>
              </w:divBdr>
            </w:div>
            <w:div w:id="582178519">
              <w:marLeft w:val="0"/>
              <w:marRight w:val="0"/>
              <w:marTop w:val="0"/>
              <w:marBottom w:val="0"/>
              <w:divBdr>
                <w:top w:val="none" w:sz="0" w:space="0" w:color="auto"/>
                <w:left w:val="none" w:sz="0" w:space="0" w:color="auto"/>
                <w:bottom w:val="none" w:sz="0" w:space="0" w:color="auto"/>
                <w:right w:val="none" w:sz="0" w:space="0" w:color="auto"/>
              </w:divBdr>
            </w:div>
            <w:div w:id="596016784">
              <w:marLeft w:val="0"/>
              <w:marRight w:val="0"/>
              <w:marTop w:val="0"/>
              <w:marBottom w:val="0"/>
              <w:divBdr>
                <w:top w:val="none" w:sz="0" w:space="0" w:color="auto"/>
                <w:left w:val="none" w:sz="0" w:space="0" w:color="auto"/>
                <w:bottom w:val="none" w:sz="0" w:space="0" w:color="auto"/>
                <w:right w:val="none" w:sz="0" w:space="0" w:color="auto"/>
              </w:divBdr>
            </w:div>
            <w:div w:id="698896746">
              <w:marLeft w:val="0"/>
              <w:marRight w:val="0"/>
              <w:marTop w:val="0"/>
              <w:marBottom w:val="0"/>
              <w:divBdr>
                <w:top w:val="none" w:sz="0" w:space="0" w:color="auto"/>
                <w:left w:val="none" w:sz="0" w:space="0" w:color="auto"/>
                <w:bottom w:val="none" w:sz="0" w:space="0" w:color="auto"/>
                <w:right w:val="none" w:sz="0" w:space="0" w:color="auto"/>
              </w:divBdr>
            </w:div>
            <w:div w:id="756901636">
              <w:marLeft w:val="0"/>
              <w:marRight w:val="0"/>
              <w:marTop w:val="0"/>
              <w:marBottom w:val="0"/>
              <w:divBdr>
                <w:top w:val="none" w:sz="0" w:space="0" w:color="auto"/>
                <w:left w:val="none" w:sz="0" w:space="0" w:color="auto"/>
                <w:bottom w:val="none" w:sz="0" w:space="0" w:color="auto"/>
                <w:right w:val="none" w:sz="0" w:space="0" w:color="auto"/>
              </w:divBdr>
            </w:div>
            <w:div w:id="766195894">
              <w:marLeft w:val="0"/>
              <w:marRight w:val="0"/>
              <w:marTop w:val="0"/>
              <w:marBottom w:val="0"/>
              <w:divBdr>
                <w:top w:val="none" w:sz="0" w:space="0" w:color="auto"/>
                <w:left w:val="none" w:sz="0" w:space="0" w:color="auto"/>
                <w:bottom w:val="none" w:sz="0" w:space="0" w:color="auto"/>
                <w:right w:val="none" w:sz="0" w:space="0" w:color="auto"/>
              </w:divBdr>
            </w:div>
            <w:div w:id="841773825">
              <w:marLeft w:val="0"/>
              <w:marRight w:val="0"/>
              <w:marTop w:val="0"/>
              <w:marBottom w:val="0"/>
              <w:divBdr>
                <w:top w:val="none" w:sz="0" w:space="0" w:color="auto"/>
                <w:left w:val="none" w:sz="0" w:space="0" w:color="auto"/>
                <w:bottom w:val="none" w:sz="0" w:space="0" w:color="auto"/>
                <w:right w:val="none" w:sz="0" w:space="0" w:color="auto"/>
              </w:divBdr>
            </w:div>
            <w:div w:id="995497664">
              <w:marLeft w:val="0"/>
              <w:marRight w:val="0"/>
              <w:marTop w:val="0"/>
              <w:marBottom w:val="0"/>
              <w:divBdr>
                <w:top w:val="none" w:sz="0" w:space="0" w:color="auto"/>
                <w:left w:val="none" w:sz="0" w:space="0" w:color="auto"/>
                <w:bottom w:val="none" w:sz="0" w:space="0" w:color="auto"/>
                <w:right w:val="none" w:sz="0" w:space="0" w:color="auto"/>
              </w:divBdr>
            </w:div>
            <w:div w:id="1035423090">
              <w:marLeft w:val="0"/>
              <w:marRight w:val="0"/>
              <w:marTop w:val="0"/>
              <w:marBottom w:val="0"/>
              <w:divBdr>
                <w:top w:val="none" w:sz="0" w:space="0" w:color="auto"/>
                <w:left w:val="none" w:sz="0" w:space="0" w:color="auto"/>
                <w:bottom w:val="none" w:sz="0" w:space="0" w:color="auto"/>
                <w:right w:val="none" w:sz="0" w:space="0" w:color="auto"/>
              </w:divBdr>
            </w:div>
            <w:div w:id="1253735897">
              <w:marLeft w:val="0"/>
              <w:marRight w:val="0"/>
              <w:marTop w:val="0"/>
              <w:marBottom w:val="0"/>
              <w:divBdr>
                <w:top w:val="none" w:sz="0" w:space="0" w:color="auto"/>
                <w:left w:val="none" w:sz="0" w:space="0" w:color="auto"/>
                <w:bottom w:val="none" w:sz="0" w:space="0" w:color="auto"/>
                <w:right w:val="none" w:sz="0" w:space="0" w:color="auto"/>
              </w:divBdr>
            </w:div>
            <w:div w:id="1513884604">
              <w:marLeft w:val="0"/>
              <w:marRight w:val="0"/>
              <w:marTop w:val="0"/>
              <w:marBottom w:val="0"/>
              <w:divBdr>
                <w:top w:val="none" w:sz="0" w:space="0" w:color="auto"/>
                <w:left w:val="none" w:sz="0" w:space="0" w:color="auto"/>
                <w:bottom w:val="none" w:sz="0" w:space="0" w:color="auto"/>
                <w:right w:val="none" w:sz="0" w:space="0" w:color="auto"/>
              </w:divBdr>
            </w:div>
            <w:div w:id="1659453841">
              <w:marLeft w:val="0"/>
              <w:marRight w:val="0"/>
              <w:marTop w:val="0"/>
              <w:marBottom w:val="0"/>
              <w:divBdr>
                <w:top w:val="none" w:sz="0" w:space="0" w:color="auto"/>
                <w:left w:val="none" w:sz="0" w:space="0" w:color="auto"/>
                <w:bottom w:val="none" w:sz="0" w:space="0" w:color="auto"/>
                <w:right w:val="none" w:sz="0" w:space="0" w:color="auto"/>
              </w:divBdr>
            </w:div>
            <w:div w:id="1661081045">
              <w:marLeft w:val="0"/>
              <w:marRight w:val="0"/>
              <w:marTop w:val="0"/>
              <w:marBottom w:val="0"/>
              <w:divBdr>
                <w:top w:val="none" w:sz="0" w:space="0" w:color="auto"/>
                <w:left w:val="none" w:sz="0" w:space="0" w:color="auto"/>
                <w:bottom w:val="none" w:sz="0" w:space="0" w:color="auto"/>
                <w:right w:val="none" w:sz="0" w:space="0" w:color="auto"/>
              </w:divBdr>
            </w:div>
            <w:div w:id="1674261282">
              <w:marLeft w:val="0"/>
              <w:marRight w:val="0"/>
              <w:marTop w:val="0"/>
              <w:marBottom w:val="0"/>
              <w:divBdr>
                <w:top w:val="none" w:sz="0" w:space="0" w:color="auto"/>
                <w:left w:val="none" w:sz="0" w:space="0" w:color="auto"/>
                <w:bottom w:val="none" w:sz="0" w:space="0" w:color="auto"/>
                <w:right w:val="none" w:sz="0" w:space="0" w:color="auto"/>
              </w:divBdr>
            </w:div>
            <w:div w:id="1791900525">
              <w:marLeft w:val="0"/>
              <w:marRight w:val="0"/>
              <w:marTop w:val="0"/>
              <w:marBottom w:val="0"/>
              <w:divBdr>
                <w:top w:val="none" w:sz="0" w:space="0" w:color="auto"/>
                <w:left w:val="none" w:sz="0" w:space="0" w:color="auto"/>
                <w:bottom w:val="none" w:sz="0" w:space="0" w:color="auto"/>
                <w:right w:val="none" w:sz="0" w:space="0" w:color="auto"/>
              </w:divBdr>
            </w:div>
            <w:div w:id="1981957553">
              <w:marLeft w:val="0"/>
              <w:marRight w:val="0"/>
              <w:marTop w:val="0"/>
              <w:marBottom w:val="0"/>
              <w:divBdr>
                <w:top w:val="none" w:sz="0" w:space="0" w:color="auto"/>
                <w:left w:val="none" w:sz="0" w:space="0" w:color="auto"/>
                <w:bottom w:val="none" w:sz="0" w:space="0" w:color="auto"/>
                <w:right w:val="none" w:sz="0" w:space="0" w:color="auto"/>
              </w:divBdr>
            </w:div>
            <w:div w:id="2050255387">
              <w:marLeft w:val="0"/>
              <w:marRight w:val="0"/>
              <w:marTop w:val="0"/>
              <w:marBottom w:val="0"/>
              <w:divBdr>
                <w:top w:val="none" w:sz="0" w:space="0" w:color="auto"/>
                <w:left w:val="none" w:sz="0" w:space="0" w:color="auto"/>
                <w:bottom w:val="none" w:sz="0" w:space="0" w:color="auto"/>
                <w:right w:val="none" w:sz="0" w:space="0" w:color="auto"/>
              </w:divBdr>
            </w:div>
          </w:divsChild>
        </w:div>
        <w:div w:id="1249802227">
          <w:marLeft w:val="0"/>
          <w:marRight w:val="0"/>
          <w:marTop w:val="0"/>
          <w:marBottom w:val="0"/>
          <w:divBdr>
            <w:top w:val="none" w:sz="0" w:space="0" w:color="auto"/>
            <w:left w:val="none" w:sz="0" w:space="0" w:color="auto"/>
            <w:bottom w:val="none" w:sz="0" w:space="0" w:color="auto"/>
            <w:right w:val="none" w:sz="0" w:space="0" w:color="auto"/>
          </w:divBdr>
          <w:divsChild>
            <w:div w:id="219946336">
              <w:marLeft w:val="0"/>
              <w:marRight w:val="0"/>
              <w:marTop w:val="0"/>
              <w:marBottom w:val="0"/>
              <w:divBdr>
                <w:top w:val="none" w:sz="0" w:space="0" w:color="auto"/>
                <w:left w:val="none" w:sz="0" w:space="0" w:color="auto"/>
                <w:bottom w:val="none" w:sz="0" w:space="0" w:color="auto"/>
                <w:right w:val="none" w:sz="0" w:space="0" w:color="auto"/>
              </w:divBdr>
            </w:div>
            <w:div w:id="252521201">
              <w:marLeft w:val="0"/>
              <w:marRight w:val="0"/>
              <w:marTop w:val="0"/>
              <w:marBottom w:val="0"/>
              <w:divBdr>
                <w:top w:val="none" w:sz="0" w:space="0" w:color="auto"/>
                <w:left w:val="none" w:sz="0" w:space="0" w:color="auto"/>
                <w:bottom w:val="none" w:sz="0" w:space="0" w:color="auto"/>
                <w:right w:val="none" w:sz="0" w:space="0" w:color="auto"/>
              </w:divBdr>
            </w:div>
            <w:div w:id="378936896">
              <w:marLeft w:val="0"/>
              <w:marRight w:val="0"/>
              <w:marTop w:val="0"/>
              <w:marBottom w:val="0"/>
              <w:divBdr>
                <w:top w:val="none" w:sz="0" w:space="0" w:color="auto"/>
                <w:left w:val="none" w:sz="0" w:space="0" w:color="auto"/>
                <w:bottom w:val="none" w:sz="0" w:space="0" w:color="auto"/>
                <w:right w:val="none" w:sz="0" w:space="0" w:color="auto"/>
              </w:divBdr>
            </w:div>
            <w:div w:id="449668214">
              <w:marLeft w:val="0"/>
              <w:marRight w:val="0"/>
              <w:marTop w:val="0"/>
              <w:marBottom w:val="0"/>
              <w:divBdr>
                <w:top w:val="none" w:sz="0" w:space="0" w:color="auto"/>
                <w:left w:val="none" w:sz="0" w:space="0" w:color="auto"/>
                <w:bottom w:val="none" w:sz="0" w:space="0" w:color="auto"/>
                <w:right w:val="none" w:sz="0" w:space="0" w:color="auto"/>
              </w:divBdr>
            </w:div>
            <w:div w:id="608927051">
              <w:marLeft w:val="0"/>
              <w:marRight w:val="0"/>
              <w:marTop w:val="0"/>
              <w:marBottom w:val="0"/>
              <w:divBdr>
                <w:top w:val="none" w:sz="0" w:space="0" w:color="auto"/>
                <w:left w:val="none" w:sz="0" w:space="0" w:color="auto"/>
                <w:bottom w:val="none" w:sz="0" w:space="0" w:color="auto"/>
                <w:right w:val="none" w:sz="0" w:space="0" w:color="auto"/>
              </w:divBdr>
            </w:div>
            <w:div w:id="930242172">
              <w:marLeft w:val="0"/>
              <w:marRight w:val="0"/>
              <w:marTop w:val="0"/>
              <w:marBottom w:val="0"/>
              <w:divBdr>
                <w:top w:val="none" w:sz="0" w:space="0" w:color="auto"/>
                <w:left w:val="none" w:sz="0" w:space="0" w:color="auto"/>
                <w:bottom w:val="none" w:sz="0" w:space="0" w:color="auto"/>
                <w:right w:val="none" w:sz="0" w:space="0" w:color="auto"/>
              </w:divBdr>
            </w:div>
            <w:div w:id="1101679073">
              <w:marLeft w:val="0"/>
              <w:marRight w:val="0"/>
              <w:marTop w:val="0"/>
              <w:marBottom w:val="0"/>
              <w:divBdr>
                <w:top w:val="none" w:sz="0" w:space="0" w:color="auto"/>
                <w:left w:val="none" w:sz="0" w:space="0" w:color="auto"/>
                <w:bottom w:val="none" w:sz="0" w:space="0" w:color="auto"/>
                <w:right w:val="none" w:sz="0" w:space="0" w:color="auto"/>
              </w:divBdr>
            </w:div>
            <w:div w:id="1284388276">
              <w:marLeft w:val="0"/>
              <w:marRight w:val="0"/>
              <w:marTop w:val="0"/>
              <w:marBottom w:val="0"/>
              <w:divBdr>
                <w:top w:val="none" w:sz="0" w:space="0" w:color="auto"/>
                <w:left w:val="none" w:sz="0" w:space="0" w:color="auto"/>
                <w:bottom w:val="none" w:sz="0" w:space="0" w:color="auto"/>
                <w:right w:val="none" w:sz="0" w:space="0" w:color="auto"/>
              </w:divBdr>
            </w:div>
            <w:div w:id="1392075581">
              <w:marLeft w:val="0"/>
              <w:marRight w:val="0"/>
              <w:marTop w:val="0"/>
              <w:marBottom w:val="0"/>
              <w:divBdr>
                <w:top w:val="none" w:sz="0" w:space="0" w:color="auto"/>
                <w:left w:val="none" w:sz="0" w:space="0" w:color="auto"/>
                <w:bottom w:val="none" w:sz="0" w:space="0" w:color="auto"/>
                <w:right w:val="none" w:sz="0" w:space="0" w:color="auto"/>
              </w:divBdr>
            </w:div>
            <w:div w:id="1495995316">
              <w:marLeft w:val="0"/>
              <w:marRight w:val="0"/>
              <w:marTop w:val="0"/>
              <w:marBottom w:val="0"/>
              <w:divBdr>
                <w:top w:val="none" w:sz="0" w:space="0" w:color="auto"/>
                <w:left w:val="none" w:sz="0" w:space="0" w:color="auto"/>
                <w:bottom w:val="none" w:sz="0" w:space="0" w:color="auto"/>
                <w:right w:val="none" w:sz="0" w:space="0" w:color="auto"/>
              </w:divBdr>
            </w:div>
            <w:div w:id="1512990953">
              <w:marLeft w:val="0"/>
              <w:marRight w:val="0"/>
              <w:marTop w:val="0"/>
              <w:marBottom w:val="0"/>
              <w:divBdr>
                <w:top w:val="none" w:sz="0" w:space="0" w:color="auto"/>
                <w:left w:val="none" w:sz="0" w:space="0" w:color="auto"/>
                <w:bottom w:val="none" w:sz="0" w:space="0" w:color="auto"/>
                <w:right w:val="none" w:sz="0" w:space="0" w:color="auto"/>
              </w:divBdr>
            </w:div>
            <w:div w:id="1518689797">
              <w:marLeft w:val="0"/>
              <w:marRight w:val="0"/>
              <w:marTop w:val="0"/>
              <w:marBottom w:val="0"/>
              <w:divBdr>
                <w:top w:val="none" w:sz="0" w:space="0" w:color="auto"/>
                <w:left w:val="none" w:sz="0" w:space="0" w:color="auto"/>
                <w:bottom w:val="none" w:sz="0" w:space="0" w:color="auto"/>
                <w:right w:val="none" w:sz="0" w:space="0" w:color="auto"/>
              </w:divBdr>
            </w:div>
            <w:div w:id="1668089730">
              <w:marLeft w:val="0"/>
              <w:marRight w:val="0"/>
              <w:marTop w:val="0"/>
              <w:marBottom w:val="0"/>
              <w:divBdr>
                <w:top w:val="none" w:sz="0" w:space="0" w:color="auto"/>
                <w:left w:val="none" w:sz="0" w:space="0" w:color="auto"/>
                <w:bottom w:val="none" w:sz="0" w:space="0" w:color="auto"/>
                <w:right w:val="none" w:sz="0" w:space="0" w:color="auto"/>
              </w:divBdr>
            </w:div>
            <w:div w:id="1771045772">
              <w:marLeft w:val="0"/>
              <w:marRight w:val="0"/>
              <w:marTop w:val="0"/>
              <w:marBottom w:val="0"/>
              <w:divBdr>
                <w:top w:val="none" w:sz="0" w:space="0" w:color="auto"/>
                <w:left w:val="none" w:sz="0" w:space="0" w:color="auto"/>
                <w:bottom w:val="none" w:sz="0" w:space="0" w:color="auto"/>
                <w:right w:val="none" w:sz="0" w:space="0" w:color="auto"/>
              </w:divBdr>
            </w:div>
            <w:div w:id="1784183831">
              <w:marLeft w:val="0"/>
              <w:marRight w:val="0"/>
              <w:marTop w:val="0"/>
              <w:marBottom w:val="0"/>
              <w:divBdr>
                <w:top w:val="none" w:sz="0" w:space="0" w:color="auto"/>
                <w:left w:val="none" w:sz="0" w:space="0" w:color="auto"/>
                <w:bottom w:val="none" w:sz="0" w:space="0" w:color="auto"/>
                <w:right w:val="none" w:sz="0" w:space="0" w:color="auto"/>
              </w:divBdr>
            </w:div>
          </w:divsChild>
        </w:div>
        <w:div w:id="1421365068">
          <w:marLeft w:val="0"/>
          <w:marRight w:val="0"/>
          <w:marTop w:val="0"/>
          <w:marBottom w:val="0"/>
          <w:divBdr>
            <w:top w:val="none" w:sz="0" w:space="0" w:color="auto"/>
            <w:left w:val="none" w:sz="0" w:space="0" w:color="auto"/>
            <w:bottom w:val="none" w:sz="0" w:space="0" w:color="auto"/>
            <w:right w:val="none" w:sz="0" w:space="0" w:color="auto"/>
          </w:divBdr>
          <w:divsChild>
            <w:div w:id="1226454592">
              <w:marLeft w:val="-75"/>
              <w:marRight w:val="0"/>
              <w:marTop w:val="30"/>
              <w:marBottom w:val="30"/>
              <w:divBdr>
                <w:top w:val="none" w:sz="0" w:space="0" w:color="auto"/>
                <w:left w:val="none" w:sz="0" w:space="0" w:color="auto"/>
                <w:bottom w:val="none" w:sz="0" w:space="0" w:color="auto"/>
                <w:right w:val="none" w:sz="0" w:space="0" w:color="auto"/>
              </w:divBdr>
              <w:divsChild>
                <w:div w:id="64692537">
                  <w:marLeft w:val="0"/>
                  <w:marRight w:val="0"/>
                  <w:marTop w:val="0"/>
                  <w:marBottom w:val="0"/>
                  <w:divBdr>
                    <w:top w:val="none" w:sz="0" w:space="0" w:color="auto"/>
                    <w:left w:val="none" w:sz="0" w:space="0" w:color="auto"/>
                    <w:bottom w:val="none" w:sz="0" w:space="0" w:color="auto"/>
                    <w:right w:val="none" w:sz="0" w:space="0" w:color="auto"/>
                  </w:divBdr>
                  <w:divsChild>
                    <w:div w:id="1591738631">
                      <w:marLeft w:val="0"/>
                      <w:marRight w:val="0"/>
                      <w:marTop w:val="0"/>
                      <w:marBottom w:val="0"/>
                      <w:divBdr>
                        <w:top w:val="none" w:sz="0" w:space="0" w:color="auto"/>
                        <w:left w:val="none" w:sz="0" w:space="0" w:color="auto"/>
                        <w:bottom w:val="none" w:sz="0" w:space="0" w:color="auto"/>
                        <w:right w:val="none" w:sz="0" w:space="0" w:color="auto"/>
                      </w:divBdr>
                    </w:div>
                  </w:divsChild>
                </w:div>
                <w:div w:id="88357237">
                  <w:marLeft w:val="0"/>
                  <w:marRight w:val="0"/>
                  <w:marTop w:val="0"/>
                  <w:marBottom w:val="0"/>
                  <w:divBdr>
                    <w:top w:val="none" w:sz="0" w:space="0" w:color="auto"/>
                    <w:left w:val="none" w:sz="0" w:space="0" w:color="auto"/>
                    <w:bottom w:val="none" w:sz="0" w:space="0" w:color="auto"/>
                    <w:right w:val="none" w:sz="0" w:space="0" w:color="auto"/>
                  </w:divBdr>
                  <w:divsChild>
                    <w:div w:id="1383938879">
                      <w:marLeft w:val="0"/>
                      <w:marRight w:val="0"/>
                      <w:marTop w:val="0"/>
                      <w:marBottom w:val="0"/>
                      <w:divBdr>
                        <w:top w:val="none" w:sz="0" w:space="0" w:color="auto"/>
                        <w:left w:val="none" w:sz="0" w:space="0" w:color="auto"/>
                        <w:bottom w:val="none" w:sz="0" w:space="0" w:color="auto"/>
                        <w:right w:val="none" w:sz="0" w:space="0" w:color="auto"/>
                      </w:divBdr>
                    </w:div>
                  </w:divsChild>
                </w:div>
                <w:div w:id="135682889">
                  <w:marLeft w:val="0"/>
                  <w:marRight w:val="0"/>
                  <w:marTop w:val="0"/>
                  <w:marBottom w:val="0"/>
                  <w:divBdr>
                    <w:top w:val="none" w:sz="0" w:space="0" w:color="auto"/>
                    <w:left w:val="none" w:sz="0" w:space="0" w:color="auto"/>
                    <w:bottom w:val="none" w:sz="0" w:space="0" w:color="auto"/>
                    <w:right w:val="none" w:sz="0" w:space="0" w:color="auto"/>
                  </w:divBdr>
                  <w:divsChild>
                    <w:div w:id="182788742">
                      <w:marLeft w:val="0"/>
                      <w:marRight w:val="0"/>
                      <w:marTop w:val="0"/>
                      <w:marBottom w:val="0"/>
                      <w:divBdr>
                        <w:top w:val="none" w:sz="0" w:space="0" w:color="auto"/>
                        <w:left w:val="none" w:sz="0" w:space="0" w:color="auto"/>
                        <w:bottom w:val="none" w:sz="0" w:space="0" w:color="auto"/>
                        <w:right w:val="none" w:sz="0" w:space="0" w:color="auto"/>
                      </w:divBdr>
                    </w:div>
                  </w:divsChild>
                </w:div>
                <w:div w:id="146241376">
                  <w:marLeft w:val="0"/>
                  <w:marRight w:val="0"/>
                  <w:marTop w:val="0"/>
                  <w:marBottom w:val="0"/>
                  <w:divBdr>
                    <w:top w:val="none" w:sz="0" w:space="0" w:color="auto"/>
                    <w:left w:val="none" w:sz="0" w:space="0" w:color="auto"/>
                    <w:bottom w:val="none" w:sz="0" w:space="0" w:color="auto"/>
                    <w:right w:val="none" w:sz="0" w:space="0" w:color="auto"/>
                  </w:divBdr>
                  <w:divsChild>
                    <w:div w:id="269245510">
                      <w:marLeft w:val="0"/>
                      <w:marRight w:val="0"/>
                      <w:marTop w:val="0"/>
                      <w:marBottom w:val="0"/>
                      <w:divBdr>
                        <w:top w:val="none" w:sz="0" w:space="0" w:color="auto"/>
                        <w:left w:val="none" w:sz="0" w:space="0" w:color="auto"/>
                        <w:bottom w:val="none" w:sz="0" w:space="0" w:color="auto"/>
                        <w:right w:val="none" w:sz="0" w:space="0" w:color="auto"/>
                      </w:divBdr>
                    </w:div>
                    <w:div w:id="1207765253">
                      <w:marLeft w:val="0"/>
                      <w:marRight w:val="0"/>
                      <w:marTop w:val="0"/>
                      <w:marBottom w:val="0"/>
                      <w:divBdr>
                        <w:top w:val="none" w:sz="0" w:space="0" w:color="auto"/>
                        <w:left w:val="none" w:sz="0" w:space="0" w:color="auto"/>
                        <w:bottom w:val="none" w:sz="0" w:space="0" w:color="auto"/>
                        <w:right w:val="none" w:sz="0" w:space="0" w:color="auto"/>
                      </w:divBdr>
                    </w:div>
                  </w:divsChild>
                </w:div>
                <w:div w:id="560217960">
                  <w:marLeft w:val="0"/>
                  <w:marRight w:val="0"/>
                  <w:marTop w:val="0"/>
                  <w:marBottom w:val="0"/>
                  <w:divBdr>
                    <w:top w:val="none" w:sz="0" w:space="0" w:color="auto"/>
                    <w:left w:val="none" w:sz="0" w:space="0" w:color="auto"/>
                    <w:bottom w:val="none" w:sz="0" w:space="0" w:color="auto"/>
                    <w:right w:val="none" w:sz="0" w:space="0" w:color="auto"/>
                  </w:divBdr>
                  <w:divsChild>
                    <w:div w:id="707292082">
                      <w:marLeft w:val="0"/>
                      <w:marRight w:val="0"/>
                      <w:marTop w:val="0"/>
                      <w:marBottom w:val="0"/>
                      <w:divBdr>
                        <w:top w:val="none" w:sz="0" w:space="0" w:color="auto"/>
                        <w:left w:val="none" w:sz="0" w:space="0" w:color="auto"/>
                        <w:bottom w:val="none" w:sz="0" w:space="0" w:color="auto"/>
                        <w:right w:val="none" w:sz="0" w:space="0" w:color="auto"/>
                      </w:divBdr>
                    </w:div>
                  </w:divsChild>
                </w:div>
                <w:div w:id="801578685">
                  <w:marLeft w:val="0"/>
                  <w:marRight w:val="0"/>
                  <w:marTop w:val="0"/>
                  <w:marBottom w:val="0"/>
                  <w:divBdr>
                    <w:top w:val="none" w:sz="0" w:space="0" w:color="auto"/>
                    <w:left w:val="none" w:sz="0" w:space="0" w:color="auto"/>
                    <w:bottom w:val="none" w:sz="0" w:space="0" w:color="auto"/>
                    <w:right w:val="none" w:sz="0" w:space="0" w:color="auto"/>
                  </w:divBdr>
                  <w:divsChild>
                    <w:div w:id="226036611">
                      <w:marLeft w:val="0"/>
                      <w:marRight w:val="0"/>
                      <w:marTop w:val="0"/>
                      <w:marBottom w:val="0"/>
                      <w:divBdr>
                        <w:top w:val="none" w:sz="0" w:space="0" w:color="auto"/>
                        <w:left w:val="none" w:sz="0" w:space="0" w:color="auto"/>
                        <w:bottom w:val="none" w:sz="0" w:space="0" w:color="auto"/>
                        <w:right w:val="none" w:sz="0" w:space="0" w:color="auto"/>
                      </w:divBdr>
                    </w:div>
                  </w:divsChild>
                </w:div>
                <w:div w:id="839850660">
                  <w:marLeft w:val="0"/>
                  <w:marRight w:val="0"/>
                  <w:marTop w:val="0"/>
                  <w:marBottom w:val="0"/>
                  <w:divBdr>
                    <w:top w:val="none" w:sz="0" w:space="0" w:color="auto"/>
                    <w:left w:val="none" w:sz="0" w:space="0" w:color="auto"/>
                    <w:bottom w:val="none" w:sz="0" w:space="0" w:color="auto"/>
                    <w:right w:val="none" w:sz="0" w:space="0" w:color="auto"/>
                  </w:divBdr>
                  <w:divsChild>
                    <w:div w:id="1493905983">
                      <w:marLeft w:val="0"/>
                      <w:marRight w:val="0"/>
                      <w:marTop w:val="0"/>
                      <w:marBottom w:val="0"/>
                      <w:divBdr>
                        <w:top w:val="none" w:sz="0" w:space="0" w:color="auto"/>
                        <w:left w:val="none" w:sz="0" w:space="0" w:color="auto"/>
                        <w:bottom w:val="none" w:sz="0" w:space="0" w:color="auto"/>
                        <w:right w:val="none" w:sz="0" w:space="0" w:color="auto"/>
                      </w:divBdr>
                    </w:div>
                  </w:divsChild>
                </w:div>
                <w:div w:id="893004880">
                  <w:marLeft w:val="0"/>
                  <w:marRight w:val="0"/>
                  <w:marTop w:val="0"/>
                  <w:marBottom w:val="0"/>
                  <w:divBdr>
                    <w:top w:val="none" w:sz="0" w:space="0" w:color="auto"/>
                    <w:left w:val="none" w:sz="0" w:space="0" w:color="auto"/>
                    <w:bottom w:val="none" w:sz="0" w:space="0" w:color="auto"/>
                    <w:right w:val="none" w:sz="0" w:space="0" w:color="auto"/>
                  </w:divBdr>
                  <w:divsChild>
                    <w:div w:id="176820392">
                      <w:marLeft w:val="0"/>
                      <w:marRight w:val="0"/>
                      <w:marTop w:val="0"/>
                      <w:marBottom w:val="0"/>
                      <w:divBdr>
                        <w:top w:val="none" w:sz="0" w:space="0" w:color="auto"/>
                        <w:left w:val="none" w:sz="0" w:space="0" w:color="auto"/>
                        <w:bottom w:val="none" w:sz="0" w:space="0" w:color="auto"/>
                        <w:right w:val="none" w:sz="0" w:space="0" w:color="auto"/>
                      </w:divBdr>
                    </w:div>
                    <w:div w:id="311107084">
                      <w:marLeft w:val="0"/>
                      <w:marRight w:val="0"/>
                      <w:marTop w:val="0"/>
                      <w:marBottom w:val="0"/>
                      <w:divBdr>
                        <w:top w:val="none" w:sz="0" w:space="0" w:color="auto"/>
                        <w:left w:val="none" w:sz="0" w:space="0" w:color="auto"/>
                        <w:bottom w:val="none" w:sz="0" w:space="0" w:color="auto"/>
                        <w:right w:val="none" w:sz="0" w:space="0" w:color="auto"/>
                      </w:divBdr>
                    </w:div>
                  </w:divsChild>
                </w:div>
                <w:div w:id="1273248007">
                  <w:marLeft w:val="0"/>
                  <w:marRight w:val="0"/>
                  <w:marTop w:val="0"/>
                  <w:marBottom w:val="0"/>
                  <w:divBdr>
                    <w:top w:val="none" w:sz="0" w:space="0" w:color="auto"/>
                    <w:left w:val="none" w:sz="0" w:space="0" w:color="auto"/>
                    <w:bottom w:val="none" w:sz="0" w:space="0" w:color="auto"/>
                    <w:right w:val="none" w:sz="0" w:space="0" w:color="auto"/>
                  </w:divBdr>
                  <w:divsChild>
                    <w:div w:id="353920256">
                      <w:marLeft w:val="0"/>
                      <w:marRight w:val="0"/>
                      <w:marTop w:val="0"/>
                      <w:marBottom w:val="0"/>
                      <w:divBdr>
                        <w:top w:val="none" w:sz="0" w:space="0" w:color="auto"/>
                        <w:left w:val="none" w:sz="0" w:space="0" w:color="auto"/>
                        <w:bottom w:val="none" w:sz="0" w:space="0" w:color="auto"/>
                        <w:right w:val="none" w:sz="0" w:space="0" w:color="auto"/>
                      </w:divBdr>
                    </w:div>
                    <w:div w:id="658845990">
                      <w:marLeft w:val="0"/>
                      <w:marRight w:val="0"/>
                      <w:marTop w:val="0"/>
                      <w:marBottom w:val="0"/>
                      <w:divBdr>
                        <w:top w:val="none" w:sz="0" w:space="0" w:color="auto"/>
                        <w:left w:val="none" w:sz="0" w:space="0" w:color="auto"/>
                        <w:bottom w:val="none" w:sz="0" w:space="0" w:color="auto"/>
                        <w:right w:val="none" w:sz="0" w:space="0" w:color="auto"/>
                      </w:divBdr>
                    </w:div>
                  </w:divsChild>
                </w:div>
                <w:div w:id="1301233238">
                  <w:marLeft w:val="0"/>
                  <w:marRight w:val="0"/>
                  <w:marTop w:val="0"/>
                  <w:marBottom w:val="0"/>
                  <w:divBdr>
                    <w:top w:val="none" w:sz="0" w:space="0" w:color="auto"/>
                    <w:left w:val="none" w:sz="0" w:space="0" w:color="auto"/>
                    <w:bottom w:val="none" w:sz="0" w:space="0" w:color="auto"/>
                    <w:right w:val="none" w:sz="0" w:space="0" w:color="auto"/>
                  </w:divBdr>
                  <w:divsChild>
                    <w:div w:id="359356874">
                      <w:marLeft w:val="0"/>
                      <w:marRight w:val="0"/>
                      <w:marTop w:val="0"/>
                      <w:marBottom w:val="0"/>
                      <w:divBdr>
                        <w:top w:val="none" w:sz="0" w:space="0" w:color="auto"/>
                        <w:left w:val="none" w:sz="0" w:space="0" w:color="auto"/>
                        <w:bottom w:val="none" w:sz="0" w:space="0" w:color="auto"/>
                        <w:right w:val="none" w:sz="0" w:space="0" w:color="auto"/>
                      </w:divBdr>
                    </w:div>
                  </w:divsChild>
                </w:div>
                <w:div w:id="1400906988">
                  <w:marLeft w:val="0"/>
                  <w:marRight w:val="0"/>
                  <w:marTop w:val="0"/>
                  <w:marBottom w:val="0"/>
                  <w:divBdr>
                    <w:top w:val="none" w:sz="0" w:space="0" w:color="auto"/>
                    <w:left w:val="none" w:sz="0" w:space="0" w:color="auto"/>
                    <w:bottom w:val="none" w:sz="0" w:space="0" w:color="auto"/>
                    <w:right w:val="none" w:sz="0" w:space="0" w:color="auto"/>
                  </w:divBdr>
                  <w:divsChild>
                    <w:div w:id="1538080074">
                      <w:marLeft w:val="0"/>
                      <w:marRight w:val="0"/>
                      <w:marTop w:val="0"/>
                      <w:marBottom w:val="0"/>
                      <w:divBdr>
                        <w:top w:val="none" w:sz="0" w:space="0" w:color="auto"/>
                        <w:left w:val="none" w:sz="0" w:space="0" w:color="auto"/>
                        <w:bottom w:val="none" w:sz="0" w:space="0" w:color="auto"/>
                        <w:right w:val="none" w:sz="0" w:space="0" w:color="auto"/>
                      </w:divBdr>
                    </w:div>
                  </w:divsChild>
                </w:div>
                <w:div w:id="1777168427">
                  <w:marLeft w:val="0"/>
                  <w:marRight w:val="0"/>
                  <w:marTop w:val="0"/>
                  <w:marBottom w:val="0"/>
                  <w:divBdr>
                    <w:top w:val="none" w:sz="0" w:space="0" w:color="auto"/>
                    <w:left w:val="none" w:sz="0" w:space="0" w:color="auto"/>
                    <w:bottom w:val="none" w:sz="0" w:space="0" w:color="auto"/>
                    <w:right w:val="none" w:sz="0" w:space="0" w:color="auto"/>
                  </w:divBdr>
                  <w:divsChild>
                    <w:div w:id="211558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651376">
          <w:marLeft w:val="0"/>
          <w:marRight w:val="0"/>
          <w:marTop w:val="0"/>
          <w:marBottom w:val="0"/>
          <w:divBdr>
            <w:top w:val="none" w:sz="0" w:space="0" w:color="auto"/>
            <w:left w:val="none" w:sz="0" w:space="0" w:color="auto"/>
            <w:bottom w:val="none" w:sz="0" w:space="0" w:color="auto"/>
            <w:right w:val="none" w:sz="0" w:space="0" w:color="auto"/>
          </w:divBdr>
          <w:divsChild>
            <w:div w:id="475534970">
              <w:marLeft w:val="0"/>
              <w:marRight w:val="0"/>
              <w:marTop w:val="0"/>
              <w:marBottom w:val="0"/>
              <w:divBdr>
                <w:top w:val="none" w:sz="0" w:space="0" w:color="auto"/>
                <w:left w:val="none" w:sz="0" w:space="0" w:color="auto"/>
                <w:bottom w:val="none" w:sz="0" w:space="0" w:color="auto"/>
                <w:right w:val="none" w:sz="0" w:space="0" w:color="auto"/>
              </w:divBdr>
            </w:div>
            <w:div w:id="1269117901">
              <w:marLeft w:val="0"/>
              <w:marRight w:val="0"/>
              <w:marTop w:val="0"/>
              <w:marBottom w:val="0"/>
              <w:divBdr>
                <w:top w:val="none" w:sz="0" w:space="0" w:color="auto"/>
                <w:left w:val="none" w:sz="0" w:space="0" w:color="auto"/>
                <w:bottom w:val="none" w:sz="0" w:space="0" w:color="auto"/>
                <w:right w:val="none" w:sz="0" w:space="0" w:color="auto"/>
              </w:divBdr>
            </w:div>
            <w:div w:id="1673533378">
              <w:marLeft w:val="0"/>
              <w:marRight w:val="0"/>
              <w:marTop w:val="0"/>
              <w:marBottom w:val="0"/>
              <w:divBdr>
                <w:top w:val="none" w:sz="0" w:space="0" w:color="auto"/>
                <w:left w:val="none" w:sz="0" w:space="0" w:color="auto"/>
                <w:bottom w:val="none" w:sz="0" w:space="0" w:color="auto"/>
                <w:right w:val="none" w:sz="0" w:space="0" w:color="auto"/>
              </w:divBdr>
            </w:div>
          </w:divsChild>
        </w:div>
        <w:div w:id="1690838082">
          <w:marLeft w:val="0"/>
          <w:marRight w:val="0"/>
          <w:marTop w:val="0"/>
          <w:marBottom w:val="0"/>
          <w:divBdr>
            <w:top w:val="none" w:sz="0" w:space="0" w:color="auto"/>
            <w:left w:val="none" w:sz="0" w:space="0" w:color="auto"/>
            <w:bottom w:val="none" w:sz="0" w:space="0" w:color="auto"/>
            <w:right w:val="none" w:sz="0" w:space="0" w:color="auto"/>
          </w:divBdr>
        </w:div>
        <w:div w:id="1752661413">
          <w:marLeft w:val="0"/>
          <w:marRight w:val="0"/>
          <w:marTop w:val="0"/>
          <w:marBottom w:val="0"/>
          <w:divBdr>
            <w:top w:val="none" w:sz="0" w:space="0" w:color="auto"/>
            <w:left w:val="none" w:sz="0" w:space="0" w:color="auto"/>
            <w:bottom w:val="none" w:sz="0" w:space="0" w:color="auto"/>
            <w:right w:val="none" w:sz="0" w:space="0" w:color="auto"/>
          </w:divBdr>
        </w:div>
        <w:div w:id="1783760622">
          <w:marLeft w:val="0"/>
          <w:marRight w:val="0"/>
          <w:marTop w:val="0"/>
          <w:marBottom w:val="0"/>
          <w:divBdr>
            <w:top w:val="none" w:sz="0" w:space="0" w:color="auto"/>
            <w:left w:val="none" w:sz="0" w:space="0" w:color="auto"/>
            <w:bottom w:val="none" w:sz="0" w:space="0" w:color="auto"/>
            <w:right w:val="none" w:sz="0" w:space="0" w:color="auto"/>
          </w:divBdr>
          <w:divsChild>
            <w:div w:id="143782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0049">
      <w:bodyDiv w:val="1"/>
      <w:marLeft w:val="0"/>
      <w:marRight w:val="0"/>
      <w:marTop w:val="0"/>
      <w:marBottom w:val="0"/>
      <w:divBdr>
        <w:top w:val="none" w:sz="0" w:space="0" w:color="auto"/>
        <w:left w:val="none" w:sz="0" w:space="0" w:color="auto"/>
        <w:bottom w:val="none" w:sz="0" w:space="0" w:color="auto"/>
        <w:right w:val="none" w:sz="0" w:space="0" w:color="auto"/>
      </w:divBdr>
      <w:divsChild>
        <w:div w:id="1458136687">
          <w:marLeft w:val="446"/>
          <w:marRight w:val="0"/>
          <w:marTop w:val="200"/>
          <w:marBottom w:val="160"/>
          <w:divBdr>
            <w:top w:val="none" w:sz="0" w:space="0" w:color="auto"/>
            <w:left w:val="none" w:sz="0" w:space="0" w:color="auto"/>
            <w:bottom w:val="none" w:sz="0" w:space="0" w:color="auto"/>
            <w:right w:val="none" w:sz="0" w:space="0" w:color="auto"/>
          </w:divBdr>
        </w:div>
        <w:div w:id="1623919607">
          <w:marLeft w:val="446"/>
          <w:marRight w:val="0"/>
          <w:marTop w:val="200"/>
          <w:marBottom w:val="160"/>
          <w:divBdr>
            <w:top w:val="none" w:sz="0" w:space="0" w:color="auto"/>
            <w:left w:val="none" w:sz="0" w:space="0" w:color="auto"/>
            <w:bottom w:val="none" w:sz="0" w:space="0" w:color="auto"/>
            <w:right w:val="none" w:sz="0" w:space="0" w:color="auto"/>
          </w:divBdr>
        </w:div>
        <w:div w:id="1654869697">
          <w:marLeft w:val="446"/>
          <w:marRight w:val="0"/>
          <w:marTop w:val="200"/>
          <w:marBottom w:val="0"/>
          <w:divBdr>
            <w:top w:val="none" w:sz="0" w:space="0" w:color="auto"/>
            <w:left w:val="none" w:sz="0" w:space="0" w:color="auto"/>
            <w:bottom w:val="none" w:sz="0" w:space="0" w:color="auto"/>
            <w:right w:val="none" w:sz="0" w:space="0" w:color="auto"/>
          </w:divBdr>
        </w:div>
        <w:div w:id="1797794515">
          <w:marLeft w:val="446"/>
          <w:marRight w:val="0"/>
          <w:marTop w:val="200"/>
          <w:marBottom w:val="0"/>
          <w:divBdr>
            <w:top w:val="none" w:sz="0" w:space="0" w:color="auto"/>
            <w:left w:val="none" w:sz="0" w:space="0" w:color="auto"/>
            <w:bottom w:val="none" w:sz="0" w:space="0" w:color="auto"/>
            <w:right w:val="none" w:sz="0" w:space="0" w:color="auto"/>
          </w:divBdr>
        </w:div>
        <w:div w:id="1846361053">
          <w:marLeft w:val="446"/>
          <w:marRight w:val="0"/>
          <w:marTop w:val="200"/>
          <w:marBottom w:val="0"/>
          <w:divBdr>
            <w:top w:val="none" w:sz="0" w:space="0" w:color="auto"/>
            <w:left w:val="none" w:sz="0" w:space="0" w:color="auto"/>
            <w:bottom w:val="none" w:sz="0" w:space="0" w:color="auto"/>
            <w:right w:val="none" w:sz="0" w:space="0" w:color="auto"/>
          </w:divBdr>
        </w:div>
      </w:divsChild>
    </w:div>
    <w:div w:id="275675683">
      <w:bodyDiv w:val="1"/>
      <w:marLeft w:val="0"/>
      <w:marRight w:val="0"/>
      <w:marTop w:val="0"/>
      <w:marBottom w:val="0"/>
      <w:divBdr>
        <w:top w:val="none" w:sz="0" w:space="0" w:color="auto"/>
        <w:left w:val="none" w:sz="0" w:space="0" w:color="auto"/>
        <w:bottom w:val="none" w:sz="0" w:space="0" w:color="auto"/>
        <w:right w:val="none" w:sz="0" w:space="0" w:color="auto"/>
      </w:divBdr>
    </w:div>
    <w:div w:id="285310084">
      <w:bodyDiv w:val="1"/>
      <w:marLeft w:val="0"/>
      <w:marRight w:val="0"/>
      <w:marTop w:val="0"/>
      <w:marBottom w:val="0"/>
      <w:divBdr>
        <w:top w:val="none" w:sz="0" w:space="0" w:color="auto"/>
        <w:left w:val="none" w:sz="0" w:space="0" w:color="auto"/>
        <w:bottom w:val="none" w:sz="0" w:space="0" w:color="auto"/>
        <w:right w:val="none" w:sz="0" w:space="0" w:color="auto"/>
      </w:divBdr>
      <w:divsChild>
        <w:div w:id="1475681976">
          <w:marLeft w:val="0"/>
          <w:marRight w:val="0"/>
          <w:marTop w:val="0"/>
          <w:marBottom w:val="0"/>
          <w:divBdr>
            <w:top w:val="none" w:sz="0" w:space="0" w:color="auto"/>
            <w:left w:val="none" w:sz="0" w:space="0" w:color="auto"/>
            <w:bottom w:val="none" w:sz="0" w:space="0" w:color="auto"/>
            <w:right w:val="none" w:sz="0" w:space="0" w:color="auto"/>
          </w:divBdr>
          <w:divsChild>
            <w:div w:id="33896234">
              <w:marLeft w:val="0"/>
              <w:marRight w:val="0"/>
              <w:marTop w:val="0"/>
              <w:marBottom w:val="0"/>
              <w:divBdr>
                <w:top w:val="none" w:sz="0" w:space="0" w:color="auto"/>
                <w:left w:val="none" w:sz="0" w:space="0" w:color="auto"/>
                <w:bottom w:val="none" w:sz="0" w:space="0" w:color="auto"/>
                <w:right w:val="none" w:sz="0" w:space="0" w:color="auto"/>
              </w:divBdr>
            </w:div>
            <w:div w:id="395789281">
              <w:marLeft w:val="0"/>
              <w:marRight w:val="0"/>
              <w:marTop w:val="0"/>
              <w:marBottom w:val="0"/>
              <w:divBdr>
                <w:top w:val="none" w:sz="0" w:space="0" w:color="auto"/>
                <w:left w:val="none" w:sz="0" w:space="0" w:color="auto"/>
                <w:bottom w:val="none" w:sz="0" w:space="0" w:color="auto"/>
                <w:right w:val="none" w:sz="0" w:space="0" w:color="auto"/>
              </w:divBdr>
            </w:div>
            <w:div w:id="799956132">
              <w:marLeft w:val="0"/>
              <w:marRight w:val="0"/>
              <w:marTop w:val="0"/>
              <w:marBottom w:val="0"/>
              <w:divBdr>
                <w:top w:val="none" w:sz="0" w:space="0" w:color="auto"/>
                <w:left w:val="none" w:sz="0" w:space="0" w:color="auto"/>
                <w:bottom w:val="none" w:sz="0" w:space="0" w:color="auto"/>
                <w:right w:val="none" w:sz="0" w:space="0" w:color="auto"/>
              </w:divBdr>
            </w:div>
          </w:divsChild>
        </w:div>
        <w:div w:id="1651404678">
          <w:marLeft w:val="0"/>
          <w:marRight w:val="0"/>
          <w:marTop w:val="0"/>
          <w:marBottom w:val="0"/>
          <w:divBdr>
            <w:top w:val="none" w:sz="0" w:space="0" w:color="auto"/>
            <w:left w:val="none" w:sz="0" w:space="0" w:color="auto"/>
            <w:bottom w:val="none" w:sz="0" w:space="0" w:color="auto"/>
            <w:right w:val="none" w:sz="0" w:space="0" w:color="auto"/>
          </w:divBdr>
          <w:divsChild>
            <w:div w:id="332489123">
              <w:marLeft w:val="0"/>
              <w:marRight w:val="0"/>
              <w:marTop w:val="0"/>
              <w:marBottom w:val="0"/>
              <w:divBdr>
                <w:top w:val="none" w:sz="0" w:space="0" w:color="auto"/>
                <w:left w:val="none" w:sz="0" w:space="0" w:color="auto"/>
                <w:bottom w:val="none" w:sz="0" w:space="0" w:color="auto"/>
                <w:right w:val="none" w:sz="0" w:space="0" w:color="auto"/>
              </w:divBdr>
            </w:div>
            <w:div w:id="1256792903">
              <w:marLeft w:val="0"/>
              <w:marRight w:val="0"/>
              <w:marTop w:val="0"/>
              <w:marBottom w:val="0"/>
              <w:divBdr>
                <w:top w:val="none" w:sz="0" w:space="0" w:color="auto"/>
                <w:left w:val="none" w:sz="0" w:space="0" w:color="auto"/>
                <w:bottom w:val="none" w:sz="0" w:space="0" w:color="auto"/>
                <w:right w:val="none" w:sz="0" w:space="0" w:color="auto"/>
              </w:divBdr>
            </w:div>
            <w:div w:id="140410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55895">
      <w:bodyDiv w:val="1"/>
      <w:marLeft w:val="0"/>
      <w:marRight w:val="0"/>
      <w:marTop w:val="0"/>
      <w:marBottom w:val="0"/>
      <w:divBdr>
        <w:top w:val="none" w:sz="0" w:space="0" w:color="auto"/>
        <w:left w:val="none" w:sz="0" w:space="0" w:color="auto"/>
        <w:bottom w:val="none" w:sz="0" w:space="0" w:color="auto"/>
        <w:right w:val="none" w:sz="0" w:space="0" w:color="auto"/>
      </w:divBdr>
      <w:divsChild>
        <w:div w:id="1251738588">
          <w:marLeft w:val="1166"/>
          <w:marRight w:val="0"/>
          <w:marTop w:val="0"/>
          <w:marBottom w:val="0"/>
          <w:divBdr>
            <w:top w:val="none" w:sz="0" w:space="0" w:color="auto"/>
            <w:left w:val="none" w:sz="0" w:space="0" w:color="auto"/>
            <w:bottom w:val="none" w:sz="0" w:space="0" w:color="auto"/>
            <w:right w:val="none" w:sz="0" w:space="0" w:color="auto"/>
          </w:divBdr>
        </w:div>
        <w:div w:id="1824076497">
          <w:marLeft w:val="547"/>
          <w:marRight w:val="0"/>
          <w:marTop w:val="0"/>
          <w:marBottom w:val="0"/>
          <w:divBdr>
            <w:top w:val="none" w:sz="0" w:space="0" w:color="auto"/>
            <w:left w:val="none" w:sz="0" w:space="0" w:color="auto"/>
            <w:bottom w:val="none" w:sz="0" w:space="0" w:color="auto"/>
            <w:right w:val="none" w:sz="0" w:space="0" w:color="auto"/>
          </w:divBdr>
        </w:div>
        <w:div w:id="1876577646">
          <w:marLeft w:val="547"/>
          <w:marRight w:val="0"/>
          <w:marTop w:val="0"/>
          <w:marBottom w:val="160"/>
          <w:divBdr>
            <w:top w:val="none" w:sz="0" w:space="0" w:color="auto"/>
            <w:left w:val="none" w:sz="0" w:space="0" w:color="auto"/>
            <w:bottom w:val="none" w:sz="0" w:space="0" w:color="auto"/>
            <w:right w:val="none" w:sz="0" w:space="0" w:color="auto"/>
          </w:divBdr>
        </w:div>
        <w:div w:id="1989161717">
          <w:marLeft w:val="1166"/>
          <w:marRight w:val="0"/>
          <w:marTop w:val="0"/>
          <w:marBottom w:val="0"/>
          <w:divBdr>
            <w:top w:val="none" w:sz="0" w:space="0" w:color="auto"/>
            <w:left w:val="none" w:sz="0" w:space="0" w:color="auto"/>
            <w:bottom w:val="none" w:sz="0" w:space="0" w:color="auto"/>
            <w:right w:val="none" w:sz="0" w:space="0" w:color="auto"/>
          </w:divBdr>
        </w:div>
      </w:divsChild>
    </w:div>
    <w:div w:id="349070940">
      <w:bodyDiv w:val="1"/>
      <w:marLeft w:val="0"/>
      <w:marRight w:val="0"/>
      <w:marTop w:val="0"/>
      <w:marBottom w:val="0"/>
      <w:divBdr>
        <w:top w:val="none" w:sz="0" w:space="0" w:color="auto"/>
        <w:left w:val="none" w:sz="0" w:space="0" w:color="auto"/>
        <w:bottom w:val="none" w:sz="0" w:space="0" w:color="auto"/>
        <w:right w:val="none" w:sz="0" w:space="0" w:color="auto"/>
      </w:divBdr>
    </w:div>
    <w:div w:id="373818205">
      <w:bodyDiv w:val="1"/>
      <w:marLeft w:val="0"/>
      <w:marRight w:val="0"/>
      <w:marTop w:val="0"/>
      <w:marBottom w:val="0"/>
      <w:divBdr>
        <w:top w:val="none" w:sz="0" w:space="0" w:color="auto"/>
        <w:left w:val="none" w:sz="0" w:space="0" w:color="auto"/>
        <w:bottom w:val="none" w:sz="0" w:space="0" w:color="auto"/>
        <w:right w:val="none" w:sz="0" w:space="0" w:color="auto"/>
      </w:divBdr>
    </w:div>
    <w:div w:id="378558128">
      <w:bodyDiv w:val="1"/>
      <w:marLeft w:val="0"/>
      <w:marRight w:val="0"/>
      <w:marTop w:val="0"/>
      <w:marBottom w:val="0"/>
      <w:divBdr>
        <w:top w:val="none" w:sz="0" w:space="0" w:color="auto"/>
        <w:left w:val="none" w:sz="0" w:space="0" w:color="auto"/>
        <w:bottom w:val="none" w:sz="0" w:space="0" w:color="auto"/>
        <w:right w:val="none" w:sz="0" w:space="0" w:color="auto"/>
      </w:divBdr>
    </w:div>
    <w:div w:id="465202818">
      <w:bodyDiv w:val="1"/>
      <w:marLeft w:val="0"/>
      <w:marRight w:val="0"/>
      <w:marTop w:val="0"/>
      <w:marBottom w:val="0"/>
      <w:divBdr>
        <w:top w:val="none" w:sz="0" w:space="0" w:color="auto"/>
        <w:left w:val="none" w:sz="0" w:space="0" w:color="auto"/>
        <w:bottom w:val="none" w:sz="0" w:space="0" w:color="auto"/>
        <w:right w:val="none" w:sz="0" w:space="0" w:color="auto"/>
      </w:divBdr>
      <w:divsChild>
        <w:div w:id="737896309">
          <w:marLeft w:val="0"/>
          <w:marRight w:val="0"/>
          <w:marTop w:val="0"/>
          <w:marBottom w:val="0"/>
          <w:divBdr>
            <w:top w:val="none" w:sz="0" w:space="0" w:color="auto"/>
            <w:left w:val="none" w:sz="0" w:space="0" w:color="auto"/>
            <w:bottom w:val="none" w:sz="0" w:space="0" w:color="auto"/>
            <w:right w:val="none" w:sz="0" w:space="0" w:color="auto"/>
          </w:divBdr>
        </w:div>
        <w:div w:id="840900336">
          <w:marLeft w:val="0"/>
          <w:marRight w:val="0"/>
          <w:marTop w:val="0"/>
          <w:marBottom w:val="0"/>
          <w:divBdr>
            <w:top w:val="none" w:sz="0" w:space="0" w:color="auto"/>
            <w:left w:val="none" w:sz="0" w:space="0" w:color="auto"/>
            <w:bottom w:val="none" w:sz="0" w:space="0" w:color="auto"/>
            <w:right w:val="none" w:sz="0" w:space="0" w:color="auto"/>
          </w:divBdr>
          <w:divsChild>
            <w:div w:id="514341257">
              <w:marLeft w:val="0"/>
              <w:marRight w:val="0"/>
              <w:marTop w:val="0"/>
              <w:marBottom w:val="0"/>
              <w:divBdr>
                <w:top w:val="none" w:sz="0" w:space="0" w:color="auto"/>
                <w:left w:val="none" w:sz="0" w:space="0" w:color="auto"/>
                <w:bottom w:val="none" w:sz="0" w:space="0" w:color="auto"/>
                <w:right w:val="none" w:sz="0" w:space="0" w:color="auto"/>
              </w:divBdr>
            </w:div>
            <w:div w:id="558174704">
              <w:marLeft w:val="0"/>
              <w:marRight w:val="0"/>
              <w:marTop w:val="0"/>
              <w:marBottom w:val="0"/>
              <w:divBdr>
                <w:top w:val="none" w:sz="0" w:space="0" w:color="auto"/>
                <w:left w:val="none" w:sz="0" w:space="0" w:color="auto"/>
                <w:bottom w:val="none" w:sz="0" w:space="0" w:color="auto"/>
                <w:right w:val="none" w:sz="0" w:space="0" w:color="auto"/>
              </w:divBdr>
            </w:div>
            <w:div w:id="576600301">
              <w:marLeft w:val="0"/>
              <w:marRight w:val="0"/>
              <w:marTop w:val="0"/>
              <w:marBottom w:val="0"/>
              <w:divBdr>
                <w:top w:val="none" w:sz="0" w:space="0" w:color="auto"/>
                <w:left w:val="none" w:sz="0" w:space="0" w:color="auto"/>
                <w:bottom w:val="none" w:sz="0" w:space="0" w:color="auto"/>
                <w:right w:val="none" w:sz="0" w:space="0" w:color="auto"/>
              </w:divBdr>
            </w:div>
            <w:div w:id="619577724">
              <w:marLeft w:val="0"/>
              <w:marRight w:val="0"/>
              <w:marTop w:val="0"/>
              <w:marBottom w:val="0"/>
              <w:divBdr>
                <w:top w:val="none" w:sz="0" w:space="0" w:color="auto"/>
                <w:left w:val="none" w:sz="0" w:space="0" w:color="auto"/>
                <w:bottom w:val="none" w:sz="0" w:space="0" w:color="auto"/>
                <w:right w:val="none" w:sz="0" w:space="0" w:color="auto"/>
              </w:divBdr>
            </w:div>
            <w:div w:id="738601845">
              <w:marLeft w:val="0"/>
              <w:marRight w:val="0"/>
              <w:marTop w:val="0"/>
              <w:marBottom w:val="0"/>
              <w:divBdr>
                <w:top w:val="none" w:sz="0" w:space="0" w:color="auto"/>
                <w:left w:val="none" w:sz="0" w:space="0" w:color="auto"/>
                <w:bottom w:val="none" w:sz="0" w:space="0" w:color="auto"/>
                <w:right w:val="none" w:sz="0" w:space="0" w:color="auto"/>
              </w:divBdr>
            </w:div>
            <w:div w:id="765540516">
              <w:marLeft w:val="0"/>
              <w:marRight w:val="0"/>
              <w:marTop w:val="0"/>
              <w:marBottom w:val="0"/>
              <w:divBdr>
                <w:top w:val="none" w:sz="0" w:space="0" w:color="auto"/>
                <w:left w:val="none" w:sz="0" w:space="0" w:color="auto"/>
                <w:bottom w:val="none" w:sz="0" w:space="0" w:color="auto"/>
                <w:right w:val="none" w:sz="0" w:space="0" w:color="auto"/>
              </w:divBdr>
            </w:div>
            <w:div w:id="845708740">
              <w:marLeft w:val="0"/>
              <w:marRight w:val="0"/>
              <w:marTop w:val="0"/>
              <w:marBottom w:val="0"/>
              <w:divBdr>
                <w:top w:val="none" w:sz="0" w:space="0" w:color="auto"/>
                <w:left w:val="none" w:sz="0" w:space="0" w:color="auto"/>
                <w:bottom w:val="none" w:sz="0" w:space="0" w:color="auto"/>
                <w:right w:val="none" w:sz="0" w:space="0" w:color="auto"/>
              </w:divBdr>
            </w:div>
            <w:div w:id="874270597">
              <w:marLeft w:val="0"/>
              <w:marRight w:val="0"/>
              <w:marTop w:val="0"/>
              <w:marBottom w:val="0"/>
              <w:divBdr>
                <w:top w:val="none" w:sz="0" w:space="0" w:color="auto"/>
                <w:left w:val="none" w:sz="0" w:space="0" w:color="auto"/>
                <w:bottom w:val="none" w:sz="0" w:space="0" w:color="auto"/>
                <w:right w:val="none" w:sz="0" w:space="0" w:color="auto"/>
              </w:divBdr>
            </w:div>
            <w:div w:id="1079208862">
              <w:marLeft w:val="0"/>
              <w:marRight w:val="0"/>
              <w:marTop w:val="0"/>
              <w:marBottom w:val="0"/>
              <w:divBdr>
                <w:top w:val="none" w:sz="0" w:space="0" w:color="auto"/>
                <w:left w:val="none" w:sz="0" w:space="0" w:color="auto"/>
                <w:bottom w:val="none" w:sz="0" w:space="0" w:color="auto"/>
                <w:right w:val="none" w:sz="0" w:space="0" w:color="auto"/>
              </w:divBdr>
            </w:div>
            <w:div w:id="1337145992">
              <w:marLeft w:val="0"/>
              <w:marRight w:val="0"/>
              <w:marTop w:val="0"/>
              <w:marBottom w:val="0"/>
              <w:divBdr>
                <w:top w:val="none" w:sz="0" w:space="0" w:color="auto"/>
                <w:left w:val="none" w:sz="0" w:space="0" w:color="auto"/>
                <w:bottom w:val="none" w:sz="0" w:space="0" w:color="auto"/>
                <w:right w:val="none" w:sz="0" w:space="0" w:color="auto"/>
              </w:divBdr>
            </w:div>
            <w:div w:id="1357930676">
              <w:marLeft w:val="0"/>
              <w:marRight w:val="0"/>
              <w:marTop w:val="0"/>
              <w:marBottom w:val="0"/>
              <w:divBdr>
                <w:top w:val="none" w:sz="0" w:space="0" w:color="auto"/>
                <w:left w:val="none" w:sz="0" w:space="0" w:color="auto"/>
                <w:bottom w:val="none" w:sz="0" w:space="0" w:color="auto"/>
                <w:right w:val="none" w:sz="0" w:space="0" w:color="auto"/>
              </w:divBdr>
            </w:div>
            <w:div w:id="1456560254">
              <w:marLeft w:val="0"/>
              <w:marRight w:val="0"/>
              <w:marTop w:val="0"/>
              <w:marBottom w:val="0"/>
              <w:divBdr>
                <w:top w:val="none" w:sz="0" w:space="0" w:color="auto"/>
                <w:left w:val="none" w:sz="0" w:space="0" w:color="auto"/>
                <w:bottom w:val="none" w:sz="0" w:space="0" w:color="auto"/>
                <w:right w:val="none" w:sz="0" w:space="0" w:color="auto"/>
              </w:divBdr>
            </w:div>
            <w:div w:id="1486235849">
              <w:marLeft w:val="0"/>
              <w:marRight w:val="0"/>
              <w:marTop w:val="0"/>
              <w:marBottom w:val="0"/>
              <w:divBdr>
                <w:top w:val="none" w:sz="0" w:space="0" w:color="auto"/>
                <w:left w:val="none" w:sz="0" w:space="0" w:color="auto"/>
                <w:bottom w:val="none" w:sz="0" w:space="0" w:color="auto"/>
                <w:right w:val="none" w:sz="0" w:space="0" w:color="auto"/>
              </w:divBdr>
            </w:div>
            <w:div w:id="1935285590">
              <w:marLeft w:val="0"/>
              <w:marRight w:val="0"/>
              <w:marTop w:val="0"/>
              <w:marBottom w:val="0"/>
              <w:divBdr>
                <w:top w:val="none" w:sz="0" w:space="0" w:color="auto"/>
                <w:left w:val="none" w:sz="0" w:space="0" w:color="auto"/>
                <w:bottom w:val="none" w:sz="0" w:space="0" w:color="auto"/>
                <w:right w:val="none" w:sz="0" w:space="0" w:color="auto"/>
              </w:divBdr>
            </w:div>
            <w:div w:id="1955092673">
              <w:marLeft w:val="0"/>
              <w:marRight w:val="0"/>
              <w:marTop w:val="0"/>
              <w:marBottom w:val="0"/>
              <w:divBdr>
                <w:top w:val="none" w:sz="0" w:space="0" w:color="auto"/>
                <w:left w:val="none" w:sz="0" w:space="0" w:color="auto"/>
                <w:bottom w:val="none" w:sz="0" w:space="0" w:color="auto"/>
                <w:right w:val="none" w:sz="0" w:space="0" w:color="auto"/>
              </w:divBdr>
            </w:div>
            <w:div w:id="1963145250">
              <w:marLeft w:val="0"/>
              <w:marRight w:val="0"/>
              <w:marTop w:val="0"/>
              <w:marBottom w:val="0"/>
              <w:divBdr>
                <w:top w:val="none" w:sz="0" w:space="0" w:color="auto"/>
                <w:left w:val="none" w:sz="0" w:space="0" w:color="auto"/>
                <w:bottom w:val="none" w:sz="0" w:space="0" w:color="auto"/>
                <w:right w:val="none" w:sz="0" w:space="0" w:color="auto"/>
              </w:divBdr>
            </w:div>
            <w:div w:id="1972325008">
              <w:marLeft w:val="0"/>
              <w:marRight w:val="0"/>
              <w:marTop w:val="0"/>
              <w:marBottom w:val="0"/>
              <w:divBdr>
                <w:top w:val="none" w:sz="0" w:space="0" w:color="auto"/>
                <w:left w:val="none" w:sz="0" w:space="0" w:color="auto"/>
                <w:bottom w:val="none" w:sz="0" w:space="0" w:color="auto"/>
                <w:right w:val="none" w:sz="0" w:space="0" w:color="auto"/>
              </w:divBdr>
            </w:div>
            <w:div w:id="1988313808">
              <w:marLeft w:val="0"/>
              <w:marRight w:val="0"/>
              <w:marTop w:val="0"/>
              <w:marBottom w:val="0"/>
              <w:divBdr>
                <w:top w:val="none" w:sz="0" w:space="0" w:color="auto"/>
                <w:left w:val="none" w:sz="0" w:space="0" w:color="auto"/>
                <w:bottom w:val="none" w:sz="0" w:space="0" w:color="auto"/>
                <w:right w:val="none" w:sz="0" w:space="0" w:color="auto"/>
              </w:divBdr>
            </w:div>
            <w:div w:id="2086566646">
              <w:marLeft w:val="0"/>
              <w:marRight w:val="0"/>
              <w:marTop w:val="0"/>
              <w:marBottom w:val="0"/>
              <w:divBdr>
                <w:top w:val="none" w:sz="0" w:space="0" w:color="auto"/>
                <w:left w:val="none" w:sz="0" w:space="0" w:color="auto"/>
                <w:bottom w:val="none" w:sz="0" w:space="0" w:color="auto"/>
                <w:right w:val="none" w:sz="0" w:space="0" w:color="auto"/>
              </w:divBdr>
            </w:div>
            <w:div w:id="2092968023">
              <w:marLeft w:val="0"/>
              <w:marRight w:val="0"/>
              <w:marTop w:val="0"/>
              <w:marBottom w:val="0"/>
              <w:divBdr>
                <w:top w:val="none" w:sz="0" w:space="0" w:color="auto"/>
                <w:left w:val="none" w:sz="0" w:space="0" w:color="auto"/>
                <w:bottom w:val="none" w:sz="0" w:space="0" w:color="auto"/>
                <w:right w:val="none" w:sz="0" w:space="0" w:color="auto"/>
              </w:divBdr>
            </w:div>
          </w:divsChild>
        </w:div>
        <w:div w:id="1019891483">
          <w:marLeft w:val="0"/>
          <w:marRight w:val="0"/>
          <w:marTop w:val="0"/>
          <w:marBottom w:val="0"/>
          <w:divBdr>
            <w:top w:val="none" w:sz="0" w:space="0" w:color="auto"/>
            <w:left w:val="none" w:sz="0" w:space="0" w:color="auto"/>
            <w:bottom w:val="none" w:sz="0" w:space="0" w:color="auto"/>
            <w:right w:val="none" w:sz="0" w:space="0" w:color="auto"/>
          </w:divBdr>
        </w:div>
        <w:div w:id="1492453478">
          <w:marLeft w:val="0"/>
          <w:marRight w:val="0"/>
          <w:marTop w:val="0"/>
          <w:marBottom w:val="0"/>
          <w:divBdr>
            <w:top w:val="none" w:sz="0" w:space="0" w:color="auto"/>
            <w:left w:val="none" w:sz="0" w:space="0" w:color="auto"/>
            <w:bottom w:val="none" w:sz="0" w:space="0" w:color="auto"/>
            <w:right w:val="none" w:sz="0" w:space="0" w:color="auto"/>
          </w:divBdr>
          <w:divsChild>
            <w:div w:id="671219778">
              <w:marLeft w:val="0"/>
              <w:marRight w:val="0"/>
              <w:marTop w:val="0"/>
              <w:marBottom w:val="0"/>
              <w:divBdr>
                <w:top w:val="none" w:sz="0" w:space="0" w:color="auto"/>
                <w:left w:val="none" w:sz="0" w:space="0" w:color="auto"/>
                <w:bottom w:val="none" w:sz="0" w:space="0" w:color="auto"/>
                <w:right w:val="none" w:sz="0" w:space="0" w:color="auto"/>
              </w:divBdr>
            </w:div>
            <w:div w:id="704216589">
              <w:marLeft w:val="0"/>
              <w:marRight w:val="0"/>
              <w:marTop w:val="0"/>
              <w:marBottom w:val="0"/>
              <w:divBdr>
                <w:top w:val="none" w:sz="0" w:space="0" w:color="auto"/>
                <w:left w:val="none" w:sz="0" w:space="0" w:color="auto"/>
                <w:bottom w:val="none" w:sz="0" w:space="0" w:color="auto"/>
                <w:right w:val="none" w:sz="0" w:space="0" w:color="auto"/>
              </w:divBdr>
            </w:div>
            <w:div w:id="2017339791">
              <w:marLeft w:val="0"/>
              <w:marRight w:val="0"/>
              <w:marTop w:val="0"/>
              <w:marBottom w:val="0"/>
              <w:divBdr>
                <w:top w:val="none" w:sz="0" w:space="0" w:color="auto"/>
                <w:left w:val="none" w:sz="0" w:space="0" w:color="auto"/>
                <w:bottom w:val="none" w:sz="0" w:space="0" w:color="auto"/>
                <w:right w:val="none" w:sz="0" w:space="0" w:color="auto"/>
              </w:divBdr>
            </w:div>
          </w:divsChild>
        </w:div>
        <w:div w:id="1500198590">
          <w:marLeft w:val="0"/>
          <w:marRight w:val="0"/>
          <w:marTop w:val="0"/>
          <w:marBottom w:val="0"/>
          <w:divBdr>
            <w:top w:val="none" w:sz="0" w:space="0" w:color="auto"/>
            <w:left w:val="none" w:sz="0" w:space="0" w:color="auto"/>
            <w:bottom w:val="none" w:sz="0" w:space="0" w:color="auto"/>
            <w:right w:val="none" w:sz="0" w:space="0" w:color="auto"/>
          </w:divBdr>
          <w:divsChild>
            <w:div w:id="1079596971">
              <w:marLeft w:val="0"/>
              <w:marRight w:val="0"/>
              <w:marTop w:val="0"/>
              <w:marBottom w:val="0"/>
              <w:divBdr>
                <w:top w:val="none" w:sz="0" w:space="0" w:color="auto"/>
                <w:left w:val="none" w:sz="0" w:space="0" w:color="auto"/>
                <w:bottom w:val="none" w:sz="0" w:space="0" w:color="auto"/>
                <w:right w:val="none" w:sz="0" w:space="0" w:color="auto"/>
              </w:divBdr>
            </w:div>
          </w:divsChild>
        </w:div>
        <w:div w:id="1547375216">
          <w:marLeft w:val="0"/>
          <w:marRight w:val="0"/>
          <w:marTop w:val="0"/>
          <w:marBottom w:val="0"/>
          <w:divBdr>
            <w:top w:val="none" w:sz="0" w:space="0" w:color="auto"/>
            <w:left w:val="none" w:sz="0" w:space="0" w:color="auto"/>
            <w:bottom w:val="none" w:sz="0" w:space="0" w:color="auto"/>
            <w:right w:val="none" w:sz="0" w:space="0" w:color="auto"/>
          </w:divBdr>
          <w:divsChild>
            <w:div w:id="297079135">
              <w:marLeft w:val="0"/>
              <w:marRight w:val="0"/>
              <w:marTop w:val="0"/>
              <w:marBottom w:val="0"/>
              <w:divBdr>
                <w:top w:val="none" w:sz="0" w:space="0" w:color="auto"/>
                <w:left w:val="none" w:sz="0" w:space="0" w:color="auto"/>
                <w:bottom w:val="none" w:sz="0" w:space="0" w:color="auto"/>
                <w:right w:val="none" w:sz="0" w:space="0" w:color="auto"/>
              </w:divBdr>
            </w:div>
            <w:div w:id="402024663">
              <w:marLeft w:val="0"/>
              <w:marRight w:val="0"/>
              <w:marTop w:val="0"/>
              <w:marBottom w:val="0"/>
              <w:divBdr>
                <w:top w:val="none" w:sz="0" w:space="0" w:color="auto"/>
                <w:left w:val="none" w:sz="0" w:space="0" w:color="auto"/>
                <w:bottom w:val="none" w:sz="0" w:space="0" w:color="auto"/>
                <w:right w:val="none" w:sz="0" w:space="0" w:color="auto"/>
              </w:divBdr>
            </w:div>
            <w:div w:id="951664980">
              <w:marLeft w:val="0"/>
              <w:marRight w:val="0"/>
              <w:marTop w:val="0"/>
              <w:marBottom w:val="0"/>
              <w:divBdr>
                <w:top w:val="none" w:sz="0" w:space="0" w:color="auto"/>
                <w:left w:val="none" w:sz="0" w:space="0" w:color="auto"/>
                <w:bottom w:val="none" w:sz="0" w:space="0" w:color="auto"/>
                <w:right w:val="none" w:sz="0" w:space="0" w:color="auto"/>
              </w:divBdr>
            </w:div>
            <w:div w:id="1742680768">
              <w:marLeft w:val="0"/>
              <w:marRight w:val="0"/>
              <w:marTop w:val="0"/>
              <w:marBottom w:val="0"/>
              <w:divBdr>
                <w:top w:val="none" w:sz="0" w:space="0" w:color="auto"/>
                <w:left w:val="none" w:sz="0" w:space="0" w:color="auto"/>
                <w:bottom w:val="none" w:sz="0" w:space="0" w:color="auto"/>
                <w:right w:val="none" w:sz="0" w:space="0" w:color="auto"/>
              </w:divBdr>
            </w:div>
          </w:divsChild>
        </w:div>
        <w:div w:id="1706980554">
          <w:marLeft w:val="0"/>
          <w:marRight w:val="0"/>
          <w:marTop w:val="0"/>
          <w:marBottom w:val="0"/>
          <w:divBdr>
            <w:top w:val="none" w:sz="0" w:space="0" w:color="auto"/>
            <w:left w:val="none" w:sz="0" w:space="0" w:color="auto"/>
            <w:bottom w:val="none" w:sz="0" w:space="0" w:color="auto"/>
            <w:right w:val="none" w:sz="0" w:space="0" w:color="auto"/>
          </w:divBdr>
          <w:divsChild>
            <w:div w:id="1247686999">
              <w:marLeft w:val="-75"/>
              <w:marRight w:val="0"/>
              <w:marTop w:val="30"/>
              <w:marBottom w:val="30"/>
              <w:divBdr>
                <w:top w:val="none" w:sz="0" w:space="0" w:color="auto"/>
                <w:left w:val="none" w:sz="0" w:space="0" w:color="auto"/>
                <w:bottom w:val="none" w:sz="0" w:space="0" w:color="auto"/>
                <w:right w:val="none" w:sz="0" w:space="0" w:color="auto"/>
              </w:divBdr>
              <w:divsChild>
                <w:div w:id="168298312">
                  <w:marLeft w:val="0"/>
                  <w:marRight w:val="0"/>
                  <w:marTop w:val="0"/>
                  <w:marBottom w:val="0"/>
                  <w:divBdr>
                    <w:top w:val="none" w:sz="0" w:space="0" w:color="auto"/>
                    <w:left w:val="none" w:sz="0" w:space="0" w:color="auto"/>
                    <w:bottom w:val="none" w:sz="0" w:space="0" w:color="auto"/>
                    <w:right w:val="none" w:sz="0" w:space="0" w:color="auto"/>
                  </w:divBdr>
                  <w:divsChild>
                    <w:div w:id="697699065">
                      <w:marLeft w:val="0"/>
                      <w:marRight w:val="0"/>
                      <w:marTop w:val="0"/>
                      <w:marBottom w:val="0"/>
                      <w:divBdr>
                        <w:top w:val="none" w:sz="0" w:space="0" w:color="auto"/>
                        <w:left w:val="none" w:sz="0" w:space="0" w:color="auto"/>
                        <w:bottom w:val="none" w:sz="0" w:space="0" w:color="auto"/>
                        <w:right w:val="none" w:sz="0" w:space="0" w:color="auto"/>
                      </w:divBdr>
                    </w:div>
                  </w:divsChild>
                </w:div>
                <w:div w:id="525875112">
                  <w:marLeft w:val="0"/>
                  <w:marRight w:val="0"/>
                  <w:marTop w:val="0"/>
                  <w:marBottom w:val="0"/>
                  <w:divBdr>
                    <w:top w:val="none" w:sz="0" w:space="0" w:color="auto"/>
                    <w:left w:val="none" w:sz="0" w:space="0" w:color="auto"/>
                    <w:bottom w:val="none" w:sz="0" w:space="0" w:color="auto"/>
                    <w:right w:val="none" w:sz="0" w:space="0" w:color="auto"/>
                  </w:divBdr>
                  <w:divsChild>
                    <w:div w:id="2028484773">
                      <w:marLeft w:val="0"/>
                      <w:marRight w:val="0"/>
                      <w:marTop w:val="0"/>
                      <w:marBottom w:val="0"/>
                      <w:divBdr>
                        <w:top w:val="none" w:sz="0" w:space="0" w:color="auto"/>
                        <w:left w:val="none" w:sz="0" w:space="0" w:color="auto"/>
                        <w:bottom w:val="none" w:sz="0" w:space="0" w:color="auto"/>
                        <w:right w:val="none" w:sz="0" w:space="0" w:color="auto"/>
                      </w:divBdr>
                    </w:div>
                  </w:divsChild>
                </w:div>
                <w:div w:id="547883759">
                  <w:marLeft w:val="0"/>
                  <w:marRight w:val="0"/>
                  <w:marTop w:val="0"/>
                  <w:marBottom w:val="0"/>
                  <w:divBdr>
                    <w:top w:val="none" w:sz="0" w:space="0" w:color="auto"/>
                    <w:left w:val="none" w:sz="0" w:space="0" w:color="auto"/>
                    <w:bottom w:val="none" w:sz="0" w:space="0" w:color="auto"/>
                    <w:right w:val="none" w:sz="0" w:space="0" w:color="auto"/>
                  </w:divBdr>
                  <w:divsChild>
                    <w:div w:id="948782062">
                      <w:marLeft w:val="0"/>
                      <w:marRight w:val="0"/>
                      <w:marTop w:val="0"/>
                      <w:marBottom w:val="0"/>
                      <w:divBdr>
                        <w:top w:val="none" w:sz="0" w:space="0" w:color="auto"/>
                        <w:left w:val="none" w:sz="0" w:space="0" w:color="auto"/>
                        <w:bottom w:val="none" w:sz="0" w:space="0" w:color="auto"/>
                        <w:right w:val="none" w:sz="0" w:space="0" w:color="auto"/>
                      </w:divBdr>
                    </w:div>
                    <w:div w:id="1367218156">
                      <w:marLeft w:val="0"/>
                      <w:marRight w:val="0"/>
                      <w:marTop w:val="0"/>
                      <w:marBottom w:val="0"/>
                      <w:divBdr>
                        <w:top w:val="none" w:sz="0" w:space="0" w:color="auto"/>
                        <w:left w:val="none" w:sz="0" w:space="0" w:color="auto"/>
                        <w:bottom w:val="none" w:sz="0" w:space="0" w:color="auto"/>
                        <w:right w:val="none" w:sz="0" w:space="0" w:color="auto"/>
                      </w:divBdr>
                    </w:div>
                  </w:divsChild>
                </w:div>
                <w:div w:id="611009428">
                  <w:marLeft w:val="0"/>
                  <w:marRight w:val="0"/>
                  <w:marTop w:val="0"/>
                  <w:marBottom w:val="0"/>
                  <w:divBdr>
                    <w:top w:val="none" w:sz="0" w:space="0" w:color="auto"/>
                    <w:left w:val="none" w:sz="0" w:space="0" w:color="auto"/>
                    <w:bottom w:val="none" w:sz="0" w:space="0" w:color="auto"/>
                    <w:right w:val="none" w:sz="0" w:space="0" w:color="auto"/>
                  </w:divBdr>
                  <w:divsChild>
                    <w:div w:id="2111393418">
                      <w:marLeft w:val="0"/>
                      <w:marRight w:val="0"/>
                      <w:marTop w:val="0"/>
                      <w:marBottom w:val="0"/>
                      <w:divBdr>
                        <w:top w:val="none" w:sz="0" w:space="0" w:color="auto"/>
                        <w:left w:val="none" w:sz="0" w:space="0" w:color="auto"/>
                        <w:bottom w:val="none" w:sz="0" w:space="0" w:color="auto"/>
                        <w:right w:val="none" w:sz="0" w:space="0" w:color="auto"/>
                      </w:divBdr>
                    </w:div>
                  </w:divsChild>
                </w:div>
                <w:div w:id="793062622">
                  <w:marLeft w:val="0"/>
                  <w:marRight w:val="0"/>
                  <w:marTop w:val="0"/>
                  <w:marBottom w:val="0"/>
                  <w:divBdr>
                    <w:top w:val="none" w:sz="0" w:space="0" w:color="auto"/>
                    <w:left w:val="none" w:sz="0" w:space="0" w:color="auto"/>
                    <w:bottom w:val="none" w:sz="0" w:space="0" w:color="auto"/>
                    <w:right w:val="none" w:sz="0" w:space="0" w:color="auto"/>
                  </w:divBdr>
                  <w:divsChild>
                    <w:div w:id="1361707550">
                      <w:marLeft w:val="0"/>
                      <w:marRight w:val="0"/>
                      <w:marTop w:val="0"/>
                      <w:marBottom w:val="0"/>
                      <w:divBdr>
                        <w:top w:val="none" w:sz="0" w:space="0" w:color="auto"/>
                        <w:left w:val="none" w:sz="0" w:space="0" w:color="auto"/>
                        <w:bottom w:val="none" w:sz="0" w:space="0" w:color="auto"/>
                        <w:right w:val="none" w:sz="0" w:space="0" w:color="auto"/>
                      </w:divBdr>
                    </w:div>
                  </w:divsChild>
                </w:div>
                <w:div w:id="893201971">
                  <w:marLeft w:val="0"/>
                  <w:marRight w:val="0"/>
                  <w:marTop w:val="0"/>
                  <w:marBottom w:val="0"/>
                  <w:divBdr>
                    <w:top w:val="none" w:sz="0" w:space="0" w:color="auto"/>
                    <w:left w:val="none" w:sz="0" w:space="0" w:color="auto"/>
                    <w:bottom w:val="none" w:sz="0" w:space="0" w:color="auto"/>
                    <w:right w:val="none" w:sz="0" w:space="0" w:color="auto"/>
                  </w:divBdr>
                  <w:divsChild>
                    <w:div w:id="745080277">
                      <w:marLeft w:val="0"/>
                      <w:marRight w:val="0"/>
                      <w:marTop w:val="0"/>
                      <w:marBottom w:val="0"/>
                      <w:divBdr>
                        <w:top w:val="none" w:sz="0" w:space="0" w:color="auto"/>
                        <w:left w:val="none" w:sz="0" w:space="0" w:color="auto"/>
                        <w:bottom w:val="none" w:sz="0" w:space="0" w:color="auto"/>
                        <w:right w:val="none" w:sz="0" w:space="0" w:color="auto"/>
                      </w:divBdr>
                    </w:div>
                  </w:divsChild>
                </w:div>
                <w:div w:id="1272200137">
                  <w:marLeft w:val="0"/>
                  <w:marRight w:val="0"/>
                  <w:marTop w:val="0"/>
                  <w:marBottom w:val="0"/>
                  <w:divBdr>
                    <w:top w:val="none" w:sz="0" w:space="0" w:color="auto"/>
                    <w:left w:val="none" w:sz="0" w:space="0" w:color="auto"/>
                    <w:bottom w:val="none" w:sz="0" w:space="0" w:color="auto"/>
                    <w:right w:val="none" w:sz="0" w:space="0" w:color="auto"/>
                  </w:divBdr>
                  <w:divsChild>
                    <w:div w:id="535122324">
                      <w:marLeft w:val="0"/>
                      <w:marRight w:val="0"/>
                      <w:marTop w:val="0"/>
                      <w:marBottom w:val="0"/>
                      <w:divBdr>
                        <w:top w:val="none" w:sz="0" w:space="0" w:color="auto"/>
                        <w:left w:val="none" w:sz="0" w:space="0" w:color="auto"/>
                        <w:bottom w:val="none" w:sz="0" w:space="0" w:color="auto"/>
                        <w:right w:val="none" w:sz="0" w:space="0" w:color="auto"/>
                      </w:divBdr>
                    </w:div>
                  </w:divsChild>
                </w:div>
                <w:div w:id="1326587599">
                  <w:marLeft w:val="0"/>
                  <w:marRight w:val="0"/>
                  <w:marTop w:val="0"/>
                  <w:marBottom w:val="0"/>
                  <w:divBdr>
                    <w:top w:val="none" w:sz="0" w:space="0" w:color="auto"/>
                    <w:left w:val="none" w:sz="0" w:space="0" w:color="auto"/>
                    <w:bottom w:val="none" w:sz="0" w:space="0" w:color="auto"/>
                    <w:right w:val="none" w:sz="0" w:space="0" w:color="auto"/>
                  </w:divBdr>
                  <w:divsChild>
                    <w:div w:id="2067336749">
                      <w:marLeft w:val="0"/>
                      <w:marRight w:val="0"/>
                      <w:marTop w:val="0"/>
                      <w:marBottom w:val="0"/>
                      <w:divBdr>
                        <w:top w:val="none" w:sz="0" w:space="0" w:color="auto"/>
                        <w:left w:val="none" w:sz="0" w:space="0" w:color="auto"/>
                        <w:bottom w:val="none" w:sz="0" w:space="0" w:color="auto"/>
                        <w:right w:val="none" w:sz="0" w:space="0" w:color="auto"/>
                      </w:divBdr>
                    </w:div>
                  </w:divsChild>
                </w:div>
                <w:div w:id="1431006669">
                  <w:marLeft w:val="0"/>
                  <w:marRight w:val="0"/>
                  <w:marTop w:val="0"/>
                  <w:marBottom w:val="0"/>
                  <w:divBdr>
                    <w:top w:val="none" w:sz="0" w:space="0" w:color="auto"/>
                    <w:left w:val="none" w:sz="0" w:space="0" w:color="auto"/>
                    <w:bottom w:val="none" w:sz="0" w:space="0" w:color="auto"/>
                    <w:right w:val="none" w:sz="0" w:space="0" w:color="auto"/>
                  </w:divBdr>
                  <w:divsChild>
                    <w:div w:id="1148087359">
                      <w:marLeft w:val="0"/>
                      <w:marRight w:val="0"/>
                      <w:marTop w:val="0"/>
                      <w:marBottom w:val="0"/>
                      <w:divBdr>
                        <w:top w:val="none" w:sz="0" w:space="0" w:color="auto"/>
                        <w:left w:val="none" w:sz="0" w:space="0" w:color="auto"/>
                        <w:bottom w:val="none" w:sz="0" w:space="0" w:color="auto"/>
                        <w:right w:val="none" w:sz="0" w:space="0" w:color="auto"/>
                      </w:divBdr>
                    </w:div>
                  </w:divsChild>
                </w:div>
                <w:div w:id="1658067586">
                  <w:marLeft w:val="0"/>
                  <w:marRight w:val="0"/>
                  <w:marTop w:val="0"/>
                  <w:marBottom w:val="0"/>
                  <w:divBdr>
                    <w:top w:val="none" w:sz="0" w:space="0" w:color="auto"/>
                    <w:left w:val="none" w:sz="0" w:space="0" w:color="auto"/>
                    <w:bottom w:val="none" w:sz="0" w:space="0" w:color="auto"/>
                    <w:right w:val="none" w:sz="0" w:space="0" w:color="auto"/>
                  </w:divBdr>
                  <w:divsChild>
                    <w:div w:id="576400373">
                      <w:marLeft w:val="0"/>
                      <w:marRight w:val="0"/>
                      <w:marTop w:val="0"/>
                      <w:marBottom w:val="0"/>
                      <w:divBdr>
                        <w:top w:val="none" w:sz="0" w:space="0" w:color="auto"/>
                        <w:left w:val="none" w:sz="0" w:space="0" w:color="auto"/>
                        <w:bottom w:val="none" w:sz="0" w:space="0" w:color="auto"/>
                        <w:right w:val="none" w:sz="0" w:space="0" w:color="auto"/>
                      </w:divBdr>
                    </w:div>
                    <w:div w:id="1606306302">
                      <w:marLeft w:val="0"/>
                      <w:marRight w:val="0"/>
                      <w:marTop w:val="0"/>
                      <w:marBottom w:val="0"/>
                      <w:divBdr>
                        <w:top w:val="none" w:sz="0" w:space="0" w:color="auto"/>
                        <w:left w:val="none" w:sz="0" w:space="0" w:color="auto"/>
                        <w:bottom w:val="none" w:sz="0" w:space="0" w:color="auto"/>
                        <w:right w:val="none" w:sz="0" w:space="0" w:color="auto"/>
                      </w:divBdr>
                    </w:div>
                  </w:divsChild>
                </w:div>
                <w:div w:id="1898972805">
                  <w:marLeft w:val="0"/>
                  <w:marRight w:val="0"/>
                  <w:marTop w:val="0"/>
                  <w:marBottom w:val="0"/>
                  <w:divBdr>
                    <w:top w:val="none" w:sz="0" w:space="0" w:color="auto"/>
                    <w:left w:val="none" w:sz="0" w:space="0" w:color="auto"/>
                    <w:bottom w:val="none" w:sz="0" w:space="0" w:color="auto"/>
                    <w:right w:val="none" w:sz="0" w:space="0" w:color="auto"/>
                  </w:divBdr>
                  <w:divsChild>
                    <w:div w:id="153496218">
                      <w:marLeft w:val="0"/>
                      <w:marRight w:val="0"/>
                      <w:marTop w:val="0"/>
                      <w:marBottom w:val="0"/>
                      <w:divBdr>
                        <w:top w:val="none" w:sz="0" w:space="0" w:color="auto"/>
                        <w:left w:val="none" w:sz="0" w:space="0" w:color="auto"/>
                        <w:bottom w:val="none" w:sz="0" w:space="0" w:color="auto"/>
                        <w:right w:val="none" w:sz="0" w:space="0" w:color="auto"/>
                      </w:divBdr>
                    </w:div>
                    <w:div w:id="1165513170">
                      <w:marLeft w:val="0"/>
                      <w:marRight w:val="0"/>
                      <w:marTop w:val="0"/>
                      <w:marBottom w:val="0"/>
                      <w:divBdr>
                        <w:top w:val="none" w:sz="0" w:space="0" w:color="auto"/>
                        <w:left w:val="none" w:sz="0" w:space="0" w:color="auto"/>
                        <w:bottom w:val="none" w:sz="0" w:space="0" w:color="auto"/>
                        <w:right w:val="none" w:sz="0" w:space="0" w:color="auto"/>
                      </w:divBdr>
                    </w:div>
                  </w:divsChild>
                </w:div>
                <w:div w:id="2131973815">
                  <w:marLeft w:val="0"/>
                  <w:marRight w:val="0"/>
                  <w:marTop w:val="0"/>
                  <w:marBottom w:val="0"/>
                  <w:divBdr>
                    <w:top w:val="none" w:sz="0" w:space="0" w:color="auto"/>
                    <w:left w:val="none" w:sz="0" w:space="0" w:color="auto"/>
                    <w:bottom w:val="none" w:sz="0" w:space="0" w:color="auto"/>
                    <w:right w:val="none" w:sz="0" w:space="0" w:color="auto"/>
                  </w:divBdr>
                  <w:divsChild>
                    <w:div w:id="13544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376061">
          <w:marLeft w:val="0"/>
          <w:marRight w:val="0"/>
          <w:marTop w:val="0"/>
          <w:marBottom w:val="0"/>
          <w:divBdr>
            <w:top w:val="none" w:sz="0" w:space="0" w:color="auto"/>
            <w:left w:val="none" w:sz="0" w:space="0" w:color="auto"/>
            <w:bottom w:val="none" w:sz="0" w:space="0" w:color="auto"/>
            <w:right w:val="none" w:sz="0" w:space="0" w:color="auto"/>
          </w:divBdr>
          <w:divsChild>
            <w:div w:id="106971765">
              <w:marLeft w:val="0"/>
              <w:marRight w:val="0"/>
              <w:marTop w:val="0"/>
              <w:marBottom w:val="0"/>
              <w:divBdr>
                <w:top w:val="none" w:sz="0" w:space="0" w:color="auto"/>
                <w:left w:val="none" w:sz="0" w:space="0" w:color="auto"/>
                <w:bottom w:val="none" w:sz="0" w:space="0" w:color="auto"/>
                <w:right w:val="none" w:sz="0" w:space="0" w:color="auto"/>
              </w:divBdr>
            </w:div>
            <w:div w:id="315959398">
              <w:marLeft w:val="0"/>
              <w:marRight w:val="0"/>
              <w:marTop w:val="0"/>
              <w:marBottom w:val="0"/>
              <w:divBdr>
                <w:top w:val="none" w:sz="0" w:space="0" w:color="auto"/>
                <w:left w:val="none" w:sz="0" w:space="0" w:color="auto"/>
                <w:bottom w:val="none" w:sz="0" w:space="0" w:color="auto"/>
                <w:right w:val="none" w:sz="0" w:space="0" w:color="auto"/>
              </w:divBdr>
            </w:div>
            <w:div w:id="379743642">
              <w:marLeft w:val="0"/>
              <w:marRight w:val="0"/>
              <w:marTop w:val="0"/>
              <w:marBottom w:val="0"/>
              <w:divBdr>
                <w:top w:val="none" w:sz="0" w:space="0" w:color="auto"/>
                <w:left w:val="none" w:sz="0" w:space="0" w:color="auto"/>
                <w:bottom w:val="none" w:sz="0" w:space="0" w:color="auto"/>
                <w:right w:val="none" w:sz="0" w:space="0" w:color="auto"/>
              </w:divBdr>
            </w:div>
            <w:div w:id="401221814">
              <w:marLeft w:val="0"/>
              <w:marRight w:val="0"/>
              <w:marTop w:val="0"/>
              <w:marBottom w:val="0"/>
              <w:divBdr>
                <w:top w:val="none" w:sz="0" w:space="0" w:color="auto"/>
                <w:left w:val="none" w:sz="0" w:space="0" w:color="auto"/>
                <w:bottom w:val="none" w:sz="0" w:space="0" w:color="auto"/>
                <w:right w:val="none" w:sz="0" w:space="0" w:color="auto"/>
              </w:divBdr>
            </w:div>
            <w:div w:id="434981239">
              <w:marLeft w:val="0"/>
              <w:marRight w:val="0"/>
              <w:marTop w:val="0"/>
              <w:marBottom w:val="0"/>
              <w:divBdr>
                <w:top w:val="none" w:sz="0" w:space="0" w:color="auto"/>
                <w:left w:val="none" w:sz="0" w:space="0" w:color="auto"/>
                <w:bottom w:val="none" w:sz="0" w:space="0" w:color="auto"/>
                <w:right w:val="none" w:sz="0" w:space="0" w:color="auto"/>
              </w:divBdr>
            </w:div>
            <w:div w:id="489754716">
              <w:marLeft w:val="0"/>
              <w:marRight w:val="0"/>
              <w:marTop w:val="0"/>
              <w:marBottom w:val="0"/>
              <w:divBdr>
                <w:top w:val="none" w:sz="0" w:space="0" w:color="auto"/>
                <w:left w:val="none" w:sz="0" w:space="0" w:color="auto"/>
                <w:bottom w:val="none" w:sz="0" w:space="0" w:color="auto"/>
                <w:right w:val="none" w:sz="0" w:space="0" w:color="auto"/>
              </w:divBdr>
            </w:div>
            <w:div w:id="514882696">
              <w:marLeft w:val="0"/>
              <w:marRight w:val="0"/>
              <w:marTop w:val="0"/>
              <w:marBottom w:val="0"/>
              <w:divBdr>
                <w:top w:val="none" w:sz="0" w:space="0" w:color="auto"/>
                <w:left w:val="none" w:sz="0" w:space="0" w:color="auto"/>
                <w:bottom w:val="none" w:sz="0" w:space="0" w:color="auto"/>
                <w:right w:val="none" w:sz="0" w:space="0" w:color="auto"/>
              </w:divBdr>
            </w:div>
            <w:div w:id="1020937209">
              <w:marLeft w:val="0"/>
              <w:marRight w:val="0"/>
              <w:marTop w:val="0"/>
              <w:marBottom w:val="0"/>
              <w:divBdr>
                <w:top w:val="none" w:sz="0" w:space="0" w:color="auto"/>
                <w:left w:val="none" w:sz="0" w:space="0" w:color="auto"/>
                <w:bottom w:val="none" w:sz="0" w:space="0" w:color="auto"/>
                <w:right w:val="none" w:sz="0" w:space="0" w:color="auto"/>
              </w:divBdr>
            </w:div>
            <w:div w:id="1117675705">
              <w:marLeft w:val="0"/>
              <w:marRight w:val="0"/>
              <w:marTop w:val="0"/>
              <w:marBottom w:val="0"/>
              <w:divBdr>
                <w:top w:val="none" w:sz="0" w:space="0" w:color="auto"/>
                <w:left w:val="none" w:sz="0" w:space="0" w:color="auto"/>
                <w:bottom w:val="none" w:sz="0" w:space="0" w:color="auto"/>
                <w:right w:val="none" w:sz="0" w:space="0" w:color="auto"/>
              </w:divBdr>
            </w:div>
            <w:div w:id="1244796062">
              <w:marLeft w:val="0"/>
              <w:marRight w:val="0"/>
              <w:marTop w:val="0"/>
              <w:marBottom w:val="0"/>
              <w:divBdr>
                <w:top w:val="none" w:sz="0" w:space="0" w:color="auto"/>
                <w:left w:val="none" w:sz="0" w:space="0" w:color="auto"/>
                <w:bottom w:val="none" w:sz="0" w:space="0" w:color="auto"/>
                <w:right w:val="none" w:sz="0" w:space="0" w:color="auto"/>
              </w:divBdr>
            </w:div>
            <w:div w:id="1585141454">
              <w:marLeft w:val="0"/>
              <w:marRight w:val="0"/>
              <w:marTop w:val="0"/>
              <w:marBottom w:val="0"/>
              <w:divBdr>
                <w:top w:val="none" w:sz="0" w:space="0" w:color="auto"/>
                <w:left w:val="none" w:sz="0" w:space="0" w:color="auto"/>
                <w:bottom w:val="none" w:sz="0" w:space="0" w:color="auto"/>
                <w:right w:val="none" w:sz="0" w:space="0" w:color="auto"/>
              </w:divBdr>
            </w:div>
            <w:div w:id="1720594518">
              <w:marLeft w:val="0"/>
              <w:marRight w:val="0"/>
              <w:marTop w:val="0"/>
              <w:marBottom w:val="0"/>
              <w:divBdr>
                <w:top w:val="none" w:sz="0" w:space="0" w:color="auto"/>
                <w:left w:val="none" w:sz="0" w:space="0" w:color="auto"/>
                <w:bottom w:val="none" w:sz="0" w:space="0" w:color="auto"/>
                <w:right w:val="none" w:sz="0" w:space="0" w:color="auto"/>
              </w:divBdr>
            </w:div>
            <w:div w:id="1973560759">
              <w:marLeft w:val="0"/>
              <w:marRight w:val="0"/>
              <w:marTop w:val="0"/>
              <w:marBottom w:val="0"/>
              <w:divBdr>
                <w:top w:val="none" w:sz="0" w:space="0" w:color="auto"/>
                <w:left w:val="none" w:sz="0" w:space="0" w:color="auto"/>
                <w:bottom w:val="none" w:sz="0" w:space="0" w:color="auto"/>
                <w:right w:val="none" w:sz="0" w:space="0" w:color="auto"/>
              </w:divBdr>
            </w:div>
            <w:div w:id="2067289230">
              <w:marLeft w:val="0"/>
              <w:marRight w:val="0"/>
              <w:marTop w:val="0"/>
              <w:marBottom w:val="0"/>
              <w:divBdr>
                <w:top w:val="none" w:sz="0" w:space="0" w:color="auto"/>
                <w:left w:val="none" w:sz="0" w:space="0" w:color="auto"/>
                <w:bottom w:val="none" w:sz="0" w:space="0" w:color="auto"/>
                <w:right w:val="none" w:sz="0" w:space="0" w:color="auto"/>
              </w:divBdr>
            </w:div>
            <w:div w:id="2109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0546">
      <w:bodyDiv w:val="1"/>
      <w:marLeft w:val="0"/>
      <w:marRight w:val="0"/>
      <w:marTop w:val="0"/>
      <w:marBottom w:val="0"/>
      <w:divBdr>
        <w:top w:val="none" w:sz="0" w:space="0" w:color="auto"/>
        <w:left w:val="none" w:sz="0" w:space="0" w:color="auto"/>
        <w:bottom w:val="none" w:sz="0" w:space="0" w:color="auto"/>
        <w:right w:val="none" w:sz="0" w:space="0" w:color="auto"/>
      </w:divBdr>
      <w:divsChild>
        <w:div w:id="444735102">
          <w:marLeft w:val="446"/>
          <w:marRight w:val="0"/>
          <w:marTop w:val="200"/>
          <w:marBottom w:val="0"/>
          <w:divBdr>
            <w:top w:val="none" w:sz="0" w:space="0" w:color="auto"/>
            <w:left w:val="none" w:sz="0" w:space="0" w:color="auto"/>
            <w:bottom w:val="none" w:sz="0" w:space="0" w:color="auto"/>
            <w:right w:val="none" w:sz="0" w:space="0" w:color="auto"/>
          </w:divBdr>
        </w:div>
        <w:div w:id="481970128">
          <w:marLeft w:val="446"/>
          <w:marRight w:val="0"/>
          <w:marTop w:val="200"/>
          <w:marBottom w:val="0"/>
          <w:divBdr>
            <w:top w:val="none" w:sz="0" w:space="0" w:color="auto"/>
            <w:left w:val="none" w:sz="0" w:space="0" w:color="auto"/>
            <w:bottom w:val="none" w:sz="0" w:space="0" w:color="auto"/>
            <w:right w:val="none" w:sz="0" w:space="0" w:color="auto"/>
          </w:divBdr>
        </w:div>
        <w:div w:id="1368024595">
          <w:marLeft w:val="446"/>
          <w:marRight w:val="0"/>
          <w:marTop w:val="200"/>
          <w:marBottom w:val="0"/>
          <w:divBdr>
            <w:top w:val="none" w:sz="0" w:space="0" w:color="auto"/>
            <w:left w:val="none" w:sz="0" w:space="0" w:color="auto"/>
            <w:bottom w:val="none" w:sz="0" w:space="0" w:color="auto"/>
            <w:right w:val="none" w:sz="0" w:space="0" w:color="auto"/>
          </w:divBdr>
        </w:div>
        <w:div w:id="1734766786">
          <w:marLeft w:val="446"/>
          <w:marRight w:val="0"/>
          <w:marTop w:val="200"/>
          <w:marBottom w:val="0"/>
          <w:divBdr>
            <w:top w:val="none" w:sz="0" w:space="0" w:color="auto"/>
            <w:left w:val="none" w:sz="0" w:space="0" w:color="auto"/>
            <w:bottom w:val="none" w:sz="0" w:space="0" w:color="auto"/>
            <w:right w:val="none" w:sz="0" w:space="0" w:color="auto"/>
          </w:divBdr>
        </w:div>
      </w:divsChild>
    </w:div>
    <w:div w:id="505676521">
      <w:bodyDiv w:val="1"/>
      <w:marLeft w:val="0"/>
      <w:marRight w:val="0"/>
      <w:marTop w:val="0"/>
      <w:marBottom w:val="0"/>
      <w:divBdr>
        <w:top w:val="none" w:sz="0" w:space="0" w:color="auto"/>
        <w:left w:val="none" w:sz="0" w:space="0" w:color="auto"/>
        <w:bottom w:val="none" w:sz="0" w:space="0" w:color="auto"/>
        <w:right w:val="none" w:sz="0" w:space="0" w:color="auto"/>
      </w:divBdr>
    </w:div>
    <w:div w:id="507332848">
      <w:bodyDiv w:val="1"/>
      <w:marLeft w:val="0"/>
      <w:marRight w:val="0"/>
      <w:marTop w:val="0"/>
      <w:marBottom w:val="0"/>
      <w:divBdr>
        <w:top w:val="none" w:sz="0" w:space="0" w:color="auto"/>
        <w:left w:val="none" w:sz="0" w:space="0" w:color="auto"/>
        <w:bottom w:val="none" w:sz="0" w:space="0" w:color="auto"/>
        <w:right w:val="none" w:sz="0" w:space="0" w:color="auto"/>
      </w:divBdr>
      <w:divsChild>
        <w:div w:id="181553990">
          <w:marLeft w:val="979"/>
          <w:marRight w:val="0"/>
          <w:marTop w:val="100"/>
          <w:marBottom w:val="0"/>
          <w:divBdr>
            <w:top w:val="none" w:sz="0" w:space="0" w:color="auto"/>
            <w:left w:val="none" w:sz="0" w:space="0" w:color="auto"/>
            <w:bottom w:val="none" w:sz="0" w:space="0" w:color="auto"/>
            <w:right w:val="none" w:sz="0" w:space="0" w:color="auto"/>
          </w:divBdr>
        </w:div>
        <w:div w:id="398021763">
          <w:marLeft w:val="446"/>
          <w:marRight w:val="0"/>
          <w:marTop w:val="200"/>
          <w:marBottom w:val="160"/>
          <w:divBdr>
            <w:top w:val="none" w:sz="0" w:space="0" w:color="auto"/>
            <w:left w:val="none" w:sz="0" w:space="0" w:color="auto"/>
            <w:bottom w:val="none" w:sz="0" w:space="0" w:color="auto"/>
            <w:right w:val="none" w:sz="0" w:space="0" w:color="auto"/>
          </w:divBdr>
        </w:div>
        <w:div w:id="792676482">
          <w:marLeft w:val="979"/>
          <w:marRight w:val="0"/>
          <w:marTop w:val="100"/>
          <w:marBottom w:val="0"/>
          <w:divBdr>
            <w:top w:val="none" w:sz="0" w:space="0" w:color="auto"/>
            <w:left w:val="none" w:sz="0" w:space="0" w:color="auto"/>
            <w:bottom w:val="none" w:sz="0" w:space="0" w:color="auto"/>
            <w:right w:val="none" w:sz="0" w:space="0" w:color="auto"/>
          </w:divBdr>
        </w:div>
        <w:div w:id="1747527960">
          <w:marLeft w:val="446"/>
          <w:marRight w:val="0"/>
          <w:marTop w:val="200"/>
          <w:marBottom w:val="0"/>
          <w:divBdr>
            <w:top w:val="none" w:sz="0" w:space="0" w:color="auto"/>
            <w:left w:val="none" w:sz="0" w:space="0" w:color="auto"/>
            <w:bottom w:val="none" w:sz="0" w:space="0" w:color="auto"/>
            <w:right w:val="none" w:sz="0" w:space="0" w:color="auto"/>
          </w:divBdr>
        </w:div>
        <w:div w:id="1858227439">
          <w:marLeft w:val="893"/>
          <w:marRight w:val="0"/>
          <w:marTop w:val="100"/>
          <w:marBottom w:val="0"/>
          <w:divBdr>
            <w:top w:val="none" w:sz="0" w:space="0" w:color="auto"/>
            <w:left w:val="none" w:sz="0" w:space="0" w:color="auto"/>
            <w:bottom w:val="none" w:sz="0" w:space="0" w:color="auto"/>
            <w:right w:val="none" w:sz="0" w:space="0" w:color="auto"/>
          </w:divBdr>
        </w:div>
        <w:div w:id="1949583815">
          <w:marLeft w:val="979"/>
          <w:marRight w:val="0"/>
          <w:marTop w:val="100"/>
          <w:marBottom w:val="160"/>
          <w:divBdr>
            <w:top w:val="none" w:sz="0" w:space="0" w:color="auto"/>
            <w:left w:val="none" w:sz="0" w:space="0" w:color="auto"/>
            <w:bottom w:val="none" w:sz="0" w:space="0" w:color="auto"/>
            <w:right w:val="none" w:sz="0" w:space="0" w:color="auto"/>
          </w:divBdr>
        </w:div>
      </w:divsChild>
    </w:div>
    <w:div w:id="529270171">
      <w:bodyDiv w:val="1"/>
      <w:marLeft w:val="0"/>
      <w:marRight w:val="0"/>
      <w:marTop w:val="0"/>
      <w:marBottom w:val="0"/>
      <w:divBdr>
        <w:top w:val="none" w:sz="0" w:space="0" w:color="auto"/>
        <w:left w:val="none" w:sz="0" w:space="0" w:color="auto"/>
        <w:bottom w:val="none" w:sz="0" w:space="0" w:color="auto"/>
        <w:right w:val="none" w:sz="0" w:space="0" w:color="auto"/>
      </w:divBdr>
    </w:div>
    <w:div w:id="569191634">
      <w:bodyDiv w:val="1"/>
      <w:marLeft w:val="0"/>
      <w:marRight w:val="0"/>
      <w:marTop w:val="0"/>
      <w:marBottom w:val="0"/>
      <w:divBdr>
        <w:top w:val="none" w:sz="0" w:space="0" w:color="auto"/>
        <w:left w:val="none" w:sz="0" w:space="0" w:color="auto"/>
        <w:bottom w:val="none" w:sz="0" w:space="0" w:color="auto"/>
        <w:right w:val="none" w:sz="0" w:space="0" w:color="auto"/>
      </w:divBdr>
    </w:div>
    <w:div w:id="612517155">
      <w:bodyDiv w:val="1"/>
      <w:marLeft w:val="0"/>
      <w:marRight w:val="0"/>
      <w:marTop w:val="0"/>
      <w:marBottom w:val="0"/>
      <w:divBdr>
        <w:top w:val="none" w:sz="0" w:space="0" w:color="auto"/>
        <w:left w:val="none" w:sz="0" w:space="0" w:color="auto"/>
        <w:bottom w:val="none" w:sz="0" w:space="0" w:color="auto"/>
        <w:right w:val="none" w:sz="0" w:space="0" w:color="auto"/>
      </w:divBdr>
    </w:div>
    <w:div w:id="632372335">
      <w:bodyDiv w:val="1"/>
      <w:marLeft w:val="0"/>
      <w:marRight w:val="0"/>
      <w:marTop w:val="0"/>
      <w:marBottom w:val="0"/>
      <w:divBdr>
        <w:top w:val="none" w:sz="0" w:space="0" w:color="auto"/>
        <w:left w:val="none" w:sz="0" w:space="0" w:color="auto"/>
        <w:bottom w:val="none" w:sz="0" w:space="0" w:color="auto"/>
        <w:right w:val="none" w:sz="0" w:space="0" w:color="auto"/>
      </w:divBdr>
      <w:divsChild>
        <w:div w:id="329069117">
          <w:marLeft w:val="1166"/>
          <w:marRight w:val="0"/>
          <w:marTop w:val="0"/>
          <w:marBottom w:val="0"/>
          <w:divBdr>
            <w:top w:val="none" w:sz="0" w:space="0" w:color="auto"/>
            <w:left w:val="none" w:sz="0" w:space="0" w:color="auto"/>
            <w:bottom w:val="none" w:sz="0" w:space="0" w:color="auto"/>
            <w:right w:val="none" w:sz="0" w:space="0" w:color="auto"/>
          </w:divBdr>
        </w:div>
        <w:div w:id="910846250">
          <w:marLeft w:val="547"/>
          <w:marRight w:val="0"/>
          <w:marTop w:val="0"/>
          <w:marBottom w:val="160"/>
          <w:divBdr>
            <w:top w:val="none" w:sz="0" w:space="0" w:color="auto"/>
            <w:left w:val="none" w:sz="0" w:space="0" w:color="auto"/>
            <w:bottom w:val="none" w:sz="0" w:space="0" w:color="auto"/>
            <w:right w:val="none" w:sz="0" w:space="0" w:color="auto"/>
          </w:divBdr>
        </w:div>
        <w:div w:id="1154835133">
          <w:marLeft w:val="547"/>
          <w:marRight w:val="0"/>
          <w:marTop w:val="0"/>
          <w:marBottom w:val="0"/>
          <w:divBdr>
            <w:top w:val="none" w:sz="0" w:space="0" w:color="auto"/>
            <w:left w:val="none" w:sz="0" w:space="0" w:color="auto"/>
            <w:bottom w:val="none" w:sz="0" w:space="0" w:color="auto"/>
            <w:right w:val="none" w:sz="0" w:space="0" w:color="auto"/>
          </w:divBdr>
        </w:div>
        <w:div w:id="1233270283">
          <w:marLeft w:val="1166"/>
          <w:marRight w:val="0"/>
          <w:marTop w:val="0"/>
          <w:marBottom w:val="0"/>
          <w:divBdr>
            <w:top w:val="none" w:sz="0" w:space="0" w:color="auto"/>
            <w:left w:val="none" w:sz="0" w:space="0" w:color="auto"/>
            <w:bottom w:val="none" w:sz="0" w:space="0" w:color="auto"/>
            <w:right w:val="none" w:sz="0" w:space="0" w:color="auto"/>
          </w:divBdr>
        </w:div>
      </w:divsChild>
    </w:div>
    <w:div w:id="638851567">
      <w:bodyDiv w:val="1"/>
      <w:marLeft w:val="0"/>
      <w:marRight w:val="0"/>
      <w:marTop w:val="0"/>
      <w:marBottom w:val="0"/>
      <w:divBdr>
        <w:top w:val="none" w:sz="0" w:space="0" w:color="auto"/>
        <w:left w:val="none" w:sz="0" w:space="0" w:color="auto"/>
        <w:bottom w:val="none" w:sz="0" w:space="0" w:color="auto"/>
        <w:right w:val="none" w:sz="0" w:space="0" w:color="auto"/>
      </w:divBdr>
      <w:divsChild>
        <w:div w:id="3242103">
          <w:marLeft w:val="0"/>
          <w:marRight w:val="0"/>
          <w:marTop w:val="0"/>
          <w:marBottom w:val="0"/>
          <w:divBdr>
            <w:top w:val="none" w:sz="0" w:space="0" w:color="auto"/>
            <w:left w:val="none" w:sz="0" w:space="0" w:color="auto"/>
            <w:bottom w:val="none" w:sz="0" w:space="0" w:color="auto"/>
            <w:right w:val="none" w:sz="0" w:space="0" w:color="auto"/>
          </w:divBdr>
        </w:div>
        <w:div w:id="19820514">
          <w:marLeft w:val="0"/>
          <w:marRight w:val="0"/>
          <w:marTop w:val="0"/>
          <w:marBottom w:val="0"/>
          <w:divBdr>
            <w:top w:val="none" w:sz="0" w:space="0" w:color="auto"/>
            <w:left w:val="none" w:sz="0" w:space="0" w:color="auto"/>
            <w:bottom w:val="none" w:sz="0" w:space="0" w:color="auto"/>
            <w:right w:val="none" w:sz="0" w:space="0" w:color="auto"/>
          </w:divBdr>
        </w:div>
        <w:div w:id="53940606">
          <w:marLeft w:val="0"/>
          <w:marRight w:val="0"/>
          <w:marTop w:val="0"/>
          <w:marBottom w:val="0"/>
          <w:divBdr>
            <w:top w:val="none" w:sz="0" w:space="0" w:color="auto"/>
            <w:left w:val="none" w:sz="0" w:space="0" w:color="auto"/>
            <w:bottom w:val="none" w:sz="0" w:space="0" w:color="auto"/>
            <w:right w:val="none" w:sz="0" w:space="0" w:color="auto"/>
          </w:divBdr>
        </w:div>
        <w:div w:id="55323118">
          <w:marLeft w:val="0"/>
          <w:marRight w:val="0"/>
          <w:marTop w:val="0"/>
          <w:marBottom w:val="0"/>
          <w:divBdr>
            <w:top w:val="none" w:sz="0" w:space="0" w:color="auto"/>
            <w:left w:val="none" w:sz="0" w:space="0" w:color="auto"/>
            <w:bottom w:val="none" w:sz="0" w:space="0" w:color="auto"/>
            <w:right w:val="none" w:sz="0" w:space="0" w:color="auto"/>
          </w:divBdr>
        </w:div>
        <w:div w:id="58332496">
          <w:marLeft w:val="0"/>
          <w:marRight w:val="0"/>
          <w:marTop w:val="0"/>
          <w:marBottom w:val="0"/>
          <w:divBdr>
            <w:top w:val="none" w:sz="0" w:space="0" w:color="auto"/>
            <w:left w:val="none" w:sz="0" w:space="0" w:color="auto"/>
            <w:bottom w:val="none" w:sz="0" w:space="0" w:color="auto"/>
            <w:right w:val="none" w:sz="0" w:space="0" w:color="auto"/>
          </w:divBdr>
        </w:div>
        <w:div w:id="76634129">
          <w:marLeft w:val="-75"/>
          <w:marRight w:val="0"/>
          <w:marTop w:val="30"/>
          <w:marBottom w:val="30"/>
          <w:divBdr>
            <w:top w:val="none" w:sz="0" w:space="0" w:color="auto"/>
            <w:left w:val="none" w:sz="0" w:space="0" w:color="auto"/>
            <w:bottom w:val="none" w:sz="0" w:space="0" w:color="auto"/>
            <w:right w:val="none" w:sz="0" w:space="0" w:color="auto"/>
          </w:divBdr>
          <w:divsChild>
            <w:div w:id="89274461">
              <w:marLeft w:val="0"/>
              <w:marRight w:val="0"/>
              <w:marTop w:val="0"/>
              <w:marBottom w:val="0"/>
              <w:divBdr>
                <w:top w:val="none" w:sz="0" w:space="0" w:color="auto"/>
                <w:left w:val="none" w:sz="0" w:space="0" w:color="auto"/>
                <w:bottom w:val="none" w:sz="0" w:space="0" w:color="auto"/>
                <w:right w:val="none" w:sz="0" w:space="0" w:color="auto"/>
              </w:divBdr>
              <w:divsChild>
                <w:div w:id="1690788964">
                  <w:marLeft w:val="0"/>
                  <w:marRight w:val="0"/>
                  <w:marTop w:val="0"/>
                  <w:marBottom w:val="0"/>
                  <w:divBdr>
                    <w:top w:val="none" w:sz="0" w:space="0" w:color="auto"/>
                    <w:left w:val="none" w:sz="0" w:space="0" w:color="auto"/>
                    <w:bottom w:val="none" w:sz="0" w:space="0" w:color="auto"/>
                    <w:right w:val="none" w:sz="0" w:space="0" w:color="auto"/>
                  </w:divBdr>
                </w:div>
              </w:divsChild>
            </w:div>
            <w:div w:id="271059897">
              <w:marLeft w:val="0"/>
              <w:marRight w:val="0"/>
              <w:marTop w:val="0"/>
              <w:marBottom w:val="0"/>
              <w:divBdr>
                <w:top w:val="none" w:sz="0" w:space="0" w:color="auto"/>
                <w:left w:val="none" w:sz="0" w:space="0" w:color="auto"/>
                <w:bottom w:val="none" w:sz="0" w:space="0" w:color="auto"/>
                <w:right w:val="none" w:sz="0" w:space="0" w:color="auto"/>
              </w:divBdr>
              <w:divsChild>
                <w:div w:id="1538159964">
                  <w:marLeft w:val="0"/>
                  <w:marRight w:val="0"/>
                  <w:marTop w:val="0"/>
                  <w:marBottom w:val="0"/>
                  <w:divBdr>
                    <w:top w:val="none" w:sz="0" w:space="0" w:color="auto"/>
                    <w:left w:val="none" w:sz="0" w:space="0" w:color="auto"/>
                    <w:bottom w:val="none" w:sz="0" w:space="0" w:color="auto"/>
                    <w:right w:val="none" w:sz="0" w:space="0" w:color="auto"/>
                  </w:divBdr>
                </w:div>
                <w:div w:id="1902791442">
                  <w:marLeft w:val="0"/>
                  <w:marRight w:val="0"/>
                  <w:marTop w:val="0"/>
                  <w:marBottom w:val="0"/>
                  <w:divBdr>
                    <w:top w:val="none" w:sz="0" w:space="0" w:color="auto"/>
                    <w:left w:val="none" w:sz="0" w:space="0" w:color="auto"/>
                    <w:bottom w:val="none" w:sz="0" w:space="0" w:color="auto"/>
                    <w:right w:val="none" w:sz="0" w:space="0" w:color="auto"/>
                  </w:divBdr>
                </w:div>
              </w:divsChild>
            </w:div>
            <w:div w:id="303242167">
              <w:marLeft w:val="0"/>
              <w:marRight w:val="0"/>
              <w:marTop w:val="0"/>
              <w:marBottom w:val="0"/>
              <w:divBdr>
                <w:top w:val="none" w:sz="0" w:space="0" w:color="auto"/>
                <w:left w:val="none" w:sz="0" w:space="0" w:color="auto"/>
                <w:bottom w:val="none" w:sz="0" w:space="0" w:color="auto"/>
                <w:right w:val="none" w:sz="0" w:space="0" w:color="auto"/>
              </w:divBdr>
              <w:divsChild>
                <w:div w:id="63381223">
                  <w:marLeft w:val="0"/>
                  <w:marRight w:val="0"/>
                  <w:marTop w:val="0"/>
                  <w:marBottom w:val="0"/>
                  <w:divBdr>
                    <w:top w:val="none" w:sz="0" w:space="0" w:color="auto"/>
                    <w:left w:val="none" w:sz="0" w:space="0" w:color="auto"/>
                    <w:bottom w:val="none" w:sz="0" w:space="0" w:color="auto"/>
                    <w:right w:val="none" w:sz="0" w:space="0" w:color="auto"/>
                  </w:divBdr>
                </w:div>
              </w:divsChild>
            </w:div>
            <w:div w:id="480122121">
              <w:marLeft w:val="0"/>
              <w:marRight w:val="0"/>
              <w:marTop w:val="0"/>
              <w:marBottom w:val="0"/>
              <w:divBdr>
                <w:top w:val="none" w:sz="0" w:space="0" w:color="auto"/>
                <w:left w:val="none" w:sz="0" w:space="0" w:color="auto"/>
                <w:bottom w:val="none" w:sz="0" w:space="0" w:color="auto"/>
                <w:right w:val="none" w:sz="0" w:space="0" w:color="auto"/>
              </w:divBdr>
              <w:divsChild>
                <w:div w:id="783578268">
                  <w:marLeft w:val="0"/>
                  <w:marRight w:val="0"/>
                  <w:marTop w:val="0"/>
                  <w:marBottom w:val="0"/>
                  <w:divBdr>
                    <w:top w:val="none" w:sz="0" w:space="0" w:color="auto"/>
                    <w:left w:val="none" w:sz="0" w:space="0" w:color="auto"/>
                    <w:bottom w:val="none" w:sz="0" w:space="0" w:color="auto"/>
                    <w:right w:val="none" w:sz="0" w:space="0" w:color="auto"/>
                  </w:divBdr>
                </w:div>
                <w:div w:id="1121220753">
                  <w:marLeft w:val="0"/>
                  <w:marRight w:val="0"/>
                  <w:marTop w:val="0"/>
                  <w:marBottom w:val="0"/>
                  <w:divBdr>
                    <w:top w:val="none" w:sz="0" w:space="0" w:color="auto"/>
                    <w:left w:val="none" w:sz="0" w:space="0" w:color="auto"/>
                    <w:bottom w:val="none" w:sz="0" w:space="0" w:color="auto"/>
                    <w:right w:val="none" w:sz="0" w:space="0" w:color="auto"/>
                  </w:divBdr>
                </w:div>
                <w:div w:id="1152067110">
                  <w:marLeft w:val="0"/>
                  <w:marRight w:val="0"/>
                  <w:marTop w:val="0"/>
                  <w:marBottom w:val="0"/>
                  <w:divBdr>
                    <w:top w:val="none" w:sz="0" w:space="0" w:color="auto"/>
                    <w:left w:val="none" w:sz="0" w:space="0" w:color="auto"/>
                    <w:bottom w:val="none" w:sz="0" w:space="0" w:color="auto"/>
                    <w:right w:val="none" w:sz="0" w:space="0" w:color="auto"/>
                  </w:divBdr>
                </w:div>
                <w:div w:id="1859614317">
                  <w:marLeft w:val="0"/>
                  <w:marRight w:val="0"/>
                  <w:marTop w:val="0"/>
                  <w:marBottom w:val="0"/>
                  <w:divBdr>
                    <w:top w:val="none" w:sz="0" w:space="0" w:color="auto"/>
                    <w:left w:val="none" w:sz="0" w:space="0" w:color="auto"/>
                    <w:bottom w:val="none" w:sz="0" w:space="0" w:color="auto"/>
                    <w:right w:val="none" w:sz="0" w:space="0" w:color="auto"/>
                  </w:divBdr>
                </w:div>
                <w:div w:id="1863544110">
                  <w:marLeft w:val="0"/>
                  <w:marRight w:val="0"/>
                  <w:marTop w:val="0"/>
                  <w:marBottom w:val="0"/>
                  <w:divBdr>
                    <w:top w:val="none" w:sz="0" w:space="0" w:color="auto"/>
                    <w:left w:val="none" w:sz="0" w:space="0" w:color="auto"/>
                    <w:bottom w:val="none" w:sz="0" w:space="0" w:color="auto"/>
                    <w:right w:val="none" w:sz="0" w:space="0" w:color="auto"/>
                  </w:divBdr>
                </w:div>
              </w:divsChild>
            </w:div>
            <w:div w:id="499468536">
              <w:marLeft w:val="0"/>
              <w:marRight w:val="0"/>
              <w:marTop w:val="0"/>
              <w:marBottom w:val="0"/>
              <w:divBdr>
                <w:top w:val="none" w:sz="0" w:space="0" w:color="auto"/>
                <w:left w:val="none" w:sz="0" w:space="0" w:color="auto"/>
                <w:bottom w:val="none" w:sz="0" w:space="0" w:color="auto"/>
                <w:right w:val="none" w:sz="0" w:space="0" w:color="auto"/>
              </w:divBdr>
              <w:divsChild>
                <w:div w:id="188107822">
                  <w:marLeft w:val="0"/>
                  <w:marRight w:val="0"/>
                  <w:marTop w:val="0"/>
                  <w:marBottom w:val="0"/>
                  <w:divBdr>
                    <w:top w:val="none" w:sz="0" w:space="0" w:color="auto"/>
                    <w:left w:val="none" w:sz="0" w:space="0" w:color="auto"/>
                    <w:bottom w:val="none" w:sz="0" w:space="0" w:color="auto"/>
                    <w:right w:val="none" w:sz="0" w:space="0" w:color="auto"/>
                  </w:divBdr>
                </w:div>
              </w:divsChild>
            </w:div>
            <w:div w:id="525871540">
              <w:marLeft w:val="0"/>
              <w:marRight w:val="0"/>
              <w:marTop w:val="0"/>
              <w:marBottom w:val="0"/>
              <w:divBdr>
                <w:top w:val="none" w:sz="0" w:space="0" w:color="auto"/>
                <w:left w:val="none" w:sz="0" w:space="0" w:color="auto"/>
                <w:bottom w:val="none" w:sz="0" w:space="0" w:color="auto"/>
                <w:right w:val="none" w:sz="0" w:space="0" w:color="auto"/>
              </w:divBdr>
              <w:divsChild>
                <w:div w:id="415437763">
                  <w:marLeft w:val="0"/>
                  <w:marRight w:val="0"/>
                  <w:marTop w:val="0"/>
                  <w:marBottom w:val="0"/>
                  <w:divBdr>
                    <w:top w:val="none" w:sz="0" w:space="0" w:color="auto"/>
                    <w:left w:val="none" w:sz="0" w:space="0" w:color="auto"/>
                    <w:bottom w:val="none" w:sz="0" w:space="0" w:color="auto"/>
                    <w:right w:val="none" w:sz="0" w:space="0" w:color="auto"/>
                  </w:divBdr>
                </w:div>
              </w:divsChild>
            </w:div>
            <w:div w:id="751633000">
              <w:marLeft w:val="0"/>
              <w:marRight w:val="0"/>
              <w:marTop w:val="0"/>
              <w:marBottom w:val="0"/>
              <w:divBdr>
                <w:top w:val="none" w:sz="0" w:space="0" w:color="auto"/>
                <w:left w:val="none" w:sz="0" w:space="0" w:color="auto"/>
                <w:bottom w:val="none" w:sz="0" w:space="0" w:color="auto"/>
                <w:right w:val="none" w:sz="0" w:space="0" w:color="auto"/>
              </w:divBdr>
              <w:divsChild>
                <w:div w:id="22750925">
                  <w:marLeft w:val="0"/>
                  <w:marRight w:val="0"/>
                  <w:marTop w:val="0"/>
                  <w:marBottom w:val="0"/>
                  <w:divBdr>
                    <w:top w:val="none" w:sz="0" w:space="0" w:color="auto"/>
                    <w:left w:val="none" w:sz="0" w:space="0" w:color="auto"/>
                    <w:bottom w:val="none" w:sz="0" w:space="0" w:color="auto"/>
                    <w:right w:val="none" w:sz="0" w:space="0" w:color="auto"/>
                  </w:divBdr>
                </w:div>
              </w:divsChild>
            </w:div>
            <w:div w:id="1651979057">
              <w:marLeft w:val="0"/>
              <w:marRight w:val="0"/>
              <w:marTop w:val="0"/>
              <w:marBottom w:val="0"/>
              <w:divBdr>
                <w:top w:val="none" w:sz="0" w:space="0" w:color="auto"/>
                <w:left w:val="none" w:sz="0" w:space="0" w:color="auto"/>
                <w:bottom w:val="none" w:sz="0" w:space="0" w:color="auto"/>
                <w:right w:val="none" w:sz="0" w:space="0" w:color="auto"/>
              </w:divBdr>
              <w:divsChild>
                <w:div w:id="1392382986">
                  <w:marLeft w:val="0"/>
                  <w:marRight w:val="0"/>
                  <w:marTop w:val="0"/>
                  <w:marBottom w:val="0"/>
                  <w:divBdr>
                    <w:top w:val="none" w:sz="0" w:space="0" w:color="auto"/>
                    <w:left w:val="none" w:sz="0" w:space="0" w:color="auto"/>
                    <w:bottom w:val="none" w:sz="0" w:space="0" w:color="auto"/>
                    <w:right w:val="none" w:sz="0" w:space="0" w:color="auto"/>
                  </w:divBdr>
                </w:div>
              </w:divsChild>
            </w:div>
            <w:div w:id="1880119259">
              <w:marLeft w:val="0"/>
              <w:marRight w:val="0"/>
              <w:marTop w:val="0"/>
              <w:marBottom w:val="0"/>
              <w:divBdr>
                <w:top w:val="none" w:sz="0" w:space="0" w:color="auto"/>
                <w:left w:val="none" w:sz="0" w:space="0" w:color="auto"/>
                <w:bottom w:val="none" w:sz="0" w:space="0" w:color="auto"/>
                <w:right w:val="none" w:sz="0" w:space="0" w:color="auto"/>
              </w:divBdr>
              <w:divsChild>
                <w:div w:id="1579947182">
                  <w:marLeft w:val="0"/>
                  <w:marRight w:val="0"/>
                  <w:marTop w:val="0"/>
                  <w:marBottom w:val="0"/>
                  <w:divBdr>
                    <w:top w:val="none" w:sz="0" w:space="0" w:color="auto"/>
                    <w:left w:val="none" w:sz="0" w:space="0" w:color="auto"/>
                    <w:bottom w:val="none" w:sz="0" w:space="0" w:color="auto"/>
                    <w:right w:val="none" w:sz="0" w:space="0" w:color="auto"/>
                  </w:divBdr>
                </w:div>
              </w:divsChild>
            </w:div>
            <w:div w:id="1969168393">
              <w:marLeft w:val="0"/>
              <w:marRight w:val="0"/>
              <w:marTop w:val="0"/>
              <w:marBottom w:val="0"/>
              <w:divBdr>
                <w:top w:val="none" w:sz="0" w:space="0" w:color="auto"/>
                <w:left w:val="none" w:sz="0" w:space="0" w:color="auto"/>
                <w:bottom w:val="none" w:sz="0" w:space="0" w:color="auto"/>
                <w:right w:val="none" w:sz="0" w:space="0" w:color="auto"/>
              </w:divBdr>
              <w:divsChild>
                <w:div w:id="1541280425">
                  <w:marLeft w:val="0"/>
                  <w:marRight w:val="0"/>
                  <w:marTop w:val="0"/>
                  <w:marBottom w:val="0"/>
                  <w:divBdr>
                    <w:top w:val="none" w:sz="0" w:space="0" w:color="auto"/>
                    <w:left w:val="none" w:sz="0" w:space="0" w:color="auto"/>
                    <w:bottom w:val="none" w:sz="0" w:space="0" w:color="auto"/>
                    <w:right w:val="none" w:sz="0" w:space="0" w:color="auto"/>
                  </w:divBdr>
                </w:div>
              </w:divsChild>
            </w:div>
            <w:div w:id="2038962740">
              <w:marLeft w:val="0"/>
              <w:marRight w:val="0"/>
              <w:marTop w:val="0"/>
              <w:marBottom w:val="0"/>
              <w:divBdr>
                <w:top w:val="none" w:sz="0" w:space="0" w:color="auto"/>
                <w:left w:val="none" w:sz="0" w:space="0" w:color="auto"/>
                <w:bottom w:val="none" w:sz="0" w:space="0" w:color="auto"/>
                <w:right w:val="none" w:sz="0" w:space="0" w:color="auto"/>
              </w:divBdr>
              <w:divsChild>
                <w:div w:id="1910379661">
                  <w:marLeft w:val="0"/>
                  <w:marRight w:val="0"/>
                  <w:marTop w:val="0"/>
                  <w:marBottom w:val="0"/>
                  <w:divBdr>
                    <w:top w:val="none" w:sz="0" w:space="0" w:color="auto"/>
                    <w:left w:val="none" w:sz="0" w:space="0" w:color="auto"/>
                    <w:bottom w:val="none" w:sz="0" w:space="0" w:color="auto"/>
                    <w:right w:val="none" w:sz="0" w:space="0" w:color="auto"/>
                  </w:divBdr>
                </w:div>
              </w:divsChild>
            </w:div>
            <w:div w:id="2059356948">
              <w:marLeft w:val="0"/>
              <w:marRight w:val="0"/>
              <w:marTop w:val="0"/>
              <w:marBottom w:val="0"/>
              <w:divBdr>
                <w:top w:val="none" w:sz="0" w:space="0" w:color="auto"/>
                <w:left w:val="none" w:sz="0" w:space="0" w:color="auto"/>
                <w:bottom w:val="none" w:sz="0" w:space="0" w:color="auto"/>
                <w:right w:val="none" w:sz="0" w:space="0" w:color="auto"/>
              </w:divBdr>
              <w:divsChild>
                <w:div w:id="168351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0090">
          <w:marLeft w:val="0"/>
          <w:marRight w:val="0"/>
          <w:marTop w:val="0"/>
          <w:marBottom w:val="0"/>
          <w:divBdr>
            <w:top w:val="none" w:sz="0" w:space="0" w:color="auto"/>
            <w:left w:val="none" w:sz="0" w:space="0" w:color="auto"/>
            <w:bottom w:val="none" w:sz="0" w:space="0" w:color="auto"/>
            <w:right w:val="none" w:sz="0" w:space="0" w:color="auto"/>
          </w:divBdr>
        </w:div>
        <w:div w:id="106891783">
          <w:marLeft w:val="0"/>
          <w:marRight w:val="0"/>
          <w:marTop w:val="0"/>
          <w:marBottom w:val="0"/>
          <w:divBdr>
            <w:top w:val="none" w:sz="0" w:space="0" w:color="auto"/>
            <w:left w:val="none" w:sz="0" w:space="0" w:color="auto"/>
            <w:bottom w:val="none" w:sz="0" w:space="0" w:color="auto"/>
            <w:right w:val="none" w:sz="0" w:space="0" w:color="auto"/>
          </w:divBdr>
        </w:div>
        <w:div w:id="107823418">
          <w:marLeft w:val="0"/>
          <w:marRight w:val="0"/>
          <w:marTop w:val="0"/>
          <w:marBottom w:val="0"/>
          <w:divBdr>
            <w:top w:val="none" w:sz="0" w:space="0" w:color="auto"/>
            <w:left w:val="none" w:sz="0" w:space="0" w:color="auto"/>
            <w:bottom w:val="none" w:sz="0" w:space="0" w:color="auto"/>
            <w:right w:val="none" w:sz="0" w:space="0" w:color="auto"/>
          </w:divBdr>
        </w:div>
        <w:div w:id="126238524">
          <w:marLeft w:val="0"/>
          <w:marRight w:val="0"/>
          <w:marTop w:val="0"/>
          <w:marBottom w:val="0"/>
          <w:divBdr>
            <w:top w:val="none" w:sz="0" w:space="0" w:color="auto"/>
            <w:left w:val="none" w:sz="0" w:space="0" w:color="auto"/>
            <w:bottom w:val="none" w:sz="0" w:space="0" w:color="auto"/>
            <w:right w:val="none" w:sz="0" w:space="0" w:color="auto"/>
          </w:divBdr>
        </w:div>
        <w:div w:id="133109454">
          <w:marLeft w:val="0"/>
          <w:marRight w:val="0"/>
          <w:marTop w:val="0"/>
          <w:marBottom w:val="0"/>
          <w:divBdr>
            <w:top w:val="none" w:sz="0" w:space="0" w:color="auto"/>
            <w:left w:val="none" w:sz="0" w:space="0" w:color="auto"/>
            <w:bottom w:val="none" w:sz="0" w:space="0" w:color="auto"/>
            <w:right w:val="none" w:sz="0" w:space="0" w:color="auto"/>
          </w:divBdr>
        </w:div>
        <w:div w:id="146826765">
          <w:marLeft w:val="0"/>
          <w:marRight w:val="0"/>
          <w:marTop w:val="0"/>
          <w:marBottom w:val="0"/>
          <w:divBdr>
            <w:top w:val="none" w:sz="0" w:space="0" w:color="auto"/>
            <w:left w:val="none" w:sz="0" w:space="0" w:color="auto"/>
            <w:bottom w:val="none" w:sz="0" w:space="0" w:color="auto"/>
            <w:right w:val="none" w:sz="0" w:space="0" w:color="auto"/>
          </w:divBdr>
        </w:div>
        <w:div w:id="152992259">
          <w:marLeft w:val="-75"/>
          <w:marRight w:val="0"/>
          <w:marTop w:val="30"/>
          <w:marBottom w:val="30"/>
          <w:divBdr>
            <w:top w:val="none" w:sz="0" w:space="0" w:color="auto"/>
            <w:left w:val="none" w:sz="0" w:space="0" w:color="auto"/>
            <w:bottom w:val="none" w:sz="0" w:space="0" w:color="auto"/>
            <w:right w:val="none" w:sz="0" w:space="0" w:color="auto"/>
          </w:divBdr>
          <w:divsChild>
            <w:div w:id="281232038">
              <w:marLeft w:val="0"/>
              <w:marRight w:val="0"/>
              <w:marTop w:val="0"/>
              <w:marBottom w:val="0"/>
              <w:divBdr>
                <w:top w:val="none" w:sz="0" w:space="0" w:color="auto"/>
                <w:left w:val="none" w:sz="0" w:space="0" w:color="auto"/>
                <w:bottom w:val="none" w:sz="0" w:space="0" w:color="auto"/>
                <w:right w:val="none" w:sz="0" w:space="0" w:color="auto"/>
              </w:divBdr>
              <w:divsChild>
                <w:div w:id="169488304">
                  <w:marLeft w:val="0"/>
                  <w:marRight w:val="0"/>
                  <w:marTop w:val="0"/>
                  <w:marBottom w:val="0"/>
                  <w:divBdr>
                    <w:top w:val="none" w:sz="0" w:space="0" w:color="auto"/>
                    <w:left w:val="none" w:sz="0" w:space="0" w:color="auto"/>
                    <w:bottom w:val="none" w:sz="0" w:space="0" w:color="auto"/>
                    <w:right w:val="none" w:sz="0" w:space="0" w:color="auto"/>
                  </w:divBdr>
                </w:div>
              </w:divsChild>
            </w:div>
            <w:div w:id="304773355">
              <w:marLeft w:val="0"/>
              <w:marRight w:val="0"/>
              <w:marTop w:val="0"/>
              <w:marBottom w:val="0"/>
              <w:divBdr>
                <w:top w:val="none" w:sz="0" w:space="0" w:color="auto"/>
                <w:left w:val="none" w:sz="0" w:space="0" w:color="auto"/>
                <w:bottom w:val="none" w:sz="0" w:space="0" w:color="auto"/>
                <w:right w:val="none" w:sz="0" w:space="0" w:color="auto"/>
              </w:divBdr>
              <w:divsChild>
                <w:div w:id="1041587354">
                  <w:marLeft w:val="0"/>
                  <w:marRight w:val="0"/>
                  <w:marTop w:val="0"/>
                  <w:marBottom w:val="0"/>
                  <w:divBdr>
                    <w:top w:val="none" w:sz="0" w:space="0" w:color="auto"/>
                    <w:left w:val="none" w:sz="0" w:space="0" w:color="auto"/>
                    <w:bottom w:val="none" w:sz="0" w:space="0" w:color="auto"/>
                    <w:right w:val="none" w:sz="0" w:space="0" w:color="auto"/>
                  </w:divBdr>
                </w:div>
              </w:divsChild>
            </w:div>
            <w:div w:id="500703072">
              <w:marLeft w:val="0"/>
              <w:marRight w:val="0"/>
              <w:marTop w:val="0"/>
              <w:marBottom w:val="0"/>
              <w:divBdr>
                <w:top w:val="none" w:sz="0" w:space="0" w:color="auto"/>
                <w:left w:val="none" w:sz="0" w:space="0" w:color="auto"/>
                <w:bottom w:val="none" w:sz="0" w:space="0" w:color="auto"/>
                <w:right w:val="none" w:sz="0" w:space="0" w:color="auto"/>
              </w:divBdr>
              <w:divsChild>
                <w:div w:id="2042585125">
                  <w:marLeft w:val="0"/>
                  <w:marRight w:val="0"/>
                  <w:marTop w:val="0"/>
                  <w:marBottom w:val="0"/>
                  <w:divBdr>
                    <w:top w:val="none" w:sz="0" w:space="0" w:color="auto"/>
                    <w:left w:val="none" w:sz="0" w:space="0" w:color="auto"/>
                    <w:bottom w:val="none" w:sz="0" w:space="0" w:color="auto"/>
                    <w:right w:val="none" w:sz="0" w:space="0" w:color="auto"/>
                  </w:divBdr>
                </w:div>
              </w:divsChild>
            </w:div>
            <w:div w:id="907425739">
              <w:marLeft w:val="0"/>
              <w:marRight w:val="0"/>
              <w:marTop w:val="0"/>
              <w:marBottom w:val="0"/>
              <w:divBdr>
                <w:top w:val="none" w:sz="0" w:space="0" w:color="auto"/>
                <w:left w:val="none" w:sz="0" w:space="0" w:color="auto"/>
                <w:bottom w:val="none" w:sz="0" w:space="0" w:color="auto"/>
                <w:right w:val="none" w:sz="0" w:space="0" w:color="auto"/>
              </w:divBdr>
              <w:divsChild>
                <w:div w:id="367030204">
                  <w:marLeft w:val="0"/>
                  <w:marRight w:val="0"/>
                  <w:marTop w:val="0"/>
                  <w:marBottom w:val="0"/>
                  <w:divBdr>
                    <w:top w:val="none" w:sz="0" w:space="0" w:color="auto"/>
                    <w:left w:val="none" w:sz="0" w:space="0" w:color="auto"/>
                    <w:bottom w:val="none" w:sz="0" w:space="0" w:color="auto"/>
                    <w:right w:val="none" w:sz="0" w:space="0" w:color="auto"/>
                  </w:divBdr>
                </w:div>
              </w:divsChild>
            </w:div>
            <w:div w:id="944968757">
              <w:marLeft w:val="0"/>
              <w:marRight w:val="0"/>
              <w:marTop w:val="0"/>
              <w:marBottom w:val="0"/>
              <w:divBdr>
                <w:top w:val="none" w:sz="0" w:space="0" w:color="auto"/>
                <w:left w:val="none" w:sz="0" w:space="0" w:color="auto"/>
                <w:bottom w:val="none" w:sz="0" w:space="0" w:color="auto"/>
                <w:right w:val="none" w:sz="0" w:space="0" w:color="auto"/>
              </w:divBdr>
              <w:divsChild>
                <w:div w:id="1879735246">
                  <w:marLeft w:val="0"/>
                  <w:marRight w:val="0"/>
                  <w:marTop w:val="0"/>
                  <w:marBottom w:val="0"/>
                  <w:divBdr>
                    <w:top w:val="none" w:sz="0" w:space="0" w:color="auto"/>
                    <w:left w:val="none" w:sz="0" w:space="0" w:color="auto"/>
                    <w:bottom w:val="none" w:sz="0" w:space="0" w:color="auto"/>
                    <w:right w:val="none" w:sz="0" w:space="0" w:color="auto"/>
                  </w:divBdr>
                </w:div>
              </w:divsChild>
            </w:div>
            <w:div w:id="1575819793">
              <w:marLeft w:val="0"/>
              <w:marRight w:val="0"/>
              <w:marTop w:val="0"/>
              <w:marBottom w:val="0"/>
              <w:divBdr>
                <w:top w:val="none" w:sz="0" w:space="0" w:color="auto"/>
                <w:left w:val="none" w:sz="0" w:space="0" w:color="auto"/>
                <w:bottom w:val="none" w:sz="0" w:space="0" w:color="auto"/>
                <w:right w:val="none" w:sz="0" w:space="0" w:color="auto"/>
              </w:divBdr>
              <w:divsChild>
                <w:div w:id="9699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7206">
          <w:marLeft w:val="0"/>
          <w:marRight w:val="0"/>
          <w:marTop w:val="0"/>
          <w:marBottom w:val="0"/>
          <w:divBdr>
            <w:top w:val="none" w:sz="0" w:space="0" w:color="auto"/>
            <w:left w:val="none" w:sz="0" w:space="0" w:color="auto"/>
            <w:bottom w:val="none" w:sz="0" w:space="0" w:color="auto"/>
            <w:right w:val="none" w:sz="0" w:space="0" w:color="auto"/>
          </w:divBdr>
        </w:div>
        <w:div w:id="168302299">
          <w:marLeft w:val="0"/>
          <w:marRight w:val="0"/>
          <w:marTop w:val="0"/>
          <w:marBottom w:val="0"/>
          <w:divBdr>
            <w:top w:val="none" w:sz="0" w:space="0" w:color="auto"/>
            <w:left w:val="none" w:sz="0" w:space="0" w:color="auto"/>
            <w:bottom w:val="none" w:sz="0" w:space="0" w:color="auto"/>
            <w:right w:val="none" w:sz="0" w:space="0" w:color="auto"/>
          </w:divBdr>
        </w:div>
        <w:div w:id="173082538">
          <w:marLeft w:val="0"/>
          <w:marRight w:val="0"/>
          <w:marTop w:val="0"/>
          <w:marBottom w:val="0"/>
          <w:divBdr>
            <w:top w:val="none" w:sz="0" w:space="0" w:color="auto"/>
            <w:left w:val="none" w:sz="0" w:space="0" w:color="auto"/>
            <w:bottom w:val="none" w:sz="0" w:space="0" w:color="auto"/>
            <w:right w:val="none" w:sz="0" w:space="0" w:color="auto"/>
          </w:divBdr>
        </w:div>
        <w:div w:id="177627325">
          <w:marLeft w:val="0"/>
          <w:marRight w:val="0"/>
          <w:marTop w:val="0"/>
          <w:marBottom w:val="0"/>
          <w:divBdr>
            <w:top w:val="none" w:sz="0" w:space="0" w:color="auto"/>
            <w:left w:val="none" w:sz="0" w:space="0" w:color="auto"/>
            <w:bottom w:val="none" w:sz="0" w:space="0" w:color="auto"/>
            <w:right w:val="none" w:sz="0" w:space="0" w:color="auto"/>
          </w:divBdr>
        </w:div>
        <w:div w:id="184490769">
          <w:marLeft w:val="0"/>
          <w:marRight w:val="0"/>
          <w:marTop w:val="0"/>
          <w:marBottom w:val="0"/>
          <w:divBdr>
            <w:top w:val="none" w:sz="0" w:space="0" w:color="auto"/>
            <w:left w:val="none" w:sz="0" w:space="0" w:color="auto"/>
            <w:bottom w:val="none" w:sz="0" w:space="0" w:color="auto"/>
            <w:right w:val="none" w:sz="0" w:space="0" w:color="auto"/>
          </w:divBdr>
        </w:div>
        <w:div w:id="241764549">
          <w:marLeft w:val="0"/>
          <w:marRight w:val="0"/>
          <w:marTop w:val="0"/>
          <w:marBottom w:val="0"/>
          <w:divBdr>
            <w:top w:val="none" w:sz="0" w:space="0" w:color="auto"/>
            <w:left w:val="none" w:sz="0" w:space="0" w:color="auto"/>
            <w:bottom w:val="none" w:sz="0" w:space="0" w:color="auto"/>
            <w:right w:val="none" w:sz="0" w:space="0" w:color="auto"/>
          </w:divBdr>
        </w:div>
        <w:div w:id="261694490">
          <w:marLeft w:val="0"/>
          <w:marRight w:val="0"/>
          <w:marTop w:val="0"/>
          <w:marBottom w:val="0"/>
          <w:divBdr>
            <w:top w:val="none" w:sz="0" w:space="0" w:color="auto"/>
            <w:left w:val="none" w:sz="0" w:space="0" w:color="auto"/>
            <w:bottom w:val="none" w:sz="0" w:space="0" w:color="auto"/>
            <w:right w:val="none" w:sz="0" w:space="0" w:color="auto"/>
          </w:divBdr>
        </w:div>
        <w:div w:id="267081159">
          <w:marLeft w:val="0"/>
          <w:marRight w:val="0"/>
          <w:marTop w:val="0"/>
          <w:marBottom w:val="0"/>
          <w:divBdr>
            <w:top w:val="none" w:sz="0" w:space="0" w:color="auto"/>
            <w:left w:val="none" w:sz="0" w:space="0" w:color="auto"/>
            <w:bottom w:val="none" w:sz="0" w:space="0" w:color="auto"/>
            <w:right w:val="none" w:sz="0" w:space="0" w:color="auto"/>
          </w:divBdr>
        </w:div>
        <w:div w:id="270281098">
          <w:marLeft w:val="0"/>
          <w:marRight w:val="0"/>
          <w:marTop w:val="0"/>
          <w:marBottom w:val="0"/>
          <w:divBdr>
            <w:top w:val="none" w:sz="0" w:space="0" w:color="auto"/>
            <w:left w:val="none" w:sz="0" w:space="0" w:color="auto"/>
            <w:bottom w:val="none" w:sz="0" w:space="0" w:color="auto"/>
            <w:right w:val="none" w:sz="0" w:space="0" w:color="auto"/>
          </w:divBdr>
        </w:div>
        <w:div w:id="337511173">
          <w:marLeft w:val="0"/>
          <w:marRight w:val="0"/>
          <w:marTop w:val="0"/>
          <w:marBottom w:val="0"/>
          <w:divBdr>
            <w:top w:val="none" w:sz="0" w:space="0" w:color="auto"/>
            <w:left w:val="none" w:sz="0" w:space="0" w:color="auto"/>
            <w:bottom w:val="none" w:sz="0" w:space="0" w:color="auto"/>
            <w:right w:val="none" w:sz="0" w:space="0" w:color="auto"/>
          </w:divBdr>
        </w:div>
        <w:div w:id="339822117">
          <w:marLeft w:val="0"/>
          <w:marRight w:val="0"/>
          <w:marTop w:val="0"/>
          <w:marBottom w:val="0"/>
          <w:divBdr>
            <w:top w:val="none" w:sz="0" w:space="0" w:color="auto"/>
            <w:left w:val="none" w:sz="0" w:space="0" w:color="auto"/>
            <w:bottom w:val="none" w:sz="0" w:space="0" w:color="auto"/>
            <w:right w:val="none" w:sz="0" w:space="0" w:color="auto"/>
          </w:divBdr>
        </w:div>
        <w:div w:id="387581500">
          <w:marLeft w:val="0"/>
          <w:marRight w:val="0"/>
          <w:marTop w:val="0"/>
          <w:marBottom w:val="0"/>
          <w:divBdr>
            <w:top w:val="none" w:sz="0" w:space="0" w:color="auto"/>
            <w:left w:val="none" w:sz="0" w:space="0" w:color="auto"/>
            <w:bottom w:val="none" w:sz="0" w:space="0" w:color="auto"/>
            <w:right w:val="none" w:sz="0" w:space="0" w:color="auto"/>
          </w:divBdr>
        </w:div>
        <w:div w:id="414129756">
          <w:marLeft w:val="0"/>
          <w:marRight w:val="0"/>
          <w:marTop w:val="0"/>
          <w:marBottom w:val="0"/>
          <w:divBdr>
            <w:top w:val="none" w:sz="0" w:space="0" w:color="auto"/>
            <w:left w:val="none" w:sz="0" w:space="0" w:color="auto"/>
            <w:bottom w:val="none" w:sz="0" w:space="0" w:color="auto"/>
            <w:right w:val="none" w:sz="0" w:space="0" w:color="auto"/>
          </w:divBdr>
        </w:div>
        <w:div w:id="430978114">
          <w:marLeft w:val="0"/>
          <w:marRight w:val="0"/>
          <w:marTop w:val="0"/>
          <w:marBottom w:val="0"/>
          <w:divBdr>
            <w:top w:val="none" w:sz="0" w:space="0" w:color="auto"/>
            <w:left w:val="none" w:sz="0" w:space="0" w:color="auto"/>
            <w:bottom w:val="none" w:sz="0" w:space="0" w:color="auto"/>
            <w:right w:val="none" w:sz="0" w:space="0" w:color="auto"/>
          </w:divBdr>
        </w:div>
        <w:div w:id="454327582">
          <w:marLeft w:val="0"/>
          <w:marRight w:val="0"/>
          <w:marTop w:val="0"/>
          <w:marBottom w:val="0"/>
          <w:divBdr>
            <w:top w:val="none" w:sz="0" w:space="0" w:color="auto"/>
            <w:left w:val="none" w:sz="0" w:space="0" w:color="auto"/>
            <w:bottom w:val="none" w:sz="0" w:space="0" w:color="auto"/>
            <w:right w:val="none" w:sz="0" w:space="0" w:color="auto"/>
          </w:divBdr>
        </w:div>
        <w:div w:id="459031225">
          <w:marLeft w:val="0"/>
          <w:marRight w:val="0"/>
          <w:marTop w:val="0"/>
          <w:marBottom w:val="0"/>
          <w:divBdr>
            <w:top w:val="none" w:sz="0" w:space="0" w:color="auto"/>
            <w:left w:val="none" w:sz="0" w:space="0" w:color="auto"/>
            <w:bottom w:val="none" w:sz="0" w:space="0" w:color="auto"/>
            <w:right w:val="none" w:sz="0" w:space="0" w:color="auto"/>
          </w:divBdr>
        </w:div>
        <w:div w:id="467669818">
          <w:marLeft w:val="0"/>
          <w:marRight w:val="0"/>
          <w:marTop w:val="0"/>
          <w:marBottom w:val="0"/>
          <w:divBdr>
            <w:top w:val="none" w:sz="0" w:space="0" w:color="auto"/>
            <w:left w:val="none" w:sz="0" w:space="0" w:color="auto"/>
            <w:bottom w:val="none" w:sz="0" w:space="0" w:color="auto"/>
            <w:right w:val="none" w:sz="0" w:space="0" w:color="auto"/>
          </w:divBdr>
        </w:div>
        <w:div w:id="472217602">
          <w:marLeft w:val="0"/>
          <w:marRight w:val="0"/>
          <w:marTop w:val="0"/>
          <w:marBottom w:val="0"/>
          <w:divBdr>
            <w:top w:val="none" w:sz="0" w:space="0" w:color="auto"/>
            <w:left w:val="none" w:sz="0" w:space="0" w:color="auto"/>
            <w:bottom w:val="none" w:sz="0" w:space="0" w:color="auto"/>
            <w:right w:val="none" w:sz="0" w:space="0" w:color="auto"/>
          </w:divBdr>
        </w:div>
        <w:div w:id="478768958">
          <w:marLeft w:val="0"/>
          <w:marRight w:val="0"/>
          <w:marTop w:val="0"/>
          <w:marBottom w:val="0"/>
          <w:divBdr>
            <w:top w:val="none" w:sz="0" w:space="0" w:color="auto"/>
            <w:left w:val="none" w:sz="0" w:space="0" w:color="auto"/>
            <w:bottom w:val="none" w:sz="0" w:space="0" w:color="auto"/>
            <w:right w:val="none" w:sz="0" w:space="0" w:color="auto"/>
          </w:divBdr>
        </w:div>
        <w:div w:id="519242331">
          <w:marLeft w:val="0"/>
          <w:marRight w:val="0"/>
          <w:marTop w:val="0"/>
          <w:marBottom w:val="0"/>
          <w:divBdr>
            <w:top w:val="none" w:sz="0" w:space="0" w:color="auto"/>
            <w:left w:val="none" w:sz="0" w:space="0" w:color="auto"/>
            <w:bottom w:val="none" w:sz="0" w:space="0" w:color="auto"/>
            <w:right w:val="none" w:sz="0" w:space="0" w:color="auto"/>
          </w:divBdr>
        </w:div>
        <w:div w:id="524487880">
          <w:marLeft w:val="0"/>
          <w:marRight w:val="0"/>
          <w:marTop w:val="0"/>
          <w:marBottom w:val="0"/>
          <w:divBdr>
            <w:top w:val="none" w:sz="0" w:space="0" w:color="auto"/>
            <w:left w:val="none" w:sz="0" w:space="0" w:color="auto"/>
            <w:bottom w:val="none" w:sz="0" w:space="0" w:color="auto"/>
            <w:right w:val="none" w:sz="0" w:space="0" w:color="auto"/>
          </w:divBdr>
        </w:div>
        <w:div w:id="530609928">
          <w:marLeft w:val="0"/>
          <w:marRight w:val="0"/>
          <w:marTop w:val="0"/>
          <w:marBottom w:val="0"/>
          <w:divBdr>
            <w:top w:val="none" w:sz="0" w:space="0" w:color="auto"/>
            <w:left w:val="none" w:sz="0" w:space="0" w:color="auto"/>
            <w:bottom w:val="none" w:sz="0" w:space="0" w:color="auto"/>
            <w:right w:val="none" w:sz="0" w:space="0" w:color="auto"/>
          </w:divBdr>
        </w:div>
        <w:div w:id="552272403">
          <w:marLeft w:val="0"/>
          <w:marRight w:val="0"/>
          <w:marTop w:val="0"/>
          <w:marBottom w:val="0"/>
          <w:divBdr>
            <w:top w:val="none" w:sz="0" w:space="0" w:color="auto"/>
            <w:left w:val="none" w:sz="0" w:space="0" w:color="auto"/>
            <w:bottom w:val="none" w:sz="0" w:space="0" w:color="auto"/>
            <w:right w:val="none" w:sz="0" w:space="0" w:color="auto"/>
          </w:divBdr>
        </w:div>
        <w:div w:id="557404144">
          <w:marLeft w:val="0"/>
          <w:marRight w:val="0"/>
          <w:marTop w:val="0"/>
          <w:marBottom w:val="0"/>
          <w:divBdr>
            <w:top w:val="none" w:sz="0" w:space="0" w:color="auto"/>
            <w:left w:val="none" w:sz="0" w:space="0" w:color="auto"/>
            <w:bottom w:val="none" w:sz="0" w:space="0" w:color="auto"/>
            <w:right w:val="none" w:sz="0" w:space="0" w:color="auto"/>
          </w:divBdr>
        </w:div>
        <w:div w:id="563101518">
          <w:marLeft w:val="0"/>
          <w:marRight w:val="0"/>
          <w:marTop w:val="0"/>
          <w:marBottom w:val="0"/>
          <w:divBdr>
            <w:top w:val="none" w:sz="0" w:space="0" w:color="auto"/>
            <w:left w:val="none" w:sz="0" w:space="0" w:color="auto"/>
            <w:bottom w:val="none" w:sz="0" w:space="0" w:color="auto"/>
            <w:right w:val="none" w:sz="0" w:space="0" w:color="auto"/>
          </w:divBdr>
        </w:div>
        <w:div w:id="576744899">
          <w:marLeft w:val="0"/>
          <w:marRight w:val="0"/>
          <w:marTop w:val="0"/>
          <w:marBottom w:val="0"/>
          <w:divBdr>
            <w:top w:val="none" w:sz="0" w:space="0" w:color="auto"/>
            <w:left w:val="none" w:sz="0" w:space="0" w:color="auto"/>
            <w:bottom w:val="none" w:sz="0" w:space="0" w:color="auto"/>
            <w:right w:val="none" w:sz="0" w:space="0" w:color="auto"/>
          </w:divBdr>
        </w:div>
        <w:div w:id="578906105">
          <w:marLeft w:val="0"/>
          <w:marRight w:val="0"/>
          <w:marTop w:val="0"/>
          <w:marBottom w:val="0"/>
          <w:divBdr>
            <w:top w:val="none" w:sz="0" w:space="0" w:color="auto"/>
            <w:left w:val="none" w:sz="0" w:space="0" w:color="auto"/>
            <w:bottom w:val="none" w:sz="0" w:space="0" w:color="auto"/>
            <w:right w:val="none" w:sz="0" w:space="0" w:color="auto"/>
          </w:divBdr>
        </w:div>
        <w:div w:id="583615273">
          <w:marLeft w:val="0"/>
          <w:marRight w:val="0"/>
          <w:marTop w:val="0"/>
          <w:marBottom w:val="0"/>
          <w:divBdr>
            <w:top w:val="none" w:sz="0" w:space="0" w:color="auto"/>
            <w:left w:val="none" w:sz="0" w:space="0" w:color="auto"/>
            <w:bottom w:val="none" w:sz="0" w:space="0" w:color="auto"/>
            <w:right w:val="none" w:sz="0" w:space="0" w:color="auto"/>
          </w:divBdr>
        </w:div>
        <w:div w:id="585263247">
          <w:marLeft w:val="0"/>
          <w:marRight w:val="0"/>
          <w:marTop w:val="0"/>
          <w:marBottom w:val="0"/>
          <w:divBdr>
            <w:top w:val="none" w:sz="0" w:space="0" w:color="auto"/>
            <w:left w:val="none" w:sz="0" w:space="0" w:color="auto"/>
            <w:bottom w:val="none" w:sz="0" w:space="0" w:color="auto"/>
            <w:right w:val="none" w:sz="0" w:space="0" w:color="auto"/>
          </w:divBdr>
        </w:div>
        <w:div w:id="631326400">
          <w:marLeft w:val="0"/>
          <w:marRight w:val="0"/>
          <w:marTop w:val="0"/>
          <w:marBottom w:val="0"/>
          <w:divBdr>
            <w:top w:val="none" w:sz="0" w:space="0" w:color="auto"/>
            <w:left w:val="none" w:sz="0" w:space="0" w:color="auto"/>
            <w:bottom w:val="none" w:sz="0" w:space="0" w:color="auto"/>
            <w:right w:val="none" w:sz="0" w:space="0" w:color="auto"/>
          </w:divBdr>
        </w:div>
        <w:div w:id="650258512">
          <w:marLeft w:val="0"/>
          <w:marRight w:val="0"/>
          <w:marTop w:val="0"/>
          <w:marBottom w:val="0"/>
          <w:divBdr>
            <w:top w:val="none" w:sz="0" w:space="0" w:color="auto"/>
            <w:left w:val="none" w:sz="0" w:space="0" w:color="auto"/>
            <w:bottom w:val="none" w:sz="0" w:space="0" w:color="auto"/>
            <w:right w:val="none" w:sz="0" w:space="0" w:color="auto"/>
          </w:divBdr>
        </w:div>
        <w:div w:id="662508660">
          <w:marLeft w:val="0"/>
          <w:marRight w:val="0"/>
          <w:marTop w:val="0"/>
          <w:marBottom w:val="0"/>
          <w:divBdr>
            <w:top w:val="none" w:sz="0" w:space="0" w:color="auto"/>
            <w:left w:val="none" w:sz="0" w:space="0" w:color="auto"/>
            <w:bottom w:val="none" w:sz="0" w:space="0" w:color="auto"/>
            <w:right w:val="none" w:sz="0" w:space="0" w:color="auto"/>
          </w:divBdr>
        </w:div>
        <w:div w:id="685064087">
          <w:marLeft w:val="0"/>
          <w:marRight w:val="0"/>
          <w:marTop w:val="0"/>
          <w:marBottom w:val="0"/>
          <w:divBdr>
            <w:top w:val="none" w:sz="0" w:space="0" w:color="auto"/>
            <w:left w:val="none" w:sz="0" w:space="0" w:color="auto"/>
            <w:bottom w:val="none" w:sz="0" w:space="0" w:color="auto"/>
            <w:right w:val="none" w:sz="0" w:space="0" w:color="auto"/>
          </w:divBdr>
        </w:div>
        <w:div w:id="715856218">
          <w:marLeft w:val="0"/>
          <w:marRight w:val="0"/>
          <w:marTop w:val="0"/>
          <w:marBottom w:val="0"/>
          <w:divBdr>
            <w:top w:val="none" w:sz="0" w:space="0" w:color="auto"/>
            <w:left w:val="none" w:sz="0" w:space="0" w:color="auto"/>
            <w:bottom w:val="none" w:sz="0" w:space="0" w:color="auto"/>
            <w:right w:val="none" w:sz="0" w:space="0" w:color="auto"/>
          </w:divBdr>
        </w:div>
        <w:div w:id="725757427">
          <w:marLeft w:val="0"/>
          <w:marRight w:val="0"/>
          <w:marTop w:val="0"/>
          <w:marBottom w:val="0"/>
          <w:divBdr>
            <w:top w:val="none" w:sz="0" w:space="0" w:color="auto"/>
            <w:left w:val="none" w:sz="0" w:space="0" w:color="auto"/>
            <w:bottom w:val="none" w:sz="0" w:space="0" w:color="auto"/>
            <w:right w:val="none" w:sz="0" w:space="0" w:color="auto"/>
          </w:divBdr>
        </w:div>
        <w:div w:id="733088149">
          <w:marLeft w:val="0"/>
          <w:marRight w:val="0"/>
          <w:marTop w:val="0"/>
          <w:marBottom w:val="0"/>
          <w:divBdr>
            <w:top w:val="none" w:sz="0" w:space="0" w:color="auto"/>
            <w:left w:val="none" w:sz="0" w:space="0" w:color="auto"/>
            <w:bottom w:val="none" w:sz="0" w:space="0" w:color="auto"/>
            <w:right w:val="none" w:sz="0" w:space="0" w:color="auto"/>
          </w:divBdr>
        </w:div>
        <w:div w:id="747267947">
          <w:marLeft w:val="0"/>
          <w:marRight w:val="0"/>
          <w:marTop w:val="0"/>
          <w:marBottom w:val="0"/>
          <w:divBdr>
            <w:top w:val="none" w:sz="0" w:space="0" w:color="auto"/>
            <w:left w:val="none" w:sz="0" w:space="0" w:color="auto"/>
            <w:bottom w:val="none" w:sz="0" w:space="0" w:color="auto"/>
            <w:right w:val="none" w:sz="0" w:space="0" w:color="auto"/>
          </w:divBdr>
        </w:div>
        <w:div w:id="757752180">
          <w:marLeft w:val="0"/>
          <w:marRight w:val="0"/>
          <w:marTop w:val="0"/>
          <w:marBottom w:val="0"/>
          <w:divBdr>
            <w:top w:val="none" w:sz="0" w:space="0" w:color="auto"/>
            <w:left w:val="none" w:sz="0" w:space="0" w:color="auto"/>
            <w:bottom w:val="none" w:sz="0" w:space="0" w:color="auto"/>
            <w:right w:val="none" w:sz="0" w:space="0" w:color="auto"/>
          </w:divBdr>
        </w:div>
        <w:div w:id="788546534">
          <w:marLeft w:val="0"/>
          <w:marRight w:val="0"/>
          <w:marTop w:val="0"/>
          <w:marBottom w:val="0"/>
          <w:divBdr>
            <w:top w:val="none" w:sz="0" w:space="0" w:color="auto"/>
            <w:left w:val="none" w:sz="0" w:space="0" w:color="auto"/>
            <w:bottom w:val="none" w:sz="0" w:space="0" w:color="auto"/>
            <w:right w:val="none" w:sz="0" w:space="0" w:color="auto"/>
          </w:divBdr>
        </w:div>
        <w:div w:id="817497129">
          <w:marLeft w:val="0"/>
          <w:marRight w:val="0"/>
          <w:marTop w:val="0"/>
          <w:marBottom w:val="0"/>
          <w:divBdr>
            <w:top w:val="none" w:sz="0" w:space="0" w:color="auto"/>
            <w:left w:val="none" w:sz="0" w:space="0" w:color="auto"/>
            <w:bottom w:val="none" w:sz="0" w:space="0" w:color="auto"/>
            <w:right w:val="none" w:sz="0" w:space="0" w:color="auto"/>
          </w:divBdr>
        </w:div>
        <w:div w:id="852911725">
          <w:marLeft w:val="0"/>
          <w:marRight w:val="0"/>
          <w:marTop w:val="0"/>
          <w:marBottom w:val="0"/>
          <w:divBdr>
            <w:top w:val="none" w:sz="0" w:space="0" w:color="auto"/>
            <w:left w:val="none" w:sz="0" w:space="0" w:color="auto"/>
            <w:bottom w:val="none" w:sz="0" w:space="0" w:color="auto"/>
            <w:right w:val="none" w:sz="0" w:space="0" w:color="auto"/>
          </w:divBdr>
        </w:div>
        <w:div w:id="860781005">
          <w:marLeft w:val="0"/>
          <w:marRight w:val="0"/>
          <w:marTop w:val="0"/>
          <w:marBottom w:val="0"/>
          <w:divBdr>
            <w:top w:val="none" w:sz="0" w:space="0" w:color="auto"/>
            <w:left w:val="none" w:sz="0" w:space="0" w:color="auto"/>
            <w:bottom w:val="none" w:sz="0" w:space="0" w:color="auto"/>
            <w:right w:val="none" w:sz="0" w:space="0" w:color="auto"/>
          </w:divBdr>
        </w:div>
        <w:div w:id="881592849">
          <w:marLeft w:val="0"/>
          <w:marRight w:val="0"/>
          <w:marTop w:val="0"/>
          <w:marBottom w:val="0"/>
          <w:divBdr>
            <w:top w:val="none" w:sz="0" w:space="0" w:color="auto"/>
            <w:left w:val="none" w:sz="0" w:space="0" w:color="auto"/>
            <w:bottom w:val="none" w:sz="0" w:space="0" w:color="auto"/>
            <w:right w:val="none" w:sz="0" w:space="0" w:color="auto"/>
          </w:divBdr>
        </w:div>
        <w:div w:id="895746915">
          <w:marLeft w:val="0"/>
          <w:marRight w:val="0"/>
          <w:marTop w:val="0"/>
          <w:marBottom w:val="0"/>
          <w:divBdr>
            <w:top w:val="none" w:sz="0" w:space="0" w:color="auto"/>
            <w:left w:val="none" w:sz="0" w:space="0" w:color="auto"/>
            <w:bottom w:val="none" w:sz="0" w:space="0" w:color="auto"/>
            <w:right w:val="none" w:sz="0" w:space="0" w:color="auto"/>
          </w:divBdr>
        </w:div>
        <w:div w:id="944462919">
          <w:marLeft w:val="0"/>
          <w:marRight w:val="0"/>
          <w:marTop w:val="0"/>
          <w:marBottom w:val="0"/>
          <w:divBdr>
            <w:top w:val="none" w:sz="0" w:space="0" w:color="auto"/>
            <w:left w:val="none" w:sz="0" w:space="0" w:color="auto"/>
            <w:bottom w:val="none" w:sz="0" w:space="0" w:color="auto"/>
            <w:right w:val="none" w:sz="0" w:space="0" w:color="auto"/>
          </w:divBdr>
        </w:div>
        <w:div w:id="955673174">
          <w:marLeft w:val="0"/>
          <w:marRight w:val="0"/>
          <w:marTop w:val="0"/>
          <w:marBottom w:val="0"/>
          <w:divBdr>
            <w:top w:val="none" w:sz="0" w:space="0" w:color="auto"/>
            <w:left w:val="none" w:sz="0" w:space="0" w:color="auto"/>
            <w:bottom w:val="none" w:sz="0" w:space="0" w:color="auto"/>
            <w:right w:val="none" w:sz="0" w:space="0" w:color="auto"/>
          </w:divBdr>
        </w:div>
        <w:div w:id="971521169">
          <w:marLeft w:val="0"/>
          <w:marRight w:val="0"/>
          <w:marTop w:val="0"/>
          <w:marBottom w:val="0"/>
          <w:divBdr>
            <w:top w:val="none" w:sz="0" w:space="0" w:color="auto"/>
            <w:left w:val="none" w:sz="0" w:space="0" w:color="auto"/>
            <w:bottom w:val="none" w:sz="0" w:space="0" w:color="auto"/>
            <w:right w:val="none" w:sz="0" w:space="0" w:color="auto"/>
          </w:divBdr>
        </w:div>
        <w:div w:id="997684220">
          <w:marLeft w:val="0"/>
          <w:marRight w:val="0"/>
          <w:marTop w:val="0"/>
          <w:marBottom w:val="0"/>
          <w:divBdr>
            <w:top w:val="none" w:sz="0" w:space="0" w:color="auto"/>
            <w:left w:val="none" w:sz="0" w:space="0" w:color="auto"/>
            <w:bottom w:val="none" w:sz="0" w:space="0" w:color="auto"/>
            <w:right w:val="none" w:sz="0" w:space="0" w:color="auto"/>
          </w:divBdr>
        </w:div>
        <w:div w:id="1054235938">
          <w:marLeft w:val="0"/>
          <w:marRight w:val="0"/>
          <w:marTop w:val="0"/>
          <w:marBottom w:val="0"/>
          <w:divBdr>
            <w:top w:val="none" w:sz="0" w:space="0" w:color="auto"/>
            <w:left w:val="none" w:sz="0" w:space="0" w:color="auto"/>
            <w:bottom w:val="none" w:sz="0" w:space="0" w:color="auto"/>
            <w:right w:val="none" w:sz="0" w:space="0" w:color="auto"/>
          </w:divBdr>
        </w:div>
        <w:div w:id="1062370516">
          <w:marLeft w:val="0"/>
          <w:marRight w:val="0"/>
          <w:marTop w:val="0"/>
          <w:marBottom w:val="0"/>
          <w:divBdr>
            <w:top w:val="none" w:sz="0" w:space="0" w:color="auto"/>
            <w:left w:val="none" w:sz="0" w:space="0" w:color="auto"/>
            <w:bottom w:val="none" w:sz="0" w:space="0" w:color="auto"/>
            <w:right w:val="none" w:sz="0" w:space="0" w:color="auto"/>
          </w:divBdr>
        </w:div>
        <w:div w:id="1078401524">
          <w:marLeft w:val="0"/>
          <w:marRight w:val="0"/>
          <w:marTop w:val="0"/>
          <w:marBottom w:val="0"/>
          <w:divBdr>
            <w:top w:val="none" w:sz="0" w:space="0" w:color="auto"/>
            <w:left w:val="none" w:sz="0" w:space="0" w:color="auto"/>
            <w:bottom w:val="none" w:sz="0" w:space="0" w:color="auto"/>
            <w:right w:val="none" w:sz="0" w:space="0" w:color="auto"/>
          </w:divBdr>
        </w:div>
        <w:div w:id="1090198414">
          <w:marLeft w:val="0"/>
          <w:marRight w:val="0"/>
          <w:marTop w:val="0"/>
          <w:marBottom w:val="0"/>
          <w:divBdr>
            <w:top w:val="none" w:sz="0" w:space="0" w:color="auto"/>
            <w:left w:val="none" w:sz="0" w:space="0" w:color="auto"/>
            <w:bottom w:val="none" w:sz="0" w:space="0" w:color="auto"/>
            <w:right w:val="none" w:sz="0" w:space="0" w:color="auto"/>
          </w:divBdr>
        </w:div>
        <w:div w:id="1094664634">
          <w:marLeft w:val="0"/>
          <w:marRight w:val="0"/>
          <w:marTop w:val="0"/>
          <w:marBottom w:val="0"/>
          <w:divBdr>
            <w:top w:val="none" w:sz="0" w:space="0" w:color="auto"/>
            <w:left w:val="none" w:sz="0" w:space="0" w:color="auto"/>
            <w:bottom w:val="none" w:sz="0" w:space="0" w:color="auto"/>
            <w:right w:val="none" w:sz="0" w:space="0" w:color="auto"/>
          </w:divBdr>
        </w:div>
        <w:div w:id="1146434250">
          <w:marLeft w:val="0"/>
          <w:marRight w:val="0"/>
          <w:marTop w:val="0"/>
          <w:marBottom w:val="0"/>
          <w:divBdr>
            <w:top w:val="none" w:sz="0" w:space="0" w:color="auto"/>
            <w:left w:val="none" w:sz="0" w:space="0" w:color="auto"/>
            <w:bottom w:val="none" w:sz="0" w:space="0" w:color="auto"/>
            <w:right w:val="none" w:sz="0" w:space="0" w:color="auto"/>
          </w:divBdr>
        </w:div>
        <w:div w:id="1149521685">
          <w:marLeft w:val="0"/>
          <w:marRight w:val="0"/>
          <w:marTop w:val="0"/>
          <w:marBottom w:val="0"/>
          <w:divBdr>
            <w:top w:val="none" w:sz="0" w:space="0" w:color="auto"/>
            <w:left w:val="none" w:sz="0" w:space="0" w:color="auto"/>
            <w:bottom w:val="none" w:sz="0" w:space="0" w:color="auto"/>
            <w:right w:val="none" w:sz="0" w:space="0" w:color="auto"/>
          </w:divBdr>
        </w:div>
        <w:div w:id="1151554496">
          <w:marLeft w:val="0"/>
          <w:marRight w:val="0"/>
          <w:marTop w:val="0"/>
          <w:marBottom w:val="0"/>
          <w:divBdr>
            <w:top w:val="none" w:sz="0" w:space="0" w:color="auto"/>
            <w:left w:val="none" w:sz="0" w:space="0" w:color="auto"/>
            <w:bottom w:val="none" w:sz="0" w:space="0" w:color="auto"/>
            <w:right w:val="none" w:sz="0" w:space="0" w:color="auto"/>
          </w:divBdr>
        </w:div>
        <w:div w:id="1175997990">
          <w:marLeft w:val="0"/>
          <w:marRight w:val="0"/>
          <w:marTop w:val="0"/>
          <w:marBottom w:val="0"/>
          <w:divBdr>
            <w:top w:val="none" w:sz="0" w:space="0" w:color="auto"/>
            <w:left w:val="none" w:sz="0" w:space="0" w:color="auto"/>
            <w:bottom w:val="none" w:sz="0" w:space="0" w:color="auto"/>
            <w:right w:val="none" w:sz="0" w:space="0" w:color="auto"/>
          </w:divBdr>
        </w:div>
        <w:div w:id="1205410708">
          <w:marLeft w:val="0"/>
          <w:marRight w:val="0"/>
          <w:marTop w:val="0"/>
          <w:marBottom w:val="0"/>
          <w:divBdr>
            <w:top w:val="none" w:sz="0" w:space="0" w:color="auto"/>
            <w:left w:val="none" w:sz="0" w:space="0" w:color="auto"/>
            <w:bottom w:val="none" w:sz="0" w:space="0" w:color="auto"/>
            <w:right w:val="none" w:sz="0" w:space="0" w:color="auto"/>
          </w:divBdr>
        </w:div>
        <w:div w:id="1250120002">
          <w:marLeft w:val="0"/>
          <w:marRight w:val="0"/>
          <w:marTop w:val="0"/>
          <w:marBottom w:val="0"/>
          <w:divBdr>
            <w:top w:val="none" w:sz="0" w:space="0" w:color="auto"/>
            <w:left w:val="none" w:sz="0" w:space="0" w:color="auto"/>
            <w:bottom w:val="none" w:sz="0" w:space="0" w:color="auto"/>
            <w:right w:val="none" w:sz="0" w:space="0" w:color="auto"/>
          </w:divBdr>
        </w:div>
        <w:div w:id="1252204228">
          <w:marLeft w:val="0"/>
          <w:marRight w:val="0"/>
          <w:marTop w:val="0"/>
          <w:marBottom w:val="0"/>
          <w:divBdr>
            <w:top w:val="none" w:sz="0" w:space="0" w:color="auto"/>
            <w:left w:val="none" w:sz="0" w:space="0" w:color="auto"/>
            <w:bottom w:val="none" w:sz="0" w:space="0" w:color="auto"/>
            <w:right w:val="none" w:sz="0" w:space="0" w:color="auto"/>
          </w:divBdr>
        </w:div>
        <w:div w:id="1252547889">
          <w:marLeft w:val="0"/>
          <w:marRight w:val="0"/>
          <w:marTop w:val="0"/>
          <w:marBottom w:val="0"/>
          <w:divBdr>
            <w:top w:val="none" w:sz="0" w:space="0" w:color="auto"/>
            <w:left w:val="none" w:sz="0" w:space="0" w:color="auto"/>
            <w:bottom w:val="none" w:sz="0" w:space="0" w:color="auto"/>
            <w:right w:val="none" w:sz="0" w:space="0" w:color="auto"/>
          </w:divBdr>
        </w:div>
        <w:div w:id="1296181605">
          <w:marLeft w:val="0"/>
          <w:marRight w:val="0"/>
          <w:marTop w:val="0"/>
          <w:marBottom w:val="0"/>
          <w:divBdr>
            <w:top w:val="none" w:sz="0" w:space="0" w:color="auto"/>
            <w:left w:val="none" w:sz="0" w:space="0" w:color="auto"/>
            <w:bottom w:val="none" w:sz="0" w:space="0" w:color="auto"/>
            <w:right w:val="none" w:sz="0" w:space="0" w:color="auto"/>
          </w:divBdr>
        </w:div>
        <w:div w:id="1310985257">
          <w:marLeft w:val="0"/>
          <w:marRight w:val="0"/>
          <w:marTop w:val="0"/>
          <w:marBottom w:val="0"/>
          <w:divBdr>
            <w:top w:val="none" w:sz="0" w:space="0" w:color="auto"/>
            <w:left w:val="none" w:sz="0" w:space="0" w:color="auto"/>
            <w:bottom w:val="none" w:sz="0" w:space="0" w:color="auto"/>
            <w:right w:val="none" w:sz="0" w:space="0" w:color="auto"/>
          </w:divBdr>
        </w:div>
        <w:div w:id="1316447970">
          <w:marLeft w:val="0"/>
          <w:marRight w:val="0"/>
          <w:marTop w:val="0"/>
          <w:marBottom w:val="0"/>
          <w:divBdr>
            <w:top w:val="none" w:sz="0" w:space="0" w:color="auto"/>
            <w:left w:val="none" w:sz="0" w:space="0" w:color="auto"/>
            <w:bottom w:val="none" w:sz="0" w:space="0" w:color="auto"/>
            <w:right w:val="none" w:sz="0" w:space="0" w:color="auto"/>
          </w:divBdr>
        </w:div>
        <w:div w:id="1321076040">
          <w:marLeft w:val="0"/>
          <w:marRight w:val="0"/>
          <w:marTop w:val="0"/>
          <w:marBottom w:val="0"/>
          <w:divBdr>
            <w:top w:val="none" w:sz="0" w:space="0" w:color="auto"/>
            <w:left w:val="none" w:sz="0" w:space="0" w:color="auto"/>
            <w:bottom w:val="none" w:sz="0" w:space="0" w:color="auto"/>
            <w:right w:val="none" w:sz="0" w:space="0" w:color="auto"/>
          </w:divBdr>
        </w:div>
        <w:div w:id="1370030778">
          <w:marLeft w:val="0"/>
          <w:marRight w:val="0"/>
          <w:marTop w:val="0"/>
          <w:marBottom w:val="0"/>
          <w:divBdr>
            <w:top w:val="none" w:sz="0" w:space="0" w:color="auto"/>
            <w:left w:val="none" w:sz="0" w:space="0" w:color="auto"/>
            <w:bottom w:val="none" w:sz="0" w:space="0" w:color="auto"/>
            <w:right w:val="none" w:sz="0" w:space="0" w:color="auto"/>
          </w:divBdr>
        </w:div>
        <w:div w:id="1383095102">
          <w:marLeft w:val="0"/>
          <w:marRight w:val="0"/>
          <w:marTop w:val="0"/>
          <w:marBottom w:val="0"/>
          <w:divBdr>
            <w:top w:val="none" w:sz="0" w:space="0" w:color="auto"/>
            <w:left w:val="none" w:sz="0" w:space="0" w:color="auto"/>
            <w:bottom w:val="none" w:sz="0" w:space="0" w:color="auto"/>
            <w:right w:val="none" w:sz="0" w:space="0" w:color="auto"/>
          </w:divBdr>
        </w:div>
        <w:div w:id="1384720401">
          <w:marLeft w:val="0"/>
          <w:marRight w:val="0"/>
          <w:marTop w:val="0"/>
          <w:marBottom w:val="0"/>
          <w:divBdr>
            <w:top w:val="none" w:sz="0" w:space="0" w:color="auto"/>
            <w:left w:val="none" w:sz="0" w:space="0" w:color="auto"/>
            <w:bottom w:val="none" w:sz="0" w:space="0" w:color="auto"/>
            <w:right w:val="none" w:sz="0" w:space="0" w:color="auto"/>
          </w:divBdr>
        </w:div>
        <w:div w:id="1409886492">
          <w:marLeft w:val="0"/>
          <w:marRight w:val="0"/>
          <w:marTop w:val="0"/>
          <w:marBottom w:val="0"/>
          <w:divBdr>
            <w:top w:val="none" w:sz="0" w:space="0" w:color="auto"/>
            <w:left w:val="none" w:sz="0" w:space="0" w:color="auto"/>
            <w:bottom w:val="none" w:sz="0" w:space="0" w:color="auto"/>
            <w:right w:val="none" w:sz="0" w:space="0" w:color="auto"/>
          </w:divBdr>
        </w:div>
        <w:div w:id="1434860369">
          <w:marLeft w:val="0"/>
          <w:marRight w:val="0"/>
          <w:marTop w:val="0"/>
          <w:marBottom w:val="0"/>
          <w:divBdr>
            <w:top w:val="none" w:sz="0" w:space="0" w:color="auto"/>
            <w:left w:val="none" w:sz="0" w:space="0" w:color="auto"/>
            <w:bottom w:val="none" w:sz="0" w:space="0" w:color="auto"/>
            <w:right w:val="none" w:sz="0" w:space="0" w:color="auto"/>
          </w:divBdr>
        </w:div>
        <w:div w:id="1475567207">
          <w:marLeft w:val="-75"/>
          <w:marRight w:val="0"/>
          <w:marTop w:val="30"/>
          <w:marBottom w:val="30"/>
          <w:divBdr>
            <w:top w:val="none" w:sz="0" w:space="0" w:color="auto"/>
            <w:left w:val="none" w:sz="0" w:space="0" w:color="auto"/>
            <w:bottom w:val="none" w:sz="0" w:space="0" w:color="auto"/>
            <w:right w:val="none" w:sz="0" w:space="0" w:color="auto"/>
          </w:divBdr>
          <w:divsChild>
            <w:div w:id="71127882">
              <w:marLeft w:val="0"/>
              <w:marRight w:val="0"/>
              <w:marTop w:val="0"/>
              <w:marBottom w:val="0"/>
              <w:divBdr>
                <w:top w:val="none" w:sz="0" w:space="0" w:color="auto"/>
                <w:left w:val="none" w:sz="0" w:space="0" w:color="auto"/>
                <w:bottom w:val="none" w:sz="0" w:space="0" w:color="auto"/>
                <w:right w:val="none" w:sz="0" w:space="0" w:color="auto"/>
              </w:divBdr>
              <w:divsChild>
                <w:div w:id="1064915583">
                  <w:marLeft w:val="0"/>
                  <w:marRight w:val="0"/>
                  <w:marTop w:val="0"/>
                  <w:marBottom w:val="0"/>
                  <w:divBdr>
                    <w:top w:val="none" w:sz="0" w:space="0" w:color="auto"/>
                    <w:left w:val="none" w:sz="0" w:space="0" w:color="auto"/>
                    <w:bottom w:val="none" w:sz="0" w:space="0" w:color="auto"/>
                    <w:right w:val="none" w:sz="0" w:space="0" w:color="auto"/>
                  </w:divBdr>
                </w:div>
              </w:divsChild>
            </w:div>
            <w:div w:id="112216826">
              <w:marLeft w:val="0"/>
              <w:marRight w:val="0"/>
              <w:marTop w:val="0"/>
              <w:marBottom w:val="0"/>
              <w:divBdr>
                <w:top w:val="none" w:sz="0" w:space="0" w:color="auto"/>
                <w:left w:val="none" w:sz="0" w:space="0" w:color="auto"/>
                <w:bottom w:val="none" w:sz="0" w:space="0" w:color="auto"/>
                <w:right w:val="none" w:sz="0" w:space="0" w:color="auto"/>
              </w:divBdr>
              <w:divsChild>
                <w:div w:id="1564289157">
                  <w:marLeft w:val="0"/>
                  <w:marRight w:val="0"/>
                  <w:marTop w:val="0"/>
                  <w:marBottom w:val="0"/>
                  <w:divBdr>
                    <w:top w:val="none" w:sz="0" w:space="0" w:color="auto"/>
                    <w:left w:val="none" w:sz="0" w:space="0" w:color="auto"/>
                    <w:bottom w:val="none" w:sz="0" w:space="0" w:color="auto"/>
                    <w:right w:val="none" w:sz="0" w:space="0" w:color="auto"/>
                  </w:divBdr>
                </w:div>
              </w:divsChild>
            </w:div>
            <w:div w:id="167213522">
              <w:marLeft w:val="0"/>
              <w:marRight w:val="0"/>
              <w:marTop w:val="0"/>
              <w:marBottom w:val="0"/>
              <w:divBdr>
                <w:top w:val="none" w:sz="0" w:space="0" w:color="auto"/>
                <w:left w:val="none" w:sz="0" w:space="0" w:color="auto"/>
                <w:bottom w:val="none" w:sz="0" w:space="0" w:color="auto"/>
                <w:right w:val="none" w:sz="0" w:space="0" w:color="auto"/>
              </w:divBdr>
              <w:divsChild>
                <w:div w:id="1995336215">
                  <w:marLeft w:val="0"/>
                  <w:marRight w:val="0"/>
                  <w:marTop w:val="0"/>
                  <w:marBottom w:val="0"/>
                  <w:divBdr>
                    <w:top w:val="none" w:sz="0" w:space="0" w:color="auto"/>
                    <w:left w:val="none" w:sz="0" w:space="0" w:color="auto"/>
                    <w:bottom w:val="none" w:sz="0" w:space="0" w:color="auto"/>
                    <w:right w:val="none" w:sz="0" w:space="0" w:color="auto"/>
                  </w:divBdr>
                </w:div>
              </w:divsChild>
            </w:div>
            <w:div w:id="235095271">
              <w:marLeft w:val="0"/>
              <w:marRight w:val="0"/>
              <w:marTop w:val="0"/>
              <w:marBottom w:val="0"/>
              <w:divBdr>
                <w:top w:val="none" w:sz="0" w:space="0" w:color="auto"/>
                <w:left w:val="none" w:sz="0" w:space="0" w:color="auto"/>
                <w:bottom w:val="none" w:sz="0" w:space="0" w:color="auto"/>
                <w:right w:val="none" w:sz="0" w:space="0" w:color="auto"/>
              </w:divBdr>
              <w:divsChild>
                <w:div w:id="764888473">
                  <w:marLeft w:val="0"/>
                  <w:marRight w:val="0"/>
                  <w:marTop w:val="0"/>
                  <w:marBottom w:val="0"/>
                  <w:divBdr>
                    <w:top w:val="none" w:sz="0" w:space="0" w:color="auto"/>
                    <w:left w:val="none" w:sz="0" w:space="0" w:color="auto"/>
                    <w:bottom w:val="none" w:sz="0" w:space="0" w:color="auto"/>
                    <w:right w:val="none" w:sz="0" w:space="0" w:color="auto"/>
                  </w:divBdr>
                </w:div>
              </w:divsChild>
            </w:div>
            <w:div w:id="368652088">
              <w:marLeft w:val="0"/>
              <w:marRight w:val="0"/>
              <w:marTop w:val="0"/>
              <w:marBottom w:val="0"/>
              <w:divBdr>
                <w:top w:val="none" w:sz="0" w:space="0" w:color="auto"/>
                <w:left w:val="none" w:sz="0" w:space="0" w:color="auto"/>
                <w:bottom w:val="none" w:sz="0" w:space="0" w:color="auto"/>
                <w:right w:val="none" w:sz="0" w:space="0" w:color="auto"/>
              </w:divBdr>
              <w:divsChild>
                <w:div w:id="2035111155">
                  <w:marLeft w:val="0"/>
                  <w:marRight w:val="0"/>
                  <w:marTop w:val="0"/>
                  <w:marBottom w:val="0"/>
                  <w:divBdr>
                    <w:top w:val="none" w:sz="0" w:space="0" w:color="auto"/>
                    <w:left w:val="none" w:sz="0" w:space="0" w:color="auto"/>
                    <w:bottom w:val="none" w:sz="0" w:space="0" w:color="auto"/>
                    <w:right w:val="none" w:sz="0" w:space="0" w:color="auto"/>
                  </w:divBdr>
                </w:div>
              </w:divsChild>
            </w:div>
            <w:div w:id="441996632">
              <w:marLeft w:val="0"/>
              <w:marRight w:val="0"/>
              <w:marTop w:val="0"/>
              <w:marBottom w:val="0"/>
              <w:divBdr>
                <w:top w:val="none" w:sz="0" w:space="0" w:color="auto"/>
                <w:left w:val="none" w:sz="0" w:space="0" w:color="auto"/>
                <w:bottom w:val="none" w:sz="0" w:space="0" w:color="auto"/>
                <w:right w:val="none" w:sz="0" w:space="0" w:color="auto"/>
              </w:divBdr>
              <w:divsChild>
                <w:div w:id="418409917">
                  <w:marLeft w:val="0"/>
                  <w:marRight w:val="0"/>
                  <w:marTop w:val="0"/>
                  <w:marBottom w:val="0"/>
                  <w:divBdr>
                    <w:top w:val="none" w:sz="0" w:space="0" w:color="auto"/>
                    <w:left w:val="none" w:sz="0" w:space="0" w:color="auto"/>
                    <w:bottom w:val="none" w:sz="0" w:space="0" w:color="auto"/>
                    <w:right w:val="none" w:sz="0" w:space="0" w:color="auto"/>
                  </w:divBdr>
                </w:div>
              </w:divsChild>
            </w:div>
            <w:div w:id="671377554">
              <w:marLeft w:val="0"/>
              <w:marRight w:val="0"/>
              <w:marTop w:val="0"/>
              <w:marBottom w:val="0"/>
              <w:divBdr>
                <w:top w:val="none" w:sz="0" w:space="0" w:color="auto"/>
                <w:left w:val="none" w:sz="0" w:space="0" w:color="auto"/>
                <w:bottom w:val="none" w:sz="0" w:space="0" w:color="auto"/>
                <w:right w:val="none" w:sz="0" w:space="0" w:color="auto"/>
              </w:divBdr>
              <w:divsChild>
                <w:div w:id="158622404">
                  <w:marLeft w:val="0"/>
                  <w:marRight w:val="0"/>
                  <w:marTop w:val="0"/>
                  <w:marBottom w:val="0"/>
                  <w:divBdr>
                    <w:top w:val="none" w:sz="0" w:space="0" w:color="auto"/>
                    <w:left w:val="none" w:sz="0" w:space="0" w:color="auto"/>
                    <w:bottom w:val="none" w:sz="0" w:space="0" w:color="auto"/>
                    <w:right w:val="none" w:sz="0" w:space="0" w:color="auto"/>
                  </w:divBdr>
                </w:div>
                <w:div w:id="1731609108">
                  <w:marLeft w:val="0"/>
                  <w:marRight w:val="0"/>
                  <w:marTop w:val="0"/>
                  <w:marBottom w:val="0"/>
                  <w:divBdr>
                    <w:top w:val="none" w:sz="0" w:space="0" w:color="auto"/>
                    <w:left w:val="none" w:sz="0" w:space="0" w:color="auto"/>
                    <w:bottom w:val="none" w:sz="0" w:space="0" w:color="auto"/>
                    <w:right w:val="none" w:sz="0" w:space="0" w:color="auto"/>
                  </w:divBdr>
                </w:div>
              </w:divsChild>
            </w:div>
            <w:div w:id="692222419">
              <w:marLeft w:val="0"/>
              <w:marRight w:val="0"/>
              <w:marTop w:val="0"/>
              <w:marBottom w:val="0"/>
              <w:divBdr>
                <w:top w:val="none" w:sz="0" w:space="0" w:color="auto"/>
                <w:left w:val="none" w:sz="0" w:space="0" w:color="auto"/>
                <w:bottom w:val="none" w:sz="0" w:space="0" w:color="auto"/>
                <w:right w:val="none" w:sz="0" w:space="0" w:color="auto"/>
              </w:divBdr>
              <w:divsChild>
                <w:div w:id="311376574">
                  <w:marLeft w:val="0"/>
                  <w:marRight w:val="0"/>
                  <w:marTop w:val="0"/>
                  <w:marBottom w:val="0"/>
                  <w:divBdr>
                    <w:top w:val="none" w:sz="0" w:space="0" w:color="auto"/>
                    <w:left w:val="none" w:sz="0" w:space="0" w:color="auto"/>
                    <w:bottom w:val="none" w:sz="0" w:space="0" w:color="auto"/>
                    <w:right w:val="none" w:sz="0" w:space="0" w:color="auto"/>
                  </w:divBdr>
                </w:div>
              </w:divsChild>
            </w:div>
            <w:div w:id="758409863">
              <w:marLeft w:val="0"/>
              <w:marRight w:val="0"/>
              <w:marTop w:val="0"/>
              <w:marBottom w:val="0"/>
              <w:divBdr>
                <w:top w:val="none" w:sz="0" w:space="0" w:color="auto"/>
                <w:left w:val="none" w:sz="0" w:space="0" w:color="auto"/>
                <w:bottom w:val="none" w:sz="0" w:space="0" w:color="auto"/>
                <w:right w:val="none" w:sz="0" w:space="0" w:color="auto"/>
              </w:divBdr>
              <w:divsChild>
                <w:div w:id="1387682426">
                  <w:marLeft w:val="0"/>
                  <w:marRight w:val="0"/>
                  <w:marTop w:val="0"/>
                  <w:marBottom w:val="0"/>
                  <w:divBdr>
                    <w:top w:val="none" w:sz="0" w:space="0" w:color="auto"/>
                    <w:left w:val="none" w:sz="0" w:space="0" w:color="auto"/>
                    <w:bottom w:val="none" w:sz="0" w:space="0" w:color="auto"/>
                    <w:right w:val="none" w:sz="0" w:space="0" w:color="auto"/>
                  </w:divBdr>
                </w:div>
              </w:divsChild>
            </w:div>
            <w:div w:id="789862359">
              <w:marLeft w:val="0"/>
              <w:marRight w:val="0"/>
              <w:marTop w:val="0"/>
              <w:marBottom w:val="0"/>
              <w:divBdr>
                <w:top w:val="none" w:sz="0" w:space="0" w:color="auto"/>
                <w:left w:val="none" w:sz="0" w:space="0" w:color="auto"/>
                <w:bottom w:val="none" w:sz="0" w:space="0" w:color="auto"/>
                <w:right w:val="none" w:sz="0" w:space="0" w:color="auto"/>
              </w:divBdr>
              <w:divsChild>
                <w:div w:id="238944771">
                  <w:marLeft w:val="0"/>
                  <w:marRight w:val="0"/>
                  <w:marTop w:val="0"/>
                  <w:marBottom w:val="0"/>
                  <w:divBdr>
                    <w:top w:val="none" w:sz="0" w:space="0" w:color="auto"/>
                    <w:left w:val="none" w:sz="0" w:space="0" w:color="auto"/>
                    <w:bottom w:val="none" w:sz="0" w:space="0" w:color="auto"/>
                    <w:right w:val="none" w:sz="0" w:space="0" w:color="auto"/>
                  </w:divBdr>
                </w:div>
                <w:div w:id="1106921912">
                  <w:marLeft w:val="0"/>
                  <w:marRight w:val="0"/>
                  <w:marTop w:val="0"/>
                  <w:marBottom w:val="0"/>
                  <w:divBdr>
                    <w:top w:val="none" w:sz="0" w:space="0" w:color="auto"/>
                    <w:left w:val="none" w:sz="0" w:space="0" w:color="auto"/>
                    <w:bottom w:val="none" w:sz="0" w:space="0" w:color="auto"/>
                    <w:right w:val="none" w:sz="0" w:space="0" w:color="auto"/>
                  </w:divBdr>
                </w:div>
              </w:divsChild>
            </w:div>
            <w:div w:id="888880709">
              <w:marLeft w:val="0"/>
              <w:marRight w:val="0"/>
              <w:marTop w:val="0"/>
              <w:marBottom w:val="0"/>
              <w:divBdr>
                <w:top w:val="none" w:sz="0" w:space="0" w:color="auto"/>
                <w:left w:val="none" w:sz="0" w:space="0" w:color="auto"/>
                <w:bottom w:val="none" w:sz="0" w:space="0" w:color="auto"/>
                <w:right w:val="none" w:sz="0" w:space="0" w:color="auto"/>
              </w:divBdr>
              <w:divsChild>
                <w:div w:id="911349896">
                  <w:marLeft w:val="0"/>
                  <w:marRight w:val="0"/>
                  <w:marTop w:val="0"/>
                  <w:marBottom w:val="0"/>
                  <w:divBdr>
                    <w:top w:val="none" w:sz="0" w:space="0" w:color="auto"/>
                    <w:left w:val="none" w:sz="0" w:space="0" w:color="auto"/>
                    <w:bottom w:val="none" w:sz="0" w:space="0" w:color="auto"/>
                    <w:right w:val="none" w:sz="0" w:space="0" w:color="auto"/>
                  </w:divBdr>
                </w:div>
              </w:divsChild>
            </w:div>
            <w:div w:id="893738695">
              <w:marLeft w:val="0"/>
              <w:marRight w:val="0"/>
              <w:marTop w:val="0"/>
              <w:marBottom w:val="0"/>
              <w:divBdr>
                <w:top w:val="none" w:sz="0" w:space="0" w:color="auto"/>
                <w:left w:val="none" w:sz="0" w:space="0" w:color="auto"/>
                <w:bottom w:val="none" w:sz="0" w:space="0" w:color="auto"/>
                <w:right w:val="none" w:sz="0" w:space="0" w:color="auto"/>
              </w:divBdr>
              <w:divsChild>
                <w:div w:id="1779179974">
                  <w:marLeft w:val="0"/>
                  <w:marRight w:val="0"/>
                  <w:marTop w:val="0"/>
                  <w:marBottom w:val="0"/>
                  <w:divBdr>
                    <w:top w:val="none" w:sz="0" w:space="0" w:color="auto"/>
                    <w:left w:val="none" w:sz="0" w:space="0" w:color="auto"/>
                    <w:bottom w:val="none" w:sz="0" w:space="0" w:color="auto"/>
                    <w:right w:val="none" w:sz="0" w:space="0" w:color="auto"/>
                  </w:divBdr>
                </w:div>
              </w:divsChild>
            </w:div>
            <w:div w:id="1132407610">
              <w:marLeft w:val="0"/>
              <w:marRight w:val="0"/>
              <w:marTop w:val="0"/>
              <w:marBottom w:val="0"/>
              <w:divBdr>
                <w:top w:val="none" w:sz="0" w:space="0" w:color="auto"/>
                <w:left w:val="none" w:sz="0" w:space="0" w:color="auto"/>
                <w:bottom w:val="none" w:sz="0" w:space="0" w:color="auto"/>
                <w:right w:val="none" w:sz="0" w:space="0" w:color="auto"/>
              </w:divBdr>
              <w:divsChild>
                <w:div w:id="924218882">
                  <w:marLeft w:val="0"/>
                  <w:marRight w:val="0"/>
                  <w:marTop w:val="0"/>
                  <w:marBottom w:val="0"/>
                  <w:divBdr>
                    <w:top w:val="none" w:sz="0" w:space="0" w:color="auto"/>
                    <w:left w:val="none" w:sz="0" w:space="0" w:color="auto"/>
                    <w:bottom w:val="none" w:sz="0" w:space="0" w:color="auto"/>
                    <w:right w:val="none" w:sz="0" w:space="0" w:color="auto"/>
                  </w:divBdr>
                </w:div>
              </w:divsChild>
            </w:div>
            <w:div w:id="1143766170">
              <w:marLeft w:val="0"/>
              <w:marRight w:val="0"/>
              <w:marTop w:val="0"/>
              <w:marBottom w:val="0"/>
              <w:divBdr>
                <w:top w:val="none" w:sz="0" w:space="0" w:color="auto"/>
                <w:left w:val="none" w:sz="0" w:space="0" w:color="auto"/>
                <w:bottom w:val="none" w:sz="0" w:space="0" w:color="auto"/>
                <w:right w:val="none" w:sz="0" w:space="0" w:color="auto"/>
              </w:divBdr>
              <w:divsChild>
                <w:div w:id="1963152682">
                  <w:marLeft w:val="0"/>
                  <w:marRight w:val="0"/>
                  <w:marTop w:val="0"/>
                  <w:marBottom w:val="0"/>
                  <w:divBdr>
                    <w:top w:val="none" w:sz="0" w:space="0" w:color="auto"/>
                    <w:left w:val="none" w:sz="0" w:space="0" w:color="auto"/>
                    <w:bottom w:val="none" w:sz="0" w:space="0" w:color="auto"/>
                    <w:right w:val="none" w:sz="0" w:space="0" w:color="auto"/>
                  </w:divBdr>
                </w:div>
              </w:divsChild>
            </w:div>
            <w:div w:id="1275748088">
              <w:marLeft w:val="0"/>
              <w:marRight w:val="0"/>
              <w:marTop w:val="0"/>
              <w:marBottom w:val="0"/>
              <w:divBdr>
                <w:top w:val="none" w:sz="0" w:space="0" w:color="auto"/>
                <w:left w:val="none" w:sz="0" w:space="0" w:color="auto"/>
                <w:bottom w:val="none" w:sz="0" w:space="0" w:color="auto"/>
                <w:right w:val="none" w:sz="0" w:space="0" w:color="auto"/>
              </w:divBdr>
              <w:divsChild>
                <w:div w:id="1106924905">
                  <w:marLeft w:val="0"/>
                  <w:marRight w:val="0"/>
                  <w:marTop w:val="0"/>
                  <w:marBottom w:val="0"/>
                  <w:divBdr>
                    <w:top w:val="none" w:sz="0" w:space="0" w:color="auto"/>
                    <w:left w:val="none" w:sz="0" w:space="0" w:color="auto"/>
                    <w:bottom w:val="none" w:sz="0" w:space="0" w:color="auto"/>
                    <w:right w:val="none" w:sz="0" w:space="0" w:color="auto"/>
                  </w:divBdr>
                </w:div>
              </w:divsChild>
            </w:div>
            <w:div w:id="1328903598">
              <w:marLeft w:val="0"/>
              <w:marRight w:val="0"/>
              <w:marTop w:val="0"/>
              <w:marBottom w:val="0"/>
              <w:divBdr>
                <w:top w:val="none" w:sz="0" w:space="0" w:color="auto"/>
                <w:left w:val="none" w:sz="0" w:space="0" w:color="auto"/>
                <w:bottom w:val="none" w:sz="0" w:space="0" w:color="auto"/>
                <w:right w:val="none" w:sz="0" w:space="0" w:color="auto"/>
              </w:divBdr>
              <w:divsChild>
                <w:div w:id="1866870813">
                  <w:marLeft w:val="0"/>
                  <w:marRight w:val="0"/>
                  <w:marTop w:val="0"/>
                  <w:marBottom w:val="0"/>
                  <w:divBdr>
                    <w:top w:val="none" w:sz="0" w:space="0" w:color="auto"/>
                    <w:left w:val="none" w:sz="0" w:space="0" w:color="auto"/>
                    <w:bottom w:val="none" w:sz="0" w:space="0" w:color="auto"/>
                    <w:right w:val="none" w:sz="0" w:space="0" w:color="auto"/>
                  </w:divBdr>
                </w:div>
              </w:divsChild>
            </w:div>
            <w:div w:id="1359623370">
              <w:marLeft w:val="0"/>
              <w:marRight w:val="0"/>
              <w:marTop w:val="0"/>
              <w:marBottom w:val="0"/>
              <w:divBdr>
                <w:top w:val="none" w:sz="0" w:space="0" w:color="auto"/>
                <w:left w:val="none" w:sz="0" w:space="0" w:color="auto"/>
                <w:bottom w:val="none" w:sz="0" w:space="0" w:color="auto"/>
                <w:right w:val="none" w:sz="0" w:space="0" w:color="auto"/>
              </w:divBdr>
              <w:divsChild>
                <w:div w:id="2126651957">
                  <w:marLeft w:val="0"/>
                  <w:marRight w:val="0"/>
                  <w:marTop w:val="0"/>
                  <w:marBottom w:val="0"/>
                  <w:divBdr>
                    <w:top w:val="none" w:sz="0" w:space="0" w:color="auto"/>
                    <w:left w:val="none" w:sz="0" w:space="0" w:color="auto"/>
                    <w:bottom w:val="none" w:sz="0" w:space="0" w:color="auto"/>
                    <w:right w:val="none" w:sz="0" w:space="0" w:color="auto"/>
                  </w:divBdr>
                </w:div>
              </w:divsChild>
            </w:div>
            <w:div w:id="1376664140">
              <w:marLeft w:val="0"/>
              <w:marRight w:val="0"/>
              <w:marTop w:val="0"/>
              <w:marBottom w:val="0"/>
              <w:divBdr>
                <w:top w:val="none" w:sz="0" w:space="0" w:color="auto"/>
                <w:left w:val="none" w:sz="0" w:space="0" w:color="auto"/>
                <w:bottom w:val="none" w:sz="0" w:space="0" w:color="auto"/>
                <w:right w:val="none" w:sz="0" w:space="0" w:color="auto"/>
              </w:divBdr>
              <w:divsChild>
                <w:div w:id="724722183">
                  <w:marLeft w:val="0"/>
                  <w:marRight w:val="0"/>
                  <w:marTop w:val="0"/>
                  <w:marBottom w:val="0"/>
                  <w:divBdr>
                    <w:top w:val="none" w:sz="0" w:space="0" w:color="auto"/>
                    <w:left w:val="none" w:sz="0" w:space="0" w:color="auto"/>
                    <w:bottom w:val="none" w:sz="0" w:space="0" w:color="auto"/>
                    <w:right w:val="none" w:sz="0" w:space="0" w:color="auto"/>
                  </w:divBdr>
                </w:div>
              </w:divsChild>
            </w:div>
            <w:div w:id="1408578061">
              <w:marLeft w:val="0"/>
              <w:marRight w:val="0"/>
              <w:marTop w:val="0"/>
              <w:marBottom w:val="0"/>
              <w:divBdr>
                <w:top w:val="none" w:sz="0" w:space="0" w:color="auto"/>
                <w:left w:val="none" w:sz="0" w:space="0" w:color="auto"/>
                <w:bottom w:val="none" w:sz="0" w:space="0" w:color="auto"/>
                <w:right w:val="none" w:sz="0" w:space="0" w:color="auto"/>
              </w:divBdr>
              <w:divsChild>
                <w:div w:id="765728982">
                  <w:marLeft w:val="0"/>
                  <w:marRight w:val="0"/>
                  <w:marTop w:val="0"/>
                  <w:marBottom w:val="0"/>
                  <w:divBdr>
                    <w:top w:val="none" w:sz="0" w:space="0" w:color="auto"/>
                    <w:left w:val="none" w:sz="0" w:space="0" w:color="auto"/>
                    <w:bottom w:val="none" w:sz="0" w:space="0" w:color="auto"/>
                    <w:right w:val="none" w:sz="0" w:space="0" w:color="auto"/>
                  </w:divBdr>
                </w:div>
              </w:divsChild>
            </w:div>
            <w:div w:id="1542401953">
              <w:marLeft w:val="0"/>
              <w:marRight w:val="0"/>
              <w:marTop w:val="0"/>
              <w:marBottom w:val="0"/>
              <w:divBdr>
                <w:top w:val="none" w:sz="0" w:space="0" w:color="auto"/>
                <w:left w:val="none" w:sz="0" w:space="0" w:color="auto"/>
                <w:bottom w:val="none" w:sz="0" w:space="0" w:color="auto"/>
                <w:right w:val="none" w:sz="0" w:space="0" w:color="auto"/>
              </w:divBdr>
              <w:divsChild>
                <w:div w:id="1153447825">
                  <w:marLeft w:val="0"/>
                  <w:marRight w:val="0"/>
                  <w:marTop w:val="0"/>
                  <w:marBottom w:val="0"/>
                  <w:divBdr>
                    <w:top w:val="none" w:sz="0" w:space="0" w:color="auto"/>
                    <w:left w:val="none" w:sz="0" w:space="0" w:color="auto"/>
                    <w:bottom w:val="none" w:sz="0" w:space="0" w:color="auto"/>
                    <w:right w:val="none" w:sz="0" w:space="0" w:color="auto"/>
                  </w:divBdr>
                </w:div>
              </w:divsChild>
            </w:div>
            <w:div w:id="1594125516">
              <w:marLeft w:val="0"/>
              <w:marRight w:val="0"/>
              <w:marTop w:val="0"/>
              <w:marBottom w:val="0"/>
              <w:divBdr>
                <w:top w:val="none" w:sz="0" w:space="0" w:color="auto"/>
                <w:left w:val="none" w:sz="0" w:space="0" w:color="auto"/>
                <w:bottom w:val="none" w:sz="0" w:space="0" w:color="auto"/>
                <w:right w:val="none" w:sz="0" w:space="0" w:color="auto"/>
              </w:divBdr>
              <w:divsChild>
                <w:div w:id="1070540371">
                  <w:marLeft w:val="0"/>
                  <w:marRight w:val="0"/>
                  <w:marTop w:val="0"/>
                  <w:marBottom w:val="0"/>
                  <w:divBdr>
                    <w:top w:val="none" w:sz="0" w:space="0" w:color="auto"/>
                    <w:left w:val="none" w:sz="0" w:space="0" w:color="auto"/>
                    <w:bottom w:val="none" w:sz="0" w:space="0" w:color="auto"/>
                    <w:right w:val="none" w:sz="0" w:space="0" w:color="auto"/>
                  </w:divBdr>
                </w:div>
              </w:divsChild>
            </w:div>
            <w:div w:id="1736246390">
              <w:marLeft w:val="0"/>
              <w:marRight w:val="0"/>
              <w:marTop w:val="0"/>
              <w:marBottom w:val="0"/>
              <w:divBdr>
                <w:top w:val="none" w:sz="0" w:space="0" w:color="auto"/>
                <w:left w:val="none" w:sz="0" w:space="0" w:color="auto"/>
                <w:bottom w:val="none" w:sz="0" w:space="0" w:color="auto"/>
                <w:right w:val="none" w:sz="0" w:space="0" w:color="auto"/>
              </w:divBdr>
              <w:divsChild>
                <w:div w:id="106118204">
                  <w:marLeft w:val="0"/>
                  <w:marRight w:val="0"/>
                  <w:marTop w:val="0"/>
                  <w:marBottom w:val="0"/>
                  <w:divBdr>
                    <w:top w:val="none" w:sz="0" w:space="0" w:color="auto"/>
                    <w:left w:val="none" w:sz="0" w:space="0" w:color="auto"/>
                    <w:bottom w:val="none" w:sz="0" w:space="0" w:color="auto"/>
                    <w:right w:val="none" w:sz="0" w:space="0" w:color="auto"/>
                  </w:divBdr>
                </w:div>
              </w:divsChild>
            </w:div>
            <w:div w:id="1820070006">
              <w:marLeft w:val="0"/>
              <w:marRight w:val="0"/>
              <w:marTop w:val="0"/>
              <w:marBottom w:val="0"/>
              <w:divBdr>
                <w:top w:val="none" w:sz="0" w:space="0" w:color="auto"/>
                <w:left w:val="none" w:sz="0" w:space="0" w:color="auto"/>
                <w:bottom w:val="none" w:sz="0" w:space="0" w:color="auto"/>
                <w:right w:val="none" w:sz="0" w:space="0" w:color="auto"/>
              </w:divBdr>
              <w:divsChild>
                <w:div w:id="10022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16961">
          <w:marLeft w:val="0"/>
          <w:marRight w:val="0"/>
          <w:marTop w:val="0"/>
          <w:marBottom w:val="0"/>
          <w:divBdr>
            <w:top w:val="none" w:sz="0" w:space="0" w:color="auto"/>
            <w:left w:val="none" w:sz="0" w:space="0" w:color="auto"/>
            <w:bottom w:val="none" w:sz="0" w:space="0" w:color="auto"/>
            <w:right w:val="none" w:sz="0" w:space="0" w:color="auto"/>
          </w:divBdr>
        </w:div>
        <w:div w:id="1486773195">
          <w:marLeft w:val="0"/>
          <w:marRight w:val="0"/>
          <w:marTop w:val="0"/>
          <w:marBottom w:val="0"/>
          <w:divBdr>
            <w:top w:val="none" w:sz="0" w:space="0" w:color="auto"/>
            <w:left w:val="none" w:sz="0" w:space="0" w:color="auto"/>
            <w:bottom w:val="none" w:sz="0" w:space="0" w:color="auto"/>
            <w:right w:val="none" w:sz="0" w:space="0" w:color="auto"/>
          </w:divBdr>
        </w:div>
        <w:div w:id="1493179917">
          <w:marLeft w:val="0"/>
          <w:marRight w:val="0"/>
          <w:marTop w:val="0"/>
          <w:marBottom w:val="0"/>
          <w:divBdr>
            <w:top w:val="none" w:sz="0" w:space="0" w:color="auto"/>
            <w:left w:val="none" w:sz="0" w:space="0" w:color="auto"/>
            <w:bottom w:val="none" w:sz="0" w:space="0" w:color="auto"/>
            <w:right w:val="none" w:sz="0" w:space="0" w:color="auto"/>
          </w:divBdr>
        </w:div>
        <w:div w:id="1503547891">
          <w:marLeft w:val="0"/>
          <w:marRight w:val="0"/>
          <w:marTop w:val="0"/>
          <w:marBottom w:val="0"/>
          <w:divBdr>
            <w:top w:val="none" w:sz="0" w:space="0" w:color="auto"/>
            <w:left w:val="none" w:sz="0" w:space="0" w:color="auto"/>
            <w:bottom w:val="none" w:sz="0" w:space="0" w:color="auto"/>
            <w:right w:val="none" w:sz="0" w:space="0" w:color="auto"/>
          </w:divBdr>
        </w:div>
        <w:div w:id="1546985926">
          <w:marLeft w:val="0"/>
          <w:marRight w:val="0"/>
          <w:marTop w:val="0"/>
          <w:marBottom w:val="0"/>
          <w:divBdr>
            <w:top w:val="none" w:sz="0" w:space="0" w:color="auto"/>
            <w:left w:val="none" w:sz="0" w:space="0" w:color="auto"/>
            <w:bottom w:val="none" w:sz="0" w:space="0" w:color="auto"/>
            <w:right w:val="none" w:sz="0" w:space="0" w:color="auto"/>
          </w:divBdr>
        </w:div>
        <w:div w:id="1555193165">
          <w:marLeft w:val="0"/>
          <w:marRight w:val="0"/>
          <w:marTop w:val="0"/>
          <w:marBottom w:val="0"/>
          <w:divBdr>
            <w:top w:val="none" w:sz="0" w:space="0" w:color="auto"/>
            <w:left w:val="none" w:sz="0" w:space="0" w:color="auto"/>
            <w:bottom w:val="none" w:sz="0" w:space="0" w:color="auto"/>
            <w:right w:val="none" w:sz="0" w:space="0" w:color="auto"/>
          </w:divBdr>
        </w:div>
        <w:div w:id="1557160589">
          <w:marLeft w:val="0"/>
          <w:marRight w:val="0"/>
          <w:marTop w:val="0"/>
          <w:marBottom w:val="0"/>
          <w:divBdr>
            <w:top w:val="none" w:sz="0" w:space="0" w:color="auto"/>
            <w:left w:val="none" w:sz="0" w:space="0" w:color="auto"/>
            <w:bottom w:val="none" w:sz="0" w:space="0" w:color="auto"/>
            <w:right w:val="none" w:sz="0" w:space="0" w:color="auto"/>
          </w:divBdr>
        </w:div>
        <w:div w:id="1584993611">
          <w:marLeft w:val="0"/>
          <w:marRight w:val="0"/>
          <w:marTop w:val="0"/>
          <w:marBottom w:val="0"/>
          <w:divBdr>
            <w:top w:val="none" w:sz="0" w:space="0" w:color="auto"/>
            <w:left w:val="none" w:sz="0" w:space="0" w:color="auto"/>
            <w:bottom w:val="none" w:sz="0" w:space="0" w:color="auto"/>
            <w:right w:val="none" w:sz="0" w:space="0" w:color="auto"/>
          </w:divBdr>
        </w:div>
        <w:div w:id="1608348944">
          <w:marLeft w:val="0"/>
          <w:marRight w:val="0"/>
          <w:marTop w:val="0"/>
          <w:marBottom w:val="0"/>
          <w:divBdr>
            <w:top w:val="none" w:sz="0" w:space="0" w:color="auto"/>
            <w:left w:val="none" w:sz="0" w:space="0" w:color="auto"/>
            <w:bottom w:val="none" w:sz="0" w:space="0" w:color="auto"/>
            <w:right w:val="none" w:sz="0" w:space="0" w:color="auto"/>
          </w:divBdr>
        </w:div>
        <w:div w:id="1714303237">
          <w:marLeft w:val="0"/>
          <w:marRight w:val="0"/>
          <w:marTop w:val="0"/>
          <w:marBottom w:val="0"/>
          <w:divBdr>
            <w:top w:val="none" w:sz="0" w:space="0" w:color="auto"/>
            <w:left w:val="none" w:sz="0" w:space="0" w:color="auto"/>
            <w:bottom w:val="none" w:sz="0" w:space="0" w:color="auto"/>
            <w:right w:val="none" w:sz="0" w:space="0" w:color="auto"/>
          </w:divBdr>
        </w:div>
        <w:div w:id="1747068220">
          <w:marLeft w:val="0"/>
          <w:marRight w:val="0"/>
          <w:marTop w:val="0"/>
          <w:marBottom w:val="0"/>
          <w:divBdr>
            <w:top w:val="none" w:sz="0" w:space="0" w:color="auto"/>
            <w:left w:val="none" w:sz="0" w:space="0" w:color="auto"/>
            <w:bottom w:val="none" w:sz="0" w:space="0" w:color="auto"/>
            <w:right w:val="none" w:sz="0" w:space="0" w:color="auto"/>
          </w:divBdr>
        </w:div>
        <w:div w:id="1751148191">
          <w:marLeft w:val="0"/>
          <w:marRight w:val="0"/>
          <w:marTop w:val="0"/>
          <w:marBottom w:val="0"/>
          <w:divBdr>
            <w:top w:val="none" w:sz="0" w:space="0" w:color="auto"/>
            <w:left w:val="none" w:sz="0" w:space="0" w:color="auto"/>
            <w:bottom w:val="none" w:sz="0" w:space="0" w:color="auto"/>
            <w:right w:val="none" w:sz="0" w:space="0" w:color="auto"/>
          </w:divBdr>
        </w:div>
        <w:div w:id="1756513586">
          <w:marLeft w:val="-75"/>
          <w:marRight w:val="0"/>
          <w:marTop w:val="30"/>
          <w:marBottom w:val="30"/>
          <w:divBdr>
            <w:top w:val="none" w:sz="0" w:space="0" w:color="auto"/>
            <w:left w:val="none" w:sz="0" w:space="0" w:color="auto"/>
            <w:bottom w:val="none" w:sz="0" w:space="0" w:color="auto"/>
            <w:right w:val="none" w:sz="0" w:space="0" w:color="auto"/>
          </w:divBdr>
          <w:divsChild>
            <w:div w:id="59139738">
              <w:marLeft w:val="0"/>
              <w:marRight w:val="0"/>
              <w:marTop w:val="0"/>
              <w:marBottom w:val="0"/>
              <w:divBdr>
                <w:top w:val="none" w:sz="0" w:space="0" w:color="auto"/>
                <w:left w:val="none" w:sz="0" w:space="0" w:color="auto"/>
                <w:bottom w:val="none" w:sz="0" w:space="0" w:color="auto"/>
                <w:right w:val="none" w:sz="0" w:space="0" w:color="auto"/>
              </w:divBdr>
              <w:divsChild>
                <w:div w:id="8220790">
                  <w:marLeft w:val="0"/>
                  <w:marRight w:val="0"/>
                  <w:marTop w:val="0"/>
                  <w:marBottom w:val="0"/>
                  <w:divBdr>
                    <w:top w:val="none" w:sz="0" w:space="0" w:color="auto"/>
                    <w:left w:val="none" w:sz="0" w:space="0" w:color="auto"/>
                    <w:bottom w:val="none" w:sz="0" w:space="0" w:color="auto"/>
                    <w:right w:val="none" w:sz="0" w:space="0" w:color="auto"/>
                  </w:divBdr>
                </w:div>
              </w:divsChild>
            </w:div>
            <w:div w:id="209193304">
              <w:marLeft w:val="0"/>
              <w:marRight w:val="0"/>
              <w:marTop w:val="0"/>
              <w:marBottom w:val="0"/>
              <w:divBdr>
                <w:top w:val="none" w:sz="0" w:space="0" w:color="auto"/>
                <w:left w:val="none" w:sz="0" w:space="0" w:color="auto"/>
                <w:bottom w:val="none" w:sz="0" w:space="0" w:color="auto"/>
                <w:right w:val="none" w:sz="0" w:space="0" w:color="auto"/>
              </w:divBdr>
              <w:divsChild>
                <w:div w:id="688020309">
                  <w:marLeft w:val="0"/>
                  <w:marRight w:val="0"/>
                  <w:marTop w:val="0"/>
                  <w:marBottom w:val="0"/>
                  <w:divBdr>
                    <w:top w:val="none" w:sz="0" w:space="0" w:color="auto"/>
                    <w:left w:val="none" w:sz="0" w:space="0" w:color="auto"/>
                    <w:bottom w:val="none" w:sz="0" w:space="0" w:color="auto"/>
                    <w:right w:val="none" w:sz="0" w:space="0" w:color="auto"/>
                  </w:divBdr>
                </w:div>
                <w:div w:id="2016300438">
                  <w:marLeft w:val="0"/>
                  <w:marRight w:val="0"/>
                  <w:marTop w:val="0"/>
                  <w:marBottom w:val="0"/>
                  <w:divBdr>
                    <w:top w:val="none" w:sz="0" w:space="0" w:color="auto"/>
                    <w:left w:val="none" w:sz="0" w:space="0" w:color="auto"/>
                    <w:bottom w:val="none" w:sz="0" w:space="0" w:color="auto"/>
                    <w:right w:val="none" w:sz="0" w:space="0" w:color="auto"/>
                  </w:divBdr>
                </w:div>
              </w:divsChild>
            </w:div>
            <w:div w:id="211814796">
              <w:marLeft w:val="0"/>
              <w:marRight w:val="0"/>
              <w:marTop w:val="0"/>
              <w:marBottom w:val="0"/>
              <w:divBdr>
                <w:top w:val="none" w:sz="0" w:space="0" w:color="auto"/>
                <w:left w:val="none" w:sz="0" w:space="0" w:color="auto"/>
                <w:bottom w:val="none" w:sz="0" w:space="0" w:color="auto"/>
                <w:right w:val="none" w:sz="0" w:space="0" w:color="auto"/>
              </w:divBdr>
              <w:divsChild>
                <w:div w:id="1024483845">
                  <w:marLeft w:val="0"/>
                  <w:marRight w:val="0"/>
                  <w:marTop w:val="0"/>
                  <w:marBottom w:val="0"/>
                  <w:divBdr>
                    <w:top w:val="none" w:sz="0" w:space="0" w:color="auto"/>
                    <w:left w:val="none" w:sz="0" w:space="0" w:color="auto"/>
                    <w:bottom w:val="none" w:sz="0" w:space="0" w:color="auto"/>
                    <w:right w:val="none" w:sz="0" w:space="0" w:color="auto"/>
                  </w:divBdr>
                </w:div>
              </w:divsChild>
            </w:div>
            <w:div w:id="530338413">
              <w:marLeft w:val="0"/>
              <w:marRight w:val="0"/>
              <w:marTop w:val="0"/>
              <w:marBottom w:val="0"/>
              <w:divBdr>
                <w:top w:val="none" w:sz="0" w:space="0" w:color="auto"/>
                <w:left w:val="none" w:sz="0" w:space="0" w:color="auto"/>
                <w:bottom w:val="none" w:sz="0" w:space="0" w:color="auto"/>
                <w:right w:val="none" w:sz="0" w:space="0" w:color="auto"/>
              </w:divBdr>
              <w:divsChild>
                <w:div w:id="1756390931">
                  <w:marLeft w:val="0"/>
                  <w:marRight w:val="0"/>
                  <w:marTop w:val="0"/>
                  <w:marBottom w:val="0"/>
                  <w:divBdr>
                    <w:top w:val="none" w:sz="0" w:space="0" w:color="auto"/>
                    <w:left w:val="none" w:sz="0" w:space="0" w:color="auto"/>
                    <w:bottom w:val="none" w:sz="0" w:space="0" w:color="auto"/>
                    <w:right w:val="none" w:sz="0" w:space="0" w:color="auto"/>
                  </w:divBdr>
                </w:div>
              </w:divsChild>
            </w:div>
            <w:div w:id="671567484">
              <w:marLeft w:val="0"/>
              <w:marRight w:val="0"/>
              <w:marTop w:val="0"/>
              <w:marBottom w:val="0"/>
              <w:divBdr>
                <w:top w:val="none" w:sz="0" w:space="0" w:color="auto"/>
                <w:left w:val="none" w:sz="0" w:space="0" w:color="auto"/>
                <w:bottom w:val="none" w:sz="0" w:space="0" w:color="auto"/>
                <w:right w:val="none" w:sz="0" w:space="0" w:color="auto"/>
              </w:divBdr>
              <w:divsChild>
                <w:div w:id="391931528">
                  <w:marLeft w:val="0"/>
                  <w:marRight w:val="0"/>
                  <w:marTop w:val="0"/>
                  <w:marBottom w:val="0"/>
                  <w:divBdr>
                    <w:top w:val="none" w:sz="0" w:space="0" w:color="auto"/>
                    <w:left w:val="none" w:sz="0" w:space="0" w:color="auto"/>
                    <w:bottom w:val="none" w:sz="0" w:space="0" w:color="auto"/>
                    <w:right w:val="none" w:sz="0" w:space="0" w:color="auto"/>
                  </w:divBdr>
                </w:div>
              </w:divsChild>
            </w:div>
            <w:div w:id="1133642605">
              <w:marLeft w:val="0"/>
              <w:marRight w:val="0"/>
              <w:marTop w:val="0"/>
              <w:marBottom w:val="0"/>
              <w:divBdr>
                <w:top w:val="none" w:sz="0" w:space="0" w:color="auto"/>
                <w:left w:val="none" w:sz="0" w:space="0" w:color="auto"/>
                <w:bottom w:val="none" w:sz="0" w:space="0" w:color="auto"/>
                <w:right w:val="none" w:sz="0" w:space="0" w:color="auto"/>
              </w:divBdr>
              <w:divsChild>
                <w:div w:id="2129735445">
                  <w:marLeft w:val="0"/>
                  <w:marRight w:val="0"/>
                  <w:marTop w:val="0"/>
                  <w:marBottom w:val="0"/>
                  <w:divBdr>
                    <w:top w:val="none" w:sz="0" w:space="0" w:color="auto"/>
                    <w:left w:val="none" w:sz="0" w:space="0" w:color="auto"/>
                    <w:bottom w:val="none" w:sz="0" w:space="0" w:color="auto"/>
                    <w:right w:val="none" w:sz="0" w:space="0" w:color="auto"/>
                  </w:divBdr>
                </w:div>
              </w:divsChild>
            </w:div>
            <w:div w:id="1218325355">
              <w:marLeft w:val="0"/>
              <w:marRight w:val="0"/>
              <w:marTop w:val="0"/>
              <w:marBottom w:val="0"/>
              <w:divBdr>
                <w:top w:val="none" w:sz="0" w:space="0" w:color="auto"/>
                <w:left w:val="none" w:sz="0" w:space="0" w:color="auto"/>
                <w:bottom w:val="none" w:sz="0" w:space="0" w:color="auto"/>
                <w:right w:val="none" w:sz="0" w:space="0" w:color="auto"/>
              </w:divBdr>
              <w:divsChild>
                <w:div w:id="1125467456">
                  <w:marLeft w:val="0"/>
                  <w:marRight w:val="0"/>
                  <w:marTop w:val="0"/>
                  <w:marBottom w:val="0"/>
                  <w:divBdr>
                    <w:top w:val="none" w:sz="0" w:space="0" w:color="auto"/>
                    <w:left w:val="none" w:sz="0" w:space="0" w:color="auto"/>
                    <w:bottom w:val="none" w:sz="0" w:space="0" w:color="auto"/>
                    <w:right w:val="none" w:sz="0" w:space="0" w:color="auto"/>
                  </w:divBdr>
                </w:div>
              </w:divsChild>
            </w:div>
            <w:div w:id="1305895007">
              <w:marLeft w:val="0"/>
              <w:marRight w:val="0"/>
              <w:marTop w:val="0"/>
              <w:marBottom w:val="0"/>
              <w:divBdr>
                <w:top w:val="none" w:sz="0" w:space="0" w:color="auto"/>
                <w:left w:val="none" w:sz="0" w:space="0" w:color="auto"/>
                <w:bottom w:val="none" w:sz="0" w:space="0" w:color="auto"/>
                <w:right w:val="none" w:sz="0" w:space="0" w:color="auto"/>
              </w:divBdr>
              <w:divsChild>
                <w:div w:id="330178647">
                  <w:marLeft w:val="0"/>
                  <w:marRight w:val="0"/>
                  <w:marTop w:val="0"/>
                  <w:marBottom w:val="0"/>
                  <w:divBdr>
                    <w:top w:val="none" w:sz="0" w:space="0" w:color="auto"/>
                    <w:left w:val="none" w:sz="0" w:space="0" w:color="auto"/>
                    <w:bottom w:val="none" w:sz="0" w:space="0" w:color="auto"/>
                    <w:right w:val="none" w:sz="0" w:space="0" w:color="auto"/>
                  </w:divBdr>
                </w:div>
                <w:div w:id="780340956">
                  <w:marLeft w:val="0"/>
                  <w:marRight w:val="0"/>
                  <w:marTop w:val="0"/>
                  <w:marBottom w:val="0"/>
                  <w:divBdr>
                    <w:top w:val="none" w:sz="0" w:space="0" w:color="auto"/>
                    <w:left w:val="none" w:sz="0" w:space="0" w:color="auto"/>
                    <w:bottom w:val="none" w:sz="0" w:space="0" w:color="auto"/>
                    <w:right w:val="none" w:sz="0" w:space="0" w:color="auto"/>
                  </w:divBdr>
                </w:div>
                <w:div w:id="1283535533">
                  <w:marLeft w:val="0"/>
                  <w:marRight w:val="0"/>
                  <w:marTop w:val="0"/>
                  <w:marBottom w:val="0"/>
                  <w:divBdr>
                    <w:top w:val="none" w:sz="0" w:space="0" w:color="auto"/>
                    <w:left w:val="none" w:sz="0" w:space="0" w:color="auto"/>
                    <w:bottom w:val="none" w:sz="0" w:space="0" w:color="auto"/>
                    <w:right w:val="none" w:sz="0" w:space="0" w:color="auto"/>
                  </w:divBdr>
                </w:div>
                <w:div w:id="1292134185">
                  <w:marLeft w:val="0"/>
                  <w:marRight w:val="0"/>
                  <w:marTop w:val="0"/>
                  <w:marBottom w:val="0"/>
                  <w:divBdr>
                    <w:top w:val="none" w:sz="0" w:space="0" w:color="auto"/>
                    <w:left w:val="none" w:sz="0" w:space="0" w:color="auto"/>
                    <w:bottom w:val="none" w:sz="0" w:space="0" w:color="auto"/>
                    <w:right w:val="none" w:sz="0" w:space="0" w:color="auto"/>
                  </w:divBdr>
                </w:div>
                <w:div w:id="1418558011">
                  <w:marLeft w:val="0"/>
                  <w:marRight w:val="0"/>
                  <w:marTop w:val="0"/>
                  <w:marBottom w:val="0"/>
                  <w:divBdr>
                    <w:top w:val="none" w:sz="0" w:space="0" w:color="auto"/>
                    <w:left w:val="none" w:sz="0" w:space="0" w:color="auto"/>
                    <w:bottom w:val="none" w:sz="0" w:space="0" w:color="auto"/>
                    <w:right w:val="none" w:sz="0" w:space="0" w:color="auto"/>
                  </w:divBdr>
                </w:div>
              </w:divsChild>
            </w:div>
            <w:div w:id="1565681443">
              <w:marLeft w:val="0"/>
              <w:marRight w:val="0"/>
              <w:marTop w:val="0"/>
              <w:marBottom w:val="0"/>
              <w:divBdr>
                <w:top w:val="none" w:sz="0" w:space="0" w:color="auto"/>
                <w:left w:val="none" w:sz="0" w:space="0" w:color="auto"/>
                <w:bottom w:val="none" w:sz="0" w:space="0" w:color="auto"/>
                <w:right w:val="none" w:sz="0" w:space="0" w:color="auto"/>
              </w:divBdr>
              <w:divsChild>
                <w:div w:id="779881545">
                  <w:marLeft w:val="0"/>
                  <w:marRight w:val="0"/>
                  <w:marTop w:val="0"/>
                  <w:marBottom w:val="0"/>
                  <w:divBdr>
                    <w:top w:val="none" w:sz="0" w:space="0" w:color="auto"/>
                    <w:left w:val="none" w:sz="0" w:space="0" w:color="auto"/>
                    <w:bottom w:val="none" w:sz="0" w:space="0" w:color="auto"/>
                    <w:right w:val="none" w:sz="0" w:space="0" w:color="auto"/>
                  </w:divBdr>
                </w:div>
              </w:divsChild>
            </w:div>
            <w:div w:id="1628312598">
              <w:marLeft w:val="0"/>
              <w:marRight w:val="0"/>
              <w:marTop w:val="0"/>
              <w:marBottom w:val="0"/>
              <w:divBdr>
                <w:top w:val="none" w:sz="0" w:space="0" w:color="auto"/>
                <w:left w:val="none" w:sz="0" w:space="0" w:color="auto"/>
                <w:bottom w:val="none" w:sz="0" w:space="0" w:color="auto"/>
                <w:right w:val="none" w:sz="0" w:space="0" w:color="auto"/>
              </w:divBdr>
              <w:divsChild>
                <w:div w:id="1425035068">
                  <w:marLeft w:val="0"/>
                  <w:marRight w:val="0"/>
                  <w:marTop w:val="0"/>
                  <w:marBottom w:val="0"/>
                  <w:divBdr>
                    <w:top w:val="none" w:sz="0" w:space="0" w:color="auto"/>
                    <w:left w:val="none" w:sz="0" w:space="0" w:color="auto"/>
                    <w:bottom w:val="none" w:sz="0" w:space="0" w:color="auto"/>
                    <w:right w:val="none" w:sz="0" w:space="0" w:color="auto"/>
                  </w:divBdr>
                </w:div>
              </w:divsChild>
            </w:div>
            <w:div w:id="1650939574">
              <w:marLeft w:val="0"/>
              <w:marRight w:val="0"/>
              <w:marTop w:val="0"/>
              <w:marBottom w:val="0"/>
              <w:divBdr>
                <w:top w:val="none" w:sz="0" w:space="0" w:color="auto"/>
                <w:left w:val="none" w:sz="0" w:space="0" w:color="auto"/>
                <w:bottom w:val="none" w:sz="0" w:space="0" w:color="auto"/>
                <w:right w:val="none" w:sz="0" w:space="0" w:color="auto"/>
              </w:divBdr>
              <w:divsChild>
                <w:div w:id="884756925">
                  <w:marLeft w:val="0"/>
                  <w:marRight w:val="0"/>
                  <w:marTop w:val="0"/>
                  <w:marBottom w:val="0"/>
                  <w:divBdr>
                    <w:top w:val="none" w:sz="0" w:space="0" w:color="auto"/>
                    <w:left w:val="none" w:sz="0" w:space="0" w:color="auto"/>
                    <w:bottom w:val="none" w:sz="0" w:space="0" w:color="auto"/>
                    <w:right w:val="none" w:sz="0" w:space="0" w:color="auto"/>
                  </w:divBdr>
                </w:div>
              </w:divsChild>
            </w:div>
            <w:div w:id="1994136102">
              <w:marLeft w:val="0"/>
              <w:marRight w:val="0"/>
              <w:marTop w:val="0"/>
              <w:marBottom w:val="0"/>
              <w:divBdr>
                <w:top w:val="none" w:sz="0" w:space="0" w:color="auto"/>
                <w:left w:val="none" w:sz="0" w:space="0" w:color="auto"/>
                <w:bottom w:val="none" w:sz="0" w:space="0" w:color="auto"/>
                <w:right w:val="none" w:sz="0" w:space="0" w:color="auto"/>
              </w:divBdr>
              <w:divsChild>
                <w:div w:id="96773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2248">
          <w:marLeft w:val="0"/>
          <w:marRight w:val="0"/>
          <w:marTop w:val="0"/>
          <w:marBottom w:val="0"/>
          <w:divBdr>
            <w:top w:val="none" w:sz="0" w:space="0" w:color="auto"/>
            <w:left w:val="none" w:sz="0" w:space="0" w:color="auto"/>
            <w:bottom w:val="none" w:sz="0" w:space="0" w:color="auto"/>
            <w:right w:val="none" w:sz="0" w:space="0" w:color="auto"/>
          </w:divBdr>
        </w:div>
        <w:div w:id="1778021032">
          <w:marLeft w:val="0"/>
          <w:marRight w:val="0"/>
          <w:marTop w:val="0"/>
          <w:marBottom w:val="0"/>
          <w:divBdr>
            <w:top w:val="none" w:sz="0" w:space="0" w:color="auto"/>
            <w:left w:val="none" w:sz="0" w:space="0" w:color="auto"/>
            <w:bottom w:val="none" w:sz="0" w:space="0" w:color="auto"/>
            <w:right w:val="none" w:sz="0" w:space="0" w:color="auto"/>
          </w:divBdr>
        </w:div>
        <w:div w:id="1827697888">
          <w:marLeft w:val="0"/>
          <w:marRight w:val="0"/>
          <w:marTop w:val="0"/>
          <w:marBottom w:val="0"/>
          <w:divBdr>
            <w:top w:val="none" w:sz="0" w:space="0" w:color="auto"/>
            <w:left w:val="none" w:sz="0" w:space="0" w:color="auto"/>
            <w:bottom w:val="none" w:sz="0" w:space="0" w:color="auto"/>
            <w:right w:val="none" w:sz="0" w:space="0" w:color="auto"/>
          </w:divBdr>
        </w:div>
        <w:div w:id="1850832162">
          <w:marLeft w:val="0"/>
          <w:marRight w:val="0"/>
          <w:marTop w:val="0"/>
          <w:marBottom w:val="0"/>
          <w:divBdr>
            <w:top w:val="none" w:sz="0" w:space="0" w:color="auto"/>
            <w:left w:val="none" w:sz="0" w:space="0" w:color="auto"/>
            <w:bottom w:val="none" w:sz="0" w:space="0" w:color="auto"/>
            <w:right w:val="none" w:sz="0" w:space="0" w:color="auto"/>
          </w:divBdr>
        </w:div>
        <w:div w:id="1851793222">
          <w:marLeft w:val="0"/>
          <w:marRight w:val="0"/>
          <w:marTop w:val="0"/>
          <w:marBottom w:val="0"/>
          <w:divBdr>
            <w:top w:val="none" w:sz="0" w:space="0" w:color="auto"/>
            <w:left w:val="none" w:sz="0" w:space="0" w:color="auto"/>
            <w:bottom w:val="none" w:sz="0" w:space="0" w:color="auto"/>
            <w:right w:val="none" w:sz="0" w:space="0" w:color="auto"/>
          </w:divBdr>
        </w:div>
        <w:div w:id="1857646815">
          <w:marLeft w:val="0"/>
          <w:marRight w:val="0"/>
          <w:marTop w:val="0"/>
          <w:marBottom w:val="0"/>
          <w:divBdr>
            <w:top w:val="none" w:sz="0" w:space="0" w:color="auto"/>
            <w:left w:val="none" w:sz="0" w:space="0" w:color="auto"/>
            <w:bottom w:val="none" w:sz="0" w:space="0" w:color="auto"/>
            <w:right w:val="none" w:sz="0" w:space="0" w:color="auto"/>
          </w:divBdr>
        </w:div>
        <w:div w:id="1880046743">
          <w:marLeft w:val="-75"/>
          <w:marRight w:val="0"/>
          <w:marTop w:val="30"/>
          <w:marBottom w:val="30"/>
          <w:divBdr>
            <w:top w:val="none" w:sz="0" w:space="0" w:color="auto"/>
            <w:left w:val="none" w:sz="0" w:space="0" w:color="auto"/>
            <w:bottom w:val="none" w:sz="0" w:space="0" w:color="auto"/>
            <w:right w:val="none" w:sz="0" w:space="0" w:color="auto"/>
          </w:divBdr>
          <w:divsChild>
            <w:div w:id="52585942">
              <w:marLeft w:val="0"/>
              <w:marRight w:val="0"/>
              <w:marTop w:val="0"/>
              <w:marBottom w:val="0"/>
              <w:divBdr>
                <w:top w:val="none" w:sz="0" w:space="0" w:color="auto"/>
                <w:left w:val="none" w:sz="0" w:space="0" w:color="auto"/>
                <w:bottom w:val="none" w:sz="0" w:space="0" w:color="auto"/>
                <w:right w:val="none" w:sz="0" w:space="0" w:color="auto"/>
              </w:divBdr>
              <w:divsChild>
                <w:div w:id="37633475">
                  <w:marLeft w:val="0"/>
                  <w:marRight w:val="0"/>
                  <w:marTop w:val="0"/>
                  <w:marBottom w:val="0"/>
                  <w:divBdr>
                    <w:top w:val="none" w:sz="0" w:space="0" w:color="auto"/>
                    <w:left w:val="none" w:sz="0" w:space="0" w:color="auto"/>
                    <w:bottom w:val="none" w:sz="0" w:space="0" w:color="auto"/>
                    <w:right w:val="none" w:sz="0" w:space="0" w:color="auto"/>
                  </w:divBdr>
                </w:div>
              </w:divsChild>
            </w:div>
            <w:div w:id="88238970">
              <w:marLeft w:val="0"/>
              <w:marRight w:val="0"/>
              <w:marTop w:val="0"/>
              <w:marBottom w:val="0"/>
              <w:divBdr>
                <w:top w:val="none" w:sz="0" w:space="0" w:color="auto"/>
                <w:left w:val="none" w:sz="0" w:space="0" w:color="auto"/>
                <w:bottom w:val="none" w:sz="0" w:space="0" w:color="auto"/>
                <w:right w:val="none" w:sz="0" w:space="0" w:color="auto"/>
              </w:divBdr>
              <w:divsChild>
                <w:div w:id="1243951271">
                  <w:marLeft w:val="0"/>
                  <w:marRight w:val="0"/>
                  <w:marTop w:val="0"/>
                  <w:marBottom w:val="0"/>
                  <w:divBdr>
                    <w:top w:val="none" w:sz="0" w:space="0" w:color="auto"/>
                    <w:left w:val="none" w:sz="0" w:space="0" w:color="auto"/>
                    <w:bottom w:val="none" w:sz="0" w:space="0" w:color="auto"/>
                    <w:right w:val="none" w:sz="0" w:space="0" w:color="auto"/>
                  </w:divBdr>
                </w:div>
              </w:divsChild>
            </w:div>
            <w:div w:id="251937052">
              <w:marLeft w:val="0"/>
              <w:marRight w:val="0"/>
              <w:marTop w:val="0"/>
              <w:marBottom w:val="0"/>
              <w:divBdr>
                <w:top w:val="none" w:sz="0" w:space="0" w:color="auto"/>
                <w:left w:val="none" w:sz="0" w:space="0" w:color="auto"/>
                <w:bottom w:val="none" w:sz="0" w:space="0" w:color="auto"/>
                <w:right w:val="none" w:sz="0" w:space="0" w:color="auto"/>
              </w:divBdr>
              <w:divsChild>
                <w:div w:id="1995793445">
                  <w:marLeft w:val="0"/>
                  <w:marRight w:val="0"/>
                  <w:marTop w:val="0"/>
                  <w:marBottom w:val="0"/>
                  <w:divBdr>
                    <w:top w:val="none" w:sz="0" w:space="0" w:color="auto"/>
                    <w:left w:val="none" w:sz="0" w:space="0" w:color="auto"/>
                    <w:bottom w:val="none" w:sz="0" w:space="0" w:color="auto"/>
                    <w:right w:val="none" w:sz="0" w:space="0" w:color="auto"/>
                  </w:divBdr>
                </w:div>
              </w:divsChild>
            </w:div>
            <w:div w:id="395974930">
              <w:marLeft w:val="0"/>
              <w:marRight w:val="0"/>
              <w:marTop w:val="0"/>
              <w:marBottom w:val="0"/>
              <w:divBdr>
                <w:top w:val="none" w:sz="0" w:space="0" w:color="auto"/>
                <w:left w:val="none" w:sz="0" w:space="0" w:color="auto"/>
                <w:bottom w:val="none" w:sz="0" w:space="0" w:color="auto"/>
                <w:right w:val="none" w:sz="0" w:space="0" w:color="auto"/>
              </w:divBdr>
              <w:divsChild>
                <w:div w:id="525605249">
                  <w:marLeft w:val="0"/>
                  <w:marRight w:val="0"/>
                  <w:marTop w:val="0"/>
                  <w:marBottom w:val="0"/>
                  <w:divBdr>
                    <w:top w:val="none" w:sz="0" w:space="0" w:color="auto"/>
                    <w:left w:val="none" w:sz="0" w:space="0" w:color="auto"/>
                    <w:bottom w:val="none" w:sz="0" w:space="0" w:color="auto"/>
                    <w:right w:val="none" w:sz="0" w:space="0" w:color="auto"/>
                  </w:divBdr>
                </w:div>
                <w:div w:id="857040350">
                  <w:marLeft w:val="0"/>
                  <w:marRight w:val="0"/>
                  <w:marTop w:val="0"/>
                  <w:marBottom w:val="0"/>
                  <w:divBdr>
                    <w:top w:val="none" w:sz="0" w:space="0" w:color="auto"/>
                    <w:left w:val="none" w:sz="0" w:space="0" w:color="auto"/>
                    <w:bottom w:val="none" w:sz="0" w:space="0" w:color="auto"/>
                    <w:right w:val="none" w:sz="0" w:space="0" w:color="auto"/>
                  </w:divBdr>
                </w:div>
                <w:div w:id="1730225595">
                  <w:marLeft w:val="0"/>
                  <w:marRight w:val="0"/>
                  <w:marTop w:val="0"/>
                  <w:marBottom w:val="0"/>
                  <w:divBdr>
                    <w:top w:val="none" w:sz="0" w:space="0" w:color="auto"/>
                    <w:left w:val="none" w:sz="0" w:space="0" w:color="auto"/>
                    <w:bottom w:val="none" w:sz="0" w:space="0" w:color="auto"/>
                    <w:right w:val="none" w:sz="0" w:space="0" w:color="auto"/>
                  </w:divBdr>
                </w:div>
              </w:divsChild>
            </w:div>
            <w:div w:id="401027714">
              <w:marLeft w:val="0"/>
              <w:marRight w:val="0"/>
              <w:marTop w:val="0"/>
              <w:marBottom w:val="0"/>
              <w:divBdr>
                <w:top w:val="none" w:sz="0" w:space="0" w:color="auto"/>
                <w:left w:val="none" w:sz="0" w:space="0" w:color="auto"/>
                <w:bottom w:val="none" w:sz="0" w:space="0" w:color="auto"/>
                <w:right w:val="none" w:sz="0" w:space="0" w:color="auto"/>
              </w:divBdr>
              <w:divsChild>
                <w:div w:id="2033257890">
                  <w:marLeft w:val="0"/>
                  <w:marRight w:val="0"/>
                  <w:marTop w:val="0"/>
                  <w:marBottom w:val="0"/>
                  <w:divBdr>
                    <w:top w:val="none" w:sz="0" w:space="0" w:color="auto"/>
                    <w:left w:val="none" w:sz="0" w:space="0" w:color="auto"/>
                    <w:bottom w:val="none" w:sz="0" w:space="0" w:color="auto"/>
                    <w:right w:val="none" w:sz="0" w:space="0" w:color="auto"/>
                  </w:divBdr>
                </w:div>
              </w:divsChild>
            </w:div>
            <w:div w:id="452677812">
              <w:marLeft w:val="0"/>
              <w:marRight w:val="0"/>
              <w:marTop w:val="0"/>
              <w:marBottom w:val="0"/>
              <w:divBdr>
                <w:top w:val="none" w:sz="0" w:space="0" w:color="auto"/>
                <w:left w:val="none" w:sz="0" w:space="0" w:color="auto"/>
                <w:bottom w:val="none" w:sz="0" w:space="0" w:color="auto"/>
                <w:right w:val="none" w:sz="0" w:space="0" w:color="auto"/>
              </w:divBdr>
              <w:divsChild>
                <w:div w:id="1994723757">
                  <w:marLeft w:val="0"/>
                  <w:marRight w:val="0"/>
                  <w:marTop w:val="0"/>
                  <w:marBottom w:val="0"/>
                  <w:divBdr>
                    <w:top w:val="none" w:sz="0" w:space="0" w:color="auto"/>
                    <w:left w:val="none" w:sz="0" w:space="0" w:color="auto"/>
                    <w:bottom w:val="none" w:sz="0" w:space="0" w:color="auto"/>
                    <w:right w:val="none" w:sz="0" w:space="0" w:color="auto"/>
                  </w:divBdr>
                </w:div>
              </w:divsChild>
            </w:div>
            <w:div w:id="506821771">
              <w:marLeft w:val="0"/>
              <w:marRight w:val="0"/>
              <w:marTop w:val="0"/>
              <w:marBottom w:val="0"/>
              <w:divBdr>
                <w:top w:val="none" w:sz="0" w:space="0" w:color="auto"/>
                <w:left w:val="none" w:sz="0" w:space="0" w:color="auto"/>
                <w:bottom w:val="none" w:sz="0" w:space="0" w:color="auto"/>
                <w:right w:val="none" w:sz="0" w:space="0" w:color="auto"/>
              </w:divBdr>
              <w:divsChild>
                <w:div w:id="1199513269">
                  <w:marLeft w:val="0"/>
                  <w:marRight w:val="0"/>
                  <w:marTop w:val="0"/>
                  <w:marBottom w:val="0"/>
                  <w:divBdr>
                    <w:top w:val="none" w:sz="0" w:space="0" w:color="auto"/>
                    <w:left w:val="none" w:sz="0" w:space="0" w:color="auto"/>
                    <w:bottom w:val="none" w:sz="0" w:space="0" w:color="auto"/>
                    <w:right w:val="none" w:sz="0" w:space="0" w:color="auto"/>
                  </w:divBdr>
                </w:div>
                <w:div w:id="1834488315">
                  <w:marLeft w:val="0"/>
                  <w:marRight w:val="0"/>
                  <w:marTop w:val="0"/>
                  <w:marBottom w:val="0"/>
                  <w:divBdr>
                    <w:top w:val="none" w:sz="0" w:space="0" w:color="auto"/>
                    <w:left w:val="none" w:sz="0" w:space="0" w:color="auto"/>
                    <w:bottom w:val="none" w:sz="0" w:space="0" w:color="auto"/>
                    <w:right w:val="none" w:sz="0" w:space="0" w:color="auto"/>
                  </w:divBdr>
                </w:div>
              </w:divsChild>
            </w:div>
            <w:div w:id="539324548">
              <w:marLeft w:val="0"/>
              <w:marRight w:val="0"/>
              <w:marTop w:val="0"/>
              <w:marBottom w:val="0"/>
              <w:divBdr>
                <w:top w:val="none" w:sz="0" w:space="0" w:color="auto"/>
                <w:left w:val="none" w:sz="0" w:space="0" w:color="auto"/>
                <w:bottom w:val="none" w:sz="0" w:space="0" w:color="auto"/>
                <w:right w:val="none" w:sz="0" w:space="0" w:color="auto"/>
              </w:divBdr>
              <w:divsChild>
                <w:div w:id="1197229488">
                  <w:marLeft w:val="0"/>
                  <w:marRight w:val="0"/>
                  <w:marTop w:val="0"/>
                  <w:marBottom w:val="0"/>
                  <w:divBdr>
                    <w:top w:val="none" w:sz="0" w:space="0" w:color="auto"/>
                    <w:left w:val="none" w:sz="0" w:space="0" w:color="auto"/>
                    <w:bottom w:val="none" w:sz="0" w:space="0" w:color="auto"/>
                    <w:right w:val="none" w:sz="0" w:space="0" w:color="auto"/>
                  </w:divBdr>
                </w:div>
              </w:divsChild>
            </w:div>
            <w:div w:id="607739140">
              <w:marLeft w:val="0"/>
              <w:marRight w:val="0"/>
              <w:marTop w:val="0"/>
              <w:marBottom w:val="0"/>
              <w:divBdr>
                <w:top w:val="none" w:sz="0" w:space="0" w:color="auto"/>
                <w:left w:val="none" w:sz="0" w:space="0" w:color="auto"/>
                <w:bottom w:val="none" w:sz="0" w:space="0" w:color="auto"/>
                <w:right w:val="none" w:sz="0" w:space="0" w:color="auto"/>
              </w:divBdr>
              <w:divsChild>
                <w:div w:id="1770159644">
                  <w:marLeft w:val="0"/>
                  <w:marRight w:val="0"/>
                  <w:marTop w:val="0"/>
                  <w:marBottom w:val="0"/>
                  <w:divBdr>
                    <w:top w:val="none" w:sz="0" w:space="0" w:color="auto"/>
                    <w:left w:val="none" w:sz="0" w:space="0" w:color="auto"/>
                    <w:bottom w:val="none" w:sz="0" w:space="0" w:color="auto"/>
                    <w:right w:val="none" w:sz="0" w:space="0" w:color="auto"/>
                  </w:divBdr>
                </w:div>
              </w:divsChild>
            </w:div>
            <w:div w:id="756756476">
              <w:marLeft w:val="0"/>
              <w:marRight w:val="0"/>
              <w:marTop w:val="0"/>
              <w:marBottom w:val="0"/>
              <w:divBdr>
                <w:top w:val="none" w:sz="0" w:space="0" w:color="auto"/>
                <w:left w:val="none" w:sz="0" w:space="0" w:color="auto"/>
                <w:bottom w:val="none" w:sz="0" w:space="0" w:color="auto"/>
                <w:right w:val="none" w:sz="0" w:space="0" w:color="auto"/>
              </w:divBdr>
              <w:divsChild>
                <w:div w:id="759060928">
                  <w:marLeft w:val="0"/>
                  <w:marRight w:val="0"/>
                  <w:marTop w:val="0"/>
                  <w:marBottom w:val="0"/>
                  <w:divBdr>
                    <w:top w:val="none" w:sz="0" w:space="0" w:color="auto"/>
                    <w:left w:val="none" w:sz="0" w:space="0" w:color="auto"/>
                    <w:bottom w:val="none" w:sz="0" w:space="0" w:color="auto"/>
                    <w:right w:val="none" w:sz="0" w:space="0" w:color="auto"/>
                  </w:divBdr>
                </w:div>
              </w:divsChild>
            </w:div>
            <w:div w:id="1147936650">
              <w:marLeft w:val="0"/>
              <w:marRight w:val="0"/>
              <w:marTop w:val="0"/>
              <w:marBottom w:val="0"/>
              <w:divBdr>
                <w:top w:val="none" w:sz="0" w:space="0" w:color="auto"/>
                <w:left w:val="none" w:sz="0" w:space="0" w:color="auto"/>
                <w:bottom w:val="none" w:sz="0" w:space="0" w:color="auto"/>
                <w:right w:val="none" w:sz="0" w:space="0" w:color="auto"/>
              </w:divBdr>
              <w:divsChild>
                <w:div w:id="951784858">
                  <w:marLeft w:val="0"/>
                  <w:marRight w:val="0"/>
                  <w:marTop w:val="0"/>
                  <w:marBottom w:val="0"/>
                  <w:divBdr>
                    <w:top w:val="none" w:sz="0" w:space="0" w:color="auto"/>
                    <w:left w:val="none" w:sz="0" w:space="0" w:color="auto"/>
                    <w:bottom w:val="none" w:sz="0" w:space="0" w:color="auto"/>
                    <w:right w:val="none" w:sz="0" w:space="0" w:color="auto"/>
                  </w:divBdr>
                </w:div>
              </w:divsChild>
            </w:div>
            <w:div w:id="1196237788">
              <w:marLeft w:val="0"/>
              <w:marRight w:val="0"/>
              <w:marTop w:val="0"/>
              <w:marBottom w:val="0"/>
              <w:divBdr>
                <w:top w:val="none" w:sz="0" w:space="0" w:color="auto"/>
                <w:left w:val="none" w:sz="0" w:space="0" w:color="auto"/>
                <w:bottom w:val="none" w:sz="0" w:space="0" w:color="auto"/>
                <w:right w:val="none" w:sz="0" w:space="0" w:color="auto"/>
              </w:divBdr>
              <w:divsChild>
                <w:div w:id="46995993">
                  <w:marLeft w:val="0"/>
                  <w:marRight w:val="0"/>
                  <w:marTop w:val="0"/>
                  <w:marBottom w:val="0"/>
                  <w:divBdr>
                    <w:top w:val="none" w:sz="0" w:space="0" w:color="auto"/>
                    <w:left w:val="none" w:sz="0" w:space="0" w:color="auto"/>
                    <w:bottom w:val="none" w:sz="0" w:space="0" w:color="auto"/>
                    <w:right w:val="none" w:sz="0" w:space="0" w:color="auto"/>
                  </w:divBdr>
                </w:div>
              </w:divsChild>
            </w:div>
            <w:div w:id="1339385351">
              <w:marLeft w:val="0"/>
              <w:marRight w:val="0"/>
              <w:marTop w:val="0"/>
              <w:marBottom w:val="0"/>
              <w:divBdr>
                <w:top w:val="none" w:sz="0" w:space="0" w:color="auto"/>
                <w:left w:val="none" w:sz="0" w:space="0" w:color="auto"/>
                <w:bottom w:val="none" w:sz="0" w:space="0" w:color="auto"/>
                <w:right w:val="none" w:sz="0" w:space="0" w:color="auto"/>
              </w:divBdr>
              <w:divsChild>
                <w:div w:id="1388845407">
                  <w:marLeft w:val="0"/>
                  <w:marRight w:val="0"/>
                  <w:marTop w:val="0"/>
                  <w:marBottom w:val="0"/>
                  <w:divBdr>
                    <w:top w:val="none" w:sz="0" w:space="0" w:color="auto"/>
                    <w:left w:val="none" w:sz="0" w:space="0" w:color="auto"/>
                    <w:bottom w:val="none" w:sz="0" w:space="0" w:color="auto"/>
                    <w:right w:val="none" w:sz="0" w:space="0" w:color="auto"/>
                  </w:divBdr>
                </w:div>
                <w:div w:id="1755198573">
                  <w:marLeft w:val="0"/>
                  <w:marRight w:val="0"/>
                  <w:marTop w:val="0"/>
                  <w:marBottom w:val="0"/>
                  <w:divBdr>
                    <w:top w:val="none" w:sz="0" w:space="0" w:color="auto"/>
                    <w:left w:val="none" w:sz="0" w:space="0" w:color="auto"/>
                    <w:bottom w:val="none" w:sz="0" w:space="0" w:color="auto"/>
                    <w:right w:val="none" w:sz="0" w:space="0" w:color="auto"/>
                  </w:divBdr>
                </w:div>
              </w:divsChild>
            </w:div>
            <w:div w:id="1479297589">
              <w:marLeft w:val="0"/>
              <w:marRight w:val="0"/>
              <w:marTop w:val="0"/>
              <w:marBottom w:val="0"/>
              <w:divBdr>
                <w:top w:val="none" w:sz="0" w:space="0" w:color="auto"/>
                <w:left w:val="none" w:sz="0" w:space="0" w:color="auto"/>
                <w:bottom w:val="none" w:sz="0" w:space="0" w:color="auto"/>
                <w:right w:val="none" w:sz="0" w:space="0" w:color="auto"/>
              </w:divBdr>
              <w:divsChild>
                <w:div w:id="1784574412">
                  <w:marLeft w:val="0"/>
                  <w:marRight w:val="0"/>
                  <w:marTop w:val="0"/>
                  <w:marBottom w:val="0"/>
                  <w:divBdr>
                    <w:top w:val="none" w:sz="0" w:space="0" w:color="auto"/>
                    <w:left w:val="none" w:sz="0" w:space="0" w:color="auto"/>
                    <w:bottom w:val="none" w:sz="0" w:space="0" w:color="auto"/>
                    <w:right w:val="none" w:sz="0" w:space="0" w:color="auto"/>
                  </w:divBdr>
                </w:div>
              </w:divsChild>
            </w:div>
            <w:div w:id="1510021448">
              <w:marLeft w:val="0"/>
              <w:marRight w:val="0"/>
              <w:marTop w:val="0"/>
              <w:marBottom w:val="0"/>
              <w:divBdr>
                <w:top w:val="none" w:sz="0" w:space="0" w:color="auto"/>
                <w:left w:val="none" w:sz="0" w:space="0" w:color="auto"/>
                <w:bottom w:val="none" w:sz="0" w:space="0" w:color="auto"/>
                <w:right w:val="none" w:sz="0" w:space="0" w:color="auto"/>
              </w:divBdr>
              <w:divsChild>
                <w:div w:id="521941458">
                  <w:marLeft w:val="0"/>
                  <w:marRight w:val="0"/>
                  <w:marTop w:val="0"/>
                  <w:marBottom w:val="0"/>
                  <w:divBdr>
                    <w:top w:val="none" w:sz="0" w:space="0" w:color="auto"/>
                    <w:left w:val="none" w:sz="0" w:space="0" w:color="auto"/>
                    <w:bottom w:val="none" w:sz="0" w:space="0" w:color="auto"/>
                    <w:right w:val="none" w:sz="0" w:space="0" w:color="auto"/>
                  </w:divBdr>
                </w:div>
              </w:divsChild>
            </w:div>
            <w:div w:id="1587110390">
              <w:marLeft w:val="0"/>
              <w:marRight w:val="0"/>
              <w:marTop w:val="0"/>
              <w:marBottom w:val="0"/>
              <w:divBdr>
                <w:top w:val="none" w:sz="0" w:space="0" w:color="auto"/>
                <w:left w:val="none" w:sz="0" w:space="0" w:color="auto"/>
                <w:bottom w:val="none" w:sz="0" w:space="0" w:color="auto"/>
                <w:right w:val="none" w:sz="0" w:space="0" w:color="auto"/>
              </w:divBdr>
              <w:divsChild>
                <w:div w:id="1382678560">
                  <w:marLeft w:val="0"/>
                  <w:marRight w:val="0"/>
                  <w:marTop w:val="0"/>
                  <w:marBottom w:val="0"/>
                  <w:divBdr>
                    <w:top w:val="none" w:sz="0" w:space="0" w:color="auto"/>
                    <w:left w:val="none" w:sz="0" w:space="0" w:color="auto"/>
                    <w:bottom w:val="none" w:sz="0" w:space="0" w:color="auto"/>
                    <w:right w:val="none" w:sz="0" w:space="0" w:color="auto"/>
                  </w:divBdr>
                </w:div>
              </w:divsChild>
            </w:div>
            <w:div w:id="1817069893">
              <w:marLeft w:val="0"/>
              <w:marRight w:val="0"/>
              <w:marTop w:val="0"/>
              <w:marBottom w:val="0"/>
              <w:divBdr>
                <w:top w:val="none" w:sz="0" w:space="0" w:color="auto"/>
                <w:left w:val="none" w:sz="0" w:space="0" w:color="auto"/>
                <w:bottom w:val="none" w:sz="0" w:space="0" w:color="auto"/>
                <w:right w:val="none" w:sz="0" w:space="0" w:color="auto"/>
              </w:divBdr>
              <w:divsChild>
                <w:div w:id="1356806097">
                  <w:marLeft w:val="0"/>
                  <w:marRight w:val="0"/>
                  <w:marTop w:val="0"/>
                  <w:marBottom w:val="0"/>
                  <w:divBdr>
                    <w:top w:val="none" w:sz="0" w:space="0" w:color="auto"/>
                    <w:left w:val="none" w:sz="0" w:space="0" w:color="auto"/>
                    <w:bottom w:val="none" w:sz="0" w:space="0" w:color="auto"/>
                    <w:right w:val="none" w:sz="0" w:space="0" w:color="auto"/>
                  </w:divBdr>
                </w:div>
              </w:divsChild>
            </w:div>
            <w:div w:id="2023895633">
              <w:marLeft w:val="0"/>
              <w:marRight w:val="0"/>
              <w:marTop w:val="0"/>
              <w:marBottom w:val="0"/>
              <w:divBdr>
                <w:top w:val="none" w:sz="0" w:space="0" w:color="auto"/>
                <w:left w:val="none" w:sz="0" w:space="0" w:color="auto"/>
                <w:bottom w:val="none" w:sz="0" w:space="0" w:color="auto"/>
                <w:right w:val="none" w:sz="0" w:space="0" w:color="auto"/>
              </w:divBdr>
              <w:divsChild>
                <w:div w:id="985089876">
                  <w:marLeft w:val="0"/>
                  <w:marRight w:val="0"/>
                  <w:marTop w:val="0"/>
                  <w:marBottom w:val="0"/>
                  <w:divBdr>
                    <w:top w:val="none" w:sz="0" w:space="0" w:color="auto"/>
                    <w:left w:val="none" w:sz="0" w:space="0" w:color="auto"/>
                    <w:bottom w:val="none" w:sz="0" w:space="0" w:color="auto"/>
                    <w:right w:val="none" w:sz="0" w:space="0" w:color="auto"/>
                  </w:divBdr>
                </w:div>
              </w:divsChild>
            </w:div>
            <w:div w:id="2026324732">
              <w:marLeft w:val="0"/>
              <w:marRight w:val="0"/>
              <w:marTop w:val="0"/>
              <w:marBottom w:val="0"/>
              <w:divBdr>
                <w:top w:val="none" w:sz="0" w:space="0" w:color="auto"/>
                <w:left w:val="none" w:sz="0" w:space="0" w:color="auto"/>
                <w:bottom w:val="none" w:sz="0" w:space="0" w:color="auto"/>
                <w:right w:val="none" w:sz="0" w:space="0" w:color="auto"/>
              </w:divBdr>
              <w:divsChild>
                <w:div w:id="1939825437">
                  <w:marLeft w:val="0"/>
                  <w:marRight w:val="0"/>
                  <w:marTop w:val="0"/>
                  <w:marBottom w:val="0"/>
                  <w:divBdr>
                    <w:top w:val="none" w:sz="0" w:space="0" w:color="auto"/>
                    <w:left w:val="none" w:sz="0" w:space="0" w:color="auto"/>
                    <w:bottom w:val="none" w:sz="0" w:space="0" w:color="auto"/>
                    <w:right w:val="none" w:sz="0" w:space="0" w:color="auto"/>
                  </w:divBdr>
                </w:div>
              </w:divsChild>
            </w:div>
            <w:div w:id="2088723828">
              <w:marLeft w:val="0"/>
              <w:marRight w:val="0"/>
              <w:marTop w:val="0"/>
              <w:marBottom w:val="0"/>
              <w:divBdr>
                <w:top w:val="none" w:sz="0" w:space="0" w:color="auto"/>
                <w:left w:val="none" w:sz="0" w:space="0" w:color="auto"/>
                <w:bottom w:val="none" w:sz="0" w:space="0" w:color="auto"/>
                <w:right w:val="none" w:sz="0" w:space="0" w:color="auto"/>
              </w:divBdr>
              <w:divsChild>
                <w:div w:id="19416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79578">
          <w:marLeft w:val="0"/>
          <w:marRight w:val="0"/>
          <w:marTop w:val="0"/>
          <w:marBottom w:val="0"/>
          <w:divBdr>
            <w:top w:val="none" w:sz="0" w:space="0" w:color="auto"/>
            <w:left w:val="none" w:sz="0" w:space="0" w:color="auto"/>
            <w:bottom w:val="none" w:sz="0" w:space="0" w:color="auto"/>
            <w:right w:val="none" w:sz="0" w:space="0" w:color="auto"/>
          </w:divBdr>
        </w:div>
        <w:div w:id="1913345448">
          <w:marLeft w:val="0"/>
          <w:marRight w:val="0"/>
          <w:marTop w:val="0"/>
          <w:marBottom w:val="0"/>
          <w:divBdr>
            <w:top w:val="none" w:sz="0" w:space="0" w:color="auto"/>
            <w:left w:val="none" w:sz="0" w:space="0" w:color="auto"/>
            <w:bottom w:val="none" w:sz="0" w:space="0" w:color="auto"/>
            <w:right w:val="none" w:sz="0" w:space="0" w:color="auto"/>
          </w:divBdr>
        </w:div>
        <w:div w:id="1926187781">
          <w:marLeft w:val="0"/>
          <w:marRight w:val="0"/>
          <w:marTop w:val="0"/>
          <w:marBottom w:val="0"/>
          <w:divBdr>
            <w:top w:val="none" w:sz="0" w:space="0" w:color="auto"/>
            <w:left w:val="none" w:sz="0" w:space="0" w:color="auto"/>
            <w:bottom w:val="none" w:sz="0" w:space="0" w:color="auto"/>
            <w:right w:val="none" w:sz="0" w:space="0" w:color="auto"/>
          </w:divBdr>
        </w:div>
        <w:div w:id="1960331895">
          <w:marLeft w:val="0"/>
          <w:marRight w:val="0"/>
          <w:marTop w:val="0"/>
          <w:marBottom w:val="0"/>
          <w:divBdr>
            <w:top w:val="none" w:sz="0" w:space="0" w:color="auto"/>
            <w:left w:val="none" w:sz="0" w:space="0" w:color="auto"/>
            <w:bottom w:val="none" w:sz="0" w:space="0" w:color="auto"/>
            <w:right w:val="none" w:sz="0" w:space="0" w:color="auto"/>
          </w:divBdr>
        </w:div>
        <w:div w:id="1962572143">
          <w:marLeft w:val="0"/>
          <w:marRight w:val="0"/>
          <w:marTop w:val="0"/>
          <w:marBottom w:val="0"/>
          <w:divBdr>
            <w:top w:val="none" w:sz="0" w:space="0" w:color="auto"/>
            <w:left w:val="none" w:sz="0" w:space="0" w:color="auto"/>
            <w:bottom w:val="none" w:sz="0" w:space="0" w:color="auto"/>
            <w:right w:val="none" w:sz="0" w:space="0" w:color="auto"/>
          </w:divBdr>
        </w:div>
        <w:div w:id="1966497538">
          <w:marLeft w:val="0"/>
          <w:marRight w:val="0"/>
          <w:marTop w:val="0"/>
          <w:marBottom w:val="0"/>
          <w:divBdr>
            <w:top w:val="none" w:sz="0" w:space="0" w:color="auto"/>
            <w:left w:val="none" w:sz="0" w:space="0" w:color="auto"/>
            <w:bottom w:val="none" w:sz="0" w:space="0" w:color="auto"/>
            <w:right w:val="none" w:sz="0" w:space="0" w:color="auto"/>
          </w:divBdr>
        </w:div>
        <w:div w:id="1968733184">
          <w:marLeft w:val="0"/>
          <w:marRight w:val="0"/>
          <w:marTop w:val="0"/>
          <w:marBottom w:val="0"/>
          <w:divBdr>
            <w:top w:val="none" w:sz="0" w:space="0" w:color="auto"/>
            <w:left w:val="none" w:sz="0" w:space="0" w:color="auto"/>
            <w:bottom w:val="none" w:sz="0" w:space="0" w:color="auto"/>
            <w:right w:val="none" w:sz="0" w:space="0" w:color="auto"/>
          </w:divBdr>
        </w:div>
        <w:div w:id="1971130900">
          <w:marLeft w:val="0"/>
          <w:marRight w:val="0"/>
          <w:marTop w:val="0"/>
          <w:marBottom w:val="0"/>
          <w:divBdr>
            <w:top w:val="none" w:sz="0" w:space="0" w:color="auto"/>
            <w:left w:val="none" w:sz="0" w:space="0" w:color="auto"/>
            <w:bottom w:val="none" w:sz="0" w:space="0" w:color="auto"/>
            <w:right w:val="none" w:sz="0" w:space="0" w:color="auto"/>
          </w:divBdr>
        </w:div>
        <w:div w:id="1980642996">
          <w:marLeft w:val="0"/>
          <w:marRight w:val="0"/>
          <w:marTop w:val="0"/>
          <w:marBottom w:val="0"/>
          <w:divBdr>
            <w:top w:val="none" w:sz="0" w:space="0" w:color="auto"/>
            <w:left w:val="none" w:sz="0" w:space="0" w:color="auto"/>
            <w:bottom w:val="none" w:sz="0" w:space="0" w:color="auto"/>
            <w:right w:val="none" w:sz="0" w:space="0" w:color="auto"/>
          </w:divBdr>
        </w:div>
        <w:div w:id="2014526229">
          <w:marLeft w:val="0"/>
          <w:marRight w:val="0"/>
          <w:marTop w:val="0"/>
          <w:marBottom w:val="0"/>
          <w:divBdr>
            <w:top w:val="none" w:sz="0" w:space="0" w:color="auto"/>
            <w:left w:val="none" w:sz="0" w:space="0" w:color="auto"/>
            <w:bottom w:val="none" w:sz="0" w:space="0" w:color="auto"/>
            <w:right w:val="none" w:sz="0" w:space="0" w:color="auto"/>
          </w:divBdr>
        </w:div>
        <w:div w:id="2021270066">
          <w:marLeft w:val="0"/>
          <w:marRight w:val="0"/>
          <w:marTop w:val="0"/>
          <w:marBottom w:val="0"/>
          <w:divBdr>
            <w:top w:val="none" w:sz="0" w:space="0" w:color="auto"/>
            <w:left w:val="none" w:sz="0" w:space="0" w:color="auto"/>
            <w:bottom w:val="none" w:sz="0" w:space="0" w:color="auto"/>
            <w:right w:val="none" w:sz="0" w:space="0" w:color="auto"/>
          </w:divBdr>
        </w:div>
        <w:div w:id="2110152828">
          <w:marLeft w:val="0"/>
          <w:marRight w:val="0"/>
          <w:marTop w:val="0"/>
          <w:marBottom w:val="0"/>
          <w:divBdr>
            <w:top w:val="none" w:sz="0" w:space="0" w:color="auto"/>
            <w:left w:val="none" w:sz="0" w:space="0" w:color="auto"/>
            <w:bottom w:val="none" w:sz="0" w:space="0" w:color="auto"/>
            <w:right w:val="none" w:sz="0" w:space="0" w:color="auto"/>
          </w:divBdr>
        </w:div>
        <w:div w:id="2121953865">
          <w:marLeft w:val="0"/>
          <w:marRight w:val="0"/>
          <w:marTop w:val="0"/>
          <w:marBottom w:val="0"/>
          <w:divBdr>
            <w:top w:val="none" w:sz="0" w:space="0" w:color="auto"/>
            <w:left w:val="none" w:sz="0" w:space="0" w:color="auto"/>
            <w:bottom w:val="none" w:sz="0" w:space="0" w:color="auto"/>
            <w:right w:val="none" w:sz="0" w:space="0" w:color="auto"/>
          </w:divBdr>
        </w:div>
        <w:div w:id="2122407775">
          <w:marLeft w:val="0"/>
          <w:marRight w:val="0"/>
          <w:marTop w:val="0"/>
          <w:marBottom w:val="0"/>
          <w:divBdr>
            <w:top w:val="none" w:sz="0" w:space="0" w:color="auto"/>
            <w:left w:val="none" w:sz="0" w:space="0" w:color="auto"/>
            <w:bottom w:val="none" w:sz="0" w:space="0" w:color="auto"/>
            <w:right w:val="none" w:sz="0" w:space="0" w:color="auto"/>
          </w:divBdr>
        </w:div>
        <w:div w:id="2124036587">
          <w:marLeft w:val="0"/>
          <w:marRight w:val="0"/>
          <w:marTop w:val="0"/>
          <w:marBottom w:val="0"/>
          <w:divBdr>
            <w:top w:val="none" w:sz="0" w:space="0" w:color="auto"/>
            <w:left w:val="none" w:sz="0" w:space="0" w:color="auto"/>
            <w:bottom w:val="none" w:sz="0" w:space="0" w:color="auto"/>
            <w:right w:val="none" w:sz="0" w:space="0" w:color="auto"/>
          </w:divBdr>
        </w:div>
        <w:div w:id="2125878286">
          <w:marLeft w:val="0"/>
          <w:marRight w:val="0"/>
          <w:marTop w:val="0"/>
          <w:marBottom w:val="0"/>
          <w:divBdr>
            <w:top w:val="none" w:sz="0" w:space="0" w:color="auto"/>
            <w:left w:val="none" w:sz="0" w:space="0" w:color="auto"/>
            <w:bottom w:val="none" w:sz="0" w:space="0" w:color="auto"/>
            <w:right w:val="none" w:sz="0" w:space="0" w:color="auto"/>
          </w:divBdr>
        </w:div>
        <w:div w:id="2134010546">
          <w:marLeft w:val="0"/>
          <w:marRight w:val="0"/>
          <w:marTop w:val="0"/>
          <w:marBottom w:val="0"/>
          <w:divBdr>
            <w:top w:val="none" w:sz="0" w:space="0" w:color="auto"/>
            <w:left w:val="none" w:sz="0" w:space="0" w:color="auto"/>
            <w:bottom w:val="none" w:sz="0" w:space="0" w:color="auto"/>
            <w:right w:val="none" w:sz="0" w:space="0" w:color="auto"/>
          </w:divBdr>
        </w:div>
        <w:div w:id="2138798175">
          <w:marLeft w:val="0"/>
          <w:marRight w:val="0"/>
          <w:marTop w:val="0"/>
          <w:marBottom w:val="0"/>
          <w:divBdr>
            <w:top w:val="none" w:sz="0" w:space="0" w:color="auto"/>
            <w:left w:val="none" w:sz="0" w:space="0" w:color="auto"/>
            <w:bottom w:val="none" w:sz="0" w:space="0" w:color="auto"/>
            <w:right w:val="none" w:sz="0" w:space="0" w:color="auto"/>
          </w:divBdr>
        </w:div>
      </w:divsChild>
    </w:div>
    <w:div w:id="663238947">
      <w:bodyDiv w:val="1"/>
      <w:marLeft w:val="0"/>
      <w:marRight w:val="0"/>
      <w:marTop w:val="0"/>
      <w:marBottom w:val="0"/>
      <w:divBdr>
        <w:top w:val="none" w:sz="0" w:space="0" w:color="auto"/>
        <w:left w:val="none" w:sz="0" w:space="0" w:color="auto"/>
        <w:bottom w:val="none" w:sz="0" w:space="0" w:color="auto"/>
        <w:right w:val="none" w:sz="0" w:space="0" w:color="auto"/>
      </w:divBdr>
      <w:divsChild>
        <w:div w:id="171796306">
          <w:marLeft w:val="0"/>
          <w:marRight w:val="0"/>
          <w:marTop w:val="0"/>
          <w:marBottom w:val="0"/>
          <w:divBdr>
            <w:top w:val="none" w:sz="0" w:space="0" w:color="auto"/>
            <w:left w:val="none" w:sz="0" w:space="0" w:color="auto"/>
            <w:bottom w:val="none" w:sz="0" w:space="0" w:color="auto"/>
            <w:right w:val="none" w:sz="0" w:space="0" w:color="auto"/>
          </w:divBdr>
          <w:divsChild>
            <w:div w:id="110168685">
              <w:marLeft w:val="0"/>
              <w:marRight w:val="0"/>
              <w:marTop w:val="0"/>
              <w:marBottom w:val="0"/>
              <w:divBdr>
                <w:top w:val="none" w:sz="0" w:space="0" w:color="auto"/>
                <w:left w:val="none" w:sz="0" w:space="0" w:color="auto"/>
                <w:bottom w:val="none" w:sz="0" w:space="0" w:color="auto"/>
                <w:right w:val="none" w:sz="0" w:space="0" w:color="auto"/>
              </w:divBdr>
            </w:div>
            <w:div w:id="117574055">
              <w:marLeft w:val="0"/>
              <w:marRight w:val="0"/>
              <w:marTop w:val="0"/>
              <w:marBottom w:val="0"/>
              <w:divBdr>
                <w:top w:val="none" w:sz="0" w:space="0" w:color="auto"/>
                <w:left w:val="none" w:sz="0" w:space="0" w:color="auto"/>
                <w:bottom w:val="none" w:sz="0" w:space="0" w:color="auto"/>
                <w:right w:val="none" w:sz="0" w:space="0" w:color="auto"/>
              </w:divBdr>
            </w:div>
            <w:div w:id="224149466">
              <w:marLeft w:val="0"/>
              <w:marRight w:val="0"/>
              <w:marTop w:val="0"/>
              <w:marBottom w:val="0"/>
              <w:divBdr>
                <w:top w:val="none" w:sz="0" w:space="0" w:color="auto"/>
                <w:left w:val="none" w:sz="0" w:space="0" w:color="auto"/>
                <w:bottom w:val="none" w:sz="0" w:space="0" w:color="auto"/>
                <w:right w:val="none" w:sz="0" w:space="0" w:color="auto"/>
              </w:divBdr>
            </w:div>
            <w:div w:id="410665377">
              <w:marLeft w:val="0"/>
              <w:marRight w:val="0"/>
              <w:marTop w:val="0"/>
              <w:marBottom w:val="0"/>
              <w:divBdr>
                <w:top w:val="none" w:sz="0" w:space="0" w:color="auto"/>
                <w:left w:val="none" w:sz="0" w:space="0" w:color="auto"/>
                <w:bottom w:val="none" w:sz="0" w:space="0" w:color="auto"/>
                <w:right w:val="none" w:sz="0" w:space="0" w:color="auto"/>
              </w:divBdr>
            </w:div>
            <w:div w:id="425537610">
              <w:marLeft w:val="0"/>
              <w:marRight w:val="0"/>
              <w:marTop w:val="0"/>
              <w:marBottom w:val="0"/>
              <w:divBdr>
                <w:top w:val="none" w:sz="0" w:space="0" w:color="auto"/>
                <w:left w:val="none" w:sz="0" w:space="0" w:color="auto"/>
                <w:bottom w:val="none" w:sz="0" w:space="0" w:color="auto"/>
                <w:right w:val="none" w:sz="0" w:space="0" w:color="auto"/>
              </w:divBdr>
            </w:div>
            <w:div w:id="451898968">
              <w:marLeft w:val="0"/>
              <w:marRight w:val="0"/>
              <w:marTop w:val="0"/>
              <w:marBottom w:val="0"/>
              <w:divBdr>
                <w:top w:val="none" w:sz="0" w:space="0" w:color="auto"/>
                <w:left w:val="none" w:sz="0" w:space="0" w:color="auto"/>
                <w:bottom w:val="none" w:sz="0" w:space="0" w:color="auto"/>
                <w:right w:val="none" w:sz="0" w:space="0" w:color="auto"/>
              </w:divBdr>
            </w:div>
            <w:div w:id="683434535">
              <w:marLeft w:val="0"/>
              <w:marRight w:val="0"/>
              <w:marTop w:val="0"/>
              <w:marBottom w:val="0"/>
              <w:divBdr>
                <w:top w:val="none" w:sz="0" w:space="0" w:color="auto"/>
                <w:left w:val="none" w:sz="0" w:space="0" w:color="auto"/>
                <w:bottom w:val="none" w:sz="0" w:space="0" w:color="auto"/>
                <w:right w:val="none" w:sz="0" w:space="0" w:color="auto"/>
              </w:divBdr>
            </w:div>
            <w:div w:id="721058419">
              <w:marLeft w:val="0"/>
              <w:marRight w:val="0"/>
              <w:marTop w:val="0"/>
              <w:marBottom w:val="0"/>
              <w:divBdr>
                <w:top w:val="none" w:sz="0" w:space="0" w:color="auto"/>
                <w:left w:val="none" w:sz="0" w:space="0" w:color="auto"/>
                <w:bottom w:val="none" w:sz="0" w:space="0" w:color="auto"/>
                <w:right w:val="none" w:sz="0" w:space="0" w:color="auto"/>
              </w:divBdr>
            </w:div>
            <w:div w:id="842628543">
              <w:marLeft w:val="0"/>
              <w:marRight w:val="0"/>
              <w:marTop w:val="0"/>
              <w:marBottom w:val="0"/>
              <w:divBdr>
                <w:top w:val="none" w:sz="0" w:space="0" w:color="auto"/>
                <w:left w:val="none" w:sz="0" w:space="0" w:color="auto"/>
                <w:bottom w:val="none" w:sz="0" w:space="0" w:color="auto"/>
                <w:right w:val="none" w:sz="0" w:space="0" w:color="auto"/>
              </w:divBdr>
            </w:div>
            <w:div w:id="1012760411">
              <w:marLeft w:val="0"/>
              <w:marRight w:val="0"/>
              <w:marTop w:val="0"/>
              <w:marBottom w:val="0"/>
              <w:divBdr>
                <w:top w:val="none" w:sz="0" w:space="0" w:color="auto"/>
                <w:left w:val="none" w:sz="0" w:space="0" w:color="auto"/>
                <w:bottom w:val="none" w:sz="0" w:space="0" w:color="auto"/>
                <w:right w:val="none" w:sz="0" w:space="0" w:color="auto"/>
              </w:divBdr>
            </w:div>
            <w:div w:id="1349719725">
              <w:marLeft w:val="0"/>
              <w:marRight w:val="0"/>
              <w:marTop w:val="0"/>
              <w:marBottom w:val="0"/>
              <w:divBdr>
                <w:top w:val="none" w:sz="0" w:space="0" w:color="auto"/>
                <w:left w:val="none" w:sz="0" w:space="0" w:color="auto"/>
                <w:bottom w:val="none" w:sz="0" w:space="0" w:color="auto"/>
                <w:right w:val="none" w:sz="0" w:space="0" w:color="auto"/>
              </w:divBdr>
            </w:div>
            <w:div w:id="1557158936">
              <w:marLeft w:val="0"/>
              <w:marRight w:val="0"/>
              <w:marTop w:val="0"/>
              <w:marBottom w:val="0"/>
              <w:divBdr>
                <w:top w:val="none" w:sz="0" w:space="0" w:color="auto"/>
                <w:left w:val="none" w:sz="0" w:space="0" w:color="auto"/>
                <w:bottom w:val="none" w:sz="0" w:space="0" w:color="auto"/>
                <w:right w:val="none" w:sz="0" w:space="0" w:color="auto"/>
              </w:divBdr>
            </w:div>
            <w:div w:id="1632202824">
              <w:marLeft w:val="0"/>
              <w:marRight w:val="0"/>
              <w:marTop w:val="0"/>
              <w:marBottom w:val="0"/>
              <w:divBdr>
                <w:top w:val="none" w:sz="0" w:space="0" w:color="auto"/>
                <w:left w:val="none" w:sz="0" w:space="0" w:color="auto"/>
                <w:bottom w:val="none" w:sz="0" w:space="0" w:color="auto"/>
                <w:right w:val="none" w:sz="0" w:space="0" w:color="auto"/>
              </w:divBdr>
            </w:div>
            <w:div w:id="1644113479">
              <w:marLeft w:val="0"/>
              <w:marRight w:val="0"/>
              <w:marTop w:val="0"/>
              <w:marBottom w:val="0"/>
              <w:divBdr>
                <w:top w:val="none" w:sz="0" w:space="0" w:color="auto"/>
                <w:left w:val="none" w:sz="0" w:space="0" w:color="auto"/>
                <w:bottom w:val="none" w:sz="0" w:space="0" w:color="auto"/>
                <w:right w:val="none" w:sz="0" w:space="0" w:color="auto"/>
              </w:divBdr>
            </w:div>
            <w:div w:id="1647320887">
              <w:marLeft w:val="0"/>
              <w:marRight w:val="0"/>
              <w:marTop w:val="0"/>
              <w:marBottom w:val="0"/>
              <w:divBdr>
                <w:top w:val="none" w:sz="0" w:space="0" w:color="auto"/>
                <w:left w:val="none" w:sz="0" w:space="0" w:color="auto"/>
                <w:bottom w:val="none" w:sz="0" w:space="0" w:color="auto"/>
                <w:right w:val="none" w:sz="0" w:space="0" w:color="auto"/>
              </w:divBdr>
            </w:div>
            <w:div w:id="1706322748">
              <w:marLeft w:val="0"/>
              <w:marRight w:val="0"/>
              <w:marTop w:val="0"/>
              <w:marBottom w:val="0"/>
              <w:divBdr>
                <w:top w:val="none" w:sz="0" w:space="0" w:color="auto"/>
                <w:left w:val="none" w:sz="0" w:space="0" w:color="auto"/>
                <w:bottom w:val="none" w:sz="0" w:space="0" w:color="auto"/>
                <w:right w:val="none" w:sz="0" w:space="0" w:color="auto"/>
              </w:divBdr>
            </w:div>
            <w:div w:id="1849560411">
              <w:marLeft w:val="0"/>
              <w:marRight w:val="0"/>
              <w:marTop w:val="0"/>
              <w:marBottom w:val="0"/>
              <w:divBdr>
                <w:top w:val="none" w:sz="0" w:space="0" w:color="auto"/>
                <w:left w:val="none" w:sz="0" w:space="0" w:color="auto"/>
                <w:bottom w:val="none" w:sz="0" w:space="0" w:color="auto"/>
                <w:right w:val="none" w:sz="0" w:space="0" w:color="auto"/>
              </w:divBdr>
            </w:div>
            <w:div w:id="1949651760">
              <w:marLeft w:val="0"/>
              <w:marRight w:val="0"/>
              <w:marTop w:val="0"/>
              <w:marBottom w:val="0"/>
              <w:divBdr>
                <w:top w:val="none" w:sz="0" w:space="0" w:color="auto"/>
                <w:left w:val="none" w:sz="0" w:space="0" w:color="auto"/>
                <w:bottom w:val="none" w:sz="0" w:space="0" w:color="auto"/>
                <w:right w:val="none" w:sz="0" w:space="0" w:color="auto"/>
              </w:divBdr>
            </w:div>
            <w:div w:id="1970738723">
              <w:marLeft w:val="0"/>
              <w:marRight w:val="0"/>
              <w:marTop w:val="0"/>
              <w:marBottom w:val="0"/>
              <w:divBdr>
                <w:top w:val="none" w:sz="0" w:space="0" w:color="auto"/>
                <w:left w:val="none" w:sz="0" w:space="0" w:color="auto"/>
                <w:bottom w:val="none" w:sz="0" w:space="0" w:color="auto"/>
                <w:right w:val="none" w:sz="0" w:space="0" w:color="auto"/>
              </w:divBdr>
            </w:div>
            <w:div w:id="2130122288">
              <w:marLeft w:val="0"/>
              <w:marRight w:val="0"/>
              <w:marTop w:val="0"/>
              <w:marBottom w:val="0"/>
              <w:divBdr>
                <w:top w:val="none" w:sz="0" w:space="0" w:color="auto"/>
                <w:left w:val="none" w:sz="0" w:space="0" w:color="auto"/>
                <w:bottom w:val="none" w:sz="0" w:space="0" w:color="auto"/>
                <w:right w:val="none" w:sz="0" w:space="0" w:color="auto"/>
              </w:divBdr>
            </w:div>
          </w:divsChild>
        </w:div>
        <w:div w:id="452405561">
          <w:marLeft w:val="0"/>
          <w:marRight w:val="0"/>
          <w:marTop w:val="0"/>
          <w:marBottom w:val="0"/>
          <w:divBdr>
            <w:top w:val="none" w:sz="0" w:space="0" w:color="auto"/>
            <w:left w:val="none" w:sz="0" w:space="0" w:color="auto"/>
            <w:bottom w:val="none" w:sz="0" w:space="0" w:color="auto"/>
            <w:right w:val="none" w:sz="0" w:space="0" w:color="auto"/>
          </w:divBdr>
          <w:divsChild>
            <w:div w:id="38476165">
              <w:marLeft w:val="0"/>
              <w:marRight w:val="0"/>
              <w:marTop w:val="0"/>
              <w:marBottom w:val="0"/>
              <w:divBdr>
                <w:top w:val="none" w:sz="0" w:space="0" w:color="auto"/>
                <w:left w:val="none" w:sz="0" w:space="0" w:color="auto"/>
                <w:bottom w:val="none" w:sz="0" w:space="0" w:color="auto"/>
                <w:right w:val="none" w:sz="0" w:space="0" w:color="auto"/>
              </w:divBdr>
            </w:div>
            <w:div w:id="223955856">
              <w:marLeft w:val="0"/>
              <w:marRight w:val="0"/>
              <w:marTop w:val="0"/>
              <w:marBottom w:val="0"/>
              <w:divBdr>
                <w:top w:val="none" w:sz="0" w:space="0" w:color="auto"/>
                <w:left w:val="none" w:sz="0" w:space="0" w:color="auto"/>
                <w:bottom w:val="none" w:sz="0" w:space="0" w:color="auto"/>
                <w:right w:val="none" w:sz="0" w:space="0" w:color="auto"/>
              </w:divBdr>
            </w:div>
            <w:div w:id="242184543">
              <w:marLeft w:val="0"/>
              <w:marRight w:val="0"/>
              <w:marTop w:val="0"/>
              <w:marBottom w:val="0"/>
              <w:divBdr>
                <w:top w:val="none" w:sz="0" w:space="0" w:color="auto"/>
                <w:left w:val="none" w:sz="0" w:space="0" w:color="auto"/>
                <w:bottom w:val="none" w:sz="0" w:space="0" w:color="auto"/>
                <w:right w:val="none" w:sz="0" w:space="0" w:color="auto"/>
              </w:divBdr>
            </w:div>
            <w:div w:id="321739772">
              <w:marLeft w:val="0"/>
              <w:marRight w:val="0"/>
              <w:marTop w:val="0"/>
              <w:marBottom w:val="0"/>
              <w:divBdr>
                <w:top w:val="none" w:sz="0" w:space="0" w:color="auto"/>
                <w:left w:val="none" w:sz="0" w:space="0" w:color="auto"/>
                <w:bottom w:val="none" w:sz="0" w:space="0" w:color="auto"/>
                <w:right w:val="none" w:sz="0" w:space="0" w:color="auto"/>
              </w:divBdr>
            </w:div>
            <w:div w:id="527373244">
              <w:marLeft w:val="0"/>
              <w:marRight w:val="0"/>
              <w:marTop w:val="0"/>
              <w:marBottom w:val="0"/>
              <w:divBdr>
                <w:top w:val="none" w:sz="0" w:space="0" w:color="auto"/>
                <w:left w:val="none" w:sz="0" w:space="0" w:color="auto"/>
                <w:bottom w:val="none" w:sz="0" w:space="0" w:color="auto"/>
                <w:right w:val="none" w:sz="0" w:space="0" w:color="auto"/>
              </w:divBdr>
            </w:div>
            <w:div w:id="1017659813">
              <w:marLeft w:val="0"/>
              <w:marRight w:val="0"/>
              <w:marTop w:val="0"/>
              <w:marBottom w:val="0"/>
              <w:divBdr>
                <w:top w:val="none" w:sz="0" w:space="0" w:color="auto"/>
                <w:left w:val="none" w:sz="0" w:space="0" w:color="auto"/>
                <w:bottom w:val="none" w:sz="0" w:space="0" w:color="auto"/>
                <w:right w:val="none" w:sz="0" w:space="0" w:color="auto"/>
              </w:divBdr>
            </w:div>
            <w:div w:id="1193423339">
              <w:marLeft w:val="0"/>
              <w:marRight w:val="0"/>
              <w:marTop w:val="0"/>
              <w:marBottom w:val="0"/>
              <w:divBdr>
                <w:top w:val="none" w:sz="0" w:space="0" w:color="auto"/>
                <w:left w:val="none" w:sz="0" w:space="0" w:color="auto"/>
                <w:bottom w:val="none" w:sz="0" w:space="0" w:color="auto"/>
                <w:right w:val="none" w:sz="0" w:space="0" w:color="auto"/>
              </w:divBdr>
            </w:div>
            <w:div w:id="1406563322">
              <w:marLeft w:val="0"/>
              <w:marRight w:val="0"/>
              <w:marTop w:val="0"/>
              <w:marBottom w:val="0"/>
              <w:divBdr>
                <w:top w:val="none" w:sz="0" w:space="0" w:color="auto"/>
                <w:left w:val="none" w:sz="0" w:space="0" w:color="auto"/>
                <w:bottom w:val="none" w:sz="0" w:space="0" w:color="auto"/>
                <w:right w:val="none" w:sz="0" w:space="0" w:color="auto"/>
              </w:divBdr>
            </w:div>
            <w:div w:id="1520201175">
              <w:marLeft w:val="0"/>
              <w:marRight w:val="0"/>
              <w:marTop w:val="0"/>
              <w:marBottom w:val="0"/>
              <w:divBdr>
                <w:top w:val="none" w:sz="0" w:space="0" w:color="auto"/>
                <w:left w:val="none" w:sz="0" w:space="0" w:color="auto"/>
                <w:bottom w:val="none" w:sz="0" w:space="0" w:color="auto"/>
                <w:right w:val="none" w:sz="0" w:space="0" w:color="auto"/>
              </w:divBdr>
            </w:div>
            <w:div w:id="1593586956">
              <w:marLeft w:val="0"/>
              <w:marRight w:val="0"/>
              <w:marTop w:val="0"/>
              <w:marBottom w:val="0"/>
              <w:divBdr>
                <w:top w:val="none" w:sz="0" w:space="0" w:color="auto"/>
                <w:left w:val="none" w:sz="0" w:space="0" w:color="auto"/>
                <w:bottom w:val="none" w:sz="0" w:space="0" w:color="auto"/>
                <w:right w:val="none" w:sz="0" w:space="0" w:color="auto"/>
              </w:divBdr>
            </w:div>
            <w:div w:id="1721250438">
              <w:marLeft w:val="0"/>
              <w:marRight w:val="0"/>
              <w:marTop w:val="0"/>
              <w:marBottom w:val="0"/>
              <w:divBdr>
                <w:top w:val="none" w:sz="0" w:space="0" w:color="auto"/>
                <w:left w:val="none" w:sz="0" w:space="0" w:color="auto"/>
                <w:bottom w:val="none" w:sz="0" w:space="0" w:color="auto"/>
                <w:right w:val="none" w:sz="0" w:space="0" w:color="auto"/>
              </w:divBdr>
            </w:div>
            <w:div w:id="1928616737">
              <w:marLeft w:val="0"/>
              <w:marRight w:val="0"/>
              <w:marTop w:val="0"/>
              <w:marBottom w:val="0"/>
              <w:divBdr>
                <w:top w:val="none" w:sz="0" w:space="0" w:color="auto"/>
                <w:left w:val="none" w:sz="0" w:space="0" w:color="auto"/>
                <w:bottom w:val="none" w:sz="0" w:space="0" w:color="auto"/>
                <w:right w:val="none" w:sz="0" w:space="0" w:color="auto"/>
              </w:divBdr>
            </w:div>
            <w:div w:id="1938517953">
              <w:marLeft w:val="0"/>
              <w:marRight w:val="0"/>
              <w:marTop w:val="0"/>
              <w:marBottom w:val="0"/>
              <w:divBdr>
                <w:top w:val="none" w:sz="0" w:space="0" w:color="auto"/>
                <w:left w:val="none" w:sz="0" w:space="0" w:color="auto"/>
                <w:bottom w:val="none" w:sz="0" w:space="0" w:color="auto"/>
                <w:right w:val="none" w:sz="0" w:space="0" w:color="auto"/>
              </w:divBdr>
            </w:div>
            <w:div w:id="1964579117">
              <w:marLeft w:val="0"/>
              <w:marRight w:val="0"/>
              <w:marTop w:val="0"/>
              <w:marBottom w:val="0"/>
              <w:divBdr>
                <w:top w:val="none" w:sz="0" w:space="0" w:color="auto"/>
                <w:left w:val="none" w:sz="0" w:space="0" w:color="auto"/>
                <w:bottom w:val="none" w:sz="0" w:space="0" w:color="auto"/>
                <w:right w:val="none" w:sz="0" w:space="0" w:color="auto"/>
              </w:divBdr>
            </w:div>
            <w:div w:id="2113623255">
              <w:marLeft w:val="0"/>
              <w:marRight w:val="0"/>
              <w:marTop w:val="0"/>
              <w:marBottom w:val="0"/>
              <w:divBdr>
                <w:top w:val="none" w:sz="0" w:space="0" w:color="auto"/>
                <w:left w:val="none" w:sz="0" w:space="0" w:color="auto"/>
                <w:bottom w:val="none" w:sz="0" w:space="0" w:color="auto"/>
                <w:right w:val="none" w:sz="0" w:space="0" w:color="auto"/>
              </w:divBdr>
            </w:div>
          </w:divsChild>
        </w:div>
        <w:div w:id="471947776">
          <w:marLeft w:val="0"/>
          <w:marRight w:val="0"/>
          <w:marTop w:val="0"/>
          <w:marBottom w:val="0"/>
          <w:divBdr>
            <w:top w:val="none" w:sz="0" w:space="0" w:color="auto"/>
            <w:left w:val="none" w:sz="0" w:space="0" w:color="auto"/>
            <w:bottom w:val="none" w:sz="0" w:space="0" w:color="auto"/>
            <w:right w:val="none" w:sz="0" w:space="0" w:color="auto"/>
          </w:divBdr>
          <w:divsChild>
            <w:div w:id="18896540">
              <w:marLeft w:val="0"/>
              <w:marRight w:val="0"/>
              <w:marTop w:val="0"/>
              <w:marBottom w:val="0"/>
              <w:divBdr>
                <w:top w:val="none" w:sz="0" w:space="0" w:color="auto"/>
                <w:left w:val="none" w:sz="0" w:space="0" w:color="auto"/>
                <w:bottom w:val="none" w:sz="0" w:space="0" w:color="auto"/>
                <w:right w:val="none" w:sz="0" w:space="0" w:color="auto"/>
              </w:divBdr>
            </w:div>
            <w:div w:id="766080092">
              <w:marLeft w:val="0"/>
              <w:marRight w:val="0"/>
              <w:marTop w:val="0"/>
              <w:marBottom w:val="0"/>
              <w:divBdr>
                <w:top w:val="none" w:sz="0" w:space="0" w:color="auto"/>
                <w:left w:val="none" w:sz="0" w:space="0" w:color="auto"/>
                <w:bottom w:val="none" w:sz="0" w:space="0" w:color="auto"/>
                <w:right w:val="none" w:sz="0" w:space="0" w:color="auto"/>
              </w:divBdr>
            </w:div>
            <w:div w:id="2048869576">
              <w:marLeft w:val="0"/>
              <w:marRight w:val="0"/>
              <w:marTop w:val="0"/>
              <w:marBottom w:val="0"/>
              <w:divBdr>
                <w:top w:val="none" w:sz="0" w:space="0" w:color="auto"/>
                <w:left w:val="none" w:sz="0" w:space="0" w:color="auto"/>
                <w:bottom w:val="none" w:sz="0" w:space="0" w:color="auto"/>
                <w:right w:val="none" w:sz="0" w:space="0" w:color="auto"/>
              </w:divBdr>
            </w:div>
          </w:divsChild>
        </w:div>
        <w:div w:id="1693607540">
          <w:marLeft w:val="0"/>
          <w:marRight w:val="0"/>
          <w:marTop w:val="0"/>
          <w:marBottom w:val="0"/>
          <w:divBdr>
            <w:top w:val="none" w:sz="0" w:space="0" w:color="auto"/>
            <w:left w:val="none" w:sz="0" w:space="0" w:color="auto"/>
            <w:bottom w:val="none" w:sz="0" w:space="0" w:color="auto"/>
            <w:right w:val="none" w:sz="0" w:space="0" w:color="auto"/>
          </w:divBdr>
        </w:div>
        <w:div w:id="1698309462">
          <w:marLeft w:val="0"/>
          <w:marRight w:val="0"/>
          <w:marTop w:val="0"/>
          <w:marBottom w:val="0"/>
          <w:divBdr>
            <w:top w:val="none" w:sz="0" w:space="0" w:color="auto"/>
            <w:left w:val="none" w:sz="0" w:space="0" w:color="auto"/>
            <w:bottom w:val="none" w:sz="0" w:space="0" w:color="auto"/>
            <w:right w:val="none" w:sz="0" w:space="0" w:color="auto"/>
          </w:divBdr>
          <w:divsChild>
            <w:div w:id="466552908">
              <w:marLeft w:val="0"/>
              <w:marRight w:val="0"/>
              <w:marTop w:val="0"/>
              <w:marBottom w:val="0"/>
              <w:divBdr>
                <w:top w:val="none" w:sz="0" w:space="0" w:color="auto"/>
                <w:left w:val="none" w:sz="0" w:space="0" w:color="auto"/>
                <w:bottom w:val="none" w:sz="0" w:space="0" w:color="auto"/>
                <w:right w:val="none" w:sz="0" w:space="0" w:color="auto"/>
              </w:divBdr>
            </w:div>
            <w:div w:id="1429614124">
              <w:marLeft w:val="0"/>
              <w:marRight w:val="0"/>
              <w:marTop w:val="0"/>
              <w:marBottom w:val="0"/>
              <w:divBdr>
                <w:top w:val="none" w:sz="0" w:space="0" w:color="auto"/>
                <w:left w:val="none" w:sz="0" w:space="0" w:color="auto"/>
                <w:bottom w:val="none" w:sz="0" w:space="0" w:color="auto"/>
                <w:right w:val="none" w:sz="0" w:space="0" w:color="auto"/>
              </w:divBdr>
            </w:div>
            <w:div w:id="1724519241">
              <w:marLeft w:val="0"/>
              <w:marRight w:val="0"/>
              <w:marTop w:val="0"/>
              <w:marBottom w:val="0"/>
              <w:divBdr>
                <w:top w:val="none" w:sz="0" w:space="0" w:color="auto"/>
                <w:left w:val="none" w:sz="0" w:space="0" w:color="auto"/>
                <w:bottom w:val="none" w:sz="0" w:space="0" w:color="auto"/>
                <w:right w:val="none" w:sz="0" w:space="0" w:color="auto"/>
              </w:divBdr>
            </w:div>
            <w:div w:id="1769690862">
              <w:marLeft w:val="0"/>
              <w:marRight w:val="0"/>
              <w:marTop w:val="0"/>
              <w:marBottom w:val="0"/>
              <w:divBdr>
                <w:top w:val="none" w:sz="0" w:space="0" w:color="auto"/>
                <w:left w:val="none" w:sz="0" w:space="0" w:color="auto"/>
                <w:bottom w:val="none" w:sz="0" w:space="0" w:color="auto"/>
                <w:right w:val="none" w:sz="0" w:space="0" w:color="auto"/>
              </w:divBdr>
            </w:div>
          </w:divsChild>
        </w:div>
        <w:div w:id="1724913650">
          <w:marLeft w:val="0"/>
          <w:marRight w:val="0"/>
          <w:marTop w:val="0"/>
          <w:marBottom w:val="0"/>
          <w:divBdr>
            <w:top w:val="none" w:sz="0" w:space="0" w:color="auto"/>
            <w:left w:val="none" w:sz="0" w:space="0" w:color="auto"/>
            <w:bottom w:val="none" w:sz="0" w:space="0" w:color="auto"/>
            <w:right w:val="none" w:sz="0" w:space="0" w:color="auto"/>
          </w:divBdr>
        </w:div>
        <w:div w:id="1869904399">
          <w:marLeft w:val="0"/>
          <w:marRight w:val="0"/>
          <w:marTop w:val="0"/>
          <w:marBottom w:val="0"/>
          <w:divBdr>
            <w:top w:val="none" w:sz="0" w:space="0" w:color="auto"/>
            <w:left w:val="none" w:sz="0" w:space="0" w:color="auto"/>
            <w:bottom w:val="none" w:sz="0" w:space="0" w:color="auto"/>
            <w:right w:val="none" w:sz="0" w:space="0" w:color="auto"/>
          </w:divBdr>
          <w:divsChild>
            <w:div w:id="748816564">
              <w:marLeft w:val="-75"/>
              <w:marRight w:val="0"/>
              <w:marTop w:val="30"/>
              <w:marBottom w:val="30"/>
              <w:divBdr>
                <w:top w:val="none" w:sz="0" w:space="0" w:color="auto"/>
                <w:left w:val="none" w:sz="0" w:space="0" w:color="auto"/>
                <w:bottom w:val="none" w:sz="0" w:space="0" w:color="auto"/>
                <w:right w:val="none" w:sz="0" w:space="0" w:color="auto"/>
              </w:divBdr>
              <w:divsChild>
                <w:div w:id="13265902">
                  <w:marLeft w:val="0"/>
                  <w:marRight w:val="0"/>
                  <w:marTop w:val="0"/>
                  <w:marBottom w:val="0"/>
                  <w:divBdr>
                    <w:top w:val="none" w:sz="0" w:space="0" w:color="auto"/>
                    <w:left w:val="none" w:sz="0" w:space="0" w:color="auto"/>
                    <w:bottom w:val="none" w:sz="0" w:space="0" w:color="auto"/>
                    <w:right w:val="none" w:sz="0" w:space="0" w:color="auto"/>
                  </w:divBdr>
                  <w:divsChild>
                    <w:div w:id="669869530">
                      <w:marLeft w:val="0"/>
                      <w:marRight w:val="0"/>
                      <w:marTop w:val="0"/>
                      <w:marBottom w:val="0"/>
                      <w:divBdr>
                        <w:top w:val="none" w:sz="0" w:space="0" w:color="auto"/>
                        <w:left w:val="none" w:sz="0" w:space="0" w:color="auto"/>
                        <w:bottom w:val="none" w:sz="0" w:space="0" w:color="auto"/>
                        <w:right w:val="none" w:sz="0" w:space="0" w:color="auto"/>
                      </w:divBdr>
                    </w:div>
                  </w:divsChild>
                </w:div>
                <w:div w:id="248386790">
                  <w:marLeft w:val="0"/>
                  <w:marRight w:val="0"/>
                  <w:marTop w:val="0"/>
                  <w:marBottom w:val="0"/>
                  <w:divBdr>
                    <w:top w:val="none" w:sz="0" w:space="0" w:color="auto"/>
                    <w:left w:val="none" w:sz="0" w:space="0" w:color="auto"/>
                    <w:bottom w:val="none" w:sz="0" w:space="0" w:color="auto"/>
                    <w:right w:val="none" w:sz="0" w:space="0" w:color="auto"/>
                  </w:divBdr>
                  <w:divsChild>
                    <w:div w:id="1390227856">
                      <w:marLeft w:val="0"/>
                      <w:marRight w:val="0"/>
                      <w:marTop w:val="0"/>
                      <w:marBottom w:val="0"/>
                      <w:divBdr>
                        <w:top w:val="none" w:sz="0" w:space="0" w:color="auto"/>
                        <w:left w:val="none" w:sz="0" w:space="0" w:color="auto"/>
                        <w:bottom w:val="none" w:sz="0" w:space="0" w:color="auto"/>
                        <w:right w:val="none" w:sz="0" w:space="0" w:color="auto"/>
                      </w:divBdr>
                    </w:div>
                    <w:div w:id="1922524211">
                      <w:marLeft w:val="0"/>
                      <w:marRight w:val="0"/>
                      <w:marTop w:val="0"/>
                      <w:marBottom w:val="0"/>
                      <w:divBdr>
                        <w:top w:val="none" w:sz="0" w:space="0" w:color="auto"/>
                        <w:left w:val="none" w:sz="0" w:space="0" w:color="auto"/>
                        <w:bottom w:val="none" w:sz="0" w:space="0" w:color="auto"/>
                        <w:right w:val="none" w:sz="0" w:space="0" w:color="auto"/>
                      </w:divBdr>
                    </w:div>
                  </w:divsChild>
                </w:div>
                <w:div w:id="449517460">
                  <w:marLeft w:val="0"/>
                  <w:marRight w:val="0"/>
                  <w:marTop w:val="0"/>
                  <w:marBottom w:val="0"/>
                  <w:divBdr>
                    <w:top w:val="none" w:sz="0" w:space="0" w:color="auto"/>
                    <w:left w:val="none" w:sz="0" w:space="0" w:color="auto"/>
                    <w:bottom w:val="none" w:sz="0" w:space="0" w:color="auto"/>
                    <w:right w:val="none" w:sz="0" w:space="0" w:color="auto"/>
                  </w:divBdr>
                  <w:divsChild>
                    <w:div w:id="1143884669">
                      <w:marLeft w:val="0"/>
                      <w:marRight w:val="0"/>
                      <w:marTop w:val="0"/>
                      <w:marBottom w:val="0"/>
                      <w:divBdr>
                        <w:top w:val="none" w:sz="0" w:space="0" w:color="auto"/>
                        <w:left w:val="none" w:sz="0" w:space="0" w:color="auto"/>
                        <w:bottom w:val="none" w:sz="0" w:space="0" w:color="auto"/>
                        <w:right w:val="none" w:sz="0" w:space="0" w:color="auto"/>
                      </w:divBdr>
                    </w:div>
                    <w:div w:id="2088457107">
                      <w:marLeft w:val="0"/>
                      <w:marRight w:val="0"/>
                      <w:marTop w:val="0"/>
                      <w:marBottom w:val="0"/>
                      <w:divBdr>
                        <w:top w:val="none" w:sz="0" w:space="0" w:color="auto"/>
                        <w:left w:val="none" w:sz="0" w:space="0" w:color="auto"/>
                        <w:bottom w:val="none" w:sz="0" w:space="0" w:color="auto"/>
                        <w:right w:val="none" w:sz="0" w:space="0" w:color="auto"/>
                      </w:divBdr>
                    </w:div>
                  </w:divsChild>
                </w:div>
                <w:div w:id="596795741">
                  <w:marLeft w:val="0"/>
                  <w:marRight w:val="0"/>
                  <w:marTop w:val="0"/>
                  <w:marBottom w:val="0"/>
                  <w:divBdr>
                    <w:top w:val="none" w:sz="0" w:space="0" w:color="auto"/>
                    <w:left w:val="none" w:sz="0" w:space="0" w:color="auto"/>
                    <w:bottom w:val="none" w:sz="0" w:space="0" w:color="auto"/>
                    <w:right w:val="none" w:sz="0" w:space="0" w:color="auto"/>
                  </w:divBdr>
                  <w:divsChild>
                    <w:div w:id="1407608827">
                      <w:marLeft w:val="0"/>
                      <w:marRight w:val="0"/>
                      <w:marTop w:val="0"/>
                      <w:marBottom w:val="0"/>
                      <w:divBdr>
                        <w:top w:val="none" w:sz="0" w:space="0" w:color="auto"/>
                        <w:left w:val="none" w:sz="0" w:space="0" w:color="auto"/>
                        <w:bottom w:val="none" w:sz="0" w:space="0" w:color="auto"/>
                        <w:right w:val="none" w:sz="0" w:space="0" w:color="auto"/>
                      </w:divBdr>
                    </w:div>
                  </w:divsChild>
                </w:div>
                <w:div w:id="944265187">
                  <w:marLeft w:val="0"/>
                  <w:marRight w:val="0"/>
                  <w:marTop w:val="0"/>
                  <w:marBottom w:val="0"/>
                  <w:divBdr>
                    <w:top w:val="none" w:sz="0" w:space="0" w:color="auto"/>
                    <w:left w:val="none" w:sz="0" w:space="0" w:color="auto"/>
                    <w:bottom w:val="none" w:sz="0" w:space="0" w:color="auto"/>
                    <w:right w:val="none" w:sz="0" w:space="0" w:color="auto"/>
                  </w:divBdr>
                  <w:divsChild>
                    <w:div w:id="173040131">
                      <w:marLeft w:val="0"/>
                      <w:marRight w:val="0"/>
                      <w:marTop w:val="0"/>
                      <w:marBottom w:val="0"/>
                      <w:divBdr>
                        <w:top w:val="none" w:sz="0" w:space="0" w:color="auto"/>
                        <w:left w:val="none" w:sz="0" w:space="0" w:color="auto"/>
                        <w:bottom w:val="none" w:sz="0" w:space="0" w:color="auto"/>
                        <w:right w:val="none" w:sz="0" w:space="0" w:color="auto"/>
                      </w:divBdr>
                    </w:div>
                  </w:divsChild>
                </w:div>
                <w:div w:id="1148479953">
                  <w:marLeft w:val="0"/>
                  <w:marRight w:val="0"/>
                  <w:marTop w:val="0"/>
                  <w:marBottom w:val="0"/>
                  <w:divBdr>
                    <w:top w:val="none" w:sz="0" w:space="0" w:color="auto"/>
                    <w:left w:val="none" w:sz="0" w:space="0" w:color="auto"/>
                    <w:bottom w:val="none" w:sz="0" w:space="0" w:color="auto"/>
                    <w:right w:val="none" w:sz="0" w:space="0" w:color="auto"/>
                  </w:divBdr>
                  <w:divsChild>
                    <w:div w:id="1740712444">
                      <w:marLeft w:val="0"/>
                      <w:marRight w:val="0"/>
                      <w:marTop w:val="0"/>
                      <w:marBottom w:val="0"/>
                      <w:divBdr>
                        <w:top w:val="none" w:sz="0" w:space="0" w:color="auto"/>
                        <w:left w:val="none" w:sz="0" w:space="0" w:color="auto"/>
                        <w:bottom w:val="none" w:sz="0" w:space="0" w:color="auto"/>
                        <w:right w:val="none" w:sz="0" w:space="0" w:color="auto"/>
                      </w:divBdr>
                    </w:div>
                  </w:divsChild>
                </w:div>
                <w:div w:id="1304845761">
                  <w:marLeft w:val="0"/>
                  <w:marRight w:val="0"/>
                  <w:marTop w:val="0"/>
                  <w:marBottom w:val="0"/>
                  <w:divBdr>
                    <w:top w:val="none" w:sz="0" w:space="0" w:color="auto"/>
                    <w:left w:val="none" w:sz="0" w:space="0" w:color="auto"/>
                    <w:bottom w:val="none" w:sz="0" w:space="0" w:color="auto"/>
                    <w:right w:val="none" w:sz="0" w:space="0" w:color="auto"/>
                  </w:divBdr>
                  <w:divsChild>
                    <w:div w:id="828978809">
                      <w:marLeft w:val="0"/>
                      <w:marRight w:val="0"/>
                      <w:marTop w:val="0"/>
                      <w:marBottom w:val="0"/>
                      <w:divBdr>
                        <w:top w:val="none" w:sz="0" w:space="0" w:color="auto"/>
                        <w:left w:val="none" w:sz="0" w:space="0" w:color="auto"/>
                        <w:bottom w:val="none" w:sz="0" w:space="0" w:color="auto"/>
                        <w:right w:val="none" w:sz="0" w:space="0" w:color="auto"/>
                      </w:divBdr>
                    </w:div>
                  </w:divsChild>
                </w:div>
                <w:div w:id="1309281031">
                  <w:marLeft w:val="0"/>
                  <w:marRight w:val="0"/>
                  <w:marTop w:val="0"/>
                  <w:marBottom w:val="0"/>
                  <w:divBdr>
                    <w:top w:val="none" w:sz="0" w:space="0" w:color="auto"/>
                    <w:left w:val="none" w:sz="0" w:space="0" w:color="auto"/>
                    <w:bottom w:val="none" w:sz="0" w:space="0" w:color="auto"/>
                    <w:right w:val="none" w:sz="0" w:space="0" w:color="auto"/>
                  </w:divBdr>
                  <w:divsChild>
                    <w:div w:id="275525153">
                      <w:marLeft w:val="0"/>
                      <w:marRight w:val="0"/>
                      <w:marTop w:val="0"/>
                      <w:marBottom w:val="0"/>
                      <w:divBdr>
                        <w:top w:val="none" w:sz="0" w:space="0" w:color="auto"/>
                        <w:left w:val="none" w:sz="0" w:space="0" w:color="auto"/>
                        <w:bottom w:val="none" w:sz="0" w:space="0" w:color="auto"/>
                        <w:right w:val="none" w:sz="0" w:space="0" w:color="auto"/>
                      </w:divBdr>
                    </w:div>
                  </w:divsChild>
                </w:div>
                <w:div w:id="1327587366">
                  <w:marLeft w:val="0"/>
                  <w:marRight w:val="0"/>
                  <w:marTop w:val="0"/>
                  <w:marBottom w:val="0"/>
                  <w:divBdr>
                    <w:top w:val="none" w:sz="0" w:space="0" w:color="auto"/>
                    <w:left w:val="none" w:sz="0" w:space="0" w:color="auto"/>
                    <w:bottom w:val="none" w:sz="0" w:space="0" w:color="auto"/>
                    <w:right w:val="none" w:sz="0" w:space="0" w:color="auto"/>
                  </w:divBdr>
                  <w:divsChild>
                    <w:div w:id="927271785">
                      <w:marLeft w:val="0"/>
                      <w:marRight w:val="0"/>
                      <w:marTop w:val="0"/>
                      <w:marBottom w:val="0"/>
                      <w:divBdr>
                        <w:top w:val="none" w:sz="0" w:space="0" w:color="auto"/>
                        <w:left w:val="none" w:sz="0" w:space="0" w:color="auto"/>
                        <w:bottom w:val="none" w:sz="0" w:space="0" w:color="auto"/>
                        <w:right w:val="none" w:sz="0" w:space="0" w:color="auto"/>
                      </w:divBdr>
                    </w:div>
                  </w:divsChild>
                </w:div>
                <w:div w:id="1615207536">
                  <w:marLeft w:val="0"/>
                  <w:marRight w:val="0"/>
                  <w:marTop w:val="0"/>
                  <w:marBottom w:val="0"/>
                  <w:divBdr>
                    <w:top w:val="none" w:sz="0" w:space="0" w:color="auto"/>
                    <w:left w:val="none" w:sz="0" w:space="0" w:color="auto"/>
                    <w:bottom w:val="none" w:sz="0" w:space="0" w:color="auto"/>
                    <w:right w:val="none" w:sz="0" w:space="0" w:color="auto"/>
                  </w:divBdr>
                  <w:divsChild>
                    <w:div w:id="1105658038">
                      <w:marLeft w:val="0"/>
                      <w:marRight w:val="0"/>
                      <w:marTop w:val="0"/>
                      <w:marBottom w:val="0"/>
                      <w:divBdr>
                        <w:top w:val="none" w:sz="0" w:space="0" w:color="auto"/>
                        <w:left w:val="none" w:sz="0" w:space="0" w:color="auto"/>
                        <w:bottom w:val="none" w:sz="0" w:space="0" w:color="auto"/>
                        <w:right w:val="none" w:sz="0" w:space="0" w:color="auto"/>
                      </w:divBdr>
                    </w:div>
                  </w:divsChild>
                </w:div>
                <w:div w:id="1719429378">
                  <w:marLeft w:val="0"/>
                  <w:marRight w:val="0"/>
                  <w:marTop w:val="0"/>
                  <w:marBottom w:val="0"/>
                  <w:divBdr>
                    <w:top w:val="none" w:sz="0" w:space="0" w:color="auto"/>
                    <w:left w:val="none" w:sz="0" w:space="0" w:color="auto"/>
                    <w:bottom w:val="none" w:sz="0" w:space="0" w:color="auto"/>
                    <w:right w:val="none" w:sz="0" w:space="0" w:color="auto"/>
                  </w:divBdr>
                  <w:divsChild>
                    <w:div w:id="1326593364">
                      <w:marLeft w:val="0"/>
                      <w:marRight w:val="0"/>
                      <w:marTop w:val="0"/>
                      <w:marBottom w:val="0"/>
                      <w:divBdr>
                        <w:top w:val="none" w:sz="0" w:space="0" w:color="auto"/>
                        <w:left w:val="none" w:sz="0" w:space="0" w:color="auto"/>
                        <w:bottom w:val="none" w:sz="0" w:space="0" w:color="auto"/>
                        <w:right w:val="none" w:sz="0" w:space="0" w:color="auto"/>
                      </w:divBdr>
                    </w:div>
                  </w:divsChild>
                </w:div>
                <w:div w:id="1862544222">
                  <w:marLeft w:val="0"/>
                  <w:marRight w:val="0"/>
                  <w:marTop w:val="0"/>
                  <w:marBottom w:val="0"/>
                  <w:divBdr>
                    <w:top w:val="none" w:sz="0" w:space="0" w:color="auto"/>
                    <w:left w:val="none" w:sz="0" w:space="0" w:color="auto"/>
                    <w:bottom w:val="none" w:sz="0" w:space="0" w:color="auto"/>
                    <w:right w:val="none" w:sz="0" w:space="0" w:color="auto"/>
                  </w:divBdr>
                  <w:divsChild>
                    <w:div w:id="885070121">
                      <w:marLeft w:val="0"/>
                      <w:marRight w:val="0"/>
                      <w:marTop w:val="0"/>
                      <w:marBottom w:val="0"/>
                      <w:divBdr>
                        <w:top w:val="none" w:sz="0" w:space="0" w:color="auto"/>
                        <w:left w:val="none" w:sz="0" w:space="0" w:color="auto"/>
                        <w:bottom w:val="none" w:sz="0" w:space="0" w:color="auto"/>
                        <w:right w:val="none" w:sz="0" w:space="0" w:color="auto"/>
                      </w:divBdr>
                    </w:div>
                    <w:div w:id="103037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458846">
          <w:marLeft w:val="0"/>
          <w:marRight w:val="0"/>
          <w:marTop w:val="0"/>
          <w:marBottom w:val="0"/>
          <w:divBdr>
            <w:top w:val="none" w:sz="0" w:space="0" w:color="auto"/>
            <w:left w:val="none" w:sz="0" w:space="0" w:color="auto"/>
            <w:bottom w:val="none" w:sz="0" w:space="0" w:color="auto"/>
            <w:right w:val="none" w:sz="0" w:space="0" w:color="auto"/>
          </w:divBdr>
          <w:divsChild>
            <w:div w:id="189920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062498">
      <w:bodyDiv w:val="1"/>
      <w:marLeft w:val="0"/>
      <w:marRight w:val="0"/>
      <w:marTop w:val="0"/>
      <w:marBottom w:val="0"/>
      <w:divBdr>
        <w:top w:val="none" w:sz="0" w:space="0" w:color="auto"/>
        <w:left w:val="none" w:sz="0" w:space="0" w:color="auto"/>
        <w:bottom w:val="none" w:sz="0" w:space="0" w:color="auto"/>
        <w:right w:val="none" w:sz="0" w:space="0" w:color="auto"/>
      </w:divBdr>
      <w:divsChild>
        <w:div w:id="10300527">
          <w:marLeft w:val="446"/>
          <w:marRight w:val="0"/>
          <w:marTop w:val="200"/>
          <w:marBottom w:val="160"/>
          <w:divBdr>
            <w:top w:val="none" w:sz="0" w:space="0" w:color="auto"/>
            <w:left w:val="none" w:sz="0" w:space="0" w:color="auto"/>
            <w:bottom w:val="none" w:sz="0" w:space="0" w:color="auto"/>
            <w:right w:val="none" w:sz="0" w:space="0" w:color="auto"/>
          </w:divBdr>
        </w:div>
        <w:div w:id="464549206">
          <w:marLeft w:val="446"/>
          <w:marRight w:val="0"/>
          <w:marTop w:val="200"/>
          <w:marBottom w:val="160"/>
          <w:divBdr>
            <w:top w:val="none" w:sz="0" w:space="0" w:color="auto"/>
            <w:left w:val="none" w:sz="0" w:space="0" w:color="auto"/>
            <w:bottom w:val="none" w:sz="0" w:space="0" w:color="auto"/>
            <w:right w:val="none" w:sz="0" w:space="0" w:color="auto"/>
          </w:divBdr>
        </w:div>
        <w:div w:id="531186154">
          <w:marLeft w:val="446"/>
          <w:marRight w:val="0"/>
          <w:marTop w:val="200"/>
          <w:marBottom w:val="160"/>
          <w:divBdr>
            <w:top w:val="none" w:sz="0" w:space="0" w:color="auto"/>
            <w:left w:val="none" w:sz="0" w:space="0" w:color="auto"/>
            <w:bottom w:val="none" w:sz="0" w:space="0" w:color="auto"/>
            <w:right w:val="none" w:sz="0" w:space="0" w:color="auto"/>
          </w:divBdr>
        </w:div>
      </w:divsChild>
    </w:div>
    <w:div w:id="780304361">
      <w:bodyDiv w:val="1"/>
      <w:marLeft w:val="0"/>
      <w:marRight w:val="0"/>
      <w:marTop w:val="0"/>
      <w:marBottom w:val="0"/>
      <w:divBdr>
        <w:top w:val="none" w:sz="0" w:space="0" w:color="auto"/>
        <w:left w:val="none" w:sz="0" w:space="0" w:color="auto"/>
        <w:bottom w:val="none" w:sz="0" w:space="0" w:color="auto"/>
        <w:right w:val="none" w:sz="0" w:space="0" w:color="auto"/>
      </w:divBdr>
    </w:div>
    <w:div w:id="844826421">
      <w:bodyDiv w:val="1"/>
      <w:marLeft w:val="0"/>
      <w:marRight w:val="0"/>
      <w:marTop w:val="0"/>
      <w:marBottom w:val="0"/>
      <w:divBdr>
        <w:top w:val="none" w:sz="0" w:space="0" w:color="auto"/>
        <w:left w:val="none" w:sz="0" w:space="0" w:color="auto"/>
        <w:bottom w:val="none" w:sz="0" w:space="0" w:color="auto"/>
        <w:right w:val="none" w:sz="0" w:space="0" w:color="auto"/>
      </w:divBdr>
      <w:divsChild>
        <w:div w:id="180820958">
          <w:marLeft w:val="547"/>
          <w:marRight w:val="0"/>
          <w:marTop w:val="0"/>
          <w:marBottom w:val="160"/>
          <w:divBdr>
            <w:top w:val="none" w:sz="0" w:space="0" w:color="auto"/>
            <w:left w:val="none" w:sz="0" w:space="0" w:color="auto"/>
            <w:bottom w:val="none" w:sz="0" w:space="0" w:color="auto"/>
            <w:right w:val="none" w:sz="0" w:space="0" w:color="auto"/>
          </w:divBdr>
        </w:div>
        <w:div w:id="333144781">
          <w:marLeft w:val="547"/>
          <w:marRight w:val="0"/>
          <w:marTop w:val="0"/>
          <w:marBottom w:val="0"/>
          <w:divBdr>
            <w:top w:val="none" w:sz="0" w:space="0" w:color="auto"/>
            <w:left w:val="none" w:sz="0" w:space="0" w:color="auto"/>
            <w:bottom w:val="none" w:sz="0" w:space="0" w:color="auto"/>
            <w:right w:val="none" w:sz="0" w:space="0" w:color="auto"/>
          </w:divBdr>
        </w:div>
        <w:div w:id="680549216">
          <w:marLeft w:val="547"/>
          <w:marRight w:val="0"/>
          <w:marTop w:val="0"/>
          <w:marBottom w:val="0"/>
          <w:divBdr>
            <w:top w:val="none" w:sz="0" w:space="0" w:color="auto"/>
            <w:left w:val="none" w:sz="0" w:space="0" w:color="auto"/>
            <w:bottom w:val="none" w:sz="0" w:space="0" w:color="auto"/>
            <w:right w:val="none" w:sz="0" w:space="0" w:color="auto"/>
          </w:divBdr>
        </w:div>
        <w:div w:id="909922719">
          <w:marLeft w:val="720"/>
          <w:marRight w:val="0"/>
          <w:marTop w:val="0"/>
          <w:marBottom w:val="160"/>
          <w:divBdr>
            <w:top w:val="none" w:sz="0" w:space="0" w:color="auto"/>
            <w:left w:val="none" w:sz="0" w:space="0" w:color="auto"/>
            <w:bottom w:val="none" w:sz="0" w:space="0" w:color="auto"/>
            <w:right w:val="none" w:sz="0" w:space="0" w:color="auto"/>
          </w:divBdr>
        </w:div>
        <w:div w:id="1292900910">
          <w:marLeft w:val="547"/>
          <w:marRight w:val="0"/>
          <w:marTop w:val="0"/>
          <w:marBottom w:val="0"/>
          <w:divBdr>
            <w:top w:val="none" w:sz="0" w:space="0" w:color="auto"/>
            <w:left w:val="none" w:sz="0" w:space="0" w:color="auto"/>
            <w:bottom w:val="none" w:sz="0" w:space="0" w:color="auto"/>
            <w:right w:val="none" w:sz="0" w:space="0" w:color="auto"/>
          </w:divBdr>
        </w:div>
        <w:div w:id="1377467355">
          <w:marLeft w:val="0"/>
          <w:marRight w:val="0"/>
          <w:marTop w:val="0"/>
          <w:marBottom w:val="160"/>
          <w:divBdr>
            <w:top w:val="none" w:sz="0" w:space="0" w:color="auto"/>
            <w:left w:val="none" w:sz="0" w:space="0" w:color="auto"/>
            <w:bottom w:val="none" w:sz="0" w:space="0" w:color="auto"/>
            <w:right w:val="none" w:sz="0" w:space="0" w:color="auto"/>
          </w:divBdr>
        </w:div>
        <w:div w:id="1464349780">
          <w:marLeft w:val="547"/>
          <w:marRight w:val="0"/>
          <w:marTop w:val="0"/>
          <w:marBottom w:val="0"/>
          <w:divBdr>
            <w:top w:val="none" w:sz="0" w:space="0" w:color="auto"/>
            <w:left w:val="none" w:sz="0" w:space="0" w:color="auto"/>
            <w:bottom w:val="none" w:sz="0" w:space="0" w:color="auto"/>
            <w:right w:val="none" w:sz="0" w:space="0" w:color="auto"/>
          </w:divBdr>
        </w:div>
        <w:div w:id="1605845517">
          <w:marLeft w:val="547"/>
          <w:marRight w:val="0"/>
          <w:marTop w:val="0"/>
          <w:marBottom w:val="0"/>
          <w:divBdr>
            <w:top w:val="none" w:sz="0" w:space="0" w:color="auto"/>
            <w:left w:val="none" w:sz="0" w:space="0" w:color="auto"/>
            <w:bottom w:val="none" w:sz="0" w:space="0" w:color="auto"/>
            <w:right w:val="none" w:sz="0" w:space="0" w:color="auto"/>
          </w:divBdr>
        </w:div>
        <w:div w:id="1702123930">
          <w:marLeft w:val="720"/>
          <w:marRight w:val="0"/>
          <w:marTop w:val="0"/>
          <w:marBottom w:val="160"/>
          <w:divBdr>
            <w:top w:val="none" w:sz="0" w:space="0" w:color="auto"/>
            <w:left w:val="none" w:sz="0" w:space="0" w:color="auto"/>
            <w:bottom w:val="none" w:sz="0" w:space="0" w:color="auto"/>
            <w:right w:val="none" w:sz="0" w:space="0" w:color="auto"/>
          </w:divBdr>
        </w:div>
        <w:div w:id="2015959014">
          <w:marLeft w:val="0"/>
          <w:marRight w:val="0"/>
          <w:marTop w:val="0"/>
          <w:marBottom w:val="160"/>
          <w:divBdr>
            <w:top w:val="none" w:sz="0" w:space="0" w:color="auto"/>
            <w:left w:val="none" w:sz="0" w:space="0" w:color="auto"/>
            <w:bottom w:val="none" w:sz="0" w:space="0" w:color="auto"/>
            <w:right w:val="none" w:sz="0" w:space="0" w:color="auto"/>
          </w:divBdr>
        </w:div>
        <w:div w:id="2016226321">
          <w:marLeft w:val="547"/>
          <w:marRight w:val="0"/>
          <w:marTop w:val="0"/>
          <w:marBottom w:val="160"/>
          <w:divBdr>
            <w:top w:val="none" w:sz="0" w:space="0" w:color="auto"/>
            <w:left w:val="none" w:sz="0" w:space="0" w:color="auto"/>
            <w:bottom w:val="none" w:sz="0" w:space="0" w:color="auto"/>
            <w:right w:val="none" w:sz="0" w:space="0" w:color="auto"/>
          </w:divBdr>
        </w:div>
        <w:div w:id="2022973570">
          <w:marLeft w:val="547"/>
          <w:marRight w:val="0"/>
          <w:marTop w:val="0"/>
          <w:marBottom w:val="0"/>
          <w:divBdr>
            <w:top w:val="none" w:sz="0" w:space="0" w:color="auto"/>
            <w:left w:val="none" w:sz="0" w:space="0" w:color="auto"/>
            <w:bottom w:val="none" w:sz="0" w:space="0" w:color="auto"/>
            <w:right w:val="none" w:sz="0" w:space="0" w:color="auto"/>
          </w:divBdr>
        </w:div>
      </w:divsChild>
    </w:div>
    <w:div w:id="854465488">
      <w:bodyDiv w:val="1"/>
      <w:marLeft w:val="0"/>
      <w:marRight w:val="0"/>
      <w:marTop w:val="0"/>
      <w:marBottom w:val="0"/>
      <w:divBdr>
        <w:top w:val="none" w:sz="0" w:space="0" w:color="auto"/>
        <w:left w:val="none" w:sz="0" w:space="0" w:color="auto"/>
        <w:bottom w:val="none" w:sz="0" w:space="0" w:color="auto"/>
        <w:right w:val="none" w:sz="0" w:space="0" w:color="auto"/>
      </w:divBdr>
    </w:div>
    <w:div w:id="866991442">
      <w:bodyDiv w:val="1"/>
      <w:marLeft w:val="0"/>
      <w:marRight w:val="0"/>
      <w:marTop w:val="0"/>
      <w:marBottom w:val="0"/>
      <w:divBdr>
        <w:top w:val="none" w:sz="0" w:space="0" w:color="auto"/>
        <w:left w:val="none" w:sz="0" w:space="0" w:color="auto"/>
        <w:bottom w:val="none" w:sz="0" w:space="0" w:color="auto"/>
        <w:right w:val="none" w:sz="0" w:space="0" w:color="auto"/>
      </w:divBdr>
    </w:div>
    <w:div w:id="883323192">
      <w:bodyDiv w:val="1"/>
      <w:marLeft w:val="0"/>
      <w:marRight w:val="0"/>
      <w:marTop w:val="0"/>
      <w:marBottom w:val="0"/>
      <w:divBdr>
        <w:top w:val="none" w:sz="0" w:space="0" w:color="auto"/>
        <w:left w:val="none" w:sz="0" w:space="0" w:color="auto"/>
        <w:bottom w:val="none" w:sz="0" w:space="0" w:color="auto"/>
        <w:right w:val="none" w:sz="0" w:space="0" w:color="auto"/>
      </w:divBdr>
    </w:div>
    <w:div w:id="890070886">
      <w:bodyDiv w:val="1"/>
      <w:marLeft w:val="0"/>
      <w:marRight w:val="0"/>
      <w:marTop w:val="0"/>
      <w:marBottom w:val="0"/>
      <w:divBdr>
        <w:top w:val="none" w:sz="0" w:space="0" w:color="auto"/>
        <w:left w:val="none" w:sz="0" w:space="0" w:color="auto"/>
        <w:bottom w:val="none" w:sz="0" w:space="0" w:color="auto"/>
        <w:right w:val="none" w:sz="0" w:space="0" w:color="auto"/>
      </w:divBdr>
    </w:div>
    <w:div w:id="911933573">
      <w:bodyDiv w:val="1"/>
      <w:marLeft w:val="0"/>
      <w:marRight w:val="0"/>
      <w:marTop w:val="0"/>
      <w:marBottom w:val="0"/>
      <w:divBdr>
        <w:top w:val="none" w:sz="0" w:space="0" w:color="auto"/>
        <w:left w:val="none" w:sz="0" w:space="0" w:color="auto"/>
        <w:bottom w:val="none" w:sz="0" w:space="0" w:color="auto"/>
        <w:right w:val="none" w:sz="0" w:space="0" w:color="auto"/>
      </w:divBdr>
      <w:divsChild>
        <w:div w:id="1316910713">
          <w:marLeft w:val="0"/>
          <w:marRight w:val="0"/>
          <w:marTop w:val="0"/>
          <w:marBottom w:val="160"/>
          <w:divBdr>
            <w:top w:val="none" w:sz="0" w:space="0" w:color="auto"/>
            <w:left w:val="none" w:sz="0" w:space="0" w:color="auto"/>
            <w:bottom w:val="none" w:sz="0" w:space="0" w:color="auto"/>
            <w:right w:val="none" w:sz="0" w:space="0" w:color="auto"/>
          </w:divBdr>
        </w:div>
        <w:div w:id="1713380847">
          <w:marLeft w:val="0"/>
          <w:marRight w:val="0"/>
          <w:marTop w:val="0"/>
          <w:marBottom w:val="160"/>
          <w:divBdr>
            <w:top w:val="none" w:sz="0" w:space="0" w:color="auto"/>
            <w:left w:val="none" w:sz="0" w:space="0" w:color="auto"/>
            <w:bottom w:val="none" w:sz="0" w:space="0" w:color="auto"/>
            <w:right w:val="none" w:sz="0" w:space="0" w:color="auto"/>
          </w:divBdr>
        </w:div>
      </w:divsChild>
    </w:div>
    <w:div w:id="999118904">
      <w:bodyDiv w:val="1"/>
      <w:marLeft w:val="0"/>
      <w:marRight w:val="0"/>
      <w:marTop w:val="0"/>
      <w:marBottom w:val="0"/>
      <w:divBdr>
        <w:top w:val="none" w:sz="0" w:space="0" w:color="auto"/>
        <w:left w:val="none" w:sz="0" w:space="0" w:color="auto"/>
        <w:bottom w:val="none" w:sz="0" w:space="0" w:color="auto"/>
        <w:right w:val="none" w:sz="0" w:space="0" w:color="auto"/>
      </w:divBdr>
    </w:div>
    <w:div w:id="1128931264">
      <w:bodyDiv w:val="1"/>
      <w:marLeft w:val="0"/>
      <w:marRight w:val="0"/>
      <w:marTop w:val="0"/>
      <w:marBottom w:val="0"/>
      <w:divBdr>
        <w:top w:val="none" w:sz="0" w:space="0" w:color="auto"/>
        <w:left w:val="none" w:sz="0" w:space="0" w:color="auto"/>
        <w:bottom w:val="none" w:sz="0" w:space="0" w:color="auto"/>
        <w:right w:val="none" w:sz="0" w:space="0" w:color="auto"/>
      </w:divBdr>
      <w:divsChild>
        <w:div w:id="756101345">
          <w:marLeft w:val="0"/>
          <w:marRight w:val="0"/>
          <w:marTop w:val="0"/>
          <w:marBottom w:val="0"/>
          <w:divBdr>
            <w:top w:val="none" w:sz="0" w:space="0" w:color="auto"/>
            <w:left w:val="none" w:sz="0" w:space="0" w:color="auto"/>
            <w:bottom w:val="none" w:sz="0" w:space="0" w:color="auto"/>
            <w:right w:val="none" w:sz="0" w:space="0" w:color="auto"/>
          </w:divBdr>
        </w:div>
        <w:div w:id="1036613388">
          <w:marLeft w:val="0"/>
          <w:marRight w:val="0"/>
          <w:marTop w:val="0"/>
          <w:marBottom w:val="0"/>
          <w:divBdr>
            <w:top w:val="none" w:sz="0" w:space="0" w:color="auto"/>
            <w:left w:val="none" w:sz="0" w:space="0" w:color="auto"/>
            <w:bottom w:val="none" w:sz="0" w:space="0" w:color="auto"/>
            <w:right w:val="none" w:sz="0" w:space="0" w:color="auto"/>
          </w:divBdr>
          <w:divsChild>
            <w:div w:id="1101025053">
              <w:marLeft w:val="0"/>
              <w:marRight w:val="0"/>
              <w:marTop w:val="0"/>
              <w:marBottom w:val="0"/>
              <w:divBdr>
                <w:top w:val="none" w:sz="0" w:space="0" w:color="auto"/>
                <w:left w:val="none" w:sz="0" w:space="0" w:color="auto"/>
                <w:bottom w:val="none" w:sz="0" w:space="0" w:color="auto"/>
                <w:right w:val="none" w:sz="0" w:space="0" w:color="auto"/>
              </w:divBdr>
            </w:div>
          </w:divsChild>
        </w:div>
        <w:div w:id="1072506741">
          <w:marLeft w:val="0"/>
          <w:marRight w:val="0"/>
          <w:marTop w:val="0"/>
          <w:marBottom w:val="0"/>
          <w:divBdr>
            <w:top w:val="none" w:sz="0" w:space="0" w:color="auto"/>
            <w:left w:val="none" w:sz="0" w:space="0" w:color="auto"/>
            <w:bottom w:val="none" w:sz="0" w:space="0" w:color="auto"/>
            <w:right w:val="none" w:sz="0" w:space="0" w:color="auto"/>
          </w:divBdr>
          <w:divsChild>
            <w:div w:id="399139969">
              <w:marLeft w:val="0"/>
              <w:marRight w:val="0"/>
              <w:marTop w:val="0"/>
              <w:marBottom w:val="0"/>
              <w:divBdr>
                <w:top w:val="none" w:sz="0" w:space="0" w:color="auto"/>
                <w:left w:val="none" w:sz="0" w:space="0" w:color="auto"/>
                <w:bottom w:val="none" w:sz="0" w:space="0" w:color="auto"/>
                <w:right w:val="none" w:sz="0" w:space="0" w:color="auto"/>
              </w:divBdr>
            </w:div>
            <w:div w:id="579023217">
              <w:marLeft w:val="0"/>
              <w:marRight w:val="0"/>
              <w:marTop w:val="0"/>
              <w:marBottom w:val="0"/>
              <w:divBdr>
                <w:top w:val="none" w:sz="0" w:space="0" w:color="auto"/>
                <w:left w:val="none" w:sz="0" w:space="0" w:color="auto"/>
                <w:bottom w:val="none" w:sz="0" w:space="0" w:color="auto"/>
                <w:right w:val="none" w:sz="0" w:space="0" w:color="auto"/>
              </w:divBdr>
            </w:div>
            <w:div w:id="1827670532">
              <w:marLeft w:val="0"/>
              <w:marRight w:val="0"/>
              <w:marTop w:val="0"/>
              <w:marBottom w:val="0"/>
              <w:divBdr>
                <w:top w:val="none" w:sz="0" w:space="0" w:color="auto"/>
                <w:left w:val="none" w:sz="0" w:space="0" w:color="auto"/>
                <w:bottom w:val="none" w:sz="0" w:space="0" w:color="auto"/>
                <w:right w:val="none" w:sz="0" w:space="0" w:color="auto"/>
              </w:divBdr>
            </w:div>
          </w:divsChild>
        </w:div>
        <w:div w:id="1119370251">
          <w:marLeft w:val="0"/>
          <w:marRight w:val="0"/>
          <w:marTop w:val="0"/>
          <w:marBottom w:val="0"/>
          <w:divBdr>
            <w:top w:val="none" w:sz="0" w:space="0" w:color="auto"/>
            <w:left w:val="none" w:sz="0" w:space="0" w:color="auto"/>
            <w:bottom w:val="none" w:sz="0" w:space="0" w:color="auto"/>
            <w:right w:val="none" w:sz="0" w:space="0" w:color="auto"/>
          </w:divBdr>
          <w:divsChild>
            <w:div w:id="451216966">
              <w:marLeft w:val="0"/>
              <w:marRight w:val="0"/>
              <w:marTop w:val="0"/>
              <w:marBottom w:val="0"/>
              <w:divBdr>
                <w:top w:val="none" w:sz="0" w:space="0" w:color="auto"/>
                <w:left w:val="none" w:sz="0" w:space="0" w:color="auto"/>
                <w:bottom w:val="none" w:sz="0" w:space="0" w:color="auto"/>
                <w:right w:val="none" w:sz="0" w:space="0" w:color="auto"/>
              </w:divBdr>
            </w:div>
            <w:div w:id="483595368">
              <w:marLeft w:val="0"/>
              <w:marRight w:val="0"/>
              <w:marTop w:val="0"/>
              <w:marBottom w:val="0"/>
              <w:divBdr>
                <w:top w:val="none" w:sz="0" w:space="0" w:color="auto"/>
                <w:left w:val="none" w:sz="0" w:space="0" w:color="auto"/>
                <w:bottom w:val="none" w:sz="0" w:space="0" w:color="auto"/>
                <w:right w:val="none" w:sz="0" w:space="0" w:color="auto"/>
              </w:divBdr>
            </w:div>
            <w:div w:id="581257233">
              <w:marLeft w:val="0"/>
              <w:marRight w:val="0"/>
              <w:marTop w:val="0"/>
              <w:marBottom w:val="0"/>
              <w:divBdr>
                <w:top w:val="none" w:sz="0" w:space="0" w:color="auto"/>
                <w:left w:val="none" w:sz="0" w:space="0" w:color="auto"/>
                <w:bottom w:val="none" w:sz="0" w:space="0" w:color="auto"/>
                <w:right w:val="none" w:sz="0" w:space="0" w:color="auto"/>
              </w:divBdr>
            </w:div>
            <w:div w:id="872156955">
              <w:marLeft w:val="0"/>
              <w:marRight w:val="0"/>
              <w:marTop w:val="0"/>
              <w:marBottom w:val="0"/>
              <w:divBdr>
                <w:top w:val="none" w:sz="0" w:space="0" w:color="auto"/>
                <w:left w:val="none" w:sz="0" w:space="0" w:color="auto"/>
                <w:bottom w:val="none" w:sz="0" w:space="0" w:color="auto"/>
                <w:right w:val="none" w:sz="0" w:space="0" w:color="auto"/>
              </w:divBdr>
            </w:div>
            <w:div w:id="971978769">
              <w:marLeft w:val="0"/>
              <w:marRight w:val="0"/>
              <w:marTop w:val="0"/>
              <w:marBottom w:val="0"/>
              <w:divBdr>
                <w:top w:val="none" w:sz="0" w:space="0" w:color="auto"/>
                <w:left w:val="none" w:sz="0" w:space="0" w:color="auto"/>
                <w:bottom w:val="none" w:sz="0" w:space="0" w:color="auto"/>
                <w:right w:val="none" w:sz="0" w:space="0" w:color="auto"/>
              </w:divBdr>
            </w:div>
            <w:div w:id="1406800978">
              <w:marLeft w:val="0"/>
              <w:marRight w:val="0"/>
              <w:marTop w:val="0"/>
              <w:marBottom w:val="0"/>
              <w:divBdr>
                <w:top w:val="none" w:sz="0" w:space="0" w:color="auto"/>
                <w:left w:val="none" w:sz="0" w:space="0" w:color="auto"/>
                <w:bottom w:val="none" w:sz="0" w:space="0" w:color="auto"/>
                <w:right w:val="none" w:sz="0" w:space="0" w:color="auto"/>
              </w:divBdr>
            </w:div>
            <w:div w:id="1407993791">
              <w:marLeft w:val="0"/>
              <w:marRight w:val="0"/>
              <w:marTop w:val="0"/>
              <w:marBottom w:val="0"/>
              <w:divBdr>
                <w:top w:val="none" w:sz="0" w:space="0" w:color="auto"/>
                <w:left w:val="none" w:sz="0" w:space="0" w:color="auto"/>
                <w:bottom w:val="none" w:sz="0" w:space="0" w:color="auto"/>
                <w:right w:val="none" w:sz="0" w:space="0" w:color="auto"/>
              </w:divBdr>
            </w:div>
            <w:div w:id="1431047175">
              <w:marLeft w:val="0"/>
              <w:marRight w:val="0"/>
              <w:marTop w:val="0"/>
              <w:marBottom w:val="0"/>
              <w:divBdr>
                <w:top w:val="none" w:sz="0" w:space="0" w:color="auto"/>
                <w:left w:val="none" w:sz="0" w:space="0" w:color="auto"/>
                <w:bottom w:val="none" w:sz="0" w:space="0" w:color="auto"/>
                <w:right w:val="none" w:sz="0" w:space="0" w:color="auto"/>
              </w:divBdr>
            </w:div>
            <w:div w:id="1515803954">
              <w:marLeft w:val="0"/>
              <w:marRight w:val="0"/>
              <w:marTop w:val="0"/>
              <w:marBottom w:val="0"/>
              <w:divBdr>
                <w:top w:val="none" w:sz="0" w:space="0" w:color="auto"/>
                <w:left w:val="none" w:sz="0" w:space="0" w:color="auto"/>
                <w:bottom w:val="none" w:sz="0" w:space="0" w:color="auto"/>
                <w:right w:val="none" w:sz="0" w:space="0" w:color="auto"/>
              </w:divBdr>
            </w:div>
            <w:div w:id="1642613669">
              <w:marLeft w:val="0"/>
              <w:marRight w:val="0"/>
              <w:marTop w:val="0"/>
              <w:marBottom w:val="0"/>
              <w:divBdr>
                <w:top w:val="none" w:sz="0" w:space="0" w:color="auto"/>
                <w:left w:val="none" w:sz="0" w:space="0" w:color="auto"/>
                <w:bottom w:val="none" w:sz="0" w:space="0" w:color="auto"/>
                <w:right w:val="none" w:sz="0" w:space="0" w:color="auto"/>
              </w:divBdr>
            </w:div>
            <w:div w:id="1794595244">
              <w:marLeft w:val="0"/>
              <w:marRight w:val="0"/>
              <w:marTop w:val="0"/>
              <w:marBottom w:val="0"/>
              <w:divBdr>
                <w:top w:val="none" w:sz="0" w:space="0" w:color="auto"/>
                <w:left w:val="none" w:sz="0" w:space="0" w:color="auto"/>
                <w:bottom w:val="none" w:sz="0" w:space="0" w:color="auto"/>
                <w:right w:val="none" w:sz="0" w:space="0" w:color="auto"/>
              </w:divBdr>
            </w:div>
            <w:div w:id="1865243955">
              <w:marLeft w:val="0"/>
              <w:marRight w:val="0"/>
              <w:marTop w:val="0"/>
              <w:marBottom w:val="0"/>
              <w:divBdr>
                <w:top w:val="none" w:sz="0" w:space="0" w:color="auto"/>
                <w:left w:val="none" w:sz="0" w:space="0" w:color="auto"/>
                <w:bottom w:val="none" w:sz="0" w:space="0" w:color="auto"/>
                <w:right w:val="none" w:sz="0" w:space="0" w:color="auto"/>
              </w:divBdr>
            </w:div>
            <w:div w:id="1908876628">
              <w:marLeft w:val="0"/>
              <w:marRight w:val="0"/>
              <w:marTop w:val="0"/>
              <w:marBottom w:val="0"/>
              <w:divBdr>
                <w:top w:val="none" w:sz="0" w:space="0" w:color="auto"/>
                <w:left w:val="none" w:sz="0" w:space="0" w:color="auto"/>
                <w:bottom w:val="none" w:sz="0" w:space="0" w:color="auto"/>
                <w:right w:val="none" w:sz="0" w:space="0" w:color="auto"/>
              </w:divBdr>
            </w:div>
            <w:div w:id="2040469277">
              <w:marLeft w:val="0"/>
              <w:marRight w:val="0"/>
              <w:marTop w:val="0"/>
              <w:marBottom w:val="0"/>
              <w:divBdr>
                <w:top w:val="none" w:sz="0" w:space="0" w:color="auto"/>
                <w:left w:val="none" w:sz="0" w:space="0" w:color="auto"/>
                <w:bottom w:val="none" w:sz="0" w:space="0" w:color="auto"/>
                <w:right w:val="none" w:sz="0" w:space="0" w:color="auto"/>
              </w:divBdr>
            </w:div>
            <w:div w:id="2096323439">
              <w:marLeft w:val="0"/>
              <w:marRight w:val="0"/>
              <w:marTop w:val="0"/>
              <w:marBottom w:val="0"/>
              <w:divBdr>
                <w:top w:val="none" w:sz="0" w:space="0" w:color="auto"/>
                <w:left w:val="none" w:sz="0" w:space="0" w:color="auto"/>
                <w:bottom w:val="none" w:sz="0" w:space="0" w:color="auto"/>
                <w:right w:val="none" w:sz="0" w:space="0" w:color="auto"/>
              </w:divBdr>
            </w:div>
          </w:divsChild>
        </w:div>
        <w:div w:id="1277521219">
          <w:marLeft w:val="0"/>
          <w:marRight w:val="0"/>
          <w:marTop w:val="0"/>
          <w:marBottom w:val="0"/>
          <w:divBdr>
            <w:top w:val="none" w:sz="0" w:space="0" w:color="auto"/>
            <w:left w:val="none" w:sz="0" w:space="0" w:color="auto"/>
            <w:bottom w:val="none" w:sz="0" w:space="0" w:color="auto"/>
            <w:right w:val="none" w:sz="0" w:space="0" w:color="auto"/>
          </w:divBdr>
        </w:div>
        <w:div w:id="1626083401">
          <w:marLeft w:val="0"/>
          <w:marRight w:val="0"/>
          <w:marTop w:val="0"/>
          <w:marBottom w:val="0"/>
          <w:divBdr>
            <w:top w:val="none" w:sz="0" w:space="0" w:color="auto"/>
            <w:left w:val="none" w:sz="0" w:space="0" w:color="auto"/>
            <w:bottom w:val="none" w:sz="0" w:space="0" w:color="auto"/>
            <w:right w:val="none" w:sz="0" w:space="0" w:color="auto"/>
          </w:divBdr>
          <w:divsChild>
            <w:div w:id="269244581">
              <w:marLeft w:val="0"/>
              <w:marRight w:val="0"/>
              <w:marTop w:val="0"/>
              <w:marBottom w:val="0"/>
              <w:divBdr>
                <w:top w:val="none" w:sz="0" w:space="0" w:color="auto"/>
                <w:left w:val="none" w:sz="0" w:space="0" w:color="auto"/>
                <w:bottom w:val="none" w:sz="0" w:space="0" w:color="auto"/>
                <w:right w:val="none" w:sz="0" w:space="0" w:color="auto"/>
              </w:divBdr>
            </w:div>
            <w:div w:id="411633422">
              <w:marLeft w:val="0"/>
              <w:marRight w:val="0"/>
              <w:marTop w:val="0"/>
              <w:marBottom w:val="0"/>
              <w:divBdr>
                <w:top w:val="none" w:sz="0" w:space="0" w:color="auto"/>
                <w:left w:val="none" w:sz="0" w:space="0" w:color="auto"/>
                <w:bottom w:val="none" w:sz="0" w:space="0" w:color="auto"/>
                <w:right w:val="none" w:sz="0" w:space="0" w:color="auto"/>
              </w:divBdr>
            </w:div>
            <w:div w:id="413355790">
              <w:marLeft w:val="0"/>
              <w:marRight w:val="0"/>
              <w:marTop w:val="0"/>
              <w:marBottom w:val="0"/>
              <w:divBdr>
                <w:top w:val="none" w:sz="0" w:space="0" w:color="auto"/>
                <w:left w:val="none" w:sz="0" w:space="0" w:color="auto"/>
                <w:bottom w:val="none" w:sz="0" w:space="0" w:color="auto"/>
                <w:right w:val="none" w:sz="0" w:space="0" w:color="auto"/>
              </w:divBdr>
            </w:div>
            <w:div w:id="482040907">
              <w:marLeft w:val="0"/>
              <w:marRight w:val="0"/>
              <w:marTop w:val="0"/>
              <w:marBottom w:val="0"/>
              <w:divBdr>
                <w:top w:val="none" w:sz="0" w:space="0" w:color="auto"/>
                <w:left w:val="none" w:sz="0" w:space="0" w:color="auto"/>
                <w:bottom w:val="none" w:sz="0" w:space="0" w:color="auto"/>
                <w:right w:val="none" w:sz="0" w:space="0" w:color="auto"/>
              </w:divBdr>
            </w:div>
            <w:div w:id="488256847">
              <w:marLeft w:val="0"/>
              <w:marRight w:val="0"/>
              <w:marTop w:val="0"/>
              <w:marBottom w:val="0"/>
              <w:divBdr>
                <w:top w:val="none" w:sz="0" w:space="0" w:color="auto"/>
                <w:left w:val="none" w:sz="0" w:space="0" w:color="auto"/>
                <w:bottom w:val="none" w:sz="0" w:space="0" w:color="auto"/>
                <w:right w:val="none" w:sz="0" w:space="0" w:color="auto"/>
              </w:divBdr>
            </w:div>
            <w:div w:id="714618876">
              <w:marLeft w:val="0"/>
              <w:marRight w:val="0"/>
              <w:marTop w:val="0"/>
              <w:marBottom w:val="0"/>
              <w:divBdr>
                <w:top w:val="none" w:sz="0" w:space="0" w:color="auto"/>
                <w:left w:val="none" w:sz="0" w:space="0" w:color="auto"/>
                <w:bottom w:val="none" w:sz="0" w:space="0" w:color="auto"/>
                <w:right w:val="none" w:sz="0" w:space="0" w:color="auto"/>
              </w:divBdr>
            </w:div>
            <w:div w:id="840197890">
              <w:marLeft w:val="0"/>
              <w:marRight w:val="0"/>
              <w:marTop w:val="0"/>
              <w:marBottom w:val="0"/>
              <w:divBdr>
                <w:top w:val="none" w:sz="0" w:space="0" w:color="auto"/>
                <w:left w:val="none" w:sz="0" w:space="0" w:color="auto"/>
                <w:bottom w:val="none" w:sz="0" w:space="0" w:color="auto"/>
                <w:right w:val="none" w:sz="0" w:space="0" w:color="auto"/>
              </w:divBdr>
            </w:div>
            <w:div w:id="870727289">
              <w:marLeft w:val="0"/>
              <w:marRight w:val="0"/>
              <w:marTop w:val="0"/>
              <w:marBottom w:val="0"/>
              <w:divBdr>
                <w:top w:val="none" w:sz="0" w:space="0" w:color="auto"/>
                <w:left w:val="none" w:sz="0" w:space="0" w:color="auto"/>
                <w:bottom w:val="none" w:sz="0" w:space="0" w:color="auto"/>
                <w:right w:val="none" w:sz="0" w:space="0" w:color="auto"/>
              </w:divBdr>
            </w:div>
            <w:div w:id="883099113">
              <w:marLeft w:val="0"/>
              <w:marRight w:val="0"/>
              <w:marTop w:val="0"/>
              <w:marBottom w:val="0"/>
              <w:divBdr>
                <w:top w:val="none" w:sz="0" w:space="0" w:color="auto"/>
                <w:left w:val="none" w:sz="0" w:space="0" w:color="auto"/>
                <w:bottom w:val="none" w:sz="0" w:space="0" w:color="auto"/>
                <w:right w:val="none" w:sz="0" w:space="0" w:color="auto"/>
              </w:divBdr>
            </w:div>
            <w:div w:id="901520006">
              <w:marLeft w:val="0"/>
              <w:marRight w:val="0"/>
              <w:marTop w:val="0"/>
              <w:marBottom w:val="0"/>
              <w:divBdr>
                <w:top w:val="none" w:sz="0" w:space="0" w:color="auto"/>
                <w:left w:val="none" w:sz="0" w:space="0" w:color="auto"/>
                <w:bottom w:val="none" w:sz="0" w:space="0" w:color="auto"/>
                <w:right w:val="none" w:sz="0" w:space="0" w:color="auto"/>
              </w:divBdr>
            </w:div>
            <w:div w:id="1051265832">
              <w:marLeft w:val="0"/>
              <w:marRight w:val="0"/>
              <w:marTop w:val="0"/>
              <w:marBottom w:val="0"/>
              <w:divBdr>
                <w:top w:val="none" w:sz="0" w:space="0" w:color="auto"/>
                <w:left w:val="none" w:sz="0" w:space="0" w:color="auto"/>
                <w:bottom w:val="none" w:sz="0" w:space="0" w:color="auto"/>
                <w:right w:val="none" w:sz="0" w:space="0" w:color="auto"/>
              </w:divBdr>
            </w:div>
            <w:div w:id="1109667865">
              <w:marLeft w:val="0"/>
              <w:marRight w:val="0"/>
              <w:marTop w:val="0"/>
              <w:marBottom w:val="0"/>
              <w:divBdr>
                <w:top w:val="none" w:sz="0" w:space="0" w:color="auto"/>
                <w:left w:val="none" w:sz="0" w:space="0" w:color="auto"/>
                <w:bottom w:val="none" w:sz="0" w:space="0" w:color="auto"/>
                <w:right w:val="none" w:sz="0" w:space="0" w:color="auto"/>
              </w:divBdr>
            </w:div>
            <w:div w:id="1202088232">
              <w:marLeft w:val="0"/>
              <w:marRight w:val="0"/>
              <w:marTop w:val="0"/>
              <w:marBottom w:val="0"/>
              <w:divBdr>
                <w:top w:val="none" w:sz="0" w:space="0" w:color="auto"/>
                <w:left w:val="none" w:sz="0" w:space="0" w:color="auto"/>
                <w:bottom w:val="none" w:sz="0" w:space="0" w:color="auto"/>
                <w:right w:val="none" w:sz="0" w:space="0" w:color="auto"/>
              </w:divBdr>
            </w:div>
            <w:div w:id="1286496670">
              <w:marLeft w:val="0"/>
              <w:marRight w:val="0"/>
              <w:marTop w:val="0"/>
              <w:marBottom w:val="0"/>
              <w:divBdr>
                <w:top w:val="none" w:sz="0" w:space="0" w:color="auto"/>
                <w:left w:val="none" w:sz="0" w:space="0" w:color="auto"/>
                <w:bottom w:val="none" w:sz="0" w:space="0" w:color="auto"/>
                <w:right w:val="none" w:sz="0" w:space="0" w:color="auto"/>
              </w:divBdr>
            </w:div>
            <w:div w:id="1421945217">
              <w:marLeft w:val="0"/>
              <w:marRight w:val="0"/>
              <w:marTop w:val="0"/>
              <w:marBottom w:val="0"/>
              <w:divBdr>
                <w:top w:val="none" w:sz="0" w:space="0" w:color="auto"/>
                <w:left w:val="none" w:sz="0" w:space="0" w:color="auto"/>
                <w:bottom w:val="none" w:sz="0" w:space="0" w:color="auto"/>
                <w:right w:val="none" w:sz="0" w:space="0" w:color="auto"/>
              </w:divBdr>
            </w:div>
            <w:div w:id="1423725458">
              <w:marLeft w:val="0"/>
              <w:marRight w:val="0"/>
              <w:marTop w:val="0"/>
              <w:marBottom w:val="0"/>
              <w:divBdr>
                <w:top w:val="none" w:sz="0" w:space="0" w:color="auto"/>
                <w:left w:val="none" w:sz="0" w:space="0" w:color="auto"/>
                <w:bottom w:val="none" w:sz="0" w:space="0" w:color="auto"/>
                <w:right w:val="none" w:sz="0" w:space="0" w:color="auto"/>
              </w:divBdr>
            </w:div>
            <w:div w:id="1496189769">
              <w:marLeft w:val="0"/>
              <w:marRight w:val="0"/>
              <w:marTop w:val="0"/>
              <w:marBottom w:val="0"/>
              <w:divBdr>
                <w:top w:val="none" w:sz="0" w:space="0" w:color="auto"/>
                <w:left w:val="none" w:sz="0" w:space="0" w:color="auto"/>
                <w:bottom w:val="none" w:sz="0" w:space="0" w:color="auto"/>
                <w:right w:val="none" w:sz="0" w:space="0" w:color="auto"/>
              </w:divBdr>
            </w:div>
            <w:div w:id="1496529616">
              <w:marLeft w:val="0"/>
              <w:marRight w:val="0"/>
              <w:marTop w:val="0"/>
              <w:marBottom w:val="0"/>
              <w:divBdr>
                <w:top w:val="none" w:sz="0" w:space="0" w:color="auto"/>
                <w:left w:val="none" w:sz="0" w:space="0" w:color="auto"/>
                <w:bottom w:val="none" w:sz="0" w:space="0" w:color="auto"/>
                <w:right w:val="none" w:sz="0" w:space="0" w:color="auto"/>
              </w:divBdr>
            </w:div>
            <w:div w:id="1535272361">
              <w:marLeft w:val="0"/>
              <w:marRight w:val="0"/>
              <w:marTop w:val="0"/>
              <w:marBottom w:val="0"/>
              <w:divBdr>
                <w:top w:val="none" w:sz="0" w:space="0" w:color="auto"/>
                <w:left w:val="none" w:sz="0" w:space="0" w:color="auto"/>
                <w:bottom w:val="none" w:sz="0" w:space="0" w:color="auto"/>
                <w:right w:val="none" w:sz="0" w:space="0" w:color="auto"/>
              </w:divBdr>
            </w:div>
            <w:div w:id="2085638627">
              <w:marLeft w:val="0"/>
              <w:marRight w:val="0"/>
              <w:marTop w:val="0"/>
              <w:marBottom w:val="0"/>
              <w:divBdr>
                <w:top w:val="none" w:sz="0" w:space="0" w:color="auto"/>
                <w:left w:val="none" w:sz="0" w:space="0" w:color="auto"/>
                <w:bottom w:val="none" w:sz="0" w:space="0" w:color="auto"/>
                <w:right w:val="none" w:sz="0" w:space="0" w:color="auto"/>
              </w:divBdr>
            </w:div>
          </w:divsChild>
        </w:div>
        <w:div w:id="1642688663">
          <w:marLeft w:val="0"/>
          <w:marRight w:val="0"/>
          <w:marTop w:val="0"/>
          <w:marBottom w:val="0"/>
          <w:divBdr>
            <w:top w:val="none" w:sz="0" w:space="0" w:color="auto"/>
            <w:left w:val="none" w:sz="0" w:space="0" w:color="auto"/>
            <w:bottom w:val="none" w:sz="0" w:space="0" w:color="auto"/>
            <w:right w:val="none" w:sz="0" w:space="0" w:color="auto"/>
          </w:divBdr>
          <w:divsChild>
            <w:div w:id="229655081">
              <w:marLeft w:val="0"/>
              <w:marRight w:val="0"/>
              <w:marTop w:val="0"/>
              <w:marBottom w:val="0"/>
              <w:divBdr>
                <w:top w:val="none" w:sz="0" w:space="0" w:color="auto"/>
                <w:left w:val="none" w:sz="0" w:space="0" w:color="auto"/>
                <w:bottom w:val="none" w:sz="0" w:space="0" w:color="auto"/>
                <w:right w:val="none" w:sz="0" w:space="0" w:color="auto"/>
              </w:divBdr>
            </w:div>
            <w:div w:id="279993244">
              <w:marLeft w:val="0"/>
              <w:marRight w:val="0"/>
              <w:marTop w:val="0"/>
              <w:marBottom w:val="0"/>
              <w:divBdr>
                <w:top w:val="none" w:sz="0" w:space="0" w:color="auto"/>
                <w:left w:val="none" w:sz="0" w:space="0" w:color="auto"/>
                <w:bottom w:val="none" w:sz="0" w:space="0" w:color="auto"/>
                <w:right w:val="none" w:sz="0" w:space="0" w:color="auto"/>
              </w:divBdr>
            </w:div>
            <w:div w:id="695278827">
              <w:marLeft w:val="0"/>
              <w:marRight w:val="0"/>
              <w:marTop w:val="0"/>
              <w:marBottom w:val="0"/>
              <w:divBdr>
                <w:top w:val="none" w:sz="0" w:space="0" w:color="auto"/>
                <w:left w:val="none" w:sz="0" w:space="0" w:color="auto"/>
                <w:bottom w:val="none" w:sz="0" w:space="0" w:color="auto"/>
                <w:right w:val="none" w:sz="0" w:space="0" w:color="auto"/>
              </w:divBdr>
            </w:div>
            <w:div w:id="1309170741">
              <w:marLeft w:val="0"/>
              <w:marRight w:val="0"/>
              <w:marTop w:val="0"/>
              <w:marBottom w:val="0"/>
              <w:divBdr>
                <w:top w:val="none" w:sz="0" w:space="0" w:color="auto"/>
                <w:left w:val="none" w:sz="0" w:space="0" w:color="auto"/>
                <w:bottom w:val="none" w:sz="0" w:space="0" w:color="auto"/>
                <w:right w:val="none" w:sz="0" w:space="0" w:color="auto"/>
              </w:divBdr>
            </w:div>
          </w:divsChild>
        </w:div>
        <w:div w:id="1836072917">
          <w:marLeft w:val="0"/>
          <w:marRight w:val="0"/>
          <w:marTop w:val="0"/>
          <w:marBottom w:val="0"/>
          <w:divBdr>
            <w:top w:val="none" w:sz="0" w:space="0" w:color="auto"/>
            <w:left w:val="none" w:sz="0" w:space="0" w:color="auto"/>
            <w:bottom w:val="none" w:sz="0" w:space="0" w:color="auto"/>
            <w:right w:val="none" w:sz="0" w:space="0" w:color="auto"/>
          </w:divBdr>
          <w:divsChild>
            <w:div w:id="2015497693">
              <w:marLeft w:val="-75"/>
              <w:marRight w:val="0"/>
              <w:marTop w:val="30"/>
              <w:marBottom w:val="30"/>
              <w:divBdr>
                <w:top w:val="none" w:sz="0" w:space="0" w:color="auto"/>
                <w:left w:val="none" w:sz="0" w:space="0" w:color="auto"/>
                <w:bottom w:val="none" w:sz="0" w:space="0" w:color="auto"/>
                <w:right w:val="none" w:sz="0" w:space="0" w:color="auto"/>
              </w:divBdr>
              <w:divsChild>
                <w:div w:id="319238403">
                  <w:marLeft w:val="0"/>
                  <w:marRight w:val="0"/>
                  <w:marTop w:val="0"/>
                  <w:marBottom w:val="0"/>
                  <w:divBdr>
                    <w:top w:val="none" w:sz="0" w:space="0" w:color="auto"/>
                    <w:left w:val="none" w:sz="0" w:space="0" w:color="auto"/>
                    <w:bottom w:val="none" w:sz="0" w:space="0" w:color="auto"/>
                    <w:right w:val="none" w:sz="0" w:space="0" w:color="auto"/>
                  </w:divBdr>
                  <w:divsChild>
                    <w:div w:id="1723410202">
                      <w:marLeft w:val="0"/>
                      <w:marRight w:val="0"/>
                      <w:marTop w:val="0"/>
                      <w:marBottom w:val="0"/>
                      <w:divBdr>
                        <w:top w:val="none" w:sz="0" w:space="0" w:color="auto"/>
                        <w:left w:val="none" w:sz="0" w:space="0" w:color="auto"/>
                        <w:bottom w:val="none" w:sz="0" w:space="0" w:color="auto"/>
                        <w:right w:val="none" w:sz="0" w:space="0" w:color="auto"/>
                      </w:divBdr>
                    </w:div>
                  </w:divsChild>
                </w:div>
                <w:div w:id="582884475">
                  <w:marLeft w:val="0"/>
                  <w:marRight w:val="0"/>
                  <w:marTop w:val="0"/>
                  <w:marBottom w:val="0"/>
                  <w:divBdr>
                    <w:top w:val="none" w:sz="0" w:space="0" w:color="auto"/>
                    <w:left w:val="none" w:sz="0" w:space="0" w:color="auto"/>
                    <w:bottom w:val="none" w:sz="0" w:space="0" w:color="auto"/>
                    <w:right w:val="none" w:sz="0" w:space="0" w:color="auto"/>
                  </w:divBdr>
                  <w:divsChild>
                    <w:div w:id="1098410986">
                      <w:marLeft w:val="0"/>
                      <w:marRight w:val="0"/>
                      <w:marTop w:val="0"/>
                      <w:marBottom w:val="0"/>
                      <w:divBdr>
                        <w:top w:val="none" w:sz="0" w:space="0" w:color="auto"/>
                        <w:left w:val="none" w:sz="0" w:space="0" w:color="auto"/>
                        <w:bottom w:val="none" w:sz="0" w:space="0" w:color="auto"/>
                        <w:right w:val="none" w:sz="0" w:space="0" w:color="auto"/>
                      </w:divBdr>
                    </w:div>
                  </w:divsChild>
                </w:div>
                <w:div w:id="601188593">
                  <w:marLeft w:val="0"/>
                  <w:marRight w:val="0"/>
                  <w:marTop w:val="0"/>
                  <w:marBottom w:val="0"/>
                  <w:divBdr>
                    <w:top w:val="none" w:sz="0" w:space="0" w:color="auto"/>
                    <w:left w:val="none" w:sz="0" w:space="0" w:color="auto"/>
                    <w:bottom w:val="none" w:sz="0" w:space="0" w:color="auto"/>
                    <w:right w:val="none" w:sz="0" w:space="0" w:color="auto"/>
                  </w:divBdr>
                  <w:divsChild>
                    <w:div w:id="1136602069">
                      <w:marLeft w:val="0"/>
                      <w:marRight w:val="0"/>
                      <w:marTop w:val="0"/>
                      <w:marBottom w:val="0"/>
                      <w:divBdr>
                        <w:top w:val="none" w:sz="0" w:space="0" w:color="auto"/>
                        <w:left w:val="none" w:sz="0" w:space="0" w:color="auto"/>
                        <w:bottom w:val="none" w:sz="0" w:space="0" w:color="auto"/>
                        <w:right w:val="none" w:sz="0" w:space="0" w:color="auto"/>
                      </w:divBdr>
                    </w:div>
                  </w:divsChild>
                </w:div>
                <w:div w:id="627051702">
                  <w:marLeft w:val="0"/>
                  <w:marRight w:val="0"/>
                  <w:marTop w:val="0"/>
                  <w:marBottom w:val="0"/>
                  <w:divBdr>
                    <w:top w:val="none" w:sz="0" w:space="0" w:color="auto"/>
                    <w:left w:val="none" w:sz="0" w:space="0" w:color="auto"/>
                    <w:bottom w:val="none" w:sz="0" w:space="0" w:color="auto"/>
                    <w:right w:val="none" w:sz="0" w:space="0" w:color="auto"/>
                  </w:divBdr>
                  <w:divsChild>
                    <w:div w:id="146745242">
                      <w:marLeft w:val="0"/>
                      <w:marRight w:val="0"/>
                      <w:marTop w:val="0"/>
                      <w:marBottom w:val="0"/>
                      <w:divBdr>
                        <w:top w:val="none" w:sz="0" w:space="0" w:color="auto"/>
                        <w:left w:val="none" w:sz="0" w:space="0" w:color="auto"/>
                        <w:bottom w:val="none" w:sz="0" w:space="0" w:color="auto"/>
                        <w:right w:val="none" w:sz="0" w:space="0" w:color="auto"/>
                      </w:divBdr>
                    </w:div>
                    <w:div w:id="1545408410">
                      <w:marLeft w:val="0"/>
                      <w:marRight w:val="0"/>
                      <w:marTop w:val="0"/>
                      <w:marBottom w:val="0"/>
                      <w:divBdr>
                        <w:top w:val="none" w:sz="0" w:space="0" w:color="auto"/>
                        <w:left w:val="none" w:sz="0" w:space="0" w:color="auto"/>
                        <w:bottom w:val="none" w:sz="0" w:space="0" w:color="auto"/>
                        <w:right w:val="none" w:sz="0" w:space="0" w:color="auto"/>
                      </w:divBdr>
                    </w:div>
                  </w:divsChild>
                </w:div>
                <w:div w:id="855966164">
                  <w:marLeft w:val="0"/>
                  <w:marRight w:val="0"/>
                  <w:marTop w:val="0"/>
                  <w:marBottom w:val="0"/>
                  <w:divBdr>
                    <w:top w:val="none" w:sz="0" w:space="0" w:color="auto"/>
                    <w:left w:val="none" w:sz="0" w:space="0" w:color="auto"/>
                    <w:bottom w:val="none" w:sz="0" w:space="0" w:color="auto"/>
                    <w:right w:val="none" w:sz="0" w:space="0" w:color="auto"/>
                  </w:divBdr>
                  <w:divsChild>
                    <w:div w:id="1496259330">
                      <w:marLeft w:val="0"/>
                      <w:marRight w:val="0"/>
                      <w:marTop w:val="0"/>
                      <w:marBottom w:val="0"/>
                      <w:divBdr>
                        <w:top w:val="none" w:sz="0" w:space="0" w:color="auto"/>
                        <w:left w:val="none" w:sz="0" w:space="0" w:color="auto"/>
                        <w:bottom w:val="none" w:sz="0" w:space="0" w:color="auto"/>
                        <w:right w:val="none" w:sz="0" w:space="0" w:color="auto"/>
                      </w:divBdr>
                    </w:div>
                  </w:divsChild>
                </w:div>
                <w:div w:id="876310535">
                  <w:marLeft w:val="0"/>
                  <w:marRight w:val="0"/>
                  <w:marTop w:val="0"/>
                  <w:marBottom w:val="0"/>
                  <w:divBdr>
                    <w:top w:val="none" w:sz="0" w:space="0" w:color="auto"/>
                    <w:left w:val="none" w:sz="0" w:space="0" w:color="auto"/>
                    <w:bottom w:val="none" w:sz="0" w:space="0" w:color="auto"/>
                    <w:right w:val="none" w:sz="0" w:space="0" w:color="auto"/>
                  </w:divBdr>
                  <w:divsChild>
                    <w:div w:id="168838157">
                      <w:marLeft w:val="0"/>
                      <w:marRight w:val="0"/>
                      <w:marTop w:val="0"/>
                      <w:marBottom w:val="0"/>
                      <w:divBdr>
                        <w:top w:val="none" w:sz="0" w:space="0" w:color="auto"/>
                        <w:left w:val="none" w:sz="0" w:space="0" w:color="auto"/>
                        <w:bottom w:val="none" w:sz="0" w:space="0" w:color="auto"/>
                        <w:right w:val="none" w:sz="0" w:space="0" w:color="auto"/>
                      </w:divBdr>
                    </w:div>
                  </w:divsChild>
                </w:div>
                <w:div w:id="1403332157">
                  <w:marLeft w:val="0"/>
                  <w:marRight w:val="0"/>
                  <w:marTop w:val="0"/>
                  <w:marBottom w:val="0"/>
                  <w:divBdr>
                    <w:top w:val="none" w:sz="0" w:space="0" w:color="auto"/>
                    <w:left w:val="none" w:sz="0" w:space="0" w:color="auto"/>
                    <w:bottom w:val="none" w:sz="0" w:space="0" w:color="auto"/>
                    <w:right w:val="none" w:sz="0" w:space="0" w:color="auto"/>
                  </w:divBdr>
                  <w:divsChild>
                    <w:div w:id="121584126">
                      <w:marLeft w:val="0"/>
                      <w:marRight w:val="0"/>
                      <w:marTop w:val="0"/>
                      <w:marBottom w:val="0"/>
                      <w:divBdr>
                        <w:top w:val="none" w:sz="0" w:space="0" w:color="auto"/>
                        <w:left w:val="none" w:sz="0" w:space="0" w:color="auto"/>
                        <w:bottom w:val="none" w:sz="0" w:space="0" w:color="auto"/>
                        <w:right w:val="none" w:sz="0" w:space="0" w:color="auto"/>
                      </w:divBdr>
                    </w:div>
                  </w:divsChild>
                </w:div>
                <w:div w:id="1670019786">
                  <w:marLeft w:val="0"/>
                  <w:marRight w:val="0"/>
                  <w:marTop w:val="0"/>
                  <w:marBottom w:val="0"/>
                  <w:divBdr>
                    <w:top w:val="none" w:sz="0" w:space="0" w:color="auto"/>
                    <w:left w:val="none" w:sz="0" w:space="0" w:color="auto"/>
                    <w:bottom w:val="none" w:sz="0" w:space="0" w:color="auto"/>
                    <w:right w:val="none" w:sz="0" w:space="0" w:color="auto"/>
                  </w:divBdr>
                  <w:divsChild>
                    <w:div w:id="594870961">
                      <w:marLeft w:val="0"/>
                      <w:marRight w:val="0"/>
                      <w:marTop w:val="0"/>
                      <w:marBottom w:val="0"/>
                      <w:divBdr>
                        <w:top w:val="none" w:sz="0" w:space="0" w:color="auto"/>
                        <w:left w:val="none" w:sz="0" w:space="0" w:color="auto"/>
                        <w:bottom w:val="none" w:sz="0" w:space="0" w:color="auto"/>
                        <w:right w:val="none" w:sz="0" w:space="0" w:color="auto"/>
                      </w:divBdr>
                    </w:div>
                    <w:div w:id="1489056427">
                      <w:marLeft w:val="0"/>
                      <w:marRight w:val="0"/>
                      <w:marTop w:val="0"/>
                      <w:marBottom w:val="0"/>
                      <w:divBdr>
                        <w:top w:val="none" w:sz="0" w:space="0" w:color="auto"/>
                        <w:left w:val="none" w:sz="0" w:space="0" w:color="auto"/>
                        <w:bottom w:val="none" w:sz="0" w:space="0" w:color="auto"/>
                        <w:right w:val="none" w:sz="0" w:space="0" w:color="auto"/>
                      </w:divBdr>
                    </w:div>
                  </w:divsChild>
                </w:div>
                <w:div w:id="1962616170">
                  <w:marLeft w:val="0"/>
                  <w:marRight w:val="0"/>
                  <w:marTop w:val="0"/>
                  <w:marBottom w:val="0"/>
                  <w:divBdr>
                    <w:top w:val="none" w:sz="0" w:space="0" w:color="auto"/>
                    <w:left w:val="none" w:sz="0" w:space="0" w:color="auto"/>
                    <w:bottom w:val="none" w:sz="0" w:space="0" w:color="auto"/>
                    <w:right w:val="none" w:sz="0" w:space="0" w:color="auto"/>
                  </w:divBdr>
                  <w:divsChild>
                    <w:div w:id="622002991">
                      <w:marLeft w:val="0"/>
                      <w:marRight w:val="0"/>
                      <w:marTop w:val="0"/>
                      <w:marBottom w:val="0"/>
                      <w:divBdr>
                        <w:top w:val="none" w:sz="0" w:space="0" w:color="auto"/>
                        <w:left w:val="none" w:sz="0" w:space="0" w:color="auto"/>
                        <w:bottom w:val="none" w:sz="0" w:space="0" w:color="auto"/>
                        <w:right w:val="none" w:sz="0" w:space="0" w:color="auto"/>
                      </w:divBdr>
                    </w:div>
                    <w:div w:id="702291559">
                      <w:marLeft w:val="0"/>
                      <w:marRight w:val="0"/>
                      <w:marTop w:val="0"/>
                      <w:marBottom w:val="0"/>
                      <w:divBdr>
                        <w:top w:val="none" w:sz="0" w:space="0" w:color="auto"/>
                        <w:left w:val="none" w:sz="0" w:space="0" w:color="auto"/>
                        <w:bottom w:val="none" w:sz="0" w:space="0" w:color="auto"/>
                        <w:right w:val="none" w:sz="0" w:space="0" w:color="auto"/>
                      </w:divBdr>
                    </w:div>
                  </w:divsChild>
                </w:div>
                <w:div w:id="2052994777">
                  <w:marLeft w:val="0"/>
                  <w:marRight w:val="0"/>
                  <w:marTop w:val="0"/>
                  <w:marBottom w:val="0"/>
                  <w:divBdr>
                    <w:top w:val="none" w:sz="0" w:space="0" w:color="auto"/>
                    <w:left w:val="none" w:sz="0" w:space="0" w:color="auto"/>
                    <w:bottom w:val="none" w:sz="0" w:space="0" w:color="auto"/>
                    <w:right w:val="none" w:sz="0" w:space="0" w:color="auto"/>
                  </w:divBdr>
                  <w:divsChild>
                    <w:div w:id="1864902365">
                      <w:marLeft w:val="0"/>
                      <w:marRight w:val="0"/>
                      <w:marTop w:val="0"/>
                      <w:marBottom w:val="0"/>
                      <w:divBdr>
                        <w:top w:val="none" w:sz="0" w:space="0" w:color="auto"/>
                        <w:left w:val="none" w:sz="0" w:space="0" w:color="auto"/>
                        <w:bottom w:val="none" w:sz="0" w:space="0" w:color="auto"/>
                        <w:right w:val="none" w:sz="0" w:space="0" w:color="auto"/>
                      </w:divBdr>
                    </w:div>
                  </w:divsChild>
                </w:div>
                <w:div w:id="2106071937">
                  <w:marLeft w:val="0"/>
                  <w:marRight w:val="0"/>
                  <w:marTop w:val="0"/>
                  <w:marBottom w:val="0"/>
                  <w:divBdr>
                    <w:top w:val="none" w:sz="0" w:space="0" w:color="auto"/>
                    <w:left w:val="none" w:sz="0" w:space="0" w:color="auto"/>
                    <w:bottom w:val="none" w:sz="0" w:space="0" w:color="auto"/>
                    <w:right w:val="none" w:sz="0" w:space="0" w:color="auto"/>
                  </w:divBdr>
                  <w:divsChild>
                    <w:div w:id="486895897">
                      <w:marLeft w:val="0"/>
                      <w:marRight w:val="0"/>
                      <w:marTop w:val="0"/>
                      <w:marBottom w:val="0"/>
                      <w:divBdr>
                        <w:top w:val="none" w:sz="0" w:space="0" w:color="auto"/>
                        <w:left w:val="none" w:sz="0" w:space="0" w:color="auto"/>
                        <w:bottom w:val="none" w:sz="0" w:space="0" w:color="auto"/>
                        <w:right w:val="none" w:sz="0" w:space="0" w:color="auto"/>
                      </w:divBdr>
                    </w:div>
                  </w:divsChild>
                </w:div>
                <w:div w:id="2138865331">
                  <w:marLeft w:val="0"/>
                  <w:marRight w:val="0"/>
                  <w:marTop w:val="0"/>
                  <w:marBottom w:val="0"/>
                  <w:divBdr>
                    <w:top w:val="none" w:sz="0" w:space="0" w:color="auto"/>
                    <w:left w:val="none" w:sz="0" w:space="0" w:color="auto"/>
                    <w:bottom w:val="none" w:sz="0" w:space="0" w:color="auto"/>
                    <w:right w:val="none" w:sz="0" w:space="0" w:color="auto"/>
                  </w:divBdr>
                  <w:divsChild>
                    <w:div w:id="129151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499563">
      <w:bodyDiv w:val="1"/>
      <w:marLeft w:val="0"/>
      <w:marRight w:val="0"/>
      <w:marTop w:val="0"/>
      <w:marBottom w:val="0"/>
      <w:divBdr>
        <w:top w:val="none" w:sz="0" w:space="0" w:color="auto"/>
        <w:left w:val="none" w:sz="0" w:space="0" w:color="auto"/>
        <w:bottom w:val="none" w:sz="0" w:space="0" w:color="auto"/>
        <w:right w:val="none" w:sz="0" w:space="0" w:color="auto"/>
      </w:divBdr>
      <w:divsChild>
        <w:div w:id="130251163">
          <w:marLeft w:val="0"/>
          <w:marRight w:val="0"/>
          <w:marTop w:val="0"/>
          <w:marBottom w:val="0"/>
          <w:divBdr>
            <w:top w:val="none" w:sz="0" w:space="0" w:color="auto"/>
            <w:left w:val="none" w:sz="0" w:space="0" w:color="auto"/>
            <w:bottom w:val="none" w:sz="0" w:space="0" w:color="auto"/>
            <w:right w:val="none" w:sz="0" w:space="0" w:color="auto"/>
          </w:divBdr>
        </w:div>
        <w:div w:id="406853572">
          <w:marLeft w:val="0"/>
          <w:marRight w:val="0"/>
          <w:marTop w:val="0"/>
          <w:marBottom w:val="0"/>
          <w:divBdr>
            <w:top w:val="none" w:sz="0" w:space="0" w:color="auto"/>
            <w:left w:val="none" w:sz="0" w:space="0" w:color="auto"/>
            <w:bottom w:val="none" w:sz="0" w:space="0" w:color="auto"/>
            <w:right w:val="none" w:sz="0" w:space="0" w:color="auto"/>
          </w:divBdr>
        </w:div>
        <w:div w:id="458962424">
          <w:marLeft w:val="0"/>
          <w:marRight w:val="0"/>
          <w:marTop w:val="0"/>
          <w:marBottom w:val="0"/>
          <w:divBdr>
            <w:top w:val="none" w:sz="0" w:space="0" w:color="auto"/>
            <w:left w:val="none" w:sz="0" w:space="0" w:color="auto"/>
            <w:bottom w:val="none" w:sz="0" w:space="0" w:color="auto"/>
            <w:right w:val="none" w:sz="0" w:space="0" w:color="auto"/>
          </w:divBdr>
        </w:div>
        <w:div w:id="573928376">
          <w:marLeft w:val="0"/>
          <w:marRight w:val="0"/>
          <w:marTop w:val="0"/>
          <w:marBottom w:val="0"/>
          <w:divBdr>
            <w:top w:val="none" w:sz="0" w:space="0" w:color="auto"/>
            <w:left w:val="none" w:sz="0" w:space="0" w:color="auto"/>
            <w:bottom w:val="none" w:sz="0" w:space="0" w:color="auto"/>
            <w:right w:val="none" w:sz="0" w:space="0" w:color="auto"/>
          </w:divBdr>
        </w:div>
        <w:div w:id="850947474">
          <w:marLeft w:val="0"/>
          <w:marRight w:val="0"/>
          <w:marTop w:val="0"/>
          <w:marBottom w:val="0"/>
          <w:divBdr>
            <w:top w:val="none" w:sz="0" w:space="0" w:color="auto"/>
            <w:left w:val="none" w:sz="0" w:space="0" w:color="auto"/>
            <w:bottom w:val="none" w:sz="0" w:space="0" w:color="auto"/>
            <w:right w:val="none" w:sz="0" w:space="0" w:color="auto"/>
          </w:divBdr>
        </w:div>
        <w:div w:id="1261134804">
          <w:marLeft w:val="0"/>
          <w:marRight w:val="0"/>
          <w:marTop w:val="0"/>
          <w:marBottom w:val="0"/>
          <w:divBdr>
            <w:top w:val="none" w:sz="0" w:space="0" w:color="auto"/>
            <w:left w:val="none" w:sz="0" w:space="0" w:color="auto"/>
            <w:bottom w:val="none" w:sz="0" w:space="0" w:color="auto"/>
            <w:right w:val="none" w:sz="0" w:space="0" w:color="auto"/>
          </w:divBdr>
        </w:div>
        <w:div w:id="1648246653">
          <w:marLeft w:val="0"/>
          <w:marRight w:val="0"/>
          <w:marTop w:val="0"/>
          <w:marBottom w:val="0"/>
          <w:divBdr>
            <w:top w:val="none" w:sz="0" w:space="0" w:color="auto"/>
            <w:left w:val="none" w:sz="0" w:space="0" w:color="auto"/>
            <w:bottom w:val="none" w:sz="0" w:space="0" w:color="auto"/>
            <w:right w:val="none" w:sz="0" w:space="0" w:color="auto"/>
          </w:divBdr>
        </w:div>
        <w:div w:id="1915554351">
          <w:marLeft w:val="0"/>
          <w:marRight w:val="0"/>
          <w:marTop w:val="0"/>
          <w:marBottom w:val="0"/>
          <w:divBdr>
            <w:top w:val="none" w:sz="0" w:space="0" w:color="auto"/>
            <w:left w:val="none" w:sz="0" w:space="0" w:color="auto"/>
            <w:bottom w:val="none" w:sz="0" w:space="0" w:color="auto"/>
            <w:right w:val="none" w:sz="0" w:space="0" w:color="auto"/>
          </w:divBdr>
        </w:div>
        <w:div w:id="2036617999">
          <w:marLeft w:val="0"/>
          <w:marRight w:val="0"/>
          <w:marTop w:val="0"/>
          <w:marBottom w:val="0"/>
          <w:divBdr>
            <w:top w:val="none" w:sz="0" w:space="0" w:color="auto"/>
            <w:left w:val="none" w:sz="0" w:space="0" w:color="auto"/>
            <w:bottom w:val="none" w:sz="0" w:space="0" w:color="auto"/>
            <w:right w:val="none" w:sz="0" w:space="0" w:color="auto"/>
          </w:divBdr>
        </w:div>
        <w:div w:id="2132628089">
          <w:marLeft w:val="0"/>
          <w:marRight w:val="0"/>
          <w:marTop w:val="0"/>
          <w:marBottom w:val="0"/>
          <w:divBdr>
            <w:top w:val="none" w:sz="0" w:space="0" w:color="auto"/>
            <w:left w:val="none" w:sz="0" w:space="0" w:color="auto"/>
            <w:bottom w:val="none" w:sz="0" w:space="0" w:color="auto"/>
            <w:right w:val="none" w:sz="0" w:space="0" w:color="auto"/>
          </w:divBdr>
        </w:div>
      </w:divsChild>
    </w:div>
    <w:div w:id="1144543146">
      <w:bodyDiv w:val="1"/>
      <w:marLeft w:val="0"/>
      <w:marRight w:val="0"/>
      <w:marTop w:val="0"/>
      <w:marBottom w:val="0"/>
      <w:divBdr>
        <w:top w:val="none" w:sz="0" w:space="0" w:color="auto"/>
        <w:left w:val="none" w:sz="0" w:space="0" w:color="auto"/>
        <w:bottom w:val="none" w:sz="0" w:space="0" w:color="auto"/>
        <w:right w:val="none" w:sz="0" w:space="0" w:color="auto"/>
      </w:divBdr>
    </w:div>
    <w:div w:id="1151092702">
      <w:bodyDiv w:val="1"/>
      <w:marLeft w:val="0"/>
      <w:marRight w:val="0"/>
      <w:marTop w:val="0"/>
      <w:marBottom w:val="0"/>
      <w:divBdr>
        <w:top w:val="none" w:sz="0" w:space="0" w:color="auto"/>
        <w:left w:val="none" w:sz="0" w:space="0" w:color="auto"/>
        <w:bottom w:val="none" w:sz="0" w:space="0" w:color="auto"/>
        <w:right w:val="none" w:sz="0" w:space="0" w:color="auto"/>
      </w:divBdr>
      <w:divsChild>
        <w:div w:id="185289430">
          <w:marLeft w:val="0"/>
          <w:marRight w:val="0"/>
          <w:marTop w:val="0"/>
          <w:marBottom w:val="0"/>
          <w:divBdr>
            <w:top w:val="none" w:sz="0" w:space="0" w:color="auto"/>
            <w:left w:val="none" w:sz="0" w:space="0" w:color="auto"/>
            <w:bottom w:val="none" w:sz="0" w:space="0" w:color="auto"/>
            <w:right w:val="none" w:sz="0" w:space="0" w:color="auto"/>
          </w:divBdr>
          <w:divsChild>
            <w:div w:id="278489765">
              <w:marLeft w:val="0"/>
              <w:marRight w:val="0"/>
              <w:marTop w:val="0"/>
              <w:marBottom w:val="0"/>
              <w:divBdr>
                <w:top w:val="none" w:sz="0" w:space="0" w:color="auto"/>
                <w:left w:val="none" w:sz="0" w:space="0" w:color="auto"/>
                <w:bottom w:val="none" w:sz="0" w:space="0" w:color="auto"/>
                <w:right w:val="none" w:sz="0" w:space="0" w:color="auto"/>
              </w:divBdr>
            </w:div>
            <w:div w:id="319038714">
              <w:marLeft w:val="0"/>
              <w:marRight w:val="0"/>
              <w:marTop w:val="0"/>
              <w:marBottom w:val="0"/>
              <w:divBdr>
                <w:top w:val="none" w:sz="0" w:space="0" w:color="auto"/>
                <w:left w:val="none" w:sz="0" w:space="0" w:color="auto"/>
                <w:bottom w:val="none" w:sz="0" w:space="0" w:color="auto"/>
                <w:right w:val="none" w:sz="0" w:space="0" w:color="auto"/>
              </w:divBdr>
            </w:div>
            <w:div w:id="1594586267">
              <w:marLeft w:val="0"/>
              <w:marRight w:val="0"/>
              <w:marTop w:val="0"/>
              <w:marBottom w:val="0"/>
              <w:divBdr>
                <w:top w:val="none" w:sz="0" w:space="0" w:color="auto"/>
                <w:left w:val="none" w:sz="0" w:space="0" w:color="auto"/>
                <w:bottom w:val="none" w:sz="0" w:space="0" w:color="auto"/>
                <w:right w:val="none" w:sz="0" w:space="0" w:color="auto"/>
              </w:divBdr>
            </w:div>
            <w:div w:id="1608345708">
              <w:marLeft w:val="0"/>
              <w:marRight w:val="0"/>
              <w:marTop w:val="0"/>
              <w:marBottom w:val="0"/>
              <w:divBdr>
                <w:top w:val="none" w:sz="0" w:space="0" w:color="auto"/>
                <w:left w:val="none" w:sz="0" w:space="0" w:color="auto"/>
                <w:bottom w:val="none" w:sz="0" w:space="0" w:color="auto"/>
                <w:right w:val="none" w:sz="0" w:space="0" w:color="auto"/>
              </w:divBdr>
            </w:div>
          </w:divsChild>
        </w:div>
        <w:div w:id="607155110">
          <w:marLeft w:val="0"/>
          <w:marRight w:val="0"/>
          <w:marTop w:val="0"/>
          <w:marBottom w:val="0"/>
          <w:divBdr>
            <w:top w:val="none" w:sz="0" w:space="0" w:color="auto"/>
            <w:left w:val="none" w:sz="0" w:space="0" w:color="auto"/>
            <w:bottom w:val="none" w:sz="0" w:space="0" w:color="auto"/>
            <w:right w:val="none" w:sz="0" w:space="0" w:color="auto"/>
          </w:divBdr>
        </w:div>
        <w:div w:id="940141701">
          <w:marLeft w:val="0"/>
          <w:marRight w:val="0"/>
          <w:marTop w:val="0"/>
          <w:marBottom w:val="0"/>
          <w:divBdr>
            <w:top w:val="none" w:sz="0" w:space="0" w:color="auto"/>
            <w:left w:val="none" w:sz="0" w:space="0" w:color="auto"/>
            <w:bottom w:val="none" w:sz="0" w:space="0" w:color="auto"/>
            <w:right w:val="none" w:sz="0" w:space="0" w:color="auto"/>
          </w:divBdr>
          <w:divsChild>
            <w:div w:id="120274004">
              <w:marLeft w:val="0"/>
              <w:marRight w:val="0"/>
              <w:marTop w:val="0"/>
              <w:marBottom w:val="0"/>
              <w:divBdr>
                <w:top w:val="none" w:sz="0" w:space="0" w:color="auto"/>
                <w:left w:val="none" w:sz="0" w:space="0" w:color="auto"/>
                <w:bottom w:val="none" w:sz="0" w:space="0" w:color="auto"/>
                <w:right w:val="none" w:sz="0" w:space="0" w:color="auto"/>
              </w:divBdr>
            </w:div>
            <w:div w:id="453523037">
              <w:marLeft w:val="0"/>
              <w:marRight w:val="0"/>
              <w:marTop w:val="0"/>
              <w:marBottom w:val="0"/>
              <w:divBdr>
                <w:top w:val="none" w:sz="0" w:space="0" w:color="auto"/>
                <w:left w:val="none" w:sz="0" w:space="0" w:color="auto"/>
                <w:bottom w:val="none" w:sz="0" w:space="0" w:color="auto"/>
                <w:right w:val="none" w:sz="0" w:space="0" w:color="auto"/>
              </w:divBdr>
            </w:div>
            <w:div w:id="578173008">
              <w:marLeft w:val="0"/>
              <w:marRight w:val="0"/>
              <w:marTop w:val="0"/>
              <w:marBottom w:val="0"/>
              <w:divBdr>
                <w:top w:val="none" w:sz="0" w:space="0" w:color="auto"/>
                <w:left w:val="none" w:sz="0" w:space="0" w:color="auto"/>
                <w:bottom w:val="none" w:sz="0" w:space="0" w:color="auto"/>
                <w:right w:val="none" w:sz="0" w:space="0" w:color="auto"/>
              </w:divBdr>
            </w:div>
            <w:div w:id="582960080">
              <w:marLeft w:val="0"/>
              <w:marRight w:val="0"/>
              <w:marTop w:val="0"/>
              <w:marBottom w:val="0"/>
              <w:divBdr>
                <w:top w:val="none" w:sz="0" w:space="0" w:color="auto"/>
                <w:left w:val="none" w:sz="0" w:space="0" w:color="auto"/>
                <w:bottom w:val="none" w:sz="0" w:space="0" w:color="auto"/>
                <w:right w:val="none" w:sz="0" w:space="0" w:color="auto"/>
              </w:divBdr>
            </w:div>
            <w:div w:id="917907196">
              <w:marLeft w:val="0"/>
              <w:marRight w:val="0"/>
              <w:marTop w:val="0"/>
              <w:marBottom w:val="0"/>
              <w:divBdr>
                <w:top w:val="none" w:sz="0" w:space="0" w:color="auto"/>
                <w:left w:val="none" w:sz="0" w:space="0" w:color="auto"/>
                <w:bottom w:val="none" w:sz="0" w:space="0" w:color="auto"/>
                <w:right w:val="none" w:sz="0" w:space="0" w:color="auto"/>
              </w:divBdr>
            </w:div>
            <w:div w:id="1055154369">
              <w:marLeft w:val="0"/>
              <w:marRight w:val="0"/>
              <w:marTop w:val="0"/>
              <w:marBottom w:val="0"/>
              <w:divBdr>
                <w:top w:val="none" w:sz="0" w:space="0" w:color="auto"/>
                <w:left w:val="none" w:sz="0" w:space="0" w:color="auto"/>
                <w:bottom w:val="none" w:sz="0" w:space="0" w:color="auto"/>
                <w:right w:val="none" w:sz="0" w:space="0" w:color="auto"/>
              </w:divBdr>
            </w:div>
            <w:div w:id="1151408966">
              <w:marLeft w:val="0"/>
              <w:marRight w:val="0"/>
              <w:marTop w:val="0"/>
              <w:marBottom w:val="0"/>
              <w:divBdr>
                <w:top w:val="none" w:sz="0" w:space="0" w:color="auto"/>
                <w:left w:val="none" w:sz="0" w:space="0" w:color="auto"/>
                <w:bottom w:val="none" w:sz="0" w:space="0" w:color="auto"/>
                <w:right w:val="none" w:sz="0" w:space="0" w:color="auto"/>
              </w:divBdr>
            </w:div>
            <w:div w:id="1182162808">
              <w:marLeft w:val="0"/>
              <w:marRight w:val="0"/>
              <w:marTop w:val="0"/>
              <w:marBottom w:val="0"/>
              <w:divBdr>
                <w:top w:val="none" w:sz="0" w:space="0" w:color="auto"/>
                <w:left w:val="none" w:sz="0" w:space="0" w:color="auto"/>
                <w:bottom w:val="none" w:sz="0" w:space="0" w:color="auto"/>
                <w:right w:val="none" w:sz="0" w:space="0" w:color="auto"/>
              </w:divBdr>
            </w:div>
            <w:div w:id="1319774076">
              <w:marLeft w:val="0"/>
              <w:marRight w:val="0"/>
              <w:marTop w:val="0"/>
              <w:marBottom w:val="0"/>
              <w:divBdr>
                <w:top w:val="none" w:sz="0" w:space="0" w:color="auto"/>
                <w:left w:val="none" w:sz="0" w:space="0" w:color="auto"/>
                <w:bottom w:val="none" w:sz="0" w:space="0" w:color="auto"/>
                <w:right w:val="none" w:sz="0" w:space="0" w:color="auto"/>
              </w:divBdr>
            </w:div>
            <w:div w:id="1664121504">
              <w:marLeft w:val="0"/>
              <w:marRight w:val="0"/>
              <w:marTop w:val="0"/>
              <w:marBottom w:val="0"/>
              <w:divBdr>
                <w:top w:val="none" w:sz="0" w:space="0" w:color="auto"/>
                <w:left w:val="none" w:sz="0" w:space="0" w:color="auto"/>
                <w:bottom w:val="none" w:sz="0" w:space="0" w:color="auto"/>
                <w:right w:val="none" w:sz="0" w:space="0" w:color="auto"/>
              </w:divBdr>
            </w:div>
            <w:div w:id="1731683119">
              <w:marLeft w:val="0"/>
              <w:marRight w:val="0"/>
              <w:marTop w:val="0"/>
              <w:marBottom w:val="0"/>
              <w:divBdr>
                <w:top w:val="none" w:sz="0" w:space="0" w:color="auto"/>
                <w:left w:val="none" w:sz="0" w:space="0" w:color="auto"/>
                <w:bottom w:val="none" w:sz="0" w:space="0" w:color="auto"/>
                <w:right w:val="none" w:sz="0" w:space="0" w:color="auto"/>
              </w:divBdr>
            </w:div>
            <w:div w:id="1874029300">
              <w:marLeft w:val="0"/>
              <w:marRight w:val="0"/>
              <w:marTop w:val="0"/>
              <w:marBottom w:val="0"/>
              <w:divBdr>
                <w:top w:val="none" w:sz="0" w:space="0" w:color="auto"/>
                <w:left w:val="none" w:sz="0" w:space="0" w:color="auto"/>
                <w:bottom w:val="none" w:sz="0" w:space="0" w:color="auto"/>
                <w:right w:val="none" w:sz="0" w:space="0" w:color="auto"/>
              </w:divBdr>
            </w:div>
            <w:div w:id="2027554834">
              <w:marLeft w:val="0"/>
              <w:marRight w:val="0"/>
              <w:marTop w:val="0"/>
              <w:marBottom w:val="0"/>
              <w:divBdr>
                <w:top w:val="none" w:sz="0" w:space="0" w:color="auto"/>
                <w:left w:val="none" w:sz="0" w:space="0" w:color="auto"/>
                <w:bottom w:val="none" w:sz="0" w:space="0" w:color="auto"/>
                <w:right w:val="none" w:sz="0" w:space="0" w:color="auto"/>
              </w:divBdr>
            </w:div>
            <w:div w:id="2127506547">
              <w:marLeft w:val="0"/>
              <w:marRight w:val="0"/>
              <w:marTop w:val="0"/>
              <w:marBottom w:val="0"/>
              <w:divBdr>
                <w:top w:val="none" w:sz="0" w:space="0" w:color="auto"/>
                <w:left w:val="none" w:sz="0" w:space="0" w:color="auto"/>
                <w:bottom w:val="none" w:sz="0" w:space="0" w:color="auto"/>
                <w:right w:val="none" w:sz="0" w:space="0" w:color="auto"/>
              </w:divBdr>
            </w:div>
            <w:div w:id="2138061709">
              <w:marLeft w:val="0"/>
              <w:marRight w:val="0"/>
              <w:marTop w:val="0"/>
              <w:marBottom w:val="0"/>
              <w:divBdr>
                <w:top w:val="none" w:sz="0" w:space="0" w:color="auto"/>
                <w:left w:val="none" w:sz="0" w:space="0" w:color="auto"/>
                <w:bottom w:val="none" w:sz="0" w:space="0" w:color="auto"/>
                <w:right w:val="none" w:sz="0" w:space="0" w:color="auto"/>
              </w:divBdr>
            </w:div>
          </w:divsChild>
        </w:div>
        <w:div w:id="1063602812">
          <w:marLeft w:val="0"/>
          <w:marRight w:val="0"/>
          <w:marTop w:val="0"/>
          <w:marBottom w:val="0"/>
          <w:divBdr>
            <w:top w:val="none" w:sz="0" w:space="0" w:color="auto"/>
            <w:left w:val="none" w:sz="0" w:space="0" w:color="auto"/>
            <w:bottom w:val="none" w:sz="0" w:space="0" w:color="auto"/>
            <w:right w:val="none" w:sz="0" w:space="0" w:color="auto"/>
          </w:divBdr>
          <w:divsChild>
            <w:div w:id="119348561">
              <w:marLeft w:val="0"/>
              <w:marRight w:val="0"/>
              <w:marTop w:val="0"/>
              <w:marBottom w:val="0"/>
              <w:divBdr>
                <w:top w:val="none" w:sz="0" w:space="0" w:color="auto"/>
                <w:left w:val="none" w:sz="0" w:space="0" w:color="auto"/>
                <w:bottom w:val="none" w:sz="0" w:space="0" w:color="auto"/>
                <w:right w:val="none" w:sz="0" w:space="0" w:color="auto"/>
              </w:divBdr>
            </w:div>
            <w:div w:id="338318649">
              <w:marLeft w:val="0"/>
              <w:marRight w:val="0"/>
              <w:marTop w:val="0"/>
              <w:marBottom w:val="0"/>
              <w:divBdr>
                <w:top w:val="none" w:sz="0" w:space="0" w:color="auto"/>
                <w:left w:val="none" w:sz="0" w:space="0" w:color="auto"/>
                <w:bottom w:val="none" w:sz="0" w:space="0" w:color="auto"/>
                <w:right w:val="none" w:sz="0" w:space="0" w:color="auto"/>
              </w:divBdr>
            </w:div>
            <w:div w:id="399989070">
              <w:marLeft w:val="0"/>
              <w:marRight w:val="0"/>
              <w:marTop w:val="0"/>
              <w:marBottom w:val="0"/>
              <w:divBdr>
                <w:top w:val="none" w:sz="0" w:space="0" w:color="auto"/>
                <w:left w:val="none" w:sz="0" w:space="0" w:color="auto"/>
                <w:bottom w:val="none" w:sz="0" w:space="0" w:color="auto"/>
                <w:right w:val="none" w:sz="0" w:space="0" w:color="auto"/>
              </w:divBdr>
            </w:div>
            <w:div w:id="621962463">
              <w:marLeft w:val="0"/>
              <w:marRight w:val="0"/>
              <w:marTop w:val="0"/>
              <w:marBottom w:val="0"/>
              <w:divBdr>
                <w:top w:val="none" w:sz="0" w:space="0" w:color="auto"/>
                <w:left w:val="none" w:sz="0" w:space="0" w:color="auto"/>
                <w:bottom w:val="none" w:sz="0" w:space="0" w:color="auto"/>
                <w:right w:val="none" w:sz="0" w:space="0" w:color="auto"/>
              </w:divBdr>
            </w:div>
            <w:div w:id="823276723">
              <w:marLeft w:val="0"/>
              <w:marRight w:val="0"/>
              <w:marTop w:val="0"/>
              <w:marBottom w:val="0"/>
              <w:divBdr>
                <w:top w:val="none" w:sz="0" w:space="0" w:color="auto"/>
                <w:left w:val="none" w:sz="0" w:space="0" w:color="auto"/>
                <w:bottom w:val="none" w:sz="0" w:space="0" w:color="auto"/>
                <w:right w:val="none" w:sz="0" w:space="0" w:color="auto"/>
              </w:divBdr>
            </w:div>
            <w:div w:id="882600745">
              <w:marLeft w:val="0"/>
              <w:marRight w:val="0"/>
              <w:marTop w:val="0"/>
              <w:marBottom w:val="0"/>
              <w:divBdr>
                <w:top w:val="none" w:sz="0" w:space="0" w:color="auto"/>
                <w:left w:val="none" w:sz="0" w:space="0" w:color="auto"/>
                <w:bottom w:val="none" w:sz="0" w:space="0" w:color="auto"/>
                <w:right w:val="none" w:sz="0" w:space="0" w:color="auto"/>
              </w:divBdr>
            </w:div>
            <w:div w:id="992562926">
              <w:marLeft w:val="0"/>
              <w:marRight w:val="0"/>
              <w:marTop w:val="0"/>
              <w:marBottom w:val="0"/>
              <w:divBdr>
                <w:top w:val="none" w:sz="0" w:space="0" w:color="auto"/>
                <w:left w:val="none" w:sz="0" w:space="0" w:color="auto"/>
                <w:bottom w:val="none" w:sz="0" w:space="0" w:color="auto"/>
                <w:right w:val="none" w:sz="0" w:space="0" w:color="auto"/>
              </w:divBdr>
            </w:div>
            <w:div w:id="1077241985">
              <w:marLeft w:val="0"/>
              <w:marRight w:val="0"/>
              <w:marTop w:val="0"/>
              <w:marBottom w:val="0"/>
              <w:divBdr>
                <w:top w:val="none" w:sz="0" w:space="0" w:color="auto"/>
                <w:left w:val="none" w:sz="0" w:space="0" w:color="auto"/>
                <w:bottom w:val="none" w:sz="0" w:space="0" w:color="auto"/>
                <w:right w:val="none" w:sz="0" w:space="0" w:color="auto"/>
              </w:divBdr>
            </w:div>
            <w:div w:id="1285843292">
              <w:marLeft w:val="0"/>
              <w:marRight w:val="0"/>
              <w:marTop w:val="0"/>
              <w:marBottom w:val="0"/>
              <w:divBdr>
                <w:top w:val="none" w:sz="0" w:space="0" w:color="auto"/>
                <w:left w:val="none" w:sz="0" w:space="0" w:color="auto"/>
                <w:bottom w:val="none" w:sz="0" w:space="0" w:color="auto"/>
                <w:right w:val="none" w:sz="0" w:space="0" w:color="auto"/>
              </w:divBdr>
            </w:div>
            <w:div w:id="1315523215">
              <w:marLeft w:val="0"/>
              <w:marRight w:val="0"/>
              <w:marTop w:val="0"/>
              <w:marBottom w:val="0"/>
              <w:divBdr>
                <w:top w:val="none" w:sz="0" w:space="0" w:color="auto"/>
                <w:left w:val="none" w:sz="0" w:space="0" w:color="auto"/>
                <w:bottom w:val="none" w:sz="0" w:space="0" w:color="auto"/>
                <w:right w:val="none" w:sz="0" w:space="0" w:color="auto"/>
              </w:divBdr>
            </w:div>
            <w:div w:id="1398362993">
              <w:marLeft w:val="0"/>
              <w:marRight w:val="0"/>
              <w:marTop w:val="0"/>
              <w:marBottom w:val="0"/>
              <w:divBdr>
                <w:top w:val="none" w:sz="0" w:space="0" w:color="auto"/>
                <w:left w:val="none" w:sz="0" w:space="0" w:color="auto"/>
                <w:bottom w:val="none" w:sz="0" w:space="0" w:color="auto"/>
                <w:right w:val="none" w:sz="0" w:space="0" w:color="auto"/>
              </w:divBdr>
            </w:div>
            <w:div w:id="1401251472">
              <w:marLeft w:val="0"/>
              <w:marRight w:val="0"/>
              <w:marTop w:val="0"/>
              <w:marBottom w:val="0"/>
              <w:divBdr>
                <w:top w:val="none" w:sz="0" w:space="0" w:color="auto"/>
                <w:left w:val="none" w:sz="0" w:space="0" w:color="auto"/>
                <w:bottom w:val="none" w:sz="0" w:space="0" w:color="auto"/>
                <w:right w:val="none" w:sz="0" w:space="0" w:color="auto"/>
              </w:divBdr>
            </w:div>
            <w:div w:id="1461532668">
              <w:marLeft w:val="0"/>
              <w:marRight w:val="0"/>
              <w:marTop w:val="0"/>
              <w:marBottom w:val="0"/>
              <w:divBdr>
                <w:top w:val="none" w:sz="0" w:space="0" w:color="auto"/>
                <w:left w:val="none" w:sz="0" w:space="0" w:color="auto"/>
                <w:bottom w:val="none" w:sz="0" w:space="0" w:color="auto"/>
                <w:right w:val="none" w:sz="0" w:space="0" w:color="auto"/>
              </w:divBdr>
            </w:div>
            <w:div w:id="1661232322">
              <w:marLeft w:val="0"/>
              <w:marRight w:val="0"/>
              <w:marTop w:val="0"/>
              <w:marBottom w:val="0"/>
              <w:divBdr>
                <w:top w:val="none" w:sz="0" w:space="0" w:color="auto"/>
                <w:left w:val="none" w:sz="0" w:space="0" w:color="auto"/>
                <w:bottom w:val="none" w:sz="0" w:space="0" w:color="auto"/>
                <w:right w:val="none" w:sz="0" w:space="0" w:color="auto"/>
              </w:divBdr>
            </w:div>
            <w:div w:id="1695379833">
              <w:marLeft w:val="0"/>
              <w:marRight w:val="0"/>
              <w:marTop w:val="0"/>
              <w:marBottom w:val="0"/>
              <w:divBdr>
                <w:top w:val="none" w:sz="0" w:space="0" w:color="auto"/>
                <w:left w:val="none" w:sz="0" w:space="0" w:color="auto"/>
                <w:bottom w:val="none" w:sz="0" w:space="0" w:color="auto"/>
                <w:right w:val="none" w:sz="0" w:space="0" w:color="auto"/>
              </w:divBdr>
            </w:div>
            <w:div w:id="1742749403">
              <w:marLeft w:val="0"/>
              <w:marRight w:val="0"/>
              <w:marTop w:val="0"/>
              <w:marBottom w:val="0"/>
              <w:divBdr>
                <w:top w:val="none" w:sz="0" w:space="0" w:color="auto"/>
                <w:left w:val="none" w:sz="0" w:space="0" w:color="auto"/>
                <w:bottom w:val="none" w:sz="0" w:space="0" w:color="auto"/>
                <w:right w:val="none" w:sz="0" w:space="0" w:color="auto"/>
              </w:divBdr>
            </w:div>
            <w:div w:id="1829592592">
              <w:marLeft w:val="0"/>
              <w:marRight w:val="0"/>
              <w:marTop w:val="0"/>
              <w:marBottom w:val="0"/>
              <w:divBdr>
                <w:top w:val="none" w:sz="0" w:space="0" w:color="auto"/>
                <w:left w:val="none" w:sz="0" w:space="0" w:color="auto"/>
                <w:bottom w:val="none" w:sz="0" w:space="0" w:color="auto"/>
                <w:right w:val="none" w:sz="0" w:space="0" w:color="auto"/>
              </w:divBdr>
            </w:div>
            <w:div w:id="2076930072">
              <w:marLeft w:val="0"/>
              <w:marRight w:val="0"/>
              <w:marTop w:val="0"/>
              <w:marBottom w:val="0"/>
              <w:divBdr>
                <w:top w:val="none" w:sz="0" w:space="0" w:color="auto"/>
                <w:left w:val="none" w:sz="0" w:space="0" w:color="auto"/>
                <w:bottom w:val="none" w:sz="0" w:space="0" w:color="auto"/>
                <w:right w:val="none" w:sz="0" w:space="0" w:color="auto"/>
              </w:divBdr>
            </w:div>
            <w:div w:id="2099908710">
              <w:marLeft w:val="0"/>
              <w:marRight w:val="0"/>
              <w:marTop w:val="0"/>
              <w:marBottom w:val="0"/>
              <w:divBdr>
                <w:top w:val="none" w:sz="0" w:space="0" w:color="auto"/>
                <w:left w:val="none" w:sz="0" w:space="0" w:color="auto"/>
                <w:bottom w:val="none" w:sz="0" w:space="0" w:color="auto"/>
                <w:right w:val="none" w:sz="0" w:space="0" w:color="auto"/>
              </w:divBdr>
            </w:div>
            <w:div w:id="2139253132">
              <w:marLeft w:val="0"/>
              <w:marRight w:val="0"/>
              <w:marTop w:val="0"/>
              <w:marBottom w:val="0"/>
              <w:divBdr>
                <w:top w:val="none" w:sz="0" w:space="0" w:color="auto"/>
                <w:left w:val="none" w:sz="0" w:space="0" w:color="auto"/>
                <w:bottom w:val="none" w:sz="0" w:space="0" w:color="auto"/>
                <w:right w:val="none" w:sz="0" w:space="0" w:color="auto"/>
              </w:divBdr>
            </w:div>
          </w:divsChild>
        </w:div>
        <w:div w:id="1119566255">
          <w:marLeft w:val="0"/>
          <w:marRight w:val="0"/>
          <w:marTop w:val="0"/>
          <w:marBottom w:val="0"/>
          <w:divBdr>
            <w:top w:val="none" w:sz="0" w:space="0" w:color="auto"/>
            <w:left w:val="none" w:sz="0" w:space="0" w:color="auto"/>
            <w:bottom w:val="none" w:sz="0" w:space="0" w:color="auto"/>
            <w:right w:val="none" w:sz="0" w:space="0" w:color="auto"/>
          </w:divBdr>
        </w:div>
        <w:div w:id="1125270081">
          <w:marLeft w:val="0"/>
          <w:marRight w:val="0"/>
          <w:marTop w:val="0"/>
          <w:marBottom w:val="0"/>
          <w:divBdr>
            <w:top w:val="none" w:sz="0" w:space="0" w:color="auto"/>
            <w:left w:val="none" w:sz="0" w:space="0" w:color="auto"/>
            <w:bottom w:val="none" w:sz="0" w:space="0" w:color="auto"/>
            <w:right w:val="none" w:sz="0" w:space="0" w:color="auto"/>
          </w:divBdr>
          <w:divsChild>
            <w:div w:id="621614520">
              <w:marLeft w:val="-75"/>
              <w:marRight w:val="0"/>
              <w:marTop w:val="30"/>
              <w:marBottom w:val="30"/>
              <w:divBdr>
                <w:top w:val="none" w:sz="0" w:space="0" w:color="auto"/>
                <w:left w:val="none" w:sz="0" w:space="0" w:color="auto"/>
                <w:bottom w:val="none" w:sz="0" w:space="0" w:color="auto"/>
                <w:right w:val="none" w:sz="0" w:space="0" w:color="auto"/>
              </w:divBdr>
              <w:divsChild>
                <w:div w:id="52435802">
                  <w:marLeft w:val="0"/>
                  <w:marRight w:val="0"/>
                  <w:marTop w:val="0"/>
                  <w:marBottom w:val="0"/>
                  <w:divBdr>
                    <w:top w:val="none" w:sz="0" w:space="0" w:color="auto"/>
                    <w:left w:val="none" w:sz="0" w:space="0" w:color="auto"/>
                    <w:bottom w:val="none" w:sz="0" w:space="0" w:color="auto"/>
                    <w:right w:val="none" w:sz="0" w:space="0" w:color="auto"/>
                  </w:divBdr>
                  <w:divsChild>
                    <w:div w:id="1067461615">
                      <w:marLeft w:val="0"/>
                      <w:marRight w:val="0"/>
                      <w:marTop w:val="0"/>
                      <w:marBottom w:val="0"/>
                      <w:divBdr>
                        <w:top w:val="none" w:sz="0" w:space="0" w:color="auto"/>
                        <w:left w:val="none" w:sz="0" w:space="0" w:color="auto"/>
                        <w:bottom w:val="none" w:sz="0" w:space="0" w:color="auto"/>
                        <w:right w:val="none" w:sz="0" w:space="0" w:color="auto"/>
                      </w:divBdr>
                    </w:div>
                  </w:divsChild>
                </w:div>
                <w:div w:id="347558957">
                  <w:marLeft w:val="0"/>
                  <w:marRight w:val="0"/>
                  <w:marTop w:val="0"/>
                  <w:marBottom w:val="0"/>
                  <w:divBdr>
                    <w:top w:val="none" w:sz="0" w:space="0" w:color="auto"/>
                    <w:left w:val="none" w:sz="0" w:space="0" w:color="auto"/>
                    <w:bottom w:val="none" w:sz="0" w:space="0" w:color="auto"/>
                    <w:right w:val="none" w:sz="0" w:space="0" w:color="auto"/>
                  </w:divBdr>
                  <w:divsChild>
                    <w:div w:id="201670484">
                      <w:marLeft w:val="0"/>
                      <w:marRight w:val="0"/>
                      <w:marTop w:val="0"/>
                      <w:marBottom w:val="0"/>
                      <w:divBdr>
                        <w:top w:val="none" w:sz="0" w:space="0" w:color="auto"/>
                        <w:left w:val="none" w:sz="0" w:space="0" w:color="auto"/>
                        <w:bottom w:val="none" w:sz="0" w:space="0" w:color="auto"/>
                        <w:right w:val="none" w:sz="0" w:space="0" w:color="auto"/>
                      </w:divBdr>
                    </w:div>
                  </w:divsChild>
                </w:div>
                <w:div w:id="732238650">
                  <w:marLeft w:val="0"/>
                  <w:marRight w:val="0"/>
                  <w:marTop w:val="0"/>
                  <w:marBottom w:val="0"/>
                  <w:divBdr>
                    <w:top w:val="none" w:sz="0" w:space="0" w:color="auto"/>
                    <w:left w:val="none" w:sz="0" w:space="0" w:color="auto"/>
                    <w:bottom w:val="none" w:sz="0" w:space="0" w:color="auto"/>
                    <w:right w:val="none" w:sz="0" w:space="0" w:color="auto"/>
                  </w:divBdr>
                  <w:divsChild>
                    <w:div w:id="532613502">
                      <w:marLeft w:val="0"/>
                      <w:marRight w:val="0"/>
                      <w:marTop w:val="0"/>
                      <w:marBottom w:val="0"/>
                      <w:divBdr>
                        <w:top w:val="none" w:sz="0" w:space="0" w:color="auto"/>
                        <w:left w:val="none" w:sz="0" w:space="0" w:color="auto"/>
                        <w:bottom w:val="none" w:sz="0" w:space="0" w:color="auto"/>
                        <w:right w:val="none" w:sz="0" w:space="0" w:color="auto"/>
                      </w:divBdr>
                    </w:div>
                  </w:divsChild>
                </w:div>
                <w:div w:id="786116780">
                  <w:marLeft w:val="0"/>
                  <w:marRight w:val="0"/>
                  <w:marTop w:val="0"/>
                  <w:marBottom w:val="0"/>
                  <w:divBdr>
                    <w:top w:val="none" w:sz="0" w:space="0" w:color="auto"/>
                    <w:left w:val="none" w:sz="0" w:space="0" w:color="auto"/>
                    <w:bottom w:val="none" w:sz="0" w:space="0" w:color="auto"/>
                    <w:right w:val="none" w:sz="0" w:space="0" w:color="auto"/>
                  </w:divBdr>
                  <w:divsChild>
                    <w:div w:id="795835478">
                      <w:marLeft w:val="0"/>
                      <w:marRight w:val="0"/>
                      <w:marTop w:val="0"/>
                      <w:marBottom w:val="0"/>
                      <w:divBdr>
                        <w:top w:val="none" w:sz="0" w:space="0" w:color="auto"/>
                        <w:left w:val="none" w:sz="0" w:space="0" w:color="auto"/>
                        <w:bottom w:val="none" w:sz="0" w:space="0" w:color="auto"/>
                        <w:right w:val="none" w:sz="0" w:space="0" w:color="auto"/>
                      </w:divBdr>
                    </w:div>
                  </w:divsChild>
                </w:div>
                <w:div w:id="1194729048">
                  <w:marLeft w:val="0"/>
                  <w:marRight w:val="0"/>
                  <w:marTop w:val="0"/>
                  <w:marBottom w:val="0"/>
                  <w:divBdr>
                    <w:top w:val="none" w:sz="0" w:space="0" w:color="auto"/>
                    <w:left w:val="none" w:sz="0" w:space="0" w:color="auto"/>
                    <w:bottom w:val="none" w:sz="0" w:space="0" w:color="auto"/>
                    <w:right w:val="none" w:sz="0" w:space="0" w:color="auto"/>
                  </w:divBdr>
                  <w:divsChild>
                    <w:div w:id="1922370262">
                      <w:marLeft w:val="0"/>
                      <w:marRight w:val="0"/>
                      <w:marTop w:val="0"/>
                      <w:marBottom w:val="0"/>
                      <w:divBdr>
                        <w:top w:val="none" w:sz="0" w:space="0" w:color="auto"/>
                        <w:left w:val="none" w:sz="0" w:space="0" w:color="auto"/>
                        <w:bottom w:val="none" w:sz="0" w:space="0" w:color="auto"/>
                        <w:right w:val="none" w:sz="0" w:space="0" w:color="auto"/>
                      </w:divBdr>
                    </w:div>
                    <w:div w:id="2086762644">
                      <w:marLeft w:val="0"/>
                      <w:marRight w:val="0"/>
                      <w:marTop w:val="0"/>
                      <w:marBottom w:val="0"/>
                      <w:divBdr>
                        <w:top w:val="none" w:sz="0" w:space="0" w:color="auto"/>
                        <w:left w:val="none" w:sz="0" w:space="0" w:color="auto"/>
                        <w:bottom w:val="none" w:sz="0" w:space="0" w:color="auto"/>
                        <w:right w:val="none" w:sz="0" w:space="0" w:color="auto"/>
                      </w:divBdr>
                    </w:div>
                  </w:divsChild>
                </w:div>
                <w:div w:id="1447848601">
                  <w:marLeft w:val="0"/>
                  <w:marRight w:val="0"/>
                  <w:marTop w:val="0"/>
                  <w:marBottom w:val="0"/>
                  <w:divBdr>
                    <w:top w:val="none" w:sz="0" w:space="0" w:color="auto"/>
                    <w:left w:val="none" w:sz="0" w:space="0" w:color="auto"/>
                    <w:bottom w:val="none" w:sz="0" w:space="0" w:color="auto"/>
                    <w:right w:val="none" w:sz="0" w:space="0" w:color="auto"/>
                  </w:divBdr>
                  <w:divsChild>
                    <w:div w:id="743718451">
                      <w:marLeft w:val="0"/>
                      <w:marRight w:val="0"/>
                      <w:marTop w:val="0"/>
                      <w:marBottom w:val="0"/>
                      <w:divBdr>
                        <w:top w:val="none" w:sz="0" w:space="0" w:color="auto"/>
                        <w:left w:val="none" w:sz="0" w:space="0" w:color="auto"/>
                        <w:bottom w:val="none" w:sz="0" w:space="0" w:color="auto"/>
                        <w:right w:val="none" w:sz="0" w:space="0" w:color="auto"/>
                      </w:divBdr>
                    </w:div>
                    <w:div w:id="2123765029">
                      <w:marLeft w:val="0"/>
                      <w:marRight w:val="0"/>
                      <w:marTop w:val="0"/>
                      <w:marBottom w:val="0"/>
                      <w:divBdr>
                        <w:top w:val="none" w:sz="0" w:space="0" w:color="auto"/>
                        <w:left w:val="none" w:sz="0" w:space="0" w:color="auto"/>
                        <w:bottom w:val="none" w:sz="0" w:space="0" w:color="auto"/>
                        <w:right w:val="none" w:sz="0" w:space="0" w:color="auto"/>
                      </w:divBdr>
                    </w:div>
                  </w:divsChild>
                </w:div>
                <w:div w:id="1471289754">
                  <w:marLeft w:val="0"/>
                  <w:marRight w:val="0"/>
                  <w:marTop w:val="0"/>
                  <w:marBottom w:val="0"/>
                  <w:divBdr>
                    <w:top w:val="none" w:sz="0" w:space="0" w:color="auto"/>
                    <w:left w:val="none" w:sz="0" w:space="0" w:color="auto"/>
                    <w:bottom w:val="none" w:sz="0" w:space="0" w:color="auto"/>
                    <w:right w:val="none" w:sz="0" w:space="0" w:color="auto"/>
                  </w:divBdr>
                  <w:divsChild>
                    <w:div w:id="1405645314">
                      <w:marLeft w:val="0"/>
                      <w:marRight w:val="0"/>
                      <w:marTop w:val="0"/>
                      <w:marBottom w:val="0"/>
                      <w:divBdr>
                        <w:top w:val="none" w:sz="0" w:space="0" w:color="auto"/>
                        <w:left w:val="none" w:sz="0" w:space="0" w:color="auto"/>
                        <w:bottom w:val="none" w:sz="0" w:space="0" w:color="auto"/>
                        <w:right w:val="none" w:sz="0" w:space="0" w:color="auto"/>
                      </w:divBdr>
                    </w:div>
                  </w:divsChild>
                </w:div>
                <w:div w:id="1526210324">
                  <w:marLeft w:val="0"/>
                  <w:marRight w:val="0"/>
                  <w:marTop w:val="0"/>
                  <w:marBottom w:val="0"/>
                  <w:divBdr>
                    <w:top w:val="none" w:sz="0" w:space="0" w:color="auto"/>
                    <w:left w:val="none" w:sz="0" w:space="0" w:color="auto"/>
                    <w:bottom w:val="none" w:sz="0" w:space="0" w:color="auto"/>
                    <w:right w:val="none" w:sz="0" w:space="0" w:color="auto"/>
                  </w:divBdr>
                  <w:divsChild>
                    <w:div w:id="176309749">
                      <w:marLeft w:val="0"/>
                      <w:marRight w:val="0"/>
                      <w:marTop w:val="0"/>
                      <w:marBottom w:val="0"/>
                      <w:divBdr>
                        <w:top w:val="none" w:sz="0" w:space="0" w:color="auto"/>
                        <w:left w:val="none" w:sz="0" w:space="0" w:color="auto"/>
                        <w:bottom w:val="none" w:sz="0" w:space="0" w:color="auto"/>
                        <w:right w:val="none" w:sz="0" w:space="0" w:color="auto"/>
                      </w:divBdr>
                    </w:div>
                  </w:divsChild>
                </w:div>
                <w:div w:id="1764448814">
                  <w:marLeft w:val="0"/>
                  <w:marRight w:val="0"/>
                  <w:marTop w:val="0"/>
                  <w:marBottom w:val="0"/>
                  <w:divBdr>
                    <w:top w:val="none" w:sz="0" w:space="0" w:color="auto"/>
                    <w:left w:val="none" w:sz="0" w:space="0" w:color="auto"/>
                    <w:bottom w:val="none" w:sz="0" w:space="0" w:color="auto"/>
                    <w:right w:val="none" w:sz="0" w:space="0" w:color="auto"/>
                  </w:divBdr>
                  <w:divsChild>
                    <w:div w:id="1134328593">
                      <w:marLeft w:val="0"/>
                      <w:marRight w:val="0"/>
                      <w:marTop w:val="0"/>
                      <w:marBottom w:val="0"/>
                      <w:divBdr>
                        <w:top w:val="none" w:sz="0" w:space="0" w:color="auto"/>
                        <w:left w:val="none" w:sz="0" w:space="0" w:color="auto"/>
                        <w:bottom w:val="none" w:sz="0" w:space="0" w:color="auto"/>
                        <w:right w:val="none" w:sz="0" w:space="0" w:color="auto"/>
                      </w:divBdr>
                    </w:div>
                    <w:div w:id="1698189616">
                      <w:marLeft w:val="0"/>
                      <w:marRight w:val="0"/>
                      <w:marTop w:val="0"/>
                      <w:marBottom w:val="0"/>
                      <w:divBdr>
                        <w:top w:val="none" w:sz="0" w:space="0" w:color="auto"/>
                        <w:left w:val="none" w:sz="0" w:space="0" w:color="auto"/>
                        <w:bottom w:val="none" w:sz="0" w:space="0" w:color="auto"/>
                        <w:right w:val="none" w:sz="0" w:space="0" w:color="auto"/>
                      </w:divBdr>
                    </w:div>
                  </w:divsChild>
                </w:div>
                <w:div w:id="1768885355">
                  <w:marLeft w:val="0"/>
                  <w:marRight w:val="0"/>
                  <w:marTop w:val="0"/>
                  <w:marBottom w:val="0"/>
                  <w:divBdr>
                    <w:top w:val="none" w:sz="0" w:space="0" w:color="auto"/>
                    <w:left w:val="none" w:sz="0" w:space="0" w:color="auto"/>
                    <w:bottom w:val="none" w:sz="0" w:space="0" w:color="auto"/>
                    <w:right w:val="none" w:sz="0" w:space="0" w:color="auto"/>
                  </w:divBdr>
                  <w:divsChild>
                    <w:div w:id="1419670635">
                      <w:marLeft w:val="0"/>
                      <w:marRight w:val="0"/>
                      <w:marTop w:val="0"/>
                      <w:marBottom w:val="0"/>
                      <w:divBdr>
                        <w:top w:val="none" w:sz="0" w:space="0" w:color="auto"/>
                        <w:left w:val="none" w:sz="0" w:space="0" w:color="auto"/>
                        <w:bottom w:val="none" w:sz="0" w:space="0" w:color="auto"/>
                        <w:right w:val="none" w:sz="0" w:space="0" w:color="auto"/>
                      </w:divBdr>
                    </w:div>
                  </w:divsChild>
                </w:div>
                <w:div w:id="1899973514">
                  <w:marLeft w:val="0"/>
                  <w:marRight w:val="0"/>
                  <w:marTop w:val="0"/>
                  <w:marBottom w:val="0"/>
                  <w:divBdr>
                    <w:top w:val="none" w:sz="0" w:space="0" w:color="auto"/>
                    <w:left w:val="none" w:sz="0" w:space="0" w:color="auto"/>
                    <w:bottom w:val="none" w:sz="0" w:space="0" w:color="auto"/>
                    <w:right w:val="none" w:sz="0" w:space="0" w:color="auto"/>
                  </w:divBdr>
                  <w:divsChild>
                    <w:div w:id="1392969394">
                      <w:marLeft w:val="0"/>
                      <w:marRight w:val="0"/>
                      <w:marTop w:val="0"/>
                      <w:marBottom w:val="0"/>
                      <w:divBdr>
                        <w:top w:val="none" w:sz="0" w:space="0" w:color="auto"/>
                        <w:left w:val="none" w:sz="0" w:space="0" w:color="auto"/>
                        <w:bottom w:val="none" w:sz="0" w:space="0" w:color="auto"/>
                        <w:right w:val="none" w:sz="0" w:space="0" w:color="auto"/>
                      </w:divBdr>
                    </w:div>
                  </w:divsChild>
                </w:div>
                <w:div w:id="1957831428">
                  <w:marLeft w:val="0"/>
                  <w:marRight w:val="0"/>
                  <w:marTop w:val="0"/>
                  <w:marBottom w:val="0"/>
                  <w:divBdr>
                    <w:top w:val="none" w:sz="0" w:space="0" w:color="auto"/>
                    <w:left w:val="none" w:sz="0" w:space="0" w:color="auto"/>
                    <w:bottom w:val="none" w:sz="0" w:space="0" w:color="auto"/>
                    <w:right w:val="none" w:sz="0" w:space="0" w:color="auto"/>
                  </w:divBdr>
                  <w:divsChild>
                    <w:div w:id="31649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646126">
          <w:marLeft w:val="0"/>
          <w:marRight w:val="0"/>
          <w:marTop w:val="0"/>
          <w:marBottom w:val="0"/>
          <w:divBdr>
            <w:top w:val="none" w:sz="0" w:space="0" w:color="auto"/>
            <w:left w:val="none" w:sz="0" w:space="0" w:color="auto"/>
            <w:bottom w:val="none" w:sz="0" w:space="0" w:color="auto"/>
            <w:right w:val="none" w:sz="0" w:space="0" w:color="auto"/>
          </w:divBdr>
          <w:divsChild>
            <w:div w:id="1885631285">
              <w:marLeft w:val="0"/>
              <w:marRight w:val="0"/>
              <w:marTop w:val="0"/>
              <w:marBottom w:val="0"/>
              <w:divBdr>
                <w:top w:val="none" w:sz="0" w:space="0" w:color="auto"/>
                <w:left w:val="none" w:sz="0" w:space="0" w:color="auto"/>
                <w:bottom w:val="none" w:sz="0" w:space="0" w:color="auto"/>
                <w:right w:val="none" w:sz="0" w:space="0" w:color="auto"/>
              </w:divBdr>
            </w:div>
          </w:divsChild>
        </w:div>
        <w:div w:id="1890074162">
          <w:marLeft w:val="0"/>
          <w:marRight w:val="0"/>
          <w:marTop w:val="0"/>
          <w:marBottom w:val="0"/>
          <w:divBdr>
            <w:top w:val="none" w:sz="0" w:space="0" w:color="auto"/>
            <w:left w:val="none" w:sz="0" w:space="0" w:color="auto"/>
            <w:bottom w:val="none" w:sz="0" w:space="0" w:color="auto"/>
            <w:right w:val="none" w:sz="0" w:space="0" w:color="auto"/>
          </w:divBdr>
          <w:divsChild>
            <w:div w:id="1005284980">
              <w:marLeft w:val="0"/>
              <w:marRight w:val="0"/>
              <w:marTop w:val="0"/>
              <w:marBottom w:val="0"/>
              <w:divBdr>
                <w:top w:val="none" w:sz="0" w:space="0" w:color="auto"/>
                <w:left w:val="none" w:sz="0" w:space="0" w:color="auto"/>
                <w:bottom w:val="none" w:sz="0" w:space="0" w:color="auto"/>
                <w:right w:val="none" w:sz="0" w:space="0" w:color="auto"/>
              </w:divBdr>
            </w:div>
            <w:div w:id="1333949423">
              <w:marLeft w:val="0"/>
              <w:marRight w:val="0"/>
              <w:marTop w:val="0"/>
              <w:marBottom w:val="0"/>
              <w:divBdr>
                <w:top w:val="none" w:sz="0" w:space="0" w:color="auto"/>
                <w:left w:val="none" w:sz="0" w:space="0" w:color="auto"/>
                <w:bottom w:val="none" w:sz="0" w:space="0" w:color="auto"/>
                <w:right w:val="none" w:sz="0" w:space="0" w:color="auto"/>
              </w:divBdr>
            </w:div>
            <w:div w:id="158683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746">
      <w:bodyDiv w:val="1"/>
      <w:marLeft w:val="0"/>
      <w:marRight w:val="0"/>
      <w:marTop w:val="0"/>
      <w:marBottom w:val="0"/>
      <w:divBdr>
        <w:top w:val="none" w:sz="0" w:space="0" w:color="auto"/>
        <w:left w:val="none" w:sz="0" w:space="0" w:color="auto"/>
        <w:bottom w:val="none" w:sz="0" w:space="0" w:color="auto"/>
        <w:right w:val="none" w:sz="0" w:space="0" w:color="auto"/>
      </w:divBdr>
    </w:div>
    <w:div w:id="1180192828">
      <w:bodyDiv w:val="1"/>
      <w:marLeft w:val="0"/>
      <w:marRight w:val="0"/>
      <w:marTop w:val="0"/>
      <w:marBottom w:val="0"/>
      <w:divBdr>
        <w:top w:val="none" w:sz="0" w:space="0" w:color="auto"/>
        <w:left w:val="none" w:sz="0" w:space="0" w:color="auto"/>
        <w:bottom w:val="none" w:sz="0" w:space="0" w:color="auto"/>
        <w:right w:val="none" w:sz="0" w:space="0" w:color="auto"/>
      </w:divBdr>
      <w:divsChild>
        <w:div w:id="326059855">
          <w:marLeft w:val="0"/>
          <w:marRight w:val="0"/>
          <w:marTop w:val="0"/>
          <w:marBottom w:val="0"/>
          <w:divBdr>
            <w:top w:val="none" w:sz="0" w:space="0" w:color="auto"/>
            <w:left w:val="none" w:sz="0" w:space="0" w:color="auto"/>
            <w:bottom w:val="none" w:sz="0" w:space="0" w:color="auto"/>
            <w:right w:val="none" w:sz="0" w:space="0" w:color="auto"/>
          </w:divBdr>
          <w:divsChild>
            <w:div w:id="226962277">
              <w:marLeft w:val="0"/>
              <w:marRight w:val="0"/>
              <w:marTop w:val="0"/>
              <w:marBottom w:val="0"/>
              <w:divBdr>
                <w:top w:val="none" w:sz="0" w:space="0" w:color="auto"/>
                <w:left w:val="none" w:sz="0" w:space="0" w:color="auto"/>
                <w:bottom w:val="none" w:sz="0" w:space="0" w:color="auto"/>
                <w:right w:val="none" w:sz="0" w:space="0" w:color="auto"/>
              </w:divBdr>
            </w:div>
            <w:div w:id="315650526">
              <w:marLeft w:val="0"/>
              <w:marRight w:val="0"/>
              <w:marTop w:val="0"/>
              <w:marBottom w:val="0"/>
              <w:divBdr>
                <w:top w:val="none" w:sz="0" w:space="0" w:color="auto"/>
                <w:left w:val="none" w:sz="0" w:space="0" w:color="auto"/>
                <w:bottom w:val="none" w:sz="0" w:space="0" w:color="auto"/>
                <w:right w:val="none" w:sz="0" w:space="0" w:color="auto"/>
              </w:divBdr>
            </w:div>
            <w:div w:id="480266695">
              <w:marLeft w:val="0"/>
              <w:marRight w:val="0"/>
              <w:marTop w:val="0"/>
              <w:marBottom w:val="0"/>
              <w:divBdr>
                <w:top w:val="none" w:sz="0" w:space="0" w:color="auto"/>
                <w:left w:val="none" w:sz="0" w:space="0" w:color="auto"/>
                <w:bottom w:val="none" w:sz="0" w:space="0" w:color="auto"/>
                <w:right w:val="none" w:sz="0" w:space="0" w:color="auto"/>
              </w:divBdr>
            </w:div>
            <w:div w:id="536115760">
              <w:marLeft w:val="0"/>
              <w:marRight w:val="0"/>
              <w:marTop w:val="0"/>
              <w:marBottom w:val="0"/>
              <w:divBdr>
                <w:top w:val="none" w:sz="0" w:space="0" w:color="auto"/>
                <w:left w:val="none" w:sz="0" w:space="0" w:color="auto"/>
                <w:bottom w:val="none" w:sz="0" w:space="0" w:color="auto"/>
                <w:right w:val="none" w:sz="0" w:space="0" w:color="auto"/>
              </w:divBdr>
            </w:div>
            <w:div w:id="611741964">
              <w:marLeft w:val="0"/>
              <w:marRight w:val="0"/>
              <w:marTop w:val="0"/>
              <w:marBottom w:val="0"/>
              <w:divBdr>
                <w:top w:val="none" w:sz="0" w:space="0" w:color="auto"/>
                <w:left w:val="none" w:sz="0" w:space="0" w:color="auto"/>
                <w:bottom w:val="none" w:sz="0" w:space="0" w:color="auto"/>
                <w:right w:val="none" w:sz="0" w:space="0" w:color="auto"/>
              </w:divBdr>
            </w:div>
            <w:div w:id="863207257">
              <w:marLeft w:val="0"/>
              <w:marRight w:val="0"/>
              <w:marTop w:val="0"/>
              <w:marBottom w:val="0"/>
              <w:divBdr>
                <w:top w:val="none" w:sz="0" w:space="0" w:color="auto"/>
                <w:left w:val="none" w:sz="0" w:space="0" w:color="auto"/>
                <w:bottom w:val="none" w:sz="0" w:space="0" w:color="auto"/>
                <w:right w:val="none" w:sz="0" w:space="0" w:color="auto"/>
              </w:divBdr>
            </w:div>
            <w:div w:id="865561701">
              <w:marLeft w:val="0"/>
              <w:marRight w:val="0"/>
              <w:marTop w:val="0"/>
              <w:marBottom w:val="0"/>
              <w:divBdr>
                <w:top w:val="none" w:sz="0" w:space="0" w:color="auto"/>
                <w:left w:val="none" w:sz="0" w:space="0" w:color="auto"/>
                <w:bottom w:val="none" w:sz="0" w:space="0" w:color="auto"/>
                <w:right w:val="none" w:sz="0" w:space="0" w:color="auto"/>
              </w:divBdr>
            </w:div>
            <w:div w:id="943657618">
              <w:marLeft w:val="0"/>
              <w:marRight w:val="0"/>
              <w:marTop w:val="0"/>
              <w:marBottom w:val="0"/>
              <w:divBdr>
                <w:top w:val="none" w:sz="0" w:space="0" w:color="auto"/>
                <w:left w:val="none" w:sz="0" w:space="0" w:color="auto"/>
                <w:bottom w:val="none" w:sz="0" w:space="0" w:color="auto"/>
                <w:right w:val="none" w:sz="0" w:space="0" w:color="auto"/>
              </w:divBdr>
            </w:div>
            <w:div w:id="957833298">
              <w:marLeft w:val="0"/>
              <w:marRight w:val="0"/>
              <w:marTop w:val="0"/>
              <w:marBottom w:val="0"/>
              <w:divBdr>
                <w:top w:val="none" w:sz="0" w:space="0" w:color="auto"/>
                <w:left w:val="none" w:sz="0" w:space="0" w:color="auto"/>
                <w:bottom w:val="none" w:sz="0" w:space="0" w:color="auto"/>
                <w:right w:val="none" w:sz="0" w:space="0" w:color="auto"/>
              </w:divBdr>
            </w:div>
            <w:div w:id="1086923751">
              <w:marLeft w:val="0"/>
              <w:marRight w:val="0"/>
              <w:marTop w:val="0"/>
              <w:marBottom w:val="0"/>
              <w:divBdr>
                <w:top w:val="none" w:sz="0" w:space="0" w:color="auto"/>
                <w:left w:val="none" w:sz="0" w:space="0" w:color="auto"/>
                <w:bottom w:val="none" w:sz="0" w:space="0" w:color="auto"/>
                <w:right w:val="none" w:sz="0" w:space="0" w:color="auto"/>
              </w:divBdr>
            </w:div>
            <w:div w:id="1232348763">
              <w:marLeft w:val="0"/>
              <w:marRight w:val="0"/>
              <w:marTop w:val="0"/>
              <w:marBottom w:val="0"/>
              <w:divBdr>
                <w:top w:val="none" w:sz="0" w:space="0" w:color="auto"/>
                <w:left w:val="none" w:sz="0" w:space="0" w:color="auto"/>
                <w:bottom w:val="none" w:sz="0" w:space="0" w:color="auto"/>
                <w:right w:val="none" w:sz="0" w:space="0" w:color="auto"/>
              </w:divBdr>
            </w:div>
            <w:div w:id="1262253215">
              <w:marLeft w:val="0"/>
              <w:marRight w:val="0"/>
              <w:marTop w:val="0"/>
              <w:marBottom w:val="0"/>
              <w:divBdr>
                <w:top w:val="none" w:sz="0" w:space="0" w:color="auto"/>
                <w:left w:val="none" w:sz="0" w:space="0" w:color="auto"/>
                <w:bottom w:val="none" w:sz="0" w:space="0" w:color="auto"/>
                <w:right w:val="none" w:sz="0" w:space="0" w:color="auto"/>
              </w:divBdr>
            </w:div>
            <w:div w:id="1353997198">
              <w:marLeft w:val="0"/>
              <w:marRight w:val="0"/>
              <w:marTop w:val="0"/>
              <w:marBottom w:val="0"/>
              <w:divBdr>
                <w:top w:val="none" w:sz="0" w:space="0" w:color="auto"/>
                <w:left w:val="none" w:sz="0" w:space="0" w:color="auto"/>
                <w:bottom w:val="none" w:sz="0" w:space="0" w:color="auto"/>
                <w:right w:val="none" w:sz="0" w:space="0" w:color="auto"/>
              </w:divBdr>
            </w:div>
            <w:div w:id="1593203778">
              <w:marLeft w:val="0"/>
              <w:marRight w:val="0"/>
              <w:marTop w:val="0"/>
              <w:marBottom w:val="0"/>
              <w:divBdr>
                <w:top w:val="none" w:sz="0" w:space="0" w:color="auto"/>
                <w:left w:val="none" w:sz="0" w:space="0" w:color="auto"/>
                <w:bottom w:val="none" w:sz="0" w:space="0" w:color="auto"/>
                <w:right w:val="none" w:sz="0" w:space="0" w:color="auto"/>
              </w:divBdr>
            </w:div>
            <w:div w:id="1663896328">
              <w:marLeft w:val="0"/>
              <w:marRight w:val="0"/>
              <w:marTop w:val="0"/>
              <w:marBottom w:val="0"/>
              <w:divBdr>
                <w:top w:val="none" w:sz="0" w:space="0" w:color="auto"/>
                <w:left w:val="none" w:sz="0" w:space="0" w:color="auto"/>
                <w:bottom w:val="none" w:sz="0" w:space="0" w:color="auto"/>
                <w:right w:val="none" w:sz="0" w:space="0" w:color="auto"/>
              </w:divBdr>
            </w:div>
            <w:div w:id="1943881631">
              <w:marLeft w:val="0"/>
              <w:marRight w:val="0"/>
              <w:marTop w:val="0"/>
              <w:marBottom w:val="0"/>
              <w:divBdr>
                <w:top w:val="none" w:sz="0" w:space="0" w:color="auto"/>
                <w:left w:val="none" w:sz="0" w:space="0" w:color="auto"/>
                <w:bottom w:val="none" w:sz="0" w:space="0" w:color="auto"/>
                <w:right w:val="none" w:sz="0" w:space="0" w:color="auto"/>
              </w:divBdr>
            </w:div>
            <w:div w:id="1962612171">
              <w:marLeft w:val="0"/>
              <w:marRight w:val="0"/>
              <w:marTop w:val="0"/>
              <w:marBottom w:val="0"/>
              <w:divBdr>
                <w:top w:val="none" w:sz="0" w:space="0" w:color="auto"/>
                <w:left w:val="none" w:sz="0" w:space="0" w:color="auto"/>
                <w:bottom w:val="none" w:sz="0" w:space="0" w:color="auto"/>
                <w:right w:val="none" w:sz="0" w:space="0" w:color="auto"/>
              </w:divBdr>
            </w:div>
            <w:div w:id="2034307385">
              <w:marLeft w:val="0"/>
              <w:marRight w:val="0"/>
              <w:marTop w:val="0"/>
              <w:marBottom w:val="0"/>
              <w:divBdr>
                <w:top w:val="none" w:sz="0" w:space="0" w:color="auto"/>
                <w:left w:val="none" w:sz="0" w:space="0" w:color="auto"/>
                <w:bottom w:val="none" w:sz="0" w:space="0" w:color="auto"/>
                <w:right w:val="none" w:sz="0" w:space="0" w:color="auto"/>
              </w:divBdr>
            </w:div>
            <w:div w:id="2046635457">
              <w:marLeft w:val="0"/>
              <w:marRight w:val="0"/>
              <w:marTop w:val="0"/>
              <w:marBottom w:val="0"/>
              <w:divBdr>
                <w:top w:val="none" w:sz="0" w:space="0" w:color="auto"/>
                <w:left w:val="none" w:sz="0" w:space="0" w:color="auto"/>
                <w:bottom w:val="none" w:sz="0" w:space="0" w:color="auto"/>
                <w:right w:val="none" w:sz="0" w:space="0" w:color="auto"/>
              </w:divBdr>
            </w:div>
            <w:div w:id="2142309815">
              <w:marLeft w:val="0"/>
              <w:marRight w:val="0"/>
              <w:marTop w:val="0"/>
              <w:marBottom w:val="0"/>
              <w:divBdr>
                <w:top w:val="none" w:sz="0" w:space="0" w:color="auto"/>
                <w:left w:val="none" w:sz="0" w:space="0" w:color="auto"/>
                <w:bottom w:val="none" w:sz="0" w:space="0" w:color="auto"/>
                <w:right w:val="none" w:sz="0" w:space="0" w:color="auto"/>
              </w:divBdr>
            </w:div>
          </w:divsChild>
        </w:div>
        <w:div w:id="341591393">
          <w:marLeft w:val="0"/>
          <w:marRight w:val="0"/>
          <w:marTop w:val="0"/>
          <w:marBottom w:val="0"/>
          <w:divBdr>
            <w:top w:val="none" w:sz="0" w:space="0" w:color="auto"/>
            <w:left w:val="none" w:sz="0" w:space="0" w:color="auto"/>
            <w:bottom w:val="none" w:sz="0" w:space="0" w:color="auto"/>
            <w:right w:val="none" w:sz="0" w:space="0" w:color="auto"/>
          </w:divBdr>
        </w:div>
        <w:div w:id="486827526">
          <w:marLeft w:val="0"/>
          <w:marRight w:val="0"/>
          <w:marTop w:val="0"/>
          <w:marBottom w:val="0"/>
          <w:divBdr>
            <w:top w:val="none" w:sz="0" w:space="0" w:color="auto"/>
            <w:left w:val="none" w:sz="0" w:space="0" w:color="auto"/>
            <w:bottom w:val="none" w:sz="0" w:space="0" w:color="auto"/>
            <w:right w:val="none" w:sz="0" w:space="0" w:color="auto"/>
          </w:divBdr>
          <w:divsChild>
            <w:div w:id="116030919">
              <w:marLeft w:val="0"/>
              <w:marRight w:val="0"/>
              <w:marTop w:val="0"/>
              <w:marBottom w:val="0"/>
              <w:divBdr>
                <w:top w:val="none" w:sz="0" w:space="0" w:color="auto"/>
                <w:left w:val="none" w:sz="0" w:space="0" w:color="auto"/>
                <w:bottom w:val="none" w:sz="0" w:space="0" w:color="auto"/>
                <w:right w:val="none" w:sz="0" w:space="0" w:color="auto"/>
              </w:divBdr>
            </w:div>
            <w:div w:id="483394465">
              <w:marLeft w:val="0"/>
              <w:marRight w:val="0"/>
              <w:marTop w:val="0"/>
              <w:marBottom w:val="0"/>
              <w:divBdr>
                <w:top w:val="none" w:sz="0" w:space="0" w:color="auto"/>
                <w:left w:val="none" w:sz="0" w:space="0" w:color="auto"/>
                <w:bottom w:val="none" w:sz="0" w:space="0" w:color="auto"/>
                <w:right w:val="none" w:sz="0" w:space="0" w:color="auto"/>
              </w:divBdr>
            </w:div>
            <w:div w:id="787817601">
              <w:marLeft w:val="0"/>
              <w:marRight w:val="0"/>
              <w:marTop w:val="0"/>
              <w:marBottom w:val="0"/>
              <w:divBdr>
                <w:top w:val="none" w:sz="0" w:space="0" w:color="auto"/>
                <w:left w:val="none" w:sz="0" w:space="0" w:color="auto"/>
                <w:bottom w:val="none" w:sz="0" w:space="0" w:color="auto"/>
                <w:right w:val="none" w:sz="0" w:space="0" w:color="auto"/>
              </w:divBdr>
            </w:div>
            <w:div w:id="835416890">
              <w:marLeft w:val="0"/>
              <w:marRight w:val="0"/>
              <w:marTop w:val="0"/>
              <w:marBottom w:val="0"/>
              <w:divBdr>
                <w:top w:val="none" w:sz="0" w:space="0" w:color="auto"/>
                <w:left w:val="none" w:sz="0" w:space="0" w:color="auto"/>
                <w:bottom w:val="none" w:sz="0" w:space="0" w:color="auto"/>
                <w:right w:val="none" w:sz="0" w:space="0" w:color="auto"/>
              </w:divBdr>
            </w:div>
            <w:div w:id="898132475">
              <w:marLeft w:val="0"/>
              <w:marRight w:val="0"/>
              <w:marTop w:val="0"/>
              <w:marBottom w:val="0"/>
              <w:divBdr>
                <w:top w:val="none" w:sz="0" w:space="0" w:color="auto"/>
                <w:left w:val="none" w:sz="0" w:space="0" w:color="auto"/>
                <w:bottom w:val="none" w:sz="0" w:space="0" w:color="auto"/>
                <w:right w:val="none" w:sz="0" w:space="0" w:color="auto"/>
              </w:divBdr>
            </w:div>
            <w:div w:id="1000700900">
              <w:marLeft w:val="0"/>
              <w:marRight w:val="0"/>
              <w:marTop w:val="0"/>
              <w:marBottom w:val="0"/>
              <w:divBdr>
                <w:top w:val="none" w:sz="0" w:space="0" w:color="auto"/>
                <w:left w:val="none" w:sz="0" w:space="0" w:color="auto"/>
                <w:bottom w:val="none" w:sz="0" w:space="0" w:color="auto"/>
                <w:right w:val="none" w:sz="0" w:space="0" w:color="auto"/>
              </w:divBdr>
            </w:div>
            <w:div w:id="1048143821">
              <w:marLeft w:val="0"/>
              <w:marRight w:val="0"/>
              <w:marTop w:val="0"/>
              <w:marBottom w:val="0"/>
              <w:divBdr>
                <w:top w:val="none" w:sz="0" w:space="0" w:color="auto"/>
                <w:left w:val="none" w:sz="0" w:space="0" w:color="auto"/>
                <w:bottom w:val="none" w:sz="0" w:space="0" w:color="auto"/>
                <w:right w:val="none" w:sz="0" w:space="0" w:color="auto"/>
              </w:divBdr>
            </w:div>
            <w:div w:id="1202210611">
              <w:marLeft w:val="0"/>
              <w:marRight w:val="0"/>
              <w:marTop w:val="0"/>
              <w:marBottom w:val="0"/>
              <w:divBdr>
                <w:top w:val="none" w:sz="0" w:space="0" w:color="auto"/>
                <w:left w:val="none" w:sz="0" w:space="0" w:color="auto"/>
                <w:bottom w:val="none" w:sz="0" w:space="0" w:color="auto"/>
                <w:right w:val="none" w:sz="0" w:space="0" w:color="auto"/>
              </w:divBdr>
            </w:div>
            <w:div w:id="1282761589">
              <w:marLeft w:val="0"/>
              <w:marRight w:val="0"/>
              <w:marTop w:val="0"/>
              <w:marBottom w:val="0"/>
              <w:divBdr>
                <w:top w:val="none" w:sz="0" w:space="0" w:color="auto"/>
                <w:left w:val="none" w:sz="0" w:space="0" w:color="auto"/>
                <w:bottom w:val="none" w:sz="0" w:space="0" w:color="auto"/>
                <w:right w:val="none" w:sz="0" w:space="0" w:color="auto"/>
              </w:divBdr>
            </w:div>
            <w:div w:id="1322925105">
              <w:marLeft w:val="0"/>
              <w:marRight w:val="0"/>
              <w:marTop w:val="0"/>
              <w:marBottom w:val="0"/>
              <w:divBdr>
                <w:top w:val="none" w:sz="0" w:space="0" w:color="auto"/>
                <w:left w:val="none" w:sz="0" w:space="0" w:color="auto"/>
                <w:bottom w:val="none" w:sz="0" w:space="0" w:color="auto"/>
                <w:right w:val="none" w:sz="0" w:space="0" w:color="auto"/>
              </w:divBdr>
            </w:div>
            <w:div w:id="1607157108">
              <w:marLeft w:val="0"/>
              <w:marRight w:val="0"/>
              <w:marTop w:val="0"/>
              <w:marBottom w:val="0"/>
              <w:divBdr>
                <w:top w:val="none" w:sz="0" w:space="0" w:color="auto"/>
                <w:left w:val="none" w:sz="0" w:space="0" w:color="auto"/>
                <w:bottom w:val="none" w:sz="0" w:space="0" w:color="auto"/>
                <w:right w:val="none" w:sz="0" w:space="0" w:color="auto"/>
              </w:divBdr>
            </w:div>
            <w:div w:id="1934706051">
              <w:marLeft w:val="0"/>
              <w:marRight w:val="0"/>
              <w:marTop w:val="0"/>
              <w:marBottom w:val="0"/>
              <w:divBdr>
                <w:top w:val="none" w:sz="0" w:space="0" w:color="auto"/>
                <w:left w:val="none" w:sz="0" w:space="0" w:color="auto"/>
                <w:bottom w:val="none" w:sz="0" w:space="0" w:color="auto"/>
                <w:right w:val="none" w:sz="0" w:space="0" w:color="auto"/>
              </w:divBdr>
            </w:div>
            <w:div w:id="1942645688">
              <w:marLeft w:val="0"/>
              <w:marRight w:val="0"/>
              <w:marTop w:val="0"/>
              <w:marBottom w:val="0"/>
              <w:divBdr>
                <w:top w:val="none" w:sz="0" w:space="0" w:color="auto"/>
                <w:left w:val="none" w:sz="0" w:space="0" w:color="auto"/>
                <w:bottom w:val="none" w:sz="0" w:space="0" w:color="auto"/>
                <w:right w:val="none" w:sz="0" w:space="0" w:color="auto"/>
              </w:divBdr>
            </w:div>
            <w:div w:id="1981110973">
              <w:marLeft w:val="0"/>
              <w:marRight w:val="0"/>
              <w:marTop w:val="0"/>
              <w:marBottom w:val="0"/>
              <w:divBdr>
                <w:top w:val="none" w:sz="0" w:space="0" w:color="auto"/>
                <w:left w:val="none" w:sz="0" w:space="0" w:color="auto"/>
                <w:bottom w:val="none" w:sz="0" w:space="0" w:color="auto"/>
                <w:right w:val="none" w:sz="0" w:space="0" w:color="auto"/>
              </w:divBdr>
            </w:div>
            <w:div w:id="1982924548">
              <w:marLeft w:val="0"/>
              <w:marRight w:val="0"/>
              <w:marTop w:val="0"/>
              <w:marBottom w:val="0"/>
              <w:divBdr>
                <w:top w:val="none" w:sz="0" w:space="0" w:color="auto"/>
                <w:left w:val="none" w:sz="0" w:space="0" w:color="auto"/>
                <w:bottom w:val="none" w:sz="0" w:space="0" w:color="auto"/>
                <w:right w:val="none" w:sz="0" w:space="0" w:color="auto"/>
              </w:divBdr>
            </w:div>
          </w:divsChild>
        </w:div>
        <w:div w:id="701052958">
          <w:marLeft w:val="0"/>
          <w:marRight w:val="0"/>
          <w:marTop w:val="0"/>
          <w:marBottom w:val="0"/>
          <w:divBdr>
            <w:top w:val="none" w:sz="0" w:space="0" w:color="auto"/>
            <w:left w:val="none" w:sz="0" w:space="0" w:color="auto"/>
            <w:bottom w:val="none" w:sz="0" w:space="0" w:color="auto"/>
            <w:right w:val="none" w:sz="0" w:space="0" w:color="auto"/>
          </w:divBdr>
          <w:divsChild>
            <w:div w:id="46342030">
              <w:marLeft w:val="0"/>
              <w:marRight w:val="0"/>
              <w:marTop w:val="0"/>
              <w:marBottom w:val="0"/>
              <w:divBdr>
                <w:top w:val="none" w:sz="0" w:space="0" w:color="auto"/>
                <w:left w:val="none" w:sz="0" w:space="0" w:color="auto"/>
                <w:bottom w:val="none" w:sz="0" w:space="0" w:color="auto"/>
                <w:right w:val="none" w:sz="0" w:space="0" w:color="auto"/>
              </w:divBdr>
            </w:div>
            <w:div w:id="552431323">
              <w:marLeft w:val="0"/>
              <w:marRight w:val="0"/>
              <w:marTop w:val="0"/>
              <w:marBottom w:val="0"/>
              <w:divBdr>
                <w:top w:val="none" w:sz="0" w:space="0" w:color="auto"/>
                <w:left w:val="none" w:sz="0" w:space="0" w:color="auto"/>
                <w:bottom w:val="none" w:sz="0" w:space="0" w:color="auto"/>
                <w:right w:val="none" w:sz="0" w:space="0" w:color="auto"/>
              </w:divBdr>
            </w:div>
            <w:div w:id="728576571">
              <w:marLeft w:val="0"/>
              <w:marRight w:val="0"/>
              <w:marTop w:val="0"/>
              <w:marBottom w:val="0"/>
              <w:divBdr>
                <w:top w:val="none" w:sz="0" w:space="0" w:color="auto"/>
                <w:left w:val="none" w:sz="0" w:space="0" w:color="auto"/>
                <w:bottom w:val="none" w:sz="0" w:space="0" w:color="auto"/>
                <w:right w:val="none" w:sz="0" w:space="0" w:color="auto"/>
              </w:divBdr>
            </w:div>
            <w:div w:id="958028590">
              <w:marLeft w:val="0"/>
              <w:marRight w:val="0"/>
              <w:marTop w:val="0"/>
              <w:marBottom w:val="0"/>
              <w:divBdr>
                <w:top w:val="none" w:sz="0" w:space="0" w:color="auto"/>
                <w:left w:val="none" w:sz="0" w:space="0" w:color="auto"/>
                <w:bottom w:val="none" w:sz="0" w:space="0" w:color="auto"/>
                <w:right w:val="none" w:sz="0" w:space="0" w:color="auto"/>
              </w:divBdr>
            </w:div>
          </w:divsChild>
        </w:div>
        <w:div w:id="834540457">
          <w:marLeft w:val="0"/>
          <w:marRight w:val="0"/>
          <w:marTop w:val="0"/>
          <w:marBottom w:val="0"/>
          <w:divBdr>
            <w:top w:val="none" w:sz="0" w:space="0" w:color="auto"/>
            <w:left w:val="none" w:sz="0" w:space="0" w:color="auto"/>
            <w:bottom w:val="none" w:sz="0" w:space="0" w:color="auto"/>
            <w:right w:val="none" w:sz="0" w:space="0" w:color="auto"/>
          </w:divBdr>
          <w:divsChild>
            <w:div w:id="413668628">
              <w:marLeft w:val="-75"/>
              <w:marRight w:val="0"/>
              <w:marTop w:val="30"/>
              <w:marBottom w:val="30"/>
              <w:divBdr>
                <w:top w:val="none" w:sz="0" w:space="0" w:color="auto"/>
                <w:left w:val="none" w:sz="0" w:space="0" w:color="auto"/>
                <w:bottom w:val="none" w:sz="0" w:space="0" w:color="auto"/>
                <w:right w:val="none" w:sz="0" w:space="0" w:color="auto"/>
              </w:divBdr>
              <w:divsChild>
                <w:div w:id="362367040">
                  <w:marLeft w:val="0"/>
                  <w:marRight w:val="0"/>
                  <w:marTop w:val="0"/>
                  <w:marBottom w:val="0"/>
                  <w:divBdr>
                    <w:top w:val="none" w:sz="0" w:space="0" w:color="auto"/>
                    <w:left w:val="none" w:sz="0" w:space="0" w:color="auto"/>
                    <w:bottom w:val="none" w:sz="0" w:space="0" w:color="auto"/>
                    <w:right w:val="none" w:sz="0" w:space="0" w:color="auto"/>
                  </w:divBdr>
                  <w:divsChild>
                    <w:div w:id="1597324348">
                      <w:marLeft w:val="0"/>
                      <w:marRight w:val="0"/>
                      <w:marTop w:val="0"/>
                      <w:marBottom w:val="0"/>
                      <w:divBdr>
                        <w:top w:val="none" w:sz="0" w:space="0" w:color="auto"/>
                        <w:left w:val="none" w:sz="0" w:space="0" w:color="auto"/>
                        <w:bottom w:val="none" w:sz="0" w:space="0" w:color="auto"/>
                        <w:right w:val="none" w:sz="0" w:space="0" w:color="auto"/>
                      </w:divBdr>
                    </w:div>
                    <w:div w:id="1895039944">
                      <w:marLeft w:val="0"/>
                      <w:marRight w:val="0"/>
                      <w:marTop w:val="0"/>
                      <w:marBottom w:val="0"/>
                      <w:divBdr>
                        <w:top w:val="none" w:sz="0" w:space="0" w:color="auto"/>
                        <w:left w:val="none" w:sz="0" w:space="0" w:color="auto"/>
                        <w:bottom w:val="none" w:sz="0" w:space="0" w:color="auto"/>
                        <w:right w:val="none" w:sz="0" w:space="0" w:color="auto"/>
                      </w:divBdr>
                    </w:div>
                  </w:divsChild>
                </w:div>
                <w:div w:id="488519423">
                  <w:marLeft w:val="0"/>
                  <w:marRight w:val="0"/>
                  <w:marTop w:val="0"/>
                  <w:marBottom w:val="0"/>
                  <w:divBdr>
                    <w:top w:val="none" w:sz="0" w:space="0" w:color="auto"/>
                    <w:left w:val="none" w:sz="0" w:space="0" w:color="auto"/>
                    <w:bottom w:val="none" w:sz="0" w:space="0" w:color="auto"/>
                    <w:right w:val="none" w:sz="0" w:space="0" w:color="auto"/>
                  </w:divBdr>
                  <w:divsChild>
                    <w:div w:id="1550998021">
                      <w:marLeft w:val="0"/>
                      <w:marRight w:val="0"/>
                      <w:marTop w:val="0"/>
                      <w:marBottom w:val="0"/>
                      <w:divBdr>
                        <w:top w:val="none" w:sz="0" w:space="0" w:color="auto"/>
                        <w:left w:val="none" w:sz="0" w:space="0" w:color="auto"/>
                        <w:bottom w:val="none" w:sz="0" w:space="0" w:color="auto"/>
                        <w:right w:val="none" w:sz="0" w:space="0" w:color="auto"/>
                      </w:divBdr>
                    </w:div>
                  </w:divsChild>
                </w:div>
                <w:div w:id="506941149">
                  <w:marLeft w:val="0"/>
                  <w:marRight w:val="0"/>
                  <w:marTop w:val="0"/>
                  <w:marBottom w:val="0"/>
                  <w:divBdr>
                    <w:top w:val="none" w:sz="0" w:space="0" w:color="auto"/>
                    <w:left w:val="none" w:sz="0" w:space="0" w:color="auto"/>
                    <w:bottom w:val="none" w:sz="0" w:space="0" w:color="auto"/>
                    <w:right w:val="none" w:sz="0" w:space="0" w:color="auto"/>
                  </w:divBdr>
                  <w:divsChild>
                    <w:div w:id="1845776600">
                      <w:marLeft w:val="0"/>
                      <w:marRight w:val="0"/>
                      <w:marTop w:val="0"/>
                      <w:marBottom w:val="0"/>
                      <w:divBdr>
                        <w:top w:val="none" w:sz="0" w:space="0" w:color="auto"/>
                        <w:left w:val="none" w:sz="0" w:space="0" w:color="auto"/>
                        <w:bottom w:val="none" w:sz="0" w:space="0" w:color="auto"/>
                        <w:right w:val="none" w:sz="0" w:space="0" w:color="auto"/>
                      </w:divBdr>
                    </w:div>
                  </w:divsChild>
                </w:div>
                <w:div w:id="618726206">
                  <w:marLeft w:val="0"/>
                  <w:marRight w:val="0"/>
                  <w:marTop w:val="0"/>
                  <w:marBottom w:val="0"/>
                  <w:divBdr>
                    <w:top w:val="none" w:sz="0" w:space="0" w:color="auto"/>
                    <w:left w:val="none" w:sz="0" w:space="0" w:color="auto"/>
                    <w:bottom w:val="none" w:sz="0" w:space="0" w:color="auto"/>
                    <w:right w:val="none" w:sz="0" w:space="0" w:color="auto"/>
                  </w:divBdr>
                  <w:divsChild>
                    <w:div w:id="307124982">
                      <w:marLeft w:val="0"/>
                      <w:marRight w:val="0"/>
                      <w:marTop w:val="0"/>
                      <w:marBottom w:val="0"/>
                      <w:divBdr>
                        <w:top w:val="none" w:sz="0" w:space="0" w:color="auto"/>
                        <w:left w:val="none" w:sz="0" w:space="0" w:color="auto"/>
                        <w:bottom w:val="none" w:sz="0" w:space="0" w:color="auto"/>
                        <w:right w:val="none" w:sz="0" w:space="0" w:color="auto"/>
                      </w:divBdr>
                    </w:div>
                  </w:divsChild>
                </w:div>
                <w:div w:id="689531861">
                  <w:marLeft w:val="0"/>
                  <w:marRight w:val="0"/>
                  <w:marTop w:val="0"/>
                  <w:marBottom w:val="0"/>
                  <w:divBdr>
                    <w:top w:val="none" w:sz="0" w:space="0" w:color="auto"/>
                    <w:left w:val="none" w:sz="0" w:space="0" w:color="auto"/>
                    <w:bottom w:val="none" w:sz="0" w:space="0" w:color="auto"/>
                    <w:right w:val="none" w:sz="0" w:space="0" w:color="auto"/>
                  </w:divBdr>
                  <w:divsChild>
                    <w:div w:id="443964583">
                      <w:marLeft w:val="0"/>
                      <w:marRight w:val="0"/>
                      <w:marTop w:val="0"/>
                      <w:marBottom w:val="0"/>
                      <w:divBdr>
                        <w:top w:val="none" w:sz="0" w:space="0" w:color="auto"/>
                        <w:left w:val="none" w:sz="0" w:space="0" w:color="auto"/>
                        <w:bottom w:val="none" w:sz="0" w:space="0" w:color="auto"/>
                        <w:right w:val="none" w:sz="0" w:space="0" w:color="auto"/>
                      </w:divBdr>
                    </w:div>
                    <w:div w:id="1957444840">
                      <w:marLeft w:val="0"/>
                      <w:marRight w:val="0"/>
                      <w:marTop w:val="0"/>
                      <w:marBottom w:val="0"/>
                      <w:divBdr>
                        <w:top w:val="none" w:sz="0" w:space="0" w:color="auto"/>
                        <w:left w:val="none" w:sz="0" w:space="0" w:color="auto"/>
                        <w:bottom w:val="none" w:sz="0" w:space="0" w:color="auto"/>
                        <w:right w:val="none" w:sz="0" w:space="0" w:color="auto"/>
                      </w:divBdr>
                    </w:div>
                  </w:divsChild>
                </w:div>
                <w:div w:id="761143977">
                  <w:marLeft w:val="0"/>
                  <w:marRight w:val="0"/>
                  <w:marTop w:val="0"/>
                  <w:marBottom w:val="0"/>
                  <w:divBdr>
                    <w:top w:val="none" w:sz="0" w:space="0" w:color="auto"/>
                    <w:left w:val="none" w:sz="0" w:space="0" w:color="auto"/>
                    <w:bottom w:val="none" w:sz="0" w:space="0" w:color="auto"/>
                    <w:right w:val="none" w:sz="0" w:space="0" w:color="auto"/>
                  </w:divBdr>
                  <w:divsChild>
                    <w:div w:id="1571885899">
                      <w:marLeft w:val="0"/>
                      <w:marRight w:val="0"/>
                      <w:marTop w:val="0"/>
                      <w:marBottom w:val="0"/>
                      <w:divBdr>
                        <w:top w:val="none" w:sz="0" w:space="0" w:color="auto"/>
                        <w:left w:val="none" w:sz="0" w:space="0" w:color="auto"/>
                        <w:bottom w:val="none" w:sz="0" w:space="0" w:color="auto"/>
                        <w:right w:val="none" w:sz="0" w:space="0" w:color="auto"/>
                      </w:divBdr>
                    </w:div>
                  </w:divsChild>
                </w:div>
                <w:div w:id="815607531">
                  <w:marLeft w:val="0"/>
                  <w:marRight w:val="0"/>
                  <w:marTop w:val="0"/>
                  <w:marBottom w:val="0"/>
                  <w:divBdr>
                    <w:top w:val="none" w:sz="0" w:space="0" w:color="auto"/>
                    <w:left w:val="none" w:sz="0" w:space="0" w:color="auto"/>
                    <w:bottom w:val="none" w:sz="0" w:space="0" w:color="auto"/>
                    <w:right w:val="none" w:sz="0" w:space="0" w:color="auto"/>
                  </w:divBdr>
                  <w:divsChild>
                    <w:div w:id="1605503798">
                      <w:marLeft w:val="0"/>
                      <w:marRight w:val="0"/>
                      <w:marTop w:val="0"/>
                      <w:marBottom w:val="0"/>
                      <w:divBdr>
                        <w:top w:val="none" w:sz="0" w:space="0" w:color="auto"/>
                        <w:left w:val="none" w:sz="0" w:space="0" w:color="auto"/>
                        <w:bottom w:val="none" w:sz="0" w:space="0" w:color="auto"/>
                        <w:right w:val="none" w:sz="0" w:space="0" w:color="auto"/>
                      </w:divBdr>
                    </w:div>
                  </w:divsChild>
                </w:div>
                <w:div w:id="961228692">
                  <w:marLeft w:val="0"/>
                  <w:marRight w:val="0"/>
                  <w:marTop w:val="0"/>
                  <w:marBottom w:val="0"/>
                  <w:divBdr>
                    <w:top w:val="none" w:sz="0" w:space="0" w:color="auto"/>
                    <w:left w:val="none" w:sz="0" w:space="0" w:color="auto"/>
                    <w:bottom w:val="none" w:sz="0" w:space="0" w:color="auto"/>
                    <w:right w:val="none" w:sz="0" w:space="0" w:color="auto"/>
                  </w:divBdr>
                  <w:divsChild>
                    <w:div w:id="115148899">
                      <w:marLeft w:val="0"/>
                      <w:marRight w:val="0"/>
                      <w:marTop w:val="0"/>
                      <w:marBottom w:val="0"/>
                      <w:divBdr>
                        <w:top w:val="none" w:sz="0" w:space="0" w:color="auto"/>
                        <w:left w:val="none" w:sz="0" w:space="0" w:color="auto"/>
                        <w:bottom w:val="none" w:sz="0" w:space="0" w:color="auto"/>
                        <w:right w:val="none" w:sz="0" w:space="0" w:color="auto"/>
                      </w:divBdr>
                    </w:div>
                  </w:divsChild>
                </w:div>
                <w:div w:id="1420567126">
                  <w:marLeft w:val="0"/>
                  <w:marRight w:val="0"/>
                  <w:marTop w:val="0"/>
                  <w:marBottom w:val="0"/>
                  <w:divBdr>
                    <w:top w:val="none" w:sz="0" w:space="0" w:color="auto"/>
                    <w:left w:val="none" w:sz="0" w:space="0" w:color="auto"/>
                    <w:bottom w:val="none" w:sz="0" w:space="0" w:color="auto"/>
                    <w:right w:val="none" w:sz="0" w:space="0" w:color="auto"/>
                  </w:divBdr>
                  <w:divsChild>
                    <w:div w:id="784809620">
                      <w:marLeft w:val="0"/>
                      <w:marRight w:val="0"/>
                      <w:marTop w:val="0"/>
                      <w:marBottom w:val="0"/>
                      <w:divBdr>
                        <w:top w:val="none" w:sz="0" w:space="0" w:color="auto"/>
                        <w:left w:val="none" w:sz="0" w:space="0" w:color="auto"/>
                        <w:bottom w:val="none" w:sz="0" w:space="0" w:color="auto"/>
                        <w:right w:val="none" w:sz="0" w:space="0" w:color="auto"/>
                      </w:divBdr>
                    </w:div>
                  </w:divsChild>
                </w:div>
                <w:div w:id="1457985043">
                  <w:marLeft w:val="0"/>
                  <w:marRight w:val="0"/>
                  <w:marTop w:val="0"/>
                  <w:marBottom w:val="0"/>
                  <w:divBdr>
                    <w:top w:val="none" w:sz="0" w:space="0" w:color="auto"/>
                    <w:left w:val="none" w:sz="0" w:space="0" w:color="auto"/>
                    <w:bottom w:val="none" w:sz="0" w:space="0" w:color="auto"/>
                    <w:right w:val="none" w:sz="0" w:space="0" w:color="auto"/>
                  </w:divBdr>
                  <w:divsChild>
                    <w:div w:id="1230574799">
                      <w:marLeft w:val="0"/>
                      <w:marRight w:val="0"/>
                      <w:marTop w:val="0"/>
                      <w:marBottom w:val="0"/>
                      <w:divBdr>
                        <w:top w:val="none" w:sz="0" w:space="0" w:color="auto"/>
                        <w:left w:val="none" w:sz="0" w:space="0" w:color="auto"/>
                        <w:bottom w:val="none" w:sz="0" w:space="0" w:color="auto"/>
                        <w:right w:val="none" w:sz="0" w:space="0" w:color="auto"/>
                      </w:divBdr>
                    </w:div>
                  </w:divsChild>
                </w:div>
                <w:div w:id="1494104340">
                  <w:marLeft w:val="0"/>
                  <w:marRight w:val="0"/>
                  <w:marTop w:val="0"/>
                  <w:marBottom w:val="0"/>
                  <w:divBdr>
                    <w:top w:val="none" w:sz="0" w:space="0" w:color="auto"/>
                    <w:left w:val="none" w:sz="0" w:space="0" w:color="auto"/>
                    <w:bottom w:val="none" w:sz="0" w:space="0" w:color="auto"/>
                    <w:right w:val="none" w:sz="0" w:space="0" w:color="auto"/>
                  </w:divBdr>
                  <w:divsChild>
                    <w:div w:id="967784501">
                      <w:marLeft w:val="0"/>
                      <w:marRight w:val="0"/>
                      <w:marTop w:val="0"/>
                      <w:marBottom w:val="0"/>
                      <w:divBdr>
                        <w:top w:val="none" w:sz="0" w:space="0" w:color="auto"/>
                        <w:left w:val="none" w:sz="0" w:space="0" w:color="auto"/>
                        <w:bottom w:val="none" w:sz="0" w:space="0" w:color="auto"/>
                        <w:right w:val="none" w:sz="0" w:space="0" w:color="auto"/>
                      </w:divBdr>
                    </w:div>
                  </w:divsChild>
                </w:div>
                <w:div w:id="2059551607">
                  <w:marLeft w:val="0"/>
                  <w:marRight w:val="0"/>
                  <w:marTop w:val="0"/>
                  <w:marBottom w:val="0"/>
                  <w:divBdr>
                    <w:top w:val="none" w:sz="0" w:space="0" w:color="auto"/>
                    <w:left w:val="none" w:sz="0" w:space="0" w:color="auto"/>
                    <w:bottom w:val="none" w:sz="0" w:space="0" w:color="auto"/>
                    <w:right w:val="none" w:sz="0" w:space="0" w:color="auto"/>
                  </w:divBdr>
                  <w:divsChild>
                    <w:div w:id="470288011">
                      <w:marLeft w:val="0"/>
                      <w:marRight w:val="0"/>
                      <w:marTop w:val="0"/>
                      <w:marBottom w:val="0"/>
                      <w:divBdr>
                        <w:top w:val="none" w:sz="0" w:space="0" w:color="auto"/>
                        <w:left w:val="none" w:sz="0" w:space="0" w:color="auto"/>
                        <w:bottom w:val="none" w:sz="0" w:space="0" w:color="auto"/>
                        <w:right w:val="none" w:sz="0" w:space="0" w:color="auto"/>
                      </w:divBdr>
                    </w:div>
                    <w:div w:id="15425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93880">
          <w:marLeft w:val="0"/>
          <w:marRight w:val="0"/>
          <w:marTop w:val="0"/>
          <w:marBottom w:val="0"/>
          <w:divBdr>
            <w:top w:val="none" w:sz="0" w:space="0" w:color="auto"/>
            <w:left w:val="none" w:sz="0" w:space="0" w:color="auto"/>
            <w:bottom w:val="none" w:sz="0" w:space="0" w:color="auto"/>
            <w:right w:val="none" w:sz="0" w:space="0" w:color="auto"/>
          </w:divBdr>
          <w:divsChild>
            <w:div w:id="665937689">
              <w:marLeft w:val="0"/>
              <w:marRight w:val="0"/>
              <w:marTop w:val="0"/>
              <w:marBottom w:val="0"/>
              <w:divBdr>
                <w:top w:val="none" w:sz="0" w:space="0" w:color="auto"/>
                <w:left w:val="none" w:sz="0" w:space="0" w:color="auto"/>
                <w:bottom w:val="none" w:sz="0" w:space="0" w:color="auto"/>
                <w:right w:val="none" w:sz="0" w:space="0" w:color="auto"/>
              </w:divBdr>
            </w:div>
          </w:divsChild>
        </w:div>
        <w:div w:id="1766027831">
          <w:marLeft w:val="0"/>
          <w:marRight w:val="0"/>
          <w:marTop w:val="0"/>
          <w:marBottom w:val="0"/>
          <w:divBdr>
            <w:top w:val="none" w:sz="0" w:space="0" w:color="auto"/>
            <w:left w:val="none" w:sz="0" w:space="0" w:color="auto"/>
            <w:bottom w:val="none" w:sz="0" w:space="0" w:color="auto"/>
            <w:right w:val="none" w:sz="0" w:space="0" w:color="auto"/>
          </w:divBdr>
        </w:div>
        <w:div w:id="1907639765">
          <w:marLeft w:val="0"/>
          <w:marRight w:val="0"/>
          <w:marTop w:val="0"/>
          <w:marBottom w:val="0"/>
          <w:divBdr>
            <w:top w:val="none" w:sz="0" w:space="0" w:color="auto"/>
            <w:left w:val="none" w:sz="0" w:space="0" w:color="auto"/>
            <w:bottom w:val="none" w:sz="0" w:space="0" w:color="auto"/>
            <w:right w:val="none" w:sz="0" w:space="0" w:color="auto"/>
          </w:divBdr>
          <w:divsChild>
            <w:div w:id="601910983">
              <w:marLeft w:val="0"/>
              <w:marRight w:val="0"/>
              <w:marTop w:val="0"/>
              <w:marBottom w:val="0"/>
              <w:divBdr>
                <w:top w:val="none" w:sz="0" w:space="0" w:color="auto"/>
                <w:left w:val="none" w:sz="0" w:space="0" w:color="auto"/>
                <w:bottom w:val="none" w:sz="0" w:space="0" w:color="auto"/>
                <w:right w:val="none" w:sz="0" w:space="0" w:color="auto"/>
              </w:divBdr>
            </w:div>
            <w:div w:id="723069054">
              <w:marLeft w:val="0"/>
              <w:marRight w:val="0"/>
              <w:marTop w:val="0"/>
              <w:marBottom w:val="0"/>
              <w:divBdr>
                <w:top w:val="none" w:sz="0" w:space="0" w:color="auto"/>
                <w:left w:val="none" w:sz="0" w:space="0" w:color="auto"/>
                <w:bottom w:val="none" w:sz="0" w:space="0" w:color="auto"/>
                <w:right w:val="none" w:sz="0" w:space="0" w:color="auto"/>
              </w:divBdr>
            </w:div>
            <w:div w:id="131290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947200">
      <w:bodyDiv w:val="1"/>
      <w:marLeft w:val="0"/>
      <w:marRight w:val="0"/>
      <w:marTop w:val="0"/>
      <w:marBottom w:val="0"/>
      <w:divBdr>
        <w:top w:val="none" w:sz="0" w:space="0" w:color="auto"/>
        <w:left w:val="none" w:sz="0" w:space="0" w:color="auto"/>
        <w:bottom w:val="none" w:sz="0" w:space="0" w:color="auto"/>
        <w:right w:val="none" w:sz="0" w:space="0" w:color="auto"/>
      </w:divBdr>
      <w:divsChild>
        <w:div w:id="137307604">
          <w:marLeft w:val="0"/>
          <w:marRight w:val="0"/>
          <w:marTop w:val="0"/>
          <w:marBottom w:val="0"/>
          <w:divBdr>
            <w:top w:val="none" w:sz="0" w:space="0" w:color="auto"/>
            <w:left w:val="none" w:sz="0" w:space="0" w:color="auto"/>
            <w:bottom w:val="none" w:sz="0" w:space="0" w:color="auto"/>
            <w:right w:val="none" w:sz="0" w:space="0" w:color="auto"/>
          </w:divBdr>
        </w:div>
        <w:div w:id="235166415">
          <w:marLeft w:val="0"/>
          <w:marRight w:val="0"/>
          <w:marTop w:val="0"/>
          <w:marBottom w:val="0"/>
          <w:divBdr>
            <w:top w:val="none" w:sz="0" w:space="0" w:color="auto"/>
            <w:left w:val="none" w:sz="0" w:space="0" w:color="auto"/>
            <w:bottom w:val="none" w:sz="0" w:space="0" w:color="auto"/>
            <w:right w:val="none" w:sz="0" w:space="0" w:color="auto"/>
          </w:divBdr>
        </w:div>
        <w:div w:id="273051708">
          <w:marLeft w:val="0"/>
          <w:marRight w:val="0"/>
          <w:marTop w:val="0"/>
          <w:marBottom w:val="0"/>
          <w:divBdr>
            <w:top w:val="none" w:sz="0" w:space="0" w:color="auto"/>
            <w:left w:val="none" w:sz="0" w:space="0" w:color="auto"/>
            <w:bottom w:val="none" w:sz="0" w:space="0" w:color="auto"/>
            <w:right w:val="none" w:sz="0" w:space="0" w:color="auto"/>
          </w:divBdr>
        </w:div>
        <w:div w:id="768888267">
          <w:marLeft w:val="0"/>
          <w:marRight w:val="0"/>
          <w:marTop w:val="0"/>
          <w:marBottom w:val="0"/>
          <w:divBdr>
            <w:top w:val="none" w:sz="0" w:space="0" w:color="auto"/>
            <w:left w:val="none" w:sz="0" w:space="0" w:color="auto"/>
            <w:bottom w:val="none" w:sz="0" w:space="0" w:color="auto"/>
            <w:right w:val="none" w:sz="0" w:space="0" w:color="auto"/>
          </w:divBdr>
        </w:div>
        <w:div w:id="817192733">
          <w:marLeft w:val="0"/>
          <w:marRight w:val="0"/>
          <w:marTop w:val="0"/>
          <w:marBottom w:val="0"/>
          <w:divBdr>
            <w:top w:val="none" w:sz="0" w:space="0" w:color="auto"/>
            <w:left w:val="none" w:sz="0" w:space="0" w:color="auto"/>
            <w:bottom w:val="none" w:sz="0" w:space="0" w:color="auto"/>
            <w:right w:val="none" w:sz="0" w:space="0" w:color="auto"/>
          </w:divBdr>
        </w:div>
        <w:div w:id="897206627">
          <w:marLeft w:val="0"/>
          <w:marRight w:val="0"/>
          <w:marTop w:val="0"/>
          <w:marBottom w:val="0"/>
          <w:divBdr>
            <w:top w:val="none" w:sz="0" w:space="0" w:color="auto"/>
            <w:left w:val="none" w:sz="0" w:space="0" w:color="auto"/>
            <w:bottom w:val="none" w:sz="0" w:space="0" w:color="auto"/>
            <w:right w:val="none" w:sz="0" w:space="0" w:color="auto"/>
          </w:divBdr>
        </w:div>
        <w:div w:id="1320419992">
          <w:marLeft w:val="0"/>
          <w:marRight w:val="0"/>
          <w:marTop w:val="0"/>
          <w:marBottom w:val="0"/>
          <w:divBdr>
            <w:top w:val="none" w:sz="0" w:space="0" w:color="auto"/>
            <w:left w:val="none" w:sz="0" w:space="0" w:color="auto"/>
            <w:bottom w:val="none" w:sz="0" w:space="0" w:color="auto"/>
            <w:right w:val="none" w:sz="0" w:space="0" w:color="auto"/>
          </w:divBdr>
        </w:div>
        <w:div w:id="1723208586">
          <w:marLeft w:val="0"/>
          <w:marRight w:val="0"/>
          <w:marTop w:val="0"/>
          <w:marBottom w:val="0"/>
          <w:divBdr>
            <w:top w:val="none" w:sz="0" w:space="0" w:color="auto"/>
            <w:left w:val="none" w:sz="0" w:space="0" w:color="auto"/>
            <w:bottom w:val="none" w:sz="0" w:space="0" w:color="auto"/>
            <w:right w:val="none" w:sz="0" w:space="0" w:color="auto"/>
          </w:divBdr>
        </w:div>
        <w:div w:id="1774277565">
          <w:marLeft w:val="0"/>
          <w:marRight w:val="0"/>
          <w:marTop w:val="0"/>
          <w:marBottom w:val="0"/>
          <w:divBdr>
            <w:top w:val="none" w:sz="0" w:space="0" w:color="auto"/>
            <w:left w:val="none" w:sz="0" w:space="0" w:color="auto"/>
            <w:bottom w:val="none" w:sz="0" w:space="0" w:color="auto"/>
            <w:right w:val="none" w:sz="0" w:space="0" w:color="auto"/>
          </w:divBdr>
        </w:div>
        <w:div w:id="1927035590">
          <w:marLeft w:val="0"/>
          <w:marRight w:val="0"/>
          <w:marTop w:val="0"/>
          <w:marBottom w:val="0"/>
          <w:divBdr>
            <w:top w:val="none" w:sz="0" w:space="0" w:color="auto"/>
            <w:left w:val="none" w:sz="0" w:space="0" w:color="auto"/>
            <w:bottom w:val="none" w:sz="0" w:space="0" w:color="auto"/>
            <w:right w:val="none" w:sz="0" w:space="0" w:color="auto"/>
          </w:divBdr>
        </w:div>
      </w:divsChild>
    </w:div>
    <w:div w:id="1298530948">
      <w:bodyDiv w:val="1"/>
      <w:marLeft w:val="0"/>
      <w:marRight w:val="0"/>
      <w:marTop w:val="0"/>
      <w:marBottom w:val="0"/>
      <w:divBdr>
        <w:top w:val="none" w:sz="0" w:space="0" w:color="auto"/>
        <w:left w:val="none" w:sz="0" w:space="0" w:color="auto"/>
        <w:bottom w:val="none" w:sz="0" w:space="0" w:color="auto"/>
        <w:right w:val="none" w:sz="0" w:space="0" w:color="auto"/>
      </w:divBdr>
      <w:divsChild>
        <w:div w:id="178741714">
          <w:marLeft w:val="893"/>
          <w:marRight w:val="0"/>
          <w:marTop w:val="0"/>
          <w:marBottom w:val="120"/>
          <w:divBdr>
            <w:top w:val="none" w:sz="0" w:space="0" w:color="auto"/>
            <w:left w:val="none" w:sz="0" w:space="0" w:color="auto"/>
            <w:bottom w:val="none" w:sz="0" w:space="0" w:color="auto"/>
            <w:right w:val="none" w:sz="0" w:space="0" w:color="auto"/>
          </w:divBdr>
        </w:div>
        <w:div w:id="348071773">
          <w:marLeft w:val="893"/>
          <w:marRight w:val="0"/>
          <w:marTop w:val="0"/>
          <w:marBottom w:val="120"/>
          <w:divBdr>
            <w:top w:val="none" w:sz="0" w:space="0" w:color="auto"/>
            <w:left w:val="none" w:sz="0" w:space="0" w:color="auto"/>
            <w:bottom w:val="none" w:sz="0" w:space="0" w:color="auto"/>
            <w:right w:val="none" w:sz="0" w:space="0" w:color="auto"/>
          </w:divBdr>
        </w:div>
        <w:div w:id="492993640">
          <w:marLeft w:val="893"/>
          <w:marRight w:val="0"/>
          <w:marTop w:val="0"/>
          <w:marBottom w:val="120"/>
          <w:divBdr>
            <w:top w:val="none" w:sz="0" w:space="0" w:color="auto"/>
            <w:left w:val="none" w:sz="0" w:space="0" w:color="auto"/>
            <w:bottom w:val="none" w:sz="0" w:space="0" w:color="auto"/>
            <w:right w:val="none" w:sz="0" w:space="0" w:color="auto"/>
          </w:divBdr>
        </w:div>
        <w:div w:id="1413352589">
          <w:marLeft w:val="893"/>
          <w:marRight w:val="0"/>
          <w:marTop w:val="0"/>
          <w:marBottom w:val="120"/>
          <w:divBdr>
            <w:top w:val="none" w:sz="0" w:space="0" w:color="auto"/>
            <w:left w:val="none" w:sz="0" w:space="0" w:color="auto"/>
            <w:bottom w:val="none" w:sz="0" w:space="0" w:color="auto"/>
            <w:right w:val="none" w:sz="0" w:space="0" w:color="auto"/>
          </w:divBdr>
        </w:div>
        <w:div w:id="1920748333">
          <w:marLeft w:val="893"/>
          <w:marRight w:val="0"/>
          <w:marTop w:val="0"/>
          <w:marBottom w:val="120"/>
          <w:divBdr>
            <w:top w:val="none" w:sz="0" w:space="0" w:color="auto"/>
            <w:left w:val="none" w:sz="0" w:space="0" w:color="auto"/>
            <w:bottom w:val="none" w:sz="0" w:space="0" w:color="auto"/>
            <w:right w:val="none" w:sz="0" w:space="0" w:color="auto"/>
          </w:divBdr>
        </w:div>
        <w:div w:id="1932426844">
          <w:marLeft w:val="893"/>
          <w:marRight w:val="0"/>
          <w:marTop w:val="0"/>
          <w:marBottom w:val="120"/>
          <w:divBdr>
            <w:top w:val="none" w:sz="0" w:space="0" w:color="auto"/>
            <w:left w:val="none" w:sz="0" w:space="0" w:color="auto"/>
            <w:bottom w:val="none" w:sz="0" w:space="0" w:color="auto"/>
            <w:right w:val="none" w:sz="0" w:space="0" w:color="auto"/>
          </w:divBdr>
        </w:div>
      </w:divsChild>
    </w:div>
    <w:div w:id="1312827170">
      <w:bodyDiv w:val="1"/>
      <w:marLeft w:val="0"/>
      <w:marRight w:val="0"/>
      <w:marTop w:val="0"/>
      <w:marBottom w:val="0"/>
      <w:divBdr>
        <w:top w:val="none" w:sz="0" w:space="0" w:color="auto"/>
        <w:left w:val="none" w:sz="0" w:space="0" w:color="auto"/>
        <w:bottom w:val="none" w:sz="0" w:space="0" w:color="auto"/>
        <w:right w:val="none" w:sz="0" w:space="0" w:color="auto"/>
      </w:divBdr>
    </w:div>
    <w:div w:id="1364549247">
      <w:bodyDiv w:val="1"/>
      <w:marLeft w:val="0"/>
      <w:marRight w:val="0"/>
      <w:marTop w:val="0"/>
      <w:marBottom w:val="0"/>
      <w:divBdr>
        <w:top w:val="none" w:sz="0" w:space="0" w:color="auto"/>
        <w:left w:val="none" w:sz="0" w:space="0" w:color="auto"/>
        <w:bottom w:val="none" w:sz="0" w:space="0" w:color="auto"/>
        <w:right w:val="none" w:sz="0" w:space="0" w:color="auto"/>
      </w:divBdr>
      <w:divsChild>
        <w:div w:id="794297483">
          <w:marLeft w:val="0"/>
          <w:marRight w:val="0"/>
          <w:marTop w:val="0"/>
          <w:marBottom w:val="0"/>
          <w:divBdr>
            <w:top w:val="none" w:sz="0" w:space="0" w:color="auto"/>
            <w:left w:val="none" w:sz="0" w:space="0" w:color="auto"/>
            <w:bottom w:val="none" w:sz="0" w:space="0" w:color="auto"/>
            <w:right w:val="none" w:sz="0" w:space="0" w:color="auto"/>
          </w:divBdr>
          <w:divsChild>
            <w:div w:id="378864075">
              <w:marLeft w:val="0"/>
              <w:marRight w:val="0"/>
              <w:marTop w:val="0"/>
              <w:marBottom w:val="0"/>
              <w:divBdr>
                <w:top w:val="none" w:sz="0" w:space="0" w:color="auto"/>
                <w:left w:val="none" w:sz="0" w:space="0" w:color="auto"/>
                <w:bottom w:val="none" w:sz="0" w:space="0" w:color="auto"/>
                <w:right w:val="none" w:sz="0" w:space="0" w:color="auto"/>
              </w:divBdr>
            </w:div>
            <w:div w:id="415395635">
              <w:marLeft w:val="0"/>
              <w:marRight w:val="0"/>
              <w:marTop w:val="0"/>
              <w:marBottom w:val="0"/>
              <w:divBdr>
                <w:top w:val="none" w:sz="0" w:space="0" w:color="auto"/>
                <w:left w:val="none" w:sz="0" w:space="0" w:color="auto"/>
                <w:bottom w:val="none" w:sz="0" w:space="0" w:color="auto"/>
                <w:right w:val="none" w:sz="0" w:space="0" w:color="auto"/>
              </w:divBdr>
            </w:div>
            <w:div w:id="1152603579">
              <w:marLeft w:val="0"/>
              <w:marRight w:val="0"/>
              <w:marTop w:val="0"/>
              <w:marBottom w:val="0"/>
              <w:divBdr>
                <w:top w:val="none" w:sz="0" w:space="0" w:color="auto"/>
                <w:left w:val="none" w:sz="0" w:space="0" w:color="auto"/>
                <w:bottom w:val="none" w:sz="0" w:space="0" w:color="auto"/>
                <w:right w:val="none" w:sz="0" w:space="0" w:color="auto"/>
              </w:divBdr>
            </w:div>
          </w:divsChild>
        </w:div>
        <w:div w:id="1291518330">
          <w:marLeft w:val="0"/>
          <w:marRight w:val="0"/>
          <w:marTop w:val="0"/>
          <w:marBottom w:val="0"/>
          <w:divBdr>
            <w:top w:val="none" w:sz="0" w:space="0" w:color="auto"/>
            <w:left w:val="none" w:sz="0" w:space="0" w:color="auto"/>
            <w:bottom w:val="none" w:sz="0" w:space="0" w:color="auto"/>
            <w:right w:val="none" w:sz="0" w:space="0" w:color="auto"/>
          </w:divBdr>
          <w:divsChild>
            <w:div w:id="358747212">
              <w:marLeft w:val="0"/>
              <w:marRight w:val="0"/>
              <w:marTop w:val="0"/>
              <w:marBottom w:val="0"/>
              <w:divBdr>
                <w:top w:val="none" w:sz="0" w:space="0" w:color="auto"/>
                <w:left w:val="none" w:sz="0" w:space="0" w:color="auto"/>
                <w:bottom w:val="none" w:sz="0" w:space="0" w:color="auto"/>
                <w:right w:val="none" w:sz="0" w:space="0" w:color="auto"/>
              </w:divBdr>
            </w:div>
            <w:div w:id="1718355602">
              <w:marLeft w:val="0"/>
              <w:marRight w:val="0"/>
              <w:marTop w:val="0"/>
              <w:marBottom w:val="0"/>
              <w:divBdr>
                <w:top w:val="none" w:sz="0" w:space="0" w:color="auto"/>
                <w:left w:val="none" w:sz="0" w:space="0" w:color="auto"/>
                <w:bottom w:val="none" w:sz="0" w:space="0" w:color="auto"/>
                <w:right w:val="none" w:sz="0" w:space="0" w:color="auto"/>
              </w:divBdr>
            </w:div>
            <w:div w:id="202054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9468">
      <w:bodyDiv w:val="1"/>
      <w:marLeft w:val="0"/>
      <w:marRight w:val="0"/>
      <w:marTop w:val="0"/>
      <w:marBottom w:val="0"/>
      <w:divBdr>
        <w:top w:val="none" w:sz="0" w:space="0" w:color="auto"/>
        <w:left w:val="none" w:sz="0" w:space="0" w:color="auto"/>
        <w:bottom w:val="none" w:sz="0" w:space="0" w:color="auto"/>
        <w:right w:val="none" w:sz="0" w:space="0" w:color="auto"/>
      </w:divBdr>
      <w:divsChild>
        <w:div w:id="165555645">
          <w:marLeft w:val="893"/>
          <w:marRight w:val="0"/>
          <w:marTop w:val="0"/>
          <w:marBottom w:val="120"/>
          <w:divBdr>
            <w:top w:val="none" w:sz="0" w:space="0" w:color="auto"/>
            <w:left w:val="none" w:sz="0" w:space="0" w:color="auto"/>
            <w:bottom w:val="none" w:sz="0" w:space="0" w:color="auto"/>
            <w:right w:val="none" w:sz="0" w:space="0" w:color="auto"/>
          </w:divBdr>
        </w:div>
        <w:div w:id="549728742">
          <w:marLeft w:val="893"/>
          <w:marRight w:val="0"/>
          <w:marTop w:val="0"/>
          <w:marBottom w:val="120"/>
          <w:divBdr>
            <w:top w:val="none" w:sz="0" w:space="0" w:color="auto"/>
            <w:left w:val="none" w:sz="0" w:space="0" w:color="auto"/>
            <w:bottom w:val="none" w:sz="0" w:space="0" w:color="auto"/>
            <w:right w:val="none" w:sz="0" w:space="0" w:color="auto"/>
          </w:divBdr>
        </w:div>
        <w:div w:id="955910196">
          <w:marLeft w:val="893"/>
          <w:marRight w:val="0"/>
          <w:marTop w:val="0"/>
          <w:marBottom w:val="120"/>
          <w:divBdr>
            <w:top w:val="none" w:sz="0" w:space="0" w:color="auto"/>
            <w:left w:val="none" w:sz="0" w:space="0" w:color="auto"/>
            <w:bottom w:val="none" w:sz="0" w:space="0" w:color="auto"/>
            <w:right w:val="none" w:sz="0" w:space="0" w:color="auto"/>
          </w:divBdr>
        </w:div>
        <w:div w:id="1595166657">
          <w:marLeft w:val="893"/>
          <w:marRight w:val="0"/>
          <w:marTop w:val="0"/>
          <w:marBottom w:val="120"/>
          <w:divBdr>
            <w:top w:val="none" w:sz="0" w:space="0" w:color="auto"/>
            <w:left w:val="none" w:sz="0" w:space="0" w:color="auto"/>
            <w:bottom w:val="none" w:sz="0" w:space="0" w:color="auto"/>
            <w:right w:val="none" w:sz="0" w:space="0" w:color="auto"/>
          </w:divBdr>
        </w:div>
        <w:div w:id="1683319763">
          <w:marLeft w:val="893"/>
          <w:marRight w:val="0"/>
          <w:marTop w:val="0"/>
          <w:marBottom w:val="120"/>
          <w:divBdr>
            <w:top w:val="none" w:sz="0" w:space="0" w:color="auto"/>
            <w:left w:val="none" w:sz="0" w:space="0" w:color="auto"/>
            <w:bottom w:val="none" w:sz="0" w:space="0" w:color="auto"/>
            <w:right w:val="none" w:sz="0" w:space="0" w:color="auto"/>
          </w:divBdr>
        </w:div>
        <w:div w:id="1785883668">
          <w:marLeft w:val="893"/>
          <w:marRight w:val="0"/>
          <w:marTop w:val="0"/>
          <w:marBottom w:val="120"/>
          <w:divBdr>
            <w:top w:val="none" w:sz="0" w:space="0" w:color="auto"/>
            <w:left w:val="none" w:sz="0" w:space="0" w:color="auto"/>
            <w:bottom w:val="none" w:sz="0" w:space="0" w:color="auto"/>
            <w:right w:val="none" w:sz="0" w:space="0" w:color="auto"/>
          </w:divBdr>
        </w:div>
      </w:divsChild>
    </w:div>
    <w:div w:id="1455638033">
      <w:bodyDiv w:val="1"/>
      <w:marLeft w:val="0"/>
      <w:marRight w:val="0"/>
      <w:marTop w:val="0"/>
      <w:marBottom w:val="0"/>
      <w:divBdr>
        <w:top w:val="none" w:sz="0" w:space="0" w:color="auto"/>
        <w:left w:val="none" w:sz="0" w:space="0" w:color="auto"/>
        <w:bottom w:val="none" w:sz="0" w:space="0" w:color="auto"/>
        <w:right w:val="none" w:sz="0" w:space="0" w:color="auto"/>
      </w:divBdr>
    </w:div>
    <w:div w:id="1486556239">
      <w:bodyDiv w:val="1"/>
      <w:marLeft w:val="0"/>
      <w:marRight w:val="0"/>
      <w:marTop w:val="0"/>
      <w:marBottom w:val="0"/>
      <w:divBdr>
        <w:top w:val="none" w:sz="0" w:space="0" w:color="auto"/>
        <w:left w:val="none" w:sz="0" w:space="0" w:color="auto"/>
        <w:bottom w:val="none" w:sz="0" w:space="0" w:color="auto"/>
        <w:right w:val="none" w:sz="0" w:space="0" w:color="auto"/>
      </w:divBdr>
    </w:div>
    <w:div w:id="1486701665">
      <w:bodyDiv w:val="1"/>
      <w:marLeft w:val="0"/>
      <w:marRight w:val="0"/>
      <w:marTop w:val="0"/>
      <w:marBottom w:val="0"/>
      <w:divBdr>
        <w:top w:val="none" w:sz="0" w:space="0" w:color="auto"/>
        <w:left w:val="none" w:sz="0" w:space="0" w:color="auto"/>
        <w:bottom w:val="none" w:sz="0" w:space="0" w:color="auto"/>
        <w:right w:val="none" w:sz="0" w:space="0" w:color="auto"/>
      </w:divBdr>
    </w:div>
    <w:div w:id="1494106623">
      <w:bodyDiv w:val="1"/>
      <w:marLeft w:val="0"/>
      <w:marRight w:val="0"/>
      <w:marTop w:val="0"/>
      <w:marBottom w:val="0"/>
      <w:divBdr>
        <w:top w:val="none" w:sz="0" w:space="0" w:color="auto"/>
        <w:left w:val="none" w:sz="0" w:space="0" w:color="auto"/>
        <w:bottom w:val="none" w:sz="0" w:space="0" w:color="auto"/>
        <w:right w:val="none" w:sz="0" w:space="0" w:color="auto"/>
      </w:divBdr>
    </w:div>
    <w:div w:id="1494950434">
      <w:bodyDiv w:val="1"/>
      <w:marLeft w:val="0"/>
      <w:marRight w:val="0"/>
      <w:marTop w:val="0"/>
      <w:marBottom w:val="0"/>
      <w:divBdr>
        <w:top w:val="none" w:sz="0" w:space="0" w:color="auto"/>
        <w:left w:val="none" w:sz="0" w:space="0" w:color="auto"/>
        <w:bottom w:val="none" w:sz="0" w:space="0" w:color="auto"/>
        <w:right w:val="none" w:sz="0" w:space="0" w:color="auto"/>
      </w:divBdr>
      <w:divsChild>
        <w:div w:id="475489139">
          <w:marLeft w:val="0"/>
          <w:marRight w:val="0"/>
          <w:marTop w:val="0"/>
          <w:marBottom w:val="0"/>
          <w:divBdr>
            <w:top w:val="none" w:sz="0" w:space="0" w:color="auto"/>
            <w:left w:val="none" w:sz="0" w:space="0" w:color="auto"/>
            <w:bottom w:val="none" w:sz="0" w:space="0" w:color="auto"/>
            <w:right w:val="none" w:sz="0" w:space="0" w:color="auto"/>
          </w:divBdr>
          <w:divsChild>
            <w:div w:id="1035697653">
              <w:marLeft w:val="0"/>
              <w:marRight w:val="0"/>
              <w:marTop w:val="0"/>
              <w:marBottom w:val="0"/>
              <w:divBdr>
                <w:top w:val="none" w:sz="0" w:space="0" w:color="auto"/>
                <w:left w:val="none" w:sz="0" w:space="0" w:color="auto"/>
                <w:bottom w:val="none" w:sz="0" w:space="0" w:color="auto"/>
                <w:right w:val="none" w:sz="0" w:space="0" w:color="auto"/>
              </w:divBdr>
            </w:div>
            <w:div w:id="1489906852">
              <w:marLeft w:val="0"/>
              <w:marRight w:val="0"/>
              <w:marTop w:val="0"/>
              <w:marBottom w:val="0"/>
              <w:divBdr>
                <w:top w:val="none" w:sz="0" w:space="0" w:color="auto"/>
                <w:left w:val="none" w:sz="0" w:space="0" w:color="auto"/>
                <w:bottom w:val="none" w:sz="0" w:space="0" w:color="auto"/>
                <w:right w:val="none" w:sz="0" w:space="0" w:color="auto"/>
              </w:divBdr>
            </w:div>
            <w:div w:id="2126388430">
              <w:marLeft w:val="0"/>
              <w:marRight w:val="0"/>
              <w:marTop w:val="0"/>
              <w:marBottom w:val="0"/>
              <w:divBdr>
                <w:top w:val="none" w:sz="0" w:space="0" w:color="auto"/>
                <w:left w:val="none" w:sz="0" w:space="0" w:color="auto"/>
                <w:bottom w:val="none" w:sz="0" w:space="0" w:color="auto"/>
                <w:right w:val="none" w:sz="0" w:space="0" w:color="auto"/>
              </w:divBdr>
            </w:div>
          </w:divsChild>
        </w:div>
        <w:div w:id="831524427">
          <w:marLeft w:val="0"/>
          <w:marRight w:val="0"/>
          <w:marTop w:val="0"/>
          <w:marBottom w:val="0"/>
          <w:divBdr>
            <w:top w:val="none" w:sz="0" w:space="0" w:color="auto"/>
            <w:left w:val="none" w:sz="0" w:space="0" w:color="auto"/>
            <w:bottom w:val="none" w:sz="0" w:space="0" w:color="auto"/>
            <w:right w:val="none" w:sz="0" w:space="0" w:color="auto"/>
          </w:divBdr>
          <w:divsChild>
            <w:div w:id="32930178">
              <w:marLeft w:val="0"/>
              <w:marRight w:val="0"/>
              <w:marTop w:val="0"/>
              <w:marBottom w:val="0"/>
              <w:divBdr>
                <w:top w:val="none" w:sz="0" w:space="0" w:color="auto"/>
                <w:left w:val="none" w:sz="0" w:space="0" w:color="auto"/>
                <w:bottom w:val="none" w:sz="0" w:space="0" w:color="auto"/>
                <w:right w:val="none" w:sz="0" w:space="0" w:color="auto"/>
              </w:divBdr>
            </w:div>
            <w:div w:id="691416215">
              <w:marLeft w:val="0"/>
              <w:marRight w:val="0"/>
              <w:marTop w:val="0"/>
              <w:marBottom w:val="0"/>
              <w:divBdr>
                <w:top w:val="none" w:sz="0" w:space="0" w:color="auto"/>
                <w:left w:val="none" w:sz="0" w:space="0" w:color="auto"/>
                <w:bottom w:val="none" w:sz="0" w:space="0" w:color="auto"/>
                <w:right w:val="none" w:sz="0" w:space="0" w:color="auto"/>
              </w:divBdr>
            </w:div>
            <w:div w:id="101314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15881">
      <w:bodyDiv w:val="1"/>
      <w:marLeft w:val="0"/>
      <w:marRight w:val="0"/>
      <w:marTop w:val="0"/>
      <w:marBottom w:val="0"/>
      <w:divBdr>
        <w:top w:val="none" w:sz="0" w:space="0" w:color="auto"/>
        <w:left w:val="none" w:sz="0" w:space="0" w:color="auto"/>
        <w:bottom w:val="none" w:sz="0" w:space="0" w:color="auto"/>
        <w:right w:val="none" w:sz="0" w:space="0" w:color="auto"/>
      </w:divBdr>
      <w:divsChild>
        <w:div w:id="694423759">
          <w:marLeft w:val="0"/>
          <w:marRight w:val="0"/>
          <w:marTop w:val="0"/>
          <w:marBottom w:val="0"/>
          <w:divBdr>
            <w:top w:val="none" w:sz="0" w:space="0" w:color="auto"/>
            <w:left w:val="none" w:sz="0" w:space="0" w:color="auto"/>
            <w:bottom w:val="none" w:sz="0" w:space="0" w:color="auto"/>
            <w:right w:val="none" w:sz="0" w:space="0" w:color="auto"/>
          </w:divBdr>
          <w:divsChild>
            <w:div w:id="667053853">
              <w:marLeft w:val="0"/>
              <w:marRight w:val="0"/>
              <w:marTop w:val="0"/>
              <w:marBottom w:val="0"/>
              <w:divBdr>
                <w:top w:val="none" w:sz="0" w:space="0" w:color="auto"/>
                <w:left w:val="none" w:sz="0" w:space="0" w:color="auto"/>
                <w:bottom w:val="none" w:sz="0" w:space="0" w:color="auto"/>
                <w:right w:val="none" w:sz="0" w:space="0" w:color="auto"/>
              </w:divBdr>
            </w:div>
            <w:div w:id="774062326">
              <w:marLeft w:val="0"/>
              <w:marRight w:val="0"/>
              <w:marTop w:val="0"/>
              <w:marBottom w:val="0"/>
              <w:divBdr>
                <w:top w:val="none" w:sz="0" w:space="0" w:color="auto"/>
                <w:left w:val="none" w:sz="0" w:space="0" w:color="auto"/>
                <w:bottom w:val="none" w:sz="0" w:space="0" w:color="auto"/>
                <w:right w:val="none" w:sz="0" w:space="0" w:color="auto"/>
              </w:divBdr>
            </w:div>
            <w:div w:id="1165776826">
              <w:marLeft w:val="0"/>
              <w:marRight w:val="0"/>
              <w:marTop w:val="0"/>
              <w:marBottom w:val="0"/>
              <w:divBdr>
                <w:top w:val="none" w:sz="0" w:space="0" w:color="auto"/>
                <w:left w:val="none" w:sz="0" w:space="0" w:color="auto"/>
                <w:bottom w:val="none" w:sz="0" w:space="0" w:color="auto"/>
                <w:right w:val="none" w:sz="0" w:space="0" w:color="auto"/>
              </w:divBdr>
            </w:div>
            <w:div w:id="1337003475">
              <w:marLeft w:val="0"/>
              <w:marRight w:val="0"/>
              <w:marTop w:val="0"/>
              <w:marBottom w:val="0"/>
              <w:divBdr>
                <w:top w:val="none" w:sz="0" w:space="0" w:color="auto"/>
                <w:left w:val="none" w:sz="0" w:space="0" w:color="auto"/>
                <w:bottom w:val="none" w:sz="0" w:space="0" w:color="auto"/>
                <w:right w:val="none" w:sz="0" w:space="0" w:color="auto"/>
              </w:divBdr>
            </w:div>
            <w:div w:id="1510951907">
              <w:marLeft w:val="0"/>
              <w:marRight w:val="0"/>
              <w:marTop w:val="0"/>
              <w:marBottom w:val="0"/>
              <w:divBdr>
                <w:top w:val="none" w:sz="0" w:space="0" w:color="auto"/>
                <w:left w:val="none" w:sz="0" w:space="0" w:color="auto"/>
                <w:bottom w:val="none" w:sz="0" w:space="0" w:color="auto"/>
                <w:right w:val="none" w:sz="0" w:space="0" w:color="auto"/>
              </w:divBdr>
            </w:div>
            <w:div w:id="1708286807">
              <w:marLeft w:val="0"/>
              <w:marRight w:val="0"/>
              <w:marTop w:val="0"/>
              <w:marBottom w:val="0"/>
              <w:divBdr>
                <w:top w:val="none" w:sz="0" w:space="0" w:color="auto"/>
                <w:left w:val="none" w:sz="0" w:space="0" w:color="auto"/>
                <w:bottom w:val="none" w:sz="0" w:space="0" w:color="auto"/>
                <w:right w:val="none" w:sz="0" w:space="0" w:color="auto"/>
              </w:divBdr>
            </w:div>
          </w:divsChild>
        </w:div>
        <w:div w:id="1028871435">
          <w:marLeft w:val="0"/>
          <w:marRight w:val="0"/>
          <w:marTop w:val="0"/>
          <w:marBottom w:val="0"/>
          <w:divBdr>
            <w:top w:val="none" w:sz="0" w:space="0" w:color="auto"/>
            <w:left w:val="none" w:sz="0" w:space="0" w:color="auto"/>
            <w:bottom w:val="none" w:sz="0" w:space="0" w:color="auto"/>
            <w:right w:val="none" w:sz="0" w:space="0" w:color="auto"/>
          </w:divBdr>
          <w:divsChild>
            <w:div w:id="1637367610">
              <w:marLeft w:val="-75"/>
              <w:marRight w:val="0"/>
              <w:marTop w:val="30"/>
              <w:marBottom w:val="30"/>
              <w:divBdr>
                <w:top w:val="none" w:sz="0" w:space="0" w:color="auto"/>
                <w:left w:val="none" w:sz="0" w:space="0" w:color="auto"/>
                <w:bottom w:val="none" w:sz="0" w:space="0" w:color="auto"/>
                <w:right w:val="none" w:sz="0" w:space="0" w:color="auto"/>
              </w:divBdr>
              <w:divsChild>
                <w:div w:id="153686356">
                  <w:marLeft w:val="0"/>
                  <w:marRight w:val="0"/>
                  <w:marTop w:val="0"/>
                  <w:marBottom w:val="0"/>
                  <w:divBdr>
                    <w:top w:val="none" w:sz="0" w:space="0" w:color="auto"/>
                    <w:left w:val="none" w:sz="0" w:space="0" w:color="auto"/>
                    <w:bottom w:val="none" w:sz="0" w:space="0" w:color="auto"/>
                    <w:right w:val="none" w:sz="0" w:space="0" w:color="auto"/>
                  </w:divBdr>
                  <w:divsChild>
                    <w:div w:id="967126699">
                      <w:marLeft w:val="0"/>
                      <w:marRight w:val="0"/>
                      <w:marTop w:val="0"/>
                      <w:marBottom w:val="0"/>
                      <w:divBdr>
                        <w:top w:val="none" w:sz="0" w:space="0" w:color="auto"/>
                        <w:left w:val="none" w:sz="0" w:space="0" w:color="auto"/>
                        <w:bottom w:val="none" w:sz="0" w:space="0" w:color="auto"/>
                        <w:right w:val="none" w:sz="0" w:space="0" w:color="auto"/>
                      </w:divBdr>
                    </w:div>
                    <w:div w:id="1515876570">
                      <w:marLeft w:val="0"/>
                      <w:marRight w:val="0"/>
                      <w:marTop w:val="0"/>
                      <w:marBottom w:val="0"/>
                      <w:divBdr>
                        <w:top w:val="none" w:sz="0" w:space="0" w:color="auto"/>
                        <w:left w:val="none" w:sz="0" w:space="0" w:color="auto"/>
                        <w:bottom w:val="none" w:sz="0" w:space="0" w:color="auto"/>
                        <w:right w:val="none" w:sz="0" w:space="0" w:color="auto"/>
                      </w:divBdr>
                    </w:div>
                  </w:divsChild>
                </w:div>
                <w:div w:id="162018649">
                  <w:marLeft w:val="0"/>
                  <w:marRight w:val="0"/>
                  <w:marTop w:val="0"/>
                  <w:marBottom w:val="0"/>
                  <w:divBdr>
                    <w:top w:val="none" w:sz="0" w:space="0" w:color="auto"/>
                    <w:left w:val="none" w:sz="0" w:space="0" w:color="auto"/>
                    <w:bottom w:val="none" w:sz="0" w:space="0" w:color="auto"/>
                    <w:right w:val="none" w:sz="0" w:space="0" w:color="auto"/>
                  </w:divBdr>
                  <w:divsChild>
                    <w:div w:id="1681732838">
                      <w:marLeft w:val="0"/>
                      <w:marRight w:val="0"/>
                      <w:marTop w:val="0"/>
                      <w:marBottom w:val="0"/>
                      <w:divBdr>
                        <w:top w:val="none" w:sz="0" w:space="0" w:color="auto"/>
                        <w:left w:val="none" w:sz="0" w:space="0" w:color="auto"/>
                        <w:bottom w:val="none" w:sz="0" w:space="0" w:color="auto"/>
                        <w:right w:val="none" w:sz="0" w:space="0" w:color="auto"/>
                      </w:divBdr>
                    </w:div>
                    <w:div w:id="1692954318">
                      <w:marLeft w:val="0"/>
                      <w:marRight w:val="0"/>
                      <w:marTop w:val="0"/>
                      <w:marBottom w:val="0"/>
                      <w:divBdr>
                        <w:top w:val="none" w:sz="0" w:space="0" w:color="auto"/>
                        <w:left w:val="none" w:sz="0" w:space="0" w:color="auto"/>
                        <w:bottom w:val="none" w:sz="0" w:space="0" w:color="auto"/>
                        <w:right w:val="none" w:sz="0" w:space="0" w:color="auto"/>
                      </w:divBdr>
                    </w:div>
                  </w:divsChild>
                </w:div>
                <w:div w:id="634068151">
                  <w:marLeft w:val="0"/>
                  <w:marRight w:val="0"/>
                  <w:marTop w:val="0"/>
                  <w:marBottom w:val="0"/>
                  <w:divBdr>
                    <w:top w:val="none" w:sz="0" w:space="0" w:color="auto"/>
                    <w:left w:val="none" w:sz="0" w:space="0" w:color="auto"/>
                    <w:bottom w:val="none" w:sz="0" w:space="0" w:color="auto"/>
                    <w:right w:val="none" w:sz="0" w:space="0" w:color="auto"/>
                  </w:divBdr>
                  <w:divsChild>
                    <w:div w:id="224490438">
                      <w:marLeft w:val="0"/>
                      <w:marRight w:val="0"/>
                      <w:marTop w:val="0"/>
                      <w:marBottom w:val="0"/>
                      <w:divBdr>
                        <w:top w:val="none" w:sz="0" w:space="0" w:color="auto"/>
                        <w:left w:val="none" w:sz="0" w:space="0" w:color="auto"/>
                        <w:bottom w:val="none" w:sz="0" w:space="0" w:color="auto"/>
                        <w:right w:val="none" w:sz="0" w:space="0" w:color="auto"/>
                      </w:divBdr>
                    </w:div>
                    <w:div w:id="970400350">
                      <w:marLeft w:val="0"/>
                      <w:marRight w:val="0"/>
                      <w:marTop w:val="0"/>
                      <w:marBottom w:val="0"/>
                      <w:divBdr>
                        <w:top w:val="none" w:sz="0" w:space="0" w:color="auto"/>
                        <w:left w:val="none" w:sz="0" w:space="0" w:color="auto"/>
                        <w:bottom w:val="none" w:sz="0" w:space="0" w:color="auto"/>
                        <w:right w:val="none" w:sz="0" w:space="0" w:color="auto"/>
                      </w:divBdr>
                    </w:div>
                  </w:divsChild>
                </w:div>
                <w:div w:id="689377757">
                  <w:marLeft w:val="0"/>
                  <w:marRight w:val="0"/>
                  <w:marTop w:val="0"/>
                  <w:marBottom w:val="0"/>
                  <w:divBdr>
                    <w:top w:val="none" w:sz="0" w:space="0" w:color="auto"/>
                    <w:left w:val="none" w:sz="0" w:space="0" w:color="auto"/>
                    <w:bottom w:val="none" w:sz="0" w:space="0" w:color="auto"/>
                    <w:right w:val="none" w:sz="0" w:space="0" w:color="auto"/>
                  </w:divBdr>
                  <w:divsChild>
                    <w:div w:id="831724046">
                      <w:marLeft w:val="0"/>
                      <w:marRight w:val="0"/>
                      <w:marTop w:val="0"/>
                      <w:marBottom w:val="0"/>
                      <w:divBdr>
                        <w:top w:val="none" w:sz="0" w:space="0" w:color="auto"/>
                        <w:left w:val="none" w:sz="0" w:space="0" w:color="auto"/>
                        <w:bottom w:val="none" w:sz="0" w:space="0" w:color="auto"/>
                        <w:right w:val="none" w:sz="0" w:space="0" w:color="auto"/>
                      </w:divBdr>
                    </w:div>
                    <w:div w:id="1109393686">
                      <w:marLeft w:val="0"/>
                      <w:marRight w:val="0"/>
                      <w:marTop w:val="0"/>
                      <w:marBottom w:val="0"/>
                      <w:divBdr>
                        <w:top w:val="none" w:sz="0" w:space="0" w:color="auto"/>
                        <w:left w:val="none" w:sz="0" w:space="0" w:color="auto"/>
                        <w:bottom w:val="none" w:sz="0" w:space="0" w:color="auto"/>
                        <w:right w:val="none" w:sz="0" w:space="0" w:color="auto"/>
                      </w:divBdr>
                    </w:div>
                  </w:divsChild>
                </w:div>
                <w:div w:id="853232320">
                  <w:marLeft w:val="0"/>
                  <w:marRight w:val="0"/>
                  <w:marTop w:val="0"/>
                  <w:marBottom w:val="0"/>
                  <w:divBdr>
                    <w:top w:val="none" w:sz="0" w:space="0" w:color="auto"/>
                    <w:left w:val="none" w:sz="0" w:space="0" w:color="auto"/>
                    <w:bottom w:val="none" w:sz="0" w:space="0" w:color="auto"/>
                    <w:right w:val="none" w:sz="0" w:space="0" w:color="auto"/>
                  </w:divBdr>
                  <w:divsChild>
                    <w:div w:id="3752601">
                      <w:marLeft w:val="0"/>
                      <w:marRight w:val="0"/>
                      <w:marTop w:val="0"/>
                      <w:marBottom w:val="0"/>
                      <w:divBdr>
                        <w:top w:val="none" w:sz="0" w:space="0" w:color="auto"/>
                        <w:left w:val="none" w:sz="0" w:space="0" w:color="auto"/>
                        <w:bottom w:val="none" w:sz="0" w:space="0" w:color="auto"/>
                        <w:right w:val="none" w:sz="0" w:space="0" w:color="auto"/>
                      </w:divBdr>
                    </w:div>
                    <w:div w:id="1963337405">
                      <w:marLeft w:val="0"/>
                      <w:marRight w:val="0"/>
                      <w:marTop w:val="0"/>
                      <w:marBottom w:val="0"/>
                      <w:divBdr>
                        <w:top w:val="none" w:sz="0" w:space="0" w:color="auto"/>
                        <w:left w:val="none" w:sz="0" w:space="0" w:color="auto"/>
                        <w:bottom w:val="none" w:sz="0" w:space="0" w:color="auto"/>
                        <w:right w:val="none" w:sz="0" w:space="0" w:color="auto"/>
                      </w:divBdr>
                    </w:div>
                  </w:divsChild>
                </w:div>
                <w:div w:id="902449679">
                  <w:marLeft w:val="0"/>
                  <w:marRight w:val="0"/>
                  <w:marTop w:val="0"/>
                  <w:marBottom w:val="0"/>
                  <w:divBdr>
                    <w:top w:val="none" w:sz="0" w:space="0" w:color="auto"/>
                    <w:left w:val="none" w:sz="0" w:space="0" w:color="auto"/>
                    <w:bottom w:val="none" w:sz="0" w:space="0" w:color="auto"/>
                    <w:right w:val="none" w:sz="0" w:space="0" w:color="auto"/>
                  </w:divBdr>
                  <w:divsChild>
                    <w:div w:id="10839645">
                      <w:marLeft w:val="0"/>
                      <w:marRight w:val="0"/>
                      <w:marTop w:val="0"/>
                      <w:marBottom w:val="0"/>
                      <w:divBdr>
                        <w:top w:val="none" w:sz="0" w:space="0" w:color="auto"/>
                        <w:left w:val="none" w:sz="0" w:space="0" w:color="auto"/>
                        <w:bottom w:val="none" w:sz="0" w:space="0" w:color="auto"/>
                        <w:right w:val="none" w:sz="0" w:space="0" w:color="auto"/>
                      </w:divBdr>
                    </w:div>
                    <w:div w:id="1445077400">
                      <w:marLeft w:val="0"/>
                      <w:marRight w:val="0"/>
                      <w:marTop w:val="0"/>
                      <w:marBottom w:val="0"/>
                      <w:divBdr>
                        <w:top w:val="none" w:sz="0" w:space="0" w:color="auto"/>
                        <w:left w:val="none" w:sz="0" w:space="0" w:color="auto"/>
                        <w:bottom w:val="none" w:sz="0" w:space="0" w:color="auto"/>
                        <w:right w:val="none" w:sz="0" w:space="0" w:color="auto"/>
                      </w:divBdr>
                    </w:div>
                  </w:divsChild>
                </w:div>
                <w:div w:id="1070419184">
                  <w:marLeft w:val="0"/>
                  <w:marRight w:val="0"/>
                  <w:marTop w:val="0"/>
                  <w:marBottom w:val="0"/>
                  <w:divBdr>
                    <w:top w:val="none" w:sz="0" w:space="0" w:color="auto"/>
                    <w:left w:val="none" w:sz="0" w:space="0" w:color="auto"/>
                    <w:bottom w:val="none" w:sz="0" w:space="0" w:color="auto"/>
                    <w:right w:val="none" w:sz="0" w:space="0" w:color="auto"/>
                  </w:divBdr>
                  <w:divsChild>
                    <w:div w:id="91515479">
                      <w:marLeft w:val="0"/>
                      <w:marRight w:val="0"/>
                      <w:marTop w:val="0"/>
                      <w:marBottom w:val="0"/>
                      <w:divBdr>
                        <w:top w:val="none" w:sz="0" w:space="0" w:color="auto"/>
                        <w:left w:val="none" w:sz="0" w:space="0" w:color="auto"/>
                        <w:bottom w:val="none" w:sz="0" w:space="0" w:color="auto"/>
                        <w:right w:val="none" w:sz="0" w:space="0" w:color="auto"/>
                      </w:divBdr>
                    </w:div>
                    <w:div w:id="1650787388">
                      <w:marLeft w:val="0"/>
                      <w:marRight w:val="0"/>
                      <w:marTop w:val="0"/>
                      <w:marBottom w:val="0"/>
                      <w:divBdr>
                        <w:top w:val="none" w:sz="0" w:space="0" w:color="auto"/>
                        <w:left w:val="none" w:sz="0" w:space="0" w:color="auto"/>
                        <w:bottom w:val="none" w:sz="0" w:space="0" w:color="auto"/>
                        <w:right w:val="none" w:sz="0" w:space="0" w:color="auto"/>
                      </w:divBdr>
                    </w:div>
                  </w:divsChild>
                </w:div>
                <w:div w:id="1242914158">
                  <w:marLeft w:val="0"/>
                  <w:marRight w:val="0"/>
                  <w:marTop w:val="0"/>
                  <w:marBottom w:val="0"/>
                  <w:divBdr>
                    <w:top w:val="none" w:sz="0" w:space="0" w:color="auto"/>
                    <w:left w:val="none" w:sz="0" w:space="0" w:color="auto"/>
                    <w:bottom w:val="none" w:sz="0" w:space="0" w:color="auto"/>
                    <w:right w:val="none" w:sz="0" w:space="0" w:color="auto"/>
                  </w:divBdr>
                  <w:divsChild>
                    <w:div w:id="312568542">
                      <w:marLeft w:val="0"/>
                      <w:marRight w:val="0"/>
                      <w:marTop w:val="0"/>
                      <w:marBottom w:val="0"/>
                      <w:divBdr>
                        <w:top w:val="none" w:sz="0" w:space="0" w:color="auto"/>
                        <w:left w:val="none" w:sz="0" w:space="0" w:color="auto"/>
                        <w:bottom w:val="none" w:sz="0" w:space="0" w:color="auto"/>
                        <w:right w:val="none" w:sz="0" w:space="0" w:color="auto"/>
                      </w:divBdr>
                    </w:div>
                    <w:div w:id="382828289">
                      <w:marLeft w:val="0"/>
                      <w:marRight w:val="0"/>
                      <w:marTop w:val="0"/>
                      <w:marBottom w:val="0"/>
                      <w:divBdr>
                        <w:top w:val="none" w:sz="0" w:space="0" w:color="auto"/>
                        <w:left w:val="none" w:sz="0" w:space="0" w:color="auto"/>
                        <w:bottom w:val="none" w:sz="0" w:space="0" w:color="auto"/>
                        <w:right w:val="none" w:sz="0" w:space="0" w:color="auto"/>
                      </w:divBdr>
                    </w:div>
                    <w:div w:id="734208660">
                      <w:marLeft w:val="0"/>
                      <w:marRight w:val="0"/>
                      <w:marTop w:val="0"/>
                      <w:marBottom w:val="0"/>
                      <w:divBdr>
                        <w:top w:val="none" w:sz="0" w:space="0" w:color="auto"/>
                        <w:left w:val="none" w:sz="0" w:space="0" w:color="auto"/>
                        <w:bottom w:val="none" w:sz="0" w:space="0" w:color="auto"/>
                        <w:right w:val="none" w:sz="0" w:space="0" w:color="auto"/>
                      </w:divBdr>
                    </w:div>
                    <w:div w:id="908462493">
                      <w:marLeft w:val="0"/>
                      <w:marRight w:val="0"/>
                      <w:marTop w:val="0"/>
                      <w:marBottom w:val="0"/>
                      <w:divBdr>
                        <w:top w:val="none" w:sz="0" w:space="0" w:color="auto"/>
                        <w:left w:val="none" w:sz="0" w:space="0" w:color="auto"/>
                        <w:bottom w:val="none" w:sz="0" w:space="0" w:color="auto"/>
                        <w:right w:val="none" w:sz="0" w:space="0" w:color="auto"/>
                      </w:divBdr>
                    </w:div>
                    <w:div w:id="1852796121">
                      <w:marLeft w:val="0"/>
                      <w:marRight w:val="0"/>
                      <w:marTop w:val="0"/>
                      <w:marBottom w:val="0"/>
                      <w:divBdr>
                        <w:top w:val="none" w:sz="0" w:space="0" w:color="auto"/>
                        <w:left w:val="none" w:sz="0" w:space="0" w:color="auto"/>
                        <w:bottom w:val="none" w:sz="0" w:space="0" w:color="auto"/>
                        <w:right w:val="none" w:sz="0" w:space="0" w:color="auto"/>
                      </w:divBdr>
                    </w:div>
                    <w:div w:id="2043699345">
                      <w:marLeft w:val="0"/>
                      <w:marRight w:val="0"/>
                      <w:marTop w:val="0"/>
                      <w:marBottom w:val="0"/>
                      <w:divBdr>
                        <w:top w:val="none" w:sz="0" w:space="0" w:color="auto"/>
                        <w:left w:val="none" w:sz="0" w:space="0" w:color="auto"/>
                        <w:bottom w:val="none" w:sz="0" w:space="0" w:color="auto"/>
                        <w:right w:val="none" w:sz="0" w:space="0" w:color="auto"/>
                      </w:divBdr>
                    </w:div>
                  </w:divsChild>
                </w:div>
                <w:div w:id="1318220805">
                  <w:marLeft w:val="0"/>
                  <w:marRight w:val="0"/>
                  <w:marTop w:val="0"/>
                  <w:marBottom w:val="0"/>
                  <w:divBdr>
                    <w:top w:val="none" w:sz="0" w:space="0" w:color="auto"/>
                    <w:left w:val="none" w:sz="0" w:space="0" w:color="auto"/>
                    <w:bottom w:val="none" w:sz="0" w:space="0" w:color="auto"/>
                    <w:right w:val="none" w:sz="0" w:space="0" w:color="auto"/>
                  </w:divBdr>
                  <w:divsChild>
                    <w:div w:id="50201178">
                      <w:marLeft w:val="0"/>
                      <w:marRight w:val="0"/>
                      <w:marTop w:val="0"/>
                      <w:marBottom w:val="0"/>
                      <w:divBdr>
                        <w:top w:val="none" w:sz="0" w:space="0" w:color="auto"/>
                        <w:left w:val="none" w:sz="0" w:space="0" w:color="auto"/>
                        <w:bottom w:val="none" w:sz="0" w:space="0" w:color="auto"/>
                        <w:right w:val="none" w:sz="0" w:space="0" w:color="auto"/>
                      </w:divBdr>
                    </w:div>
                  </w:divsChild>
                </w:div>
                <w:div w:id="1400132857">
                  <w:marLeft w:val="0"/>
                  <w:marRight w:val="0"/>
                  <w:marTop w:val="0"/>
                  <w:marBottom w:val="0"/>
                  <w:divBdr>
                    <w:top w:val="none" w:sz="0" w:space="0" w:color="auto"/>
                    <w:left w:val="none" w:sz="0" w:space="0" w:color="auto"/>
                    <w:bottom w:val="none" w:sz="0" w:space="0" w:color="auto"/>
                    <w:right w:val="none" w:sz="0" w:space="0" w:color="auto"/>
                  </w:divBdr>
                  <w:divsChild>
                    <w:div w:id="264192757">
                      <w:marLeft w:val="0"/>
                      <w:marRight w:val="0"/>
                      <w:marTop w:val="0"/>
                      <w:marBottom w:val="0"/>
                      <w:divBdr>
                        <w:top w:val="none" w:sz="0" w:space="0" w:color="auto"/>
                        <w:left w:val="none" w:sz="0" w:space="0" w:color="auto"/>
                        <w:bottom w:val="none" w:sz="0" w:space="0" w:color="auto"/>
                        <w:right w:val="none" w:sz="0" w:space="0" w:color="auto"/>
                      </w:divBdr>
                    </w:div>
                  </w:divsChild>
                </w:div>
                <w:div w:id="1408110422">
                  <w:marLeft w:val="0"/>
                  <w:marRight w:val="0"/>
                  <w:marTop w:val="0"/>
                  <w:marBottom w:val="0"/>
                  <w:divBdr>
                    <w:top w:val="none" w:sz="0" w:space="0" w:color="auto"/>
                    <w:left w:val="none" w:sz="0" w:space="0" w:color="auto"/>
                    <w:bottom w:val="none" w:sz="0" w:space="0" w:color="auto"/>
                    <w:right w:val="none" w:sz="0" w:space="0" w:color="auto"/>
                  </w:divBdr>
                  <w:divsChild>
                    <w:div w:id="1512182380">
                      <w:marLeft w:val="0"/>
                      <w:marRight w:val="0"/>
                      <w:marTop w:val="0"/>
                      <w:marBottom w:val="0"/>
                      <w:divBdr>
                        <w:top w:val="none" w:sz="0" w:space="0" w:color="auto"/>
                        <w:left w:val="none" w:sz="0" w:space="0" w:color="auto"/>
                        <w:bottom w:val="none" w:sz="0" w:space="0" w:color="auto"/>
                        <w:right w:val="none" w:sz="0" w:space="0" w:color="auto"/>
                      </w:divBdr>
                    </w:div>
                    <w:div w:id="1648126272">
                      <w:marLeft w:val="0"/>
                      <w:marRight w:val="0"/>
                      <w:marTop w:val="0"/>
                      <w:marBottom w:val="0"/>
                      <w:divBdr>
                        <w:top w:val="none" w:sz="0" w:space="0" w:color="auto"/>
                        <w:left w:val="none" w:sz="0" w:space="0" w:color="auto"/>
                        <w:bottom w:val="none" w:sz="0" w:space="0" w:color="auto"/>
                        <w:right w:val="none" w:sz="0" w:space="0" w:color="auto"/>
                      </w:divBdr>
                    </w:div>
                  </w:divsChild>
                </w:div>
                <w:div w:id="1546716314">
                  <w:marLeft w:val="0"/>
                  <w:marRight w:val="0"/>
                  <w:marTop w:val="0"/>
                  <w:marBottom w:val="0"/>
                  <w:divBdr>
                    <w:top w:val="none" w:sz="0" w:space="0" w:color="auto"/>
                    <w:left w:val="none" w:sz="0" w:space="0" w:color="auto"/>
                    <w:bottom w:val="none" w:sz="0" w:space="0" w:color="auto"/>
                    <w:right w:val="none" w:sz="0" w:space="0" w:color="auto"/>
                  </w:divBdr>
                  <w:divsChild>
                    <w:div w:id="1555000063">
                      <w:marLeft w:val="0"/>
                      <w:marRight w:val="0"/>
                      <w:marTop w:val="0"/>
                      <w:marBottom w:val="0"/>
                      <w:divBdr>
                        <w:top w:val="none" w:sz="0" w:space="0" w:color="auto"/>
                        <w:left w:val="none" w:sz="0" w:space="0" w:color="auto"/>
                        <w:bottom w:val="none" w:sz="0" w:space="0" w:color="auto"/>
                        <w:right w:val="none" w:sz="0" w:space="0" w:color="auto"/>
                      </w:divBdr>
                    </w:div>
                  </w:divsChild>
                </w:div>
                <w:div w:id="1766028708">
                  <w:marLeft w:val="0"/>
                  <w:marRight w:val="0"/>
                  <w:marTop w:val="0"/>
                  <w:marBottom w:val="0"/>
                  <w:divBdr>
                    <w:top w:val="none" w:sz="0" w:space="0" w:color="auto"/>
                    <w:left w:val="none" w:sz="0" w:space="0" w:color="auto"/>
                    <w:bottom w:val="none" w:sz="0" w:space="0" w:color="auto"/>
                    <w:right w:val="none" w:sz="0" w:space="0" w:color="auto"/>
                  </w:divBdr>
                  <w:divsChild>
                    <w:div w:id="83693681">
                      <w:marLeft w:val="0"/>
                      <w:marRight w:val="0"/>
                      <w:marTop w:val="0"/>
                      <w:marBottom w:val="0"/>
                      <w:divBdr>
                        <w:top w:val="none" w:sz="0" w:space="0" w:color="auto"/>
                        <w:left w:val="none" w:sz="0" w:space="0" w:color="auto"/>
                        <w:bottom w:val="none" w:sz="0" w:space="0" w:color="auto"/>
                        <w:right w:val="none" w:sz="0" w:space="0" w:color="auto"/>
                      </w:divBdr>
                    </w:div>
                    <w:div w:id="166558794">
                      <w:marLeft w:val="0"/>
                      <w:marRight w:val="0"/>
                      <w:marTop w:val="0"/>
                      <w:marBottom w:val="0"/>
                      <w:divBdr>
                        <w:top w:val="none" w:sz="0" w:space="0" w:color="auto"/>
                        <w:left w:val="none" w:sz="0" w:space="0" w:color="auto"/>
                        <w:bottom w:val="none" w:sz="0" w:space="0" w:color="auto"/>
                        <w:right w:val="none" w:sz="0" w:space="0" w:color="auto"/>
                      </w:divBdr>
                    </w:div>
                    <w:div w:id="230626850">
                      <w:marLeft w:val="0"/>
                      <w:marRight w:val="0"/>
                      <w:marTop w:val="0"/>
                      <w:marBottom w:val="0"/>
                      <w:divBdr>
                        <w:top w:val="none" w:sz="0" w:space="0" w:color="auto"/>
                        <w:left w:val="none" w:sz="0" w:space="0" w:color="auto"/>
                        <w:bottom w:val="none" w:sz="0" w:space="0" w:color="auto"/>
                        <w:right w:val="none" w:sz="0" w:space="0" w:color="auto"/>
                      </w:divBdr>
                    </w:div>
                    <w:div w:id="688022459">
                      <w:marLeft w:val="0"/>
                      <w:marRight w:val="0"/>
                      <w:marTop w:val="0"/>
                      <w:marBottom w:val="0"/>
                      <w:divBdr>
                        <w:top w:val="none" w:sz="0" w:space="0" w:color="auto"/>
                        <w:left w:val="none" w:sz="0" w:space="0" w:color="auto"/>
                        <w:bottom w:val="none" w:sz="0" w:space="0" w:color="auto"/>
                        <w:right w:val="none" w:sz="0" w:space="0" w:color="auto"/>
                      </w:divBdr>
                    </w:div>
                    <w:div w:id="1235045120">
                      <w:marLeft w:val="0"/>
                      <w:marRight w:val="0"/>
                      <w:marTop w:val="0"/>
                      <w:marBottom w:val="0"/>
                      <w:divBdr>
                        <w:top w:val="none" w:sz="0" w:space="0" w:color="auto"/>
                        <w:left w:val="none" w:sz="0" w:space="0" w:color="auto"/>
                        <w:bottom w:val="none" w:sz="0" w:space="0" w:color="auto"/>
                        <w:right w:val="none" w:sz="0" w:space="0" w:color="auto"/>
                      </w:divBdr>
                    </w:div>
                  </w:divsChild>
                </w:div>
                <w:div w:id="1920360647">
                  <w:marLeft w:val="0"/>
                  <w:marRight w:val="0"/>
                  <w:marTop w:val="0"/>
                  <w:marBottom w:val="0"/>
                  <w:divBdr>
                    <w:top w:val="none" w:sz="0" w:space="0" w:color="auto"/>
                    <w:left w:val="none" w:sz="0" w:space="0" w:color="auto"/>
                    <w:bottom w:val="none" w:sz="0" w:space="0" w:color="auto"/>
                    <w:right w:val="none" w:sz="0" w:space="0" w:color="auto"/>
                  </w:divBdr>
                  <w:divsChild>
                    <w:div w:id="1990743322">
                      <w:marLeft w:val="0"/>
                      <w:marRight w:val="0"/>
                      <w:marTop w:val="0"/>
                      <w:marBottom w:val="0"/>
                      <w:divBdr>
                        <w:top w:val="none" w:sz="0" w:space="0" w:color="auto"/>
                        <w:left w:val="none" w:sz="0" w:space="0" w:color="auto"/>
                        <w:bottom w:val="none" w:sz="0" w:space="0" w:color="auto"/>
                        <w:right w:val="none" w:sz="0" w:space="0" w:color="auto"/>
                      </w:divBdr>
                    </w:div>
                  </w:divsChild>
                </w:div>
                <w:div w:id="1950502527">
                  <w:marLeft w:val="0"/>
                  <w:marRight w:val="0"/>
                  <w:marTop w:val="0"/>
                  <w:marBottom w:val="0"/>
                  <w:divBdr>
                    <w:top w:val="none" w:sz="0" w:space="0" w:color="auto"/>
                    <w:left w:val="none" w:sz="0" w:space="0" w:color="auto"/>
                    <w:bottom w:val="none" w:sz="0" w:space="0" w:color="auto"/>
                    <w:right w:val="none" w:sz="0" w:space="0" w:color="auto"/>
                  </w:divBdr>
                  <w:divsChild>
                    <w:div w:id="5493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87258">
          <w:marLeft w:val="0"/>
          <w:marRight w:val="0"/>
          <w:marTop w:val="0"/>
          <w:marBottom w:val="0"/>
          <w:divBdr>
            <w:top w:val="none" w:sz="0" w:space="0" w:color="auto"/>
            <w:left w:val="none" w:sz="0" w:space="0" w:color="auto"/>
            <w:bottom w:val="none" w:sz="0" w:space="0" w:color="auto"/>
            <w:right w:val="none" w:sz="0" w:space="0" w:color="auto"/>
          </w:divBdr>
          <w:divsChild>
            <w:div w:id="567495138">
              <w:marLeft w:val="0"/>
              <w:marRight w:val="0"/>
              <w:marTop w:val="0"/>
              <w:marBottom w:val="0"/>
              <w:divBdr>
                <w:top w:val="none" w:sz="0" w:space="0" w:color="auto"/>
                <w:left w:val="none" w:sz="0" w:space="0" w:color="auto"/>
                <w:bottom w:val="none" w:sz="0" w:space="0" w:color="auto"/>
                <w:right w:val="none" w:sz="0" w:space="0" w:color="auto"/>
              </w:divBdr>
            </w:div>
            <w:div w:id="1073815865">
              <w:marLeft w:val="0"/>
              <w:marRight w:val="0"/>
              <w:marTop w:val="0"/>
              <w:marBottom w:val="0"/>
              <w:divBdr>
                <w:top w:val="none" w:sz="0" w:space="0" w:color="auto"/>
                <w:left w:val="none" w:sz="0" w:space="0" w:color="auto"/>
                <w:bottom w:val="none" w:sz="0" w:space="0" w:color="auto"/>
                <w:right w:val="none" w:sz="0" w:space="0" w:color="auto"/>
              </w:divBdr>
            </w:div>
            <w:div w:id="1308631746">
              <w:marLeft w:val="0"/>
              <w:marRight w:val="0"/>
              <w:marTop w:val="0"/>
              <w:marBottom w:val="0"/>
              <w:divBdr>
                <w:top w:val="none" w:sz="0" w:space="0" w:color="auto"/>
                <w:left w:val="none" w:sz="0" w:space="0" w:color="auto"/>
                <w:bottom w:val="none" w:sz="0" w:space="0" w:color="auto"/>
                <w:right w:val="none" w:sz="0" w:space="0" w:color="auto"/>
              </w:divBdr>
            </w:div>
            <w:div w:id="162661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72235">
      <w:bodyDiv w:val="1"/>
      <w:marLeft w:val="0"/>
      <w:marRight w:val="0"/>
      <w:marTop w:val="0"/>
      <w:marBottom w:val="0"/>
      <w:divBdr>
        <w:top w:val="none" w:sz="0" w:space="0" w:color="auto"/>
        <w:left w:val="none" w:sz="0" w:space="0" w:color="auto"/>
        <w:bottom w:val="none" w:sz="0" w:space="0" w:color="auto"/>
        <w:right w:val="none" w:sz="0" w:space="0" w:color="auto"/>
      </w:divBdr>
    </w:div>
    <w:div w:id="1617835648">
      <w:bodyDiv w:val="1"/>
      <w:marLeft w:val="0"/>
      <w:marRight w:val="0"/>
      <w:marTop w:val="0"/>
      <w:marBottom w:val="0"/>
      <w:divBdr>
        <w:top w:val="none" w:sz="0" w:space="0" w:color="auto"/>
        <w:left w:val="none" w:sz="0" w:space="0" w:color="auto"/>
        <w:bottom w:val="none" w:sz="0" w:space="0" w:color="auto"/>
        <w:right w:val="none" w:sz="0" w:space="0" w:color="auto"/>
      </w:divBdr>
    </w:div>
    <w:div w:id="1632591410">
      <w:bodyDiv w:val="1"/>
      <w:marLeft w:val="0"/>
      <w:marRight w:val="0"/>
      <w:marTop w:val="0"/>
      <w:marBottom w:val="0"/>
      <w:divBdr>
        <w:top w:val="none" w:sz="0" w:space="0" w:color="auto"/>
        <w:left w:val="none" w:sz="0" w:space="0" w:color="auto"/>
        <w:bottom w:val="none" w:sz="0" w:space="0" w:color="auto"/>
        <w:right w:val="none" w:sz="0" w:space="0" w:color="auto"/>
      </w:divBdr>
    </w:div>
    <w:div w:id="1637561932">
      <w:bodyDiv w:val="1"/>
      <w:marLeft w:val="0"/>
      <w:marRight w:val="0"/>
      <w:marTop w:val="0"/>
      <w:marBottom w:val="0"/>
      <w:divBdr>
        <w:top w:val="none" w:sz="0" w:space="0" w:color="auto"/>
        <w:left w:val="none" w:sz="0" w:space="0" w:color="auto"/>
        <w:bottom w:val="none" w:sz="0" w:space="0" w:color="auto"/>
        <w:right w:val="none" w:sz="0" w:space="0" w:color="auto"/>
      </w:divBdr>
      <w:divsChild>
        <w:div w:id="1153789107">
          <w:marLeft w:val="446"/>
          <w:marRight w:val="0"/>
          <w:marTop w:val="200"/>
          <w:marBottom w:val="0"/>
          <w:divBdr>
            <w:top w:val="none" w:sz="0" w:space="0" w:color="auto"/>
            <w:left w:val="none" w:sz="0" w:space="0" w:color="auto"/>
            <w:bottom w:val="none" w:sz="0" w:space="0" w:color="auto"/>
            <w:right w:val="none" w:sz="0" w:space="0" w:color="auto"/>
          </w:divBdr>
        </w:div>
        <w:div w:id="1494838919">
          <w:marLeft w:val="446"/>
          <w:marRight w:val="0"/>
          <w:marTop w:val="200"/>
          <w:marBottom w:val="0"/>
          <w:divBdr>
            <w:top w:val="none" w:sz="0" w:space="0" w:color="auto"/>
            <w:left w:val="none" w:sz="0" w:space="0" w:color="auto"/>
            <w:bottom w:val="none" w:sz="0" w:space="0" w:color="auto"/>
            <w:right w:val="none" w:sz="0" w:space="0" w:color="auto"/>
          </w:divBdr>
        </w:div>
        <w:div w:id="1649284383">
          <w:marLeft w:val="446"/>
          <w:marRight w:val="0"/>
          <w:marTop w:val="200"/>
          <w:marBottom w:val="160"/>
          <w:divBdr>
            <w:top w:val="none" w:sz="0" w:space="0" w:color="auto"/>
            <w:left w:val="none" w:sz="0" w:space="0" w:color="auto"/>
            <w:bottom w:val="none" w:sz="0" w:space="0" w:color="auto"/>
            <w:right w:val="none" w:sz="0" w:space="0" w:color="auto"/>
          </w:divBdr>
        </w:div>
        <w:div w:id="1679697065">
          <w:marLeft w:val="446"/>
          <w:marRight w:val="0"/>
          <w:marTop w:val="200"/>
          <w:marBottom w:val="160"/>
          <w:divBdr>
            <w:top w:val="none" w:sz="0" w:space="0" w:color="auto"/>
            <w:left w:val="none" w:sz="0" w:space="0" w:color="auto"/>
            <w:bottom w:val="none" w:sz="0" w:space="0" w:color="auto"/>
            <w:right w:val="none" w:sz="0" w:space="0" w:color="auto"/>
          </w:divBdr>
        </w:div>
        <w:div w:id="2008314761">
          <w:marLeft w:val="446"/>
          <w:marRight w:val="0"/>
          <w:marTop w:val="200"/>
          <w:marBottom w:val="0"/>
          <w:divBdr>
            <w:top w:val="none" w:sz="0" w:space="0" w:color="auto"/>
            <w:left w:val="none" w:sz="0" w:space="0" w:color="auto"/>
            <w:bottom w:val="none" w:sz="0" w:space="0" w:color="auto"/>
            <w:right w:val="none" w:sz="0" w:space="0" w:color="auto"/>
          </w:divBdr>
        </w:div>
      </w:divsChild>
    </w:div>
    <w:div w:id="1678457704">
      <w:bodyDiv w:val="1"/>
      <w:marLeft w:val="0"/>
      <w:marRight w:val="0"/>
      <w:marTop w:val="0"/>
      <w:marBottom w:val="0"/>
      <w:divBdr>
        <w:top w:val="none" w:sz="0" w:space="0" w:color="auto"/>
        <w:left w:val="none" w:sz="0" w:space="0" w:color="auto"/>
        <w:bottom w:val="none" w:sz="0" w:space="0" w:color="auto"/>
        <w:right w:val="none" w:sz="0" w:space="0" w:color="auto"/>
      </w:divBdr>
    </w:div>
    <w:div w:id="1723170412">
      <w:bodyDiv w:val="1"/>
      <w:marLeft w:val="0"/>
      <w:marRight w:val="0"/>
      <w:marTop w:val="0"/>
      <w:marBottom w:val="0"/>
      <w:divBdr>
        <w:top w:val="none" w:sz="0" w:space="0" w:color="auto"/>
        <w:left w:val="none" w:sz="0" w:space="0" w:color="auto"/>
        <w:bottom w:val="none" w:sz="0" w:space="0" w:color="auto"/>
        <w:right w:val="none" w:sz="0" w:space="0" w:color="auto"/>
      </w:divBdr>
    </w:div>
    <w:div w:id="1726757990">
      <w:bodyDiv w:val="1"/>
      <w:marLeft w:val="0"/>
      <w:marRight w:val="0"/>
      <w:marTop w:val="0"/>
      <w:marBottom w:val="0"/>
      <w:divBdr>
        <w:top w:val="none" w:sz="0" w:space="0" w:color="auto"/>
        <w:left w:val="none" w:sz="0" w:space="0" w:color="auto"/>
        <w:bottom w:val="none" w:sz="0" w:space="0" w:color="auto"/>
        <w:right w:val="none" w:sz="0" w:space="0" w:color="auto"/>
      </w:divBdr>
      <w:divsChild>
        <w:div w:id="26413039">
          <w:marLeft w:val="0"/>
          <w:marRight w:val="0"/>
          <w:marTop w:val="0"/>
          <w:marBottom w:val="0"/>
          <w:divBdr>
            <w:top w:val="none" w:sz="0" w:space="0" w:color="auto"/>
            <w:left w:val="none" w:sz="0" w:space="0" w:color="auto"/>
            <w:bottom w:val="none" w:sz="0" w:space="0" w:color="auto"/>
            <w:right w:val="none" w:sz="0" w:space="0" w:color="auto"/>
          </w:divBdr>
          <w:divsChild>
            <w:div w:id="1053969266">
              <w:marLeft w:val="0"/>
              <w:marRight w:val="0"/>
              <w:marTop w:val="0"/>
              <w:marBottom w:val="0"/>
              <w:divBdr>
                <w:top w:val="none" w:sz="0" w:space="0" w:color="auto"/>
                <w:left w:val="none" w:sz="0" w:space="0" w:color="auto"/>
                <w:bottom w:val="none" w:sz="0" w:space="0" w:color="auto"/>
                <w:right w:val="none" w:sz="0" w:space="0" w:color="auto"/>
              </w:divBdr>
            </w:div>
            <w:div w:id="1153985922">
              <w:marLeft w:val="0"/>
              <w:marRight w:val="0"/>
              <w:marTop w:val="0"/>
              <w:marBottom w:val="0"/>
              <w:divBdr>
                <w:top w:val="none" w:sz="0" w:space="0" w:color="auto"/>
                <w:left w:val="none" w:sz="0" w:space="0" w:color="auto"/>
                <w:bottom w:val="none" w:sz="0" w:space="0" w:color="auto"/>
                <w:right w:val="none" w:sz="0" w:space="0" w:color="auto"/>
              </w:divBdr>
            </w:div>
            <w:div w:id="1294601427">
              <w:marLeft w:val="0"/>
              <w:marRight w:val="0"/>
              <w:marTop w:val="0"/>
              <w:marBottom w:val="0"/>
              <w:divBdr>
                <w:top w:val="none" w:sz="0" w:space="0" w:color="auto"/>
                <w:left w:val="none" w:sz="0" w:space="0" w:color="auto"/>
                <w:bottom w:val="none" w:sz="0" w:space="0" w:color="auto"/>
                <w:right w:val="none" w:sz="0" w:space="0" w:color="auto"/>
              </w:divBdr>
            </w:div>
            <w:div w:id="1462189178">
              <w:marLeft w:val="0"/>
              <w:marRight w:val="0"/>
              <w:marTop w:val="0"/>
              <w:marBottom w:val="0"/>
              <w:divBdr>
                <w:top w:val="none" w:sz="0" w:space="0" w:color="auto"/>
                <w:left w:val="none" w:sz="0" w:space="0" w:color="auto"/>
                <w:bottom w:val="none" w:sz="0" w:space="0" w:color="auto"/>
                <w:right w:val="none" w:sz="0" w:space="0" w:color="auto"/>
              </w:divBdr>
            </w:div>
          </w:divsChild>
        </w:div>
        <w:div w:id="1142386056">
          <w:marLeft w:val="0"/>
          <w:marRight w:val="0"/>
          <w:marTop w:val="0"/>
          <w:marBottom w:val="0"/>
          <w:divBdr>
            <w:top w:val="none" w:sz="0" w:space="0" w:color="auto"/>
            <w:left w:val="none" w:sz="0" w:space="0" w:color="auto"/>
            <w:bottom w:val="none" w:sz="0" w:space="0" w:color="auto"/>
            <w:right w:val="none" w:sz="0" w:space="0" w:color="auto"/>
          </w:divBdr>
          <w:divsChild>
            <w:div w:id="1886677108">
              <w:marLeft w:val="-75"/>
              <w:marRight w:val="0"/>
              <w:marTop w:val="30"/>
              <w:marBottom w:val="30"/>
              <w:divBdr>
                <w:top w:val="none" w:sz="0" w:space="0" w:color="auto"/>
                <w:left w:val="none" w:sz="0" w:space="0" w:color="auto"/>
                <w:bottom w:val="none" w:sz="0" w:space="0" w:color="auto"/>
                <w:right w:val="none" w:sz="0" w:space="0" w:color="auto"/>
              </w:divBdr>
              <w:divsChild>
                <w:div w:id="54742725">
                  <w:marLeft w:val="0"/>
                  <w:marRight w:val="0"/>
                  <w:marTop w:val="0"/>
                  <w:marBottom w:val="0"/>
                  <w:divBdr>
                    <w:top w:val="none" w:sz="0" w:space="0" w:color="auto"/>
                    <w:left w:val="none" w:sz="0" w:space="0" w:color="auto"/>
                    <w:bottom w:val="none" w:sz="0" w:space="0" w:color="auto"/>
                    <w:right w:val="none" w:sz="0" w:space="0" w:color="auto"/>
                  </w:divBdr>
                  <w:divsChild>
                    <w:div w:id="1435326863">
                      <w:marLeft w:val="0"/>
                      <w:marRight w:val="0"/>
                      <w:marTop w:val="0"/>
                      <w:marBottom w:val="0"/>
                      <w:divBdr>
                        <w:top w:val="none" w:sz="0" w:space="0" w:color="auto"/>
                        <w:left w:val="none" w:sz="0" w:space="0" w:color="auto"/>
                        <w:bottom w:val="none" w:sz="0" w:space="0" w:color="auto"/>
                        <w:right w:val="none" w:sz="0" w:space="0" w:color="auto"/>
                      </w:divBdr>
                    </w:div>
                    <w:div w:id="1847401844">
                      <w:marLeft w:val="0"/>
                      <w:marRight w:val="0"/>
                      <w:marTop w:val="0"/>
                      <w:marBottom w:val="0"/>
                      <w:divBdr>
                        <w:top w:val="none" w:sz="0" w:space="0" w:color="auto"/>
                        <w:left w:val="none" w:sz="0" w:space="0" w:color="auto"/>
                        <w:bottom w:val="none" w:sz="0" w:space="0" w:color="auto"/>
                        <w:right w:val="none" w:sz="0" w:space="0" w:color="auto"/>
                      </w:divBdr>
                    </w:div>
                  </w:divsChild>
                </w:div>
                <w:div w:id="211498507">
                  <w:marLeft w:val="0"/>
                  <w:marRight w:val="0"/>
                  <w:marTop w:val="0"/>
                  <w:marBottom w:val="0"/>
                  <w:divBdr>
                    <w:top w:val="none" w:sz="0" w:space="0" w:color="auto"/>
                    <w:left w:val="none" w:sz="0" w:space="0" w:color="auto"/>
                    <w:bottom w:val="none" w:sz="0" w:space="0" w:color="auto"/>
                    <w:right w:val="none" w:sz="0" w:space="0" w:color="auto"/>
                  </w:divBdr>
                  <w:divsChild>
                    <w:div w:id="499348628">
                      <w:marLeft w:val="0"/>
                      <w:marRight w:val="0"/>
                      <w:marTop w:val="0"/>
                      <w:marBottom w:val="0"/>
                      <w:divBdr>
                        <w:top w:val="none" w:sz="0" w:space="0" w:color="auto"/>
                        <w:left w:val="none" w:sz="0" w:space="0" w:color="auto"/>
                        <w:bottom w:val="none" w:sz="0" w:space="0" w:color="auto"/>
                        <w:right w:val="none" w:sz="0" w:space="0" w:color="auto"/>
                      </w:divBdr>
                    </w:div>
                    <w:div w:id="1357074088">
                      <w:marLeft w:val="0"/>
                      <w:marRight w:val="0"/>
                      <w:marTop w:val="0"/>
                      <w:marBottom w:val="0"/>
                      <w:divBdr>
                        <w:top w:val="none" w:sz="0" w:space="0" w:color="auto"/>
                        <w:left w:val="none" w:sz="0" w:space="0" w:color="auto"/>
                        <w:bottom w:val="none" w:sz="0" w:space="0" w:color="auto"/>
                        <w:right w:val="none" w:sz="0" w:space="0" w:color="auto"/>
                      </w:divBdr>
                    </w:div>
                  </w:divsChild>
                </w:div>
                <w:div w:id="356850981">
                  <w:marLeft w:val="0"/>
                  <w:marRight w:val="0"/>
                  <w:marTop w:val="0"/>
                  <w:marBottom w:val="0"/>
                  <w:divBdr>
                    <w:top w:val="none" w:sz="0" w:space="0" w:color="auto"/>
                    <w:left w:val="none" w:sz="0" w:space="0" w:color="auto"/>
                    <w:bottom w:val="none" w:sz="0" w:space="0" w:color="auto"/>
                    <w:right w:val="none" w:sz="0" w:space="0" w:color="auto"/>
                  </w:divBdr>
                  <w:divsChild>
                    <w:div w:id="781724078">
                      <w:marLeft w:val="0"/>
                      <w:marRight w:val="0"/>
                      <w:marTop w:val="0"/>
                      <w:marBottom w:val="0"/>
                      <w:divBdr>
                        <w:top w:val="none" w:sz="0" w:space="0" w:color="auto"/>
                        <w:left w:val="none" w:sz="0" w:space="0" w:color="auto"/>
                        <w:bottom w:val="none" w:sz="0" w:space="0" w:color="auto"/>
                        <w:right w:val="none" w:sz="0" w:space="0" w:color="auto"/>
                      </w:divBdr>
                    </w:div>
                    <w:div w:id="1924756009">
                      <w:marLeft w:val="0"/>
                      <w:marRight w:val="0"/>
                      <w:marTop w:val="0"/>
                      <w:marBottom w:val="0"/>
                      <w:divBdr>
                        <w:top w:val="none" w:sz="0" w:space="0" w:color="auto"/>
                        <w:left w:val="none" w:sz="0" w:space="0" w:color="auto"/>
                        <w:bottom w:val="none" w:sz="0" w:space="0" w:color="auto"/>
                        <w:right w:val="none" w:sz="0" w:space="0" w:color="auto"/>
                      </w:divBdr>
                    </w:div>
                  </w:divsChild>
                </w:div>
                <w:div w:id="392705355">
                  <w:marLeft w:val="0"/>
                  <w:marRight w:val="0"/>
                  <w:marTop w:val="0"/>
                  <w:marBottom w:val="0"/>
                  <w:divBdr>
                    <w:top w:val="none" w:sz="0" w:space="0" w:color="auto"/>
                    <w:left w:val="none" w:sz="0" w:space="0" w:color="auto"/>
                    <w:bottom w:val="none" w:sz="0" w:space="0" w:color="auto"/>
                    <w:right w:val="none" w:sz="0" w:space="0" w:color="auto"/>
                  </w:divBdr>
                  <w:divsChild>
                    <w:div w:id="478305735">
                      <w:marLeft w:val="0"/>
                      <w:marRight w:val="0"/>
                      <w:marTop w:val="0"/>
                      <w:marBottom w:val="0"/>
                      <w:divBdr>
                        <w:top w:val="none" w:sz="0" w:space="0" w:color="auto"/>
                        <w:left w:val="none" w:sz="0" w:space="0" w:color="auto"/>
                        <w:bottom w:val="none" w:sz="0" w:space="0" w:color="auto"/>
                        <w:right w:val="none" w:sz="0" w:space="0" w:color="auto"/>
                      </w:divBdr>
                    </w:div>
                    <w:div w:id="682364447">
                      <w:marLeft w:val="0"/>
                      <w:marRight w:val="0"/>
                      <w:marTop w:val="0"/>
                      <w:marBottom w:val="0"/>
                      <w:divBdr>
                        <w:top w:val="none" w:sz="0" w:space="0" w:color="auto"/>
                        <w:left w:val="none" w:sz="0" w:space="0" w:color="auto"/>
                        <w:bottom w:val="none" w:sz="0" w:space="0" w:color="auto"/>
                        <w:right w:val="none" w:sz="0" w:space="0" w:color="auto"/>
                      </w:divBdr>
                    </w:div>
                    <w:div w:id="735979513">
                      <w:marLeft w:val="0"/>
                      <w:marRight w:val="0"/>
                      <w:marTop w:val="0"/>
                      <w:marBottom w:val="0"/>
                      <w:divBdr>
                        <w:top w:val="none" w:sz="0" w:space="0" w:color="auto"/>
                        <w:left w:val="none" w:sz="0" w:space="0" w:color="auto"/>
                        <w:bottom w:val="none" w:sz="0" w:space="0" w:color="auto"/>
                        <w:right w:val="none" w:sz="0" w:space="0" w:color="auto"/>
                      </w:divBdr>
                    </w:div>
                    <w:div w:id="944730132">
                      <w:marLeft w:val="0"/>
                      <w:marRight w:val="0"/>
                      <w:marTop w:val="0"/>
                      <w:marBottom w:val="0"/>
                      <w:divBdr>
                        <w:top w:val="none" w:sz="0" w:space="0" w:color="auto"/>
                        <w:left w:val="none" w:sz="0" w:space="0" w:color="auto"/>
                        <w:bottom w:val="none" w:sz="0" w:space="0" w:color="auto"/>
                        <w:right w:val="none" w:sz="0" w:space="0" w:color="auto"/>
                      </w:divBdr>
                    </w:div>
                    <w:div w:id="1947813072">
                      <w:marLeft w:val="0"/>
                      <w:marRight w:val="0"/>
                      <w:marTop w:val="0"/>
                      <w:marBottom w:val="0"/>
                      <w:divBdr>
                        <w:top w:val="none" w:sz="0" w:space="0" w:color="auto"/>
                        <w:left w:val="none" w:sz="0" w:space="0" w:color="auto"/>
                        <w:bottom w:val="none" w:sz="0" w:space="0" w:color="auto"/>
                        <w:right w:val="none" w:sz="0" w:space="0" w:color="auto"/>
                      </w:divBdr>
                    </w:div>
                    <w:div w:id="2117559495">
                      <w:marLeft w:val="0"/>
                      <w:marRight w:val="0"/>
                      <w:marTop w:val="0"/>
                      <w:marBottom w:val="0"/>
                      <w:divBdr>
                        <w:top w:val="none" w:sz="0" w:space="0" w:color="auto"/>
                        <w:left w:val="none" w:sz="0" w:space="0" w:color="auto"/>
                        <w:bottom w:val="none" w:sz="0" w:space="0" w:color="auto"/>
                        <w:right w:val="none" w:sz="0" w:space="0" w:color="auto"/>
                      </w:divBdr>
                    </w:div>
                  </w:divsChild>
                </w:div>
                <w:div w:id="432168425">
                  <w:marLeft w:val="0"/>
                  <w:marRight w:val="0"/>
                  <w:marTop w:val="0"/>
                  <w:marBottom w:val="0"/>
                  <w:divBdr>
                    <w:top w:val="none" w:sz="0" w:space="0" w:color="auto"/>
                    <w:left w:val="none" w:sz="0" w:space="0" w:color="auto"/>
                    <w:bottom w:val="none" w:sz="0" w:space="0" w:color="auto"/>
                    <w:right w:val="none" w:sz="0" w:space="0" w:color="auto"/>
                  </w:divBdr>
                  <w:divsChild>
                    <w:div w:id="105734546">
                      <w:marLeft w:val="0"/>
                      <w:marRight w:val="0"/>
                      <w:marTop w:val="0"/>
                      <w:marBottom w:val="0"/>
                      <w:divBdr>
                        <w:top w:val="none" w:sz="0" w:space="0" w:color="auto"/>
                        <w:left w:val="none" w:sz="0" w:space="0" w:color="auto"/>
                        <w:bottom w:val="none" w:sz="0" w:space="0" w:color="auto"/>
                        <w:right w:val="none" w:sz="0" w:space="0" w:color="auto"/>
                      </w:divBdr>
                    </w:div>
                    <w:div w:id="973021731">
                      <w:marLeft w:val="0"/>
                      <w:marRight w:val="0"/>
                      <w:marTop w:val="0"/>
                      <w:marBottom w:val="0"/>
                      <w:divBdr>
                        <w:top w:val="none" w:sz="0" w:space="0" w:color="auto"/>
                        <w:left w:val="none" w:sz="0" w:space="0" w:color="auto"/>
                        <w:bottom w:val="none" w:sz="0" w:space="0" w:color="auto"/>
                        <w:right w:val="none" w:sz="0" w:space="0" w:color="auto"/>
                      </w:divBdr>
                    </w:div>
                  </w:divsChild>
                </w:div>
                <w:div w:id="473723000">
                  <w:marLeft w:val="0"/>
                  <w:marRight w:val="0"/>
                  <w:marTop w:val="0"/>
                  <w:marBottom w:val="0"/>
                  <w:divBdr>
                    <w:top w:val="none" w:sz="0" w:space="0" w:color="auto"/>
                    <w:left w:val="none" w:sz="0" w:space="0" w:color="auto"/>
                    <w:bottom w:val="none" w:sz="0" w:space="0" w:color="auto"/>
                    <w:right w:val="none" w:sz="0" w:space="0" w:color="auto"/>
                  </w:divBdr>
                  <w:divsChild>
                    <w:div w:id="729769686">
                      <w:marLeft w:val="0"/>
                      <w:marRight w:val="0"/>
                      <w:marTop w:val="0"/>
                      <w:marBottom w:val="0"/>
                      <w:divBdr>
                        <w:top w:val="none" w:sz="0" w:space="0" w:color="auto"/>
                        <w:left w:val="none" w:sz="0" w:space="0" w:color="auto"/>
                        <w:bottom w:val="none" w:sz="0" w:space="0" w:color="auto"/>
                        <w:right w:val="none" w:sz="0" w:space="0" w:color="auto"/>
                      </w:divBdr>
                    </w:div>
                    <w:div w:id="1422869029">
                      <w:marLeft w:val="0"/>
                      <w:marRight w:val="0"/>
                      <w:marTop w:val="0"/>
                      <w:marBottom w:val="0"/>
                      <w:divBdr>
                        <w:top w:val="none" w:sz="0" w:space="0" w:color="auto"/>
                        <w:left w:val="none" w:sz="0" w:space="0" w:color="auto"/>
                        <w:bottom w:val="none" w:sz="0" w:space="0" w:color="auto"/>
                        <w:right w:val="none" w:sz="0" w:space="0" w:color="auto"/>
                      </w:divBdr>
                    </w:div>
                  </w:divsChild>
                </w:div>
                <w:div w:id="572618337">
                  <w:marLeft w:val="0"/>
                  <w:marRight w:val="0"/>
                  <w:marTop w:val="0"/>
                  <w:marBottom w:val="0"/>
                  <w:divBdr>
                    <w:top w:val="none" w:sz="0" w:space="0" w:color="auto"/>
                    <w:left w:val="none" w:sz="0" w:space="0" w:color="auto"/>
                    <w:bottom w:val="none" w:sz="0" w:space="0" w:color="auto"/>
                    <w:right w:val="none" w:sz="0" w:space="0" w:color="auto"/>
                  </w:divBdr>
                  <w:divsChild>
                    <w:div w:id="392386770">
                      <w:marLeft w:val="0"/>
                      <w:marRight w:val="0"/>
                      <w:marTop w:val="0"/>
                      <w:marBottom w:val="0"/>
                      <w:divBdr>
                        <w:top w:val="none" w:sz="0" w:space="0" w:color="auto"/>
                        <w:left w:val="none" w:sz="0" w:space="0" w:color="auto"/>
                        <w:bottom w:val="none" w:sz="0" w:space="0" w:color="auto"/>
                        <w:right w:val="none" w:sz="0" w:space="0" w:color="auto"/>
                      </w:divBdr>
                    </w:div>
                  </w:divsChild>
                </w:div>
                <w:div w:id="1073166710">
                  <w:marLeft w:val="0"/>
                  <w:marRight w:val="0"/>
                  <w:marTop w:val="0"/>
                  <w:marBottom w:val="0"/>
                  <w:divBdr>
                    <w:top w:val="none" w:sz="0" w:space="0" w:color="auto"/>
                    <w:left w:val="none" w:sz="0" w:space="0" w:color="auto"/>
                    <w:bottom w:val="none" w:sz="0" w:space="0" w:color="auto"/>
                    <w:right w:val="none" w:sz="0" w:space="0" w:color="auto"/>
                  </w:divBdr>
                  <w:divsChild>
                    <w:div w:id="232356190">
                      <w:marLeft w:val="0"/>
                      <w:marRight w:val="0"/>
                      <w:marTop w:val="0"/>
                      <w:marBottom w:val="0"/>
                      <w:divBdr>
                        <w:top w:val="none" w:sz="0" w:space="0" w:color="auto"/>
                        <w:left w:val="none" w:sz="0" w:space="0" w:color="auto"/>
                        <w:bottom w:val="none" w:sz="0" w:space="0" w:color="auto"/>
                        <w:right w:val="none" w:sz="0" w:space="0" w:color="auto"/>
                      </w:divBdr>
                    </w:div>
                  </w:divsChild>
                </w:div>
                <w:div w:id="1167406152">
                  <w:marLeft w:val="0"/>
                  <w:marRight w:val="0"/>
                  <w:marTop w:val="0"/>
                  <w:marBottom w:val="0"/>
                  <w:divBdr>
                    <w:top w:val="none" w:sz="0" w:space="0" w:color="auto"/>
                    <w:left w:val="none" w:sz="0" w:space="0" w:color="auto"/>
                    <w:bottom w:val="none" w:sz="0" w:space="0" w:color="auto"/>
                    <w:right w:val="none" w:sz="0" w:space="0" w:color="auto"/>
                  </w:divBdr>
                  <w:divsChild>
                    <w:div w:id="634915757">
                      <w:marLeft w:val="0"/>
                      <w:marRight w:val="0"/>
                      <w:marTop w:val="0"/>
                      <w:marBottom w:val="0"/>
                      <w:divBdr>
                        <w:top w:val="none" w:sz="0" w:space="0" w:color="auto"/>
                        <w:left w:val="none" w:sz="0" w:space="0" w:color="auto"/>
                        <w:bottom w:val="none" w:sz="0" w:space="0" w:color="auto"/>
                        <w:right w:val="none" w:sz="0" w:space="0" w:color="auto"/>
                      </w:divBdr>
                    </w:div>
                    <w:div w:id="2048018562">
                      <w:marLeft w:val="0"/>
                      <w:marRight w:val="0"/>
                      <w:marTop w:val="0"/>
                      <w:marBottom w:val="0"/>
                      <w:divBdr>
                        <w:top w:val="none" w:sz="0" w:space="0" w:color="auto"/>
                        <w:left w:val="none" w:sz="0" w:space="0" w:color="auto"/>
                        <w:bottom w:val="none" w:sz="0" w:space="0" w:color="auto"/>
                        <w:right w:val="none" w:sz="0" w:space="0" w:color="auto"/>
                      </w:divBdr>
                    </w:div>
                  </w:divsChild>
                </w:div>
                <w:div w:id="1286279587">
                  <w:marLeft w:val="0"/>
                  <w:marRight w:val="0"/>
                  <w:marTop w:val="0"/>
                  <w:marBottom w:val="0"/>
                  <w:divBdr>
                    <w:top w:val="none" w:sz="0" w:space="0" w:color="auto"/>
                    <w:left w:val="none" w:sz="0" w:space="0" w:color="auto"/>
                    <w:bottom w:val="none" w:sz="0" w:space="0" w:color="auto"/>
                    <w:right w:val="none" w:sz="0" w:space="0" w:color="auto"/>
                  </w:divBdr>
                  <w:divsChild>
                    <w:div w:id="2092579669">
                      <w:marLeft w:val="0"/>
                      <w:marRight w:val="0"/>
                      <w:marTop w:val="0"/>
                      <w:marBottom w:val="0"/>
                      <w:divBdr>
                        <w:top w:val="none" w:sz="0" w:space="0" w:color="auto"/>
                        <w:left w:val="none" w:sz="0" w:space="0" w:color="auto"/>
                        <w:bottom w:val="none" w:sz="0" w:space="0" w:color="auto"/>
                        <w:right w:val="none" w:sz="0" w:space="0" w:color="auto"/>
                      </w:divBdr>
                    </w:div>
                  </w:divsChild>
                </w:div>
                <w:div w:id="1403017857">
                  <w:marLeft w:val="0"/>
                  <w:marRight w:val="0"/>
                  <w:marTop w:val="0"/>
                  <w:marBottom w:val="0"/>
                  <w:divBdr>
                    <w:top w:val="none" w:sz="0" w:space="0" w:color="auto"/>
                    <w:left w:val="none" w:sz="0" w:space="0" w:color="auto"/>
                    <w:bottom w:val="none" w:sz="0" w:space="0" w:color="auto"/>
                    <w:right w:val="none" w:sz="0" w:space="0" w:color="auto"/>
                  </w:divBdr>
                  <w:divsChild>
                    <w:div w:id="635649701">
                      <w:marLeft w:val="0"/>
                      <w:marRight w:val="0"/>
                      <w:marTop w:val="0"/>
                      <w:marBottom w:val="0"/>
                      <w:divBdr>
                        <w:top w:val="none" w:sz="0" w:space="0" w:color="auto"/>
                        <w:left w:val="none" w:sz="0" w:space="0" w:color="auto"/>
                        <w:bottom w:val="none" w:sz="0" w:space="0" w:color="auto"/>
                        <w:right w:val="none" w:sz="0" w:space="0" w:color="auto"/>
                      </w:divBdr>
                    </w:div>
                  </w:divsChild>
                </w:div>
                <w:div w:id="1803840960">
                  <w:marLeft w:val="0"/>
                  <w:marRight w:val="0"/>
                  <w:marTop w:val="0"/>
                  <w:marBottom w:val="0"/>
                  <w:divBdr>
                    <w:top w:val="none" w:sz="0" w:space="0" w:color="auto"/>
                    <w:left w:val="none" w:sz="0" w:space="0" w:color="auto"/>
                    <w:bottom w:val="none" w:sz="0" w:space="0" w:color="auto"/>
                    <w:right w:val="none" w:sz="0" w:space="0" w:color="auto"/>
                  </w:divBdr>
                  <w:divsChild>
                    <w:div w:id="177429677">
                      <w:marLeft w:val="0"/>
                      <w:marRight w:val="0"/>
                      <w:marTop w:val="0"/>
                      <w:marBottom w:val="0"/>
                      <w:divBdr>
                        <w:top w:val="none" w:sz="0" w:space="0" w:color="auto"/>
                        <w:left w:val="none" w:sz="0" w:space="0" w:color="auto"/>
                        <w:bottom w:val="none" w:sz="0" w:space="0" w:color="auto"/>
                        <w:right w:val="none" w:sz="0" w:space="0" w:color="auto"/>
                      </w:divBdr>
                    </w:div>
                    <w:div w:id="2064940734">
                      <w:marLeft w:val="0"/>
                      <w:marRight w:val="0"/>
                      <w:marTop w:val="0"/>
                      <w:marBottom w:val="0"/>
                      <w:divBdr>
                        <w:top w:val="none" w:sz="0" w:space="0" w:color="auto"/>
                        <w:left w:val="none" w:sz="0" w:space="0" w:color="auto"/>
                        <w:bottom w:val="none" w:sz="0" w:space="0" w:color="auto"/>
                        <w:right w:val="none" w:sz="0" w:space="0" w:color="auto"/>
                      </w:divBdr>
                    </w:div>
                  </w:divsChild>
                </w:div>
                <w:div w:id="1807115979">
                  <w:marLeft w:val="0"/>
                  <w:marRight w:val="0"/>
                  <w:marTop w:val="0"/>
                  <w:marBottom w:val="0"/>
                  <w:divBdr>
                    <w:top w:val="none" w:sz="0" w:space="0" w:color="auto"/>
                    <w:left w:val="none" w:sz="0" w:space="0" w:color="auto"/>
                    <w:bottom w:val="none" w:sz="0" w:space="0" w:color="auto"/>
                    <w:right w:val="none" w:sz="0" w:space="0" w:color="auto"/>
                  </w:divBdr>
                  <w:divsChild>
                    <w:div w:id="1936551082">
                      <w:marLeft w:val="0"/>
                      <w:marRight w:val="0"/>
                      <w:marTop w:val="0"/>
                      <w:marBottom w:val="0"/>
                      <w:divBdr>
                        <w:top w:val="none" w:sz="0" w:space="0" w:color="auto"/>
                        <w:left w:val="none" w:sz="0" w:space="0" w:color="auto"/>
                        <w:bottom w:val="none" w:sz="0" w:space="0" w:color="auto"/>
                        <w:right w:val="none" w:sz="0" w:space="0" w:color="auto"/>
                      </w:divBdr>
                    </w:div>
                  </w:divsChild>
                </w:div>
                <w:div w:id="1893810712">
                  <w:marLeft w:val="0"/>
                  <w:marRight w:val="0"/>
                  <w:marTop w:val="0"/>
                  <w:marBottom w:val="0"/>
                  <w:divBdr>
                    <w:top w:val="none" w:sz="0" w:space="0" w:color="auto"/>
                    <w:left w:val="none" w:sz="0" w:space="0" w:color="auto"/>
                    <w:bottom w:val="none" w:sz="0" w:space="0" w:color="auto"/>
                    <w:right w:val="none" w:sz="0" w:space="0" w:color="auto"/>
                  </w:divBdr>
                  <w:divsChild>
                    <w:div w:id="202642129">
                      <w:marLeft w:val="0"/>
                      <w:marRight w:val="0"/>
                      <w:marTop w:val="0"/>
                      <w:marBottom w:val="0"/>
                      <w:divBdr>
                        <w:top w:val="none" w:sz="0" w:space="0" w:color="auto"/>
                        <w:left w:val="none" w:sz="0" w:space="0" w:color="auto"/>
                        <w:bottom w:val="none" w:sz="0" w:space="0" w:color="auto"/>
                        <w:right w:val="none" w:sz="0" w:space="0" w:color="auto"/>
                      </w:divBdr>
                    </w:div>
                    <w:div w:id="597251358">
                      <w:marLeft w:val="0"/>
                      <w:marRight w:val="0"/>
                      <w:marTop w:val="0"/>
                      <w:marBottom w:val="0"/>
                      <w:divBdr>
                        <w:top w:val="none" w:sz="0" w:space="0" w:color="auto"/>
                        <w:left w:val="none" w:sz="0" w:space="0" w:color="auto"/>
                        <w:bottom w:val="none" w:sz="0" w:space="0" w:color="auto"/>
                        <w:right w:val="none" w:sz="0" w:space="0" w:color="auto"/>
                      </w:divBdr>
                    </w:div>
                  </w:divsChild>
                </w:div>
                <w:div w:id="1960523218">
                  <w:marLeft w:val="0"/>
                  <w:marRight w:val="0"/>
                  <w:marTop w:val="0"/>
                  <w:marBottom w:val="0"/>
                  <w:divBdr>
                    <w:top w:val="none" w:sz="0" w:space="0" w:color="auto"/>
                    <w:left w:val="none" w:sz="0" w:space="0" w:color="auto"/>
                    <w:bottom w:val="none" w:sz="0" w:space="0" w:color="auto"/>
                    <w:right w:val="none" w:sz="0" w:space="0" w:color="auto"/>
                  </w:divBdr>
                  <w:divsChild>
                    <w:div w:id="135152571">
                      <w:marLeft w:val="0"/>
                      <w:marRight w:val="0"/>
                      <w:marTop w:val="0"/>
                      <w:marBottom w:val="0"/>
                      <w:divBdr>
                        <w:top w:val="none" w:sz="0" w:space="0" w:color="auto"/>
                        <w:left w:val="none" w:sz="0" w:space="0" w:color="auto"/>
                        <w:bottom w:val="none" w:sz="0" w:space="0" w:color="auto"/>
                        <w:right w:val="none" w:sz="0" w:space="0" w:color="auto"/>
                      </w:divBdr>
                    </w:div>
                    <w:div w:id="259994716">
                      <w:marLeft w:val="0"/>
                      <w:marRight w:val="0"/>
                      <w:marTop w:val="0"/>
                      <w:marBottom w:val="0"/>
                      <w:divBdr>
                        <w:top w:val="none" w:sz="0" w:space="0" w:color="auto"/>
                        <w:left w:val="none" w:sz="0" w:space="0" w:color="auto"/>
                        <w:bottom w:val="none" w:sz="0" w:space="0" w:color="auto"/>
                        <w:right w:val="none" w:sz="0" w:space="0" w:color="auto"/>
                      </w:divBdr>
                    </w:div>
                    <w:div w:id="795488575">
                      <w:marLeft w:val="0"/>
                      <w:marRight w:val="0"/>
                      <w:marTop w:val="0"/>
                      <w:marBottom w:val="0"/>
                      <w:divBdr>
                        <w:top w:val="none" w:sz="0" w:space="0" w:color="auto"/>
                        <w:left w:val="none" w:sz="0" w:space="0" w:color="auto"/>
                        <w:bottom w:val="none" w:sz="0" w:space="0" w:color="auto"/>
                        <w:right w:val="none" w:sz="0" w:space="0" w:color="auto"/>
                      </w:divBdr>
                    </w:div>
                    <w:div w:id="947544778">
                      <w:marLeft w:val="0"/>
                      <w:marRight w:val="0"/>
                      <w:marTop w:val="0"/>
                      <w:marBottom w:val="0"/>
                      <w:divBdr>
                        <w:top w:val="none" w:sz="0" w:space="0" w:color="auto"/>
                        <w:left w:val="none" w:sz="0" w:space="0" w:color="auto"/>
                        <w:bottom w:val="none" w:sz="0" w:space="0" w:color="auto"/>
                        <w:right w:val="none" w:sz="0" w:space="0" w:color="auto"/>
                      </w:divBdr>
                    </w:div>
                    <w:div w:id="21225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575190">
          <w:marLeft w:val="0"/>
          <w:marRight w:val="0"/>
          <w:marTop w:val="0"/>
          <w:marBottom w:val="0"/>
          <w:divBdr>
            <w:top w:val="none" w:sz="0" w:space="0" w:color="auto"/>
            <w:left w:val="none" w:sz="0" w:space="0" w:color="auto"/>
            <w:bottom w:val="none" w:sz="0" w:space="0" w:color="auto"/>
            <w:right w:val="none" w:sz="0" w:space="0" w:color="auto"/>
          </w:divBdr>
          <w:divsChild>
            <w:div w:id="156313750">
              <w:marLeft w:val="0"/>
              <w:marRight w:val="0"/>
              <w:marTop w:val="0"/>
              <w:marBottom w:val="0"/>
              <w:divBdr>
                <w:top w:val="none" w:sz="0" w:space="0" w:color="auto"/>
                <w:left w:val="none" w:sz="0" w:space="0" w:color="auto"/>
                <w:bottom w:val="none" w:sz="0" w:space="0" w:color="auto"/>
                <w:right w:val="none" w:sz="0" w:space="0" w:color="auto"/>
              </w:divBdr>
            </w:div>
            <w:div w:id="449058924">
              <w:marLeft w:val="0"/>
              <w:marRight w:val="0"/>
              <w:marTop w:val="0"/>
              <w:marBottom w:val="0"/>
              <w:divBdr>
                <w:top w:val="none" w:sz="0" w:space="0" w:color="auto"/>
                <w:left w:val="none" w:sz="0" w:space="0" w:color="auto"/>
                <w:bottom w:val="none" w:sz="0" w:space="0" w:color="auto"/>
                <w:right w:val="none" w:sz="0" w:space="0" w:color="auto"/>
              </w:divBdr>
            </w:div>
            <w:div w:id="673722898">
              <w:marLeft w:val="0"/>
              <w:marRight w:val="0"/>
              <w:marTop w:val="0"/>
              <w:marBottom w:val="0"/>
              <w:divBdr>
                <w:top w:val="none" w:sz="0" w:space="0" w:color="auto"/>
                <w:left w:val="none" w:sz="0" w:space="0" w:color="auto"/>
                <w:bottom w:val="none" w:sz="0" w:space="0" w:color="auto"/>
                <w:right w:val="none" w:sz="0" w:space="0" w:color="auto"/>
              </w:divBdr>
            </w:div>
            <w:div w:id="737483223">
              <w:marLeft w:val="0"/>
              <w:marRight w:val="0"/>
              <w:marTop w:val="0"/>
              <w:marBottom w:val="0"/>
              <w:divBdr>
                <w:top w:val="none" w:sz="0" w:space="0" w:color="auto"/>
                <w:left w:val="none" w:sz="0" w:space="0" w:color="auto"/>
                <w:bottom w:val="none" w:sz="0" w:space="0" w:color="auto"/>
                <w:right w:val="none" w:sz="0" w:space="0" w:color="auto"/>
              </w:divBdr>
            </w:div>
            <w:div w:id="1449082287">
              <w:marLeft w:val="0"/>
              <w:marRight w:val="0"/>
              <w:marTop w:val="0"/>
              <w:marBottom w:val="0"/>
              <w:divBdr>
                <w:top w:val="none" w:sz="0" w:space="0" w:color="auto"/>
                <w:left w:val="none" w:sz="0" w:space="0" w:color="auto"/>
                <w:bottom w:val="none" w:sz="0" w:space="0" w:color="auto"/>
                <w:right w:val="none" w:sz="0" w:space="0" w:color="auto"/>
              </w:divBdr>
            </w:div>
            <w:div w:id="214581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98005">
      <w:bodyDiv w:val="1"/>
      <w:marLeft w:val="0"/>
      <w:marRight w:val="0"/>
      <w:marTop w:val="0"/>
      <w:marBottom w:val="0"/>
      <w:divBdr>
        <w:top w:val="none" w:sz="0" w:space="0" w:color="auto"/>
        <w:left w:val="none" w:sz="0" w:space="0" w:color="auto"/>
        <w:bottom w:val="none" w:sz="0" w:space="0" w:color="auto"/>
        <w:right w:val="none" w:sz="0" w:space="0" w:color="auto"/>
      </w:divBdr>
      <w:divsChild>
        <w:div w:id="119540121">
          <w:marLeft w:val="446"/>
          <w:marRight w:val="0"/>
          <w:marTop w:val="120"/>
          <w:marBottom w:val="0"/>
          <w:divBdr>
            <w:top w:val="none" w:sz="0" w:space="0" w:color="auto"/>
            <w:left w:val="none" w:sz="0" w:space="0" w:color="auto"/>
            <w:bottom w:val="none" w:sz="0" w:space="0" w:color="auto"/>
            <w:right w:val="none" w:sz="0" w:space="0" w:color="auto"/>
          </w:divBdr>
        </w:div>
        <w:div w:id="817303517">
          <w:marLeft w:val="446"/>
          <w:marRight w:val="0"/>
          <w:marTop w:val="120"/>
          <w:marBottom w:val="0"/>
          <w:divBdr>
            <w:top w:val="none" w:sz="0" w:space="0" w:color="auto"/>
            <w:left w:val="none" w:sz="0" w:space="0" w:color="auto"/>
            <w:bottom w:val="none" w:sz="0" w:space="0" w:color="auto"/>
            <w:right w:val="none" w:sz="0" w:space="0" w:color="auto"/>
          </w:divBdr>
        </w:div>
        <w:div w:id="1372149976">
          <w:marLeft w:val="446"/>
          <w:marRight w:val="0"/>
          <w:marTop w:val="120"/>
          <w:marBottom w:val="0"/>
          <w:divBdr>
            <w:top w:val="none" w:sz="0" w:space="0" w:color="auto"/>
            <w:left w:val="none" w:sz="0" w:space="0" w:color="auto"/>
            <w:bottom w:val="none" w:sz="0" w:space="0" w:color="auto"/>
            <w:right w:val="none" w:sz="0" w:space="0" w:color="auto"/>
          </w:divBdr>
        </w:div>
        <w:div w:id="2073429789">
          <w:marLeft w:val="446"/>
          <w:marRight w:val="0"/>
          <w:marTop w:val="120"/>
          <w:marBottom w:val="0"/>
          <w:divBdr>
            <w:top w:val="none" w:sz="0" w:space="0" w:color="auto"/>
            <w:left w:val="none" w:sz="0" w:space="0" w:color="auto"/>
            <w:bottom w:val="none" w:sz="0" w:space="0" w:color="auto"/>
            <w:right w:val="none" w:sz="0" w:space="0" w:color="auto"/>
          </w:divBdr>
        </w:div>
        <w:div w:id="2117865830">
          <w:marLeft w:val="446"/>
          <w:marRight w:val="0"/>
          <w:marTop w:val="120"/>
          <w:marBottom w:val="0"/>
          <w:divBdr>
            <w:top w:val="none" w:sz="0" w:space="0" w:color="auto"/>
            <w:left w:val="none" w:sz="0" w:space="0" w:color="auto"/>
            <w:bottom w:val="none" w:sz="0" w:space="0" w:color="auto"/>
            <w:right w:val="none" w:sz="0" w:space="0" w:color="auto"/>
          </w:divBdr>
        </w:div>
      </w:divsChild>
    </w:div>
    <w:div w:id="1891111187">
      <w:bodyDiv w:val="1"/>
      <w:marLeft w:val="0"/>
      <w:marRight w:val="0"/>
      <w:marTop w:val="0"/>
      <w:marBottom w:val="0"/>
      <w:divBdr>
        <w:top w:val="none" w:sz="0" w:space="0" w:color="auto"/>
        <w:left w:val="none" w:sz="0" w:space="0" w:color="auto"/>
        <w:bottom w:val="none" w:sz="0" w:space="0" w:color="auto"/>
        <w:right w:val="none" w:sz="0" w:space="0" w:color="auto"/>
      </w:divBdr>
      <w:divsChild>
        <w:div w:id="1463618873">
          <w:marLeft w:val="0"/>
          <w:marRight w:val="0"/>
          <w:marTop w:val="0"/>
          <w:marBottom w:val="0"/>
          <w:divBdr>
            <w:top w:val="none" w:sz="0" w:space="0" w:color="auto"/>
            <w:left w:val="none" w:sz="0" w:space="0" w:color="auto"/>
            <w:bottom w:val="none" w:sz="0" w:space="0" w:color="auto"/>
            <w:right w:val="none" w:sz="0" w:space="0" w:color="auto"/>
          </w:divBdr>
          <w:divsChild>
            <w:div w:id="65152405">
              <w:marLeft w:val="0"/>
              <w:marRight w:val="0"/>
              <w:marTop w:val="0"/>
              <w:marBottom w:val="0"/>
              <w:divBdr>
                <w:top w:val="none" w:sz="0" w:space="0" w:color="auto"/>
                <w:left w:val="none" w:sz="0" w:space="0" w:color="auto"/>
                <w:bottom w:val="none" w:sz="0" w:space="0" w:color="auto"/>
                <w:right w:val="none" w:sz="0" w:space="0" w:color="auto"/>
              </w:divBdr>
            </w:div>
            <w:div w:id="867721398">
              <w:marLeft w:val="0"/>
              <w:marRight w:val="0"/>
              <w:marTop w:val="0"/>
              <w:marBottom w:val="0"/>
              <w:divBdr>
                <w:top w:val="none" w:sz="0" w:space="0" w:color="auto"/>
                <w:left w:val="none" w:sz="0" w:space="0" w:color="auto"/>
                <w:bottom w:val="none" w:sz="0" w:space="0" w:color="auto"/>
                <w:right w:val="none" w:sz="0" w:space="0" w:color="auto"/>
              </w:divBdr>
            </w:div>
            <w:div w:id="1355109603">
              <w:marLeft w:val="0"/>
              <w:marRight w:val="0"/>
              <w:marTop w:val="0"/>
              <w:marBottom w:val="0"/>
              <w:divBdr>
                <w:top w:val="none" w:sz="0" w:space="0" w:color="auto"/>
                <w:left w:val="none" w:sz="0" w:space="0" w:color="auto"/>
                <w:bottom w:val="none" w:sz="0" w:space="0" w:color="auto"/>
                <w:right w:val="none" w:sz="0" w:space="0" w:color="auto"/>
              </w:divBdr>
            </w:div>
          </w:divsChild>
        </w:div>
        <w:div w:id="1820614762">
          <w:marLeft w:val="0"/>
          <w:marRight w:val="0"/>
          <w:marTop w:val="0"/>
          <w:marBottom w:val="0"/>
          <w:divBdr>
            <w:top w:val="none" w:sz="0" w:space="0" w:color="auto"/>
            <w:left w:val="none" w:sz="0" w:space="0" w:color="auto"/>
            <w:bottom w:val="none" w:sz="0" w:space="0" w:color="auto"/>
            <w:right w:val="none" w:sz="0" w:space="0" w:color="auto"/>
          </w:divBdr>
          <w:divsChild>
            <w:div w:id="1057243667">
              <w:marLeft w:val="0"/>
              <w:marRight w:val="0"/>
              <w:marTop w:val="0"/>
              <w:marBottom w:val="0"/>
              <w:divBdr>
                <w:top w:val="none" w:sz="0" w:space="0" w:color="auto"/>
                <w:left w:val="none" w:sz="0" w:space="0" w:color="auto"/>
                <w:bottom w:val="none" w:sz="0" w:space="0" w:color="auto"/>
                <w:right w:val="none" w:sz="0" w:space="0" w:color="auto"/>
              </w:divBdr>
            </w:div>
            <w:div w:id="1579749050">
              <w:marLeft w:val="0"/>
              <w:marRight w:val="0"/>
              <w:marTop w:val="0"/>
              <w:marBottom w:val="0"/>
              <w:divBdr>
                <w:top w:val="none" w:sz="0" w:space="0" w:color="auto"/>
                <w:left w:val="none" w:sz="0" w:space="0" w:color="auto"/>
                <w:bottom w:val="none" w:sz="0" w:space="0" w:color="auto"/>
                <w:right w:val="none" w:sz="0" w:space="0" w:color="auto"/>
              </w:divBdr>
            </w:div>
            <w:div w:id="186424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8654">
      <w:bodyDiv w:val="1"/>
      <w:marLeft w:val="0"/>
      <w:marRight w:val="0"/>
      <w:marTop w:val="0"/>
      <w:marBottom w:val="0"/>
      <w:divBdr>
        <w:top w:val="none" w:sz="0" w:space="0" w:color="auto"/>
        <w:left w:val="none" w:sz="0" w:space="0" w:color="auto"/>
        <w:bottom w:val="none" w:sz="0" w:space="0" w:color="auto"/>
        <w:right w:val="none" w:sz="0" w:space="0" w:color="auto"/>
      </w:divBdr>
      <w:divsChild>
        <w:div w:id="404188522">
          <w:marLeft w:val="547"/>
          <w:marRight w:val="0"/>
          <w:marTop w:val="0"/>
          <w:marBottom w:val="0"/>
          <w:divBdr>
            <w:top w:val="none" w:sz="0" w:space="0" w:color="auto"/>
            <w:left w:val="none" w:sz="0" w:space="0" w:color="auto"/>
            <w:bottom w:val="none" w:sz="0" w:space="0" w:color="auto"/>
            <w:right w:val="none" w:sz="0" w:space="0" w:color="auto"/>
          </w:divBdr>
        </w:div>
        <w:div w:id="433288418">
          <w:marLeft w:val="547"/>
          <w:marRight w:val="0"/>
          <w:marTop w:val="0"/>
          <w:marBottom w:val="0"/>
          <w:divBdr>
            <w:top w:val="none" w:sz="0" w:space="0" w:color="auto"/>
            <w:left w:val="none" w:sz="0" w:space="0" w:color="auto"/>
            <w:bottom w:val="none" w:sz="0" w:space="0" w:color="auto"/>
            <w:right w:val="none" w:sz="0" w:space="0" w:color="auto"/>
          </w:divBdr>
        </w:div>
        <w:div w:id="631322999">
          <w:marLeft w:val="547"/>
          <w:marRight w:val="0"/>
          <w:marTop w:val="0"/>
          <w:marBottom w:val="0"/>
          <w:divBdr>
            <w:top w:val="none" w:sz="0" w:space="0" w:color="auto"/>
            <w:left w:val="none" w:sz="0" w:space="0" w:color="auto"/>
            <w:bottom w:val="none" w:sz="0" w:space="0" w:color="auto"/>
            <w:right w:val="none" w:sz="0" w:space="0" w:color="auto"/>
          </w:divBdr>
        </w:div>
        <w:div w:id="689111587">
          <w:marLeft w:val="547"/>
          <w:marRight w:val="0"/>
          <w:marTop w:val="0"/>
          <w:marBottom w:val="0"/>
          <w:divBdr>
            <w:top w:val="none" w:sz="0" w:space="0" w:color="auto"/>
            <w:left w:val="none" w:sz="0" w:space="0" w:color="auto"/>
            <w:bottom w:val="none" w:sz="0" w:space="0" w:color="auto"/>
            <w:right w:val="none" w:sz="0" w:space="0" w:color="auto"/>
          </w:divBdr>
        </w:div>
        <w:div w:id="735248628">
          <w:marLeft w:val="547"/>
          <w:marRight w:val="0"/>
          <w:marTop w:val="0"/>
          <w:marBottom w:val="160"/>
          <w:divBdr>
            <w:top w:val="none" w:sz="0" w:space="0" w:color="auto"/>
            <w:left w:val="none" w:sz="0" w:space="0" w:color="auto"/>
            <w:bottom w:val="none" w:sz="0" w:space="0" w:color="auto"/>
            <w:right w:val="none" w:sz="0" w:space="0" w:color="auto"/>
          </w:divBdr>
        </w:div>
        <w:div w:id="828639797">
          <w:marLeft w:val="0"/>
          <w:marRight w:val="0"/>
          <w:marTop w:val="0"/>
          <w:marBottom w:val="160"/>
          <w:divBdr>
            <w:top w:val="none" w:sz="0" w:space="0" w:color="auto"/>
            <w:left w:val="none" w:sz="0" w:space="0" w:color="auto"/>
            <w:bottom w:val="none" w:sz="0" w:space="0" w:color="auto"/>
            <w:right w:val="none" w:sz="0" w:space="0" w:color="auto"/>
          </w:divBdr>
        </w:div>
        <w:div w:id="849678530">
          <w:marLeft w:val="547"/>
          <w:marRight w:val="0"/>
          <w:marTop w:val="0"/>
          <w:marBottom w:val="0"/>
          <w:divBdr>
            <w:top w:val="none" w:sz="0" w:space="0" w:color="auto"/>
            <w:left w:val="none" w:sz="0" w:space="0" w:color="auto"/>
            <w:bottom w:val="none" w:sz="0" w:space="0" w:color="auto"/>
            <w:right w:val="none" w:sz="0" w:space="0" w:color="auto"/>
          </w:divBdr>
        </w:div>
        <w:div w:id="1317102636">
          <w:marLeft w:val="720"/>
          <w:marRight w:val="0"/>
          <w:marTop w:val="0"/>
          <w:marBottom w:val="160"/>
          <w:divBdr>
            <w:top w:val="none" w:sz="0" w:space="0" w:color="auto"/>
            <w:left w:val="none" w:sz="0" w:space="0" w:color="auto"/>
            <w:bottom w:val="none" w:sz="0" w:space="0" w:color="auto"/>
            <w:right w:val="none" w:sz="0" w:space="0" w:color="auto"/>
          </w:divBdr>
        </w:div>
        <w:div w:id="1360621444">
          <w:marLeft w:val="0"/>
          <w:marRight w:val="0"/>
          <w:marTop w:val="0"/>
          <w:marBottom w:val="160"/>
          <w:divBdr>
            <w:top w:val="none" w:sz="0" w:space="0" w:color="auto"/>
            <w:left w:val="none" w:sz="0" w:space="0" w:color="auto"/>
            <w:bottom w:val="none" w:sz="0" w:space="0" w:color="auto"/>
            <w:right w:val="none" w:sz="0" w:space="0" w:color="auto"/>
          </w:divBdr>
        </w:div>
        <w:div w:id="1875146176">
          <w:marLeft w:val="720"/>
          <w:marRight w:val="0"/>
          <w:marTop w:val="0"/>
          <w:marBottom w:val="160"/>
          <w:divBdr>
            <w:top w:val="none" w:sz="0" w:space="0" w:color="auto"/>
            <w:left w:val="none" w:sz="0" w:space="0" w:color="auto"/>
            <w:bottom w:val="none" w:sz="0" w:space="0" w:color="auto"/>
            <w:right w:val="none" w:sz="0" w:space="0" w:color="auto"/>
          </w:divBdr>
        </w:div>
        <w:div w:id="2079742424">
          <w:marLeft w:val="547"/>
          <w:marRight w:val="0"/>
          <w:marTop w:val="0"/>
          <w:marBottom w:val="160"/>
          <w:divBdr>
            <w:top w:val="none" w:sz="0" w:space="0" w:color="auto"/>
            <w:left w:val="none" w:sz="0" w:space="0" w:color="auto"/>
            <w:bottom w:val="none" w:sz="0" w:space="0" w:color="auto"/>
            <w:right w:val="none" w:sz="0" w:space="0" w:color="auto"/>
          </w:divBdr>
        </w:div>
        <w:div w:id="2116627464">
          <w:marLeft w:val="547"/>
          <w:marRight w:val="0"/>
          <w:marTop w:val="0"/>
          <w:marBottom w:val="0"/>
          <w:divBdr>
            <w:top w:val="none" w:sz="0" w:space="0" w:color="auto"/>
            <w:left w:val="none" w:sz="0" w:space="0" w:color="auto"/>
            <w:bottom w:val="none" w:sz="0" w:space="0" w:color="auto"/>
            <w:right w:val="none" w:sz="0" w:space="0" w:color="auto"/>
          </w:divBdr>
        </w:div>
      </w:divsChild>
    </w:div>
    <w:div w:id="1952318520">
      <w:bodyDiv w:val="1"/>
      <w:marLeft w:val="0"/>
      <w:marRight w:val="0"/>
      <w:marTop w:val="0"/>
      <w:marBottom w:val="0"/>
      <w:divBdr>
        <w:top w:val="none" w:sz="0" w:space="0" w:color="auto"/>
        <w:left w:val="none" w:sz="0" w:space="0" w:color="auto"/>
        <w:bottom w:val="none" w:sz="0" w:space="0" w:color="auto"/>
        <w:right w:val="none" w:sz="0" w:space="0" w:color="auto"/>
      </w:divBdr>
    </w:div>
    <w:div w:id="1993872931">
      <w:bodyDiv w:val="1"/>
      <w:marLeft w:val="0"/>
      <w:marRight w:val="0"/>
      <w:marTop w:val="0"/>
      <w:marBottom w:val="0"/>
      <w:divBdr>
        <w:top w:val="none" w:sz="0" w:space="0" w:color="auto"/>
        <w:left w:val="none" w:sz="0" w:space="0" w:color="auto"/>
        <w:bottom w:val="none" w:sz="0" w:space="0" w:color="auto"/>
        <w:right w:val="none" w:sz="0" w:space="0" w:color="auto"/>
      </w:divBdr>
    </w:div>
    <w:div w:id="2090535064">
      <w:bodyDiv w:val="1"/>
      <w:marLeft w:val="0"/>
      <w:marRight w:val="0"/>
      <w:marTop w:val="0"/>
      <w:marBottom w:val="0"/>
      <w:divBdr>
        <w:top w:val="none" w:sz="0" w:space="0" w:color="auto"/>
        <w:left w:val="none" w:sz="0" w:space="0" w:color="auto"/>
        <w:bottom w:val="none" w:sz="0" w:space="0" w:color="auto"/>
        <w:right w:val="none" w:sz="0" w:space="0" w:color="auto"/>
      </w:divBdr>
      <w:divsChild>
        <w:div w:id="110320280">
          <w:marLeft w:val="446"/>
          <w:marRight w:val="0"/>
          <w:marTop w:val="200"/>
          <w:marBottom w:val="0"/>
          <w:divBdr>
            <w:top w:val="none" w:sz="0" w:space="0" w:color="auto"/>
            <w:left w:val="none" w:sz="0" w:space="0" w:color="auto"/>
            <w:bottom w:val="none" w:sz="0" w:space="0" w:color="auto"/>
            <w:right w:val="none" w:sz="0" w:space="0" w:color="auto"/>
          </w:divBdr>
        </w:div>
        <w:div w:id="141197291">
          <w:marLeft w:val="446"/>
          <w:marRight w:val="0"/>
          <w:marTop w:val="200"/>
          <w:marBottom w:val="0"/>
          <w:divBdr>
            <w:top w:val="none" w:sz="0" w:space="0" w:color="auto"/>
            <w:left w:val="none" w:sz="0" w:space="0" w:color="auto"/>
            <w:bottom w:val="none" w:sz="0" w:space="0" w:color="auto"/>
            <w:right w:val="none" w:sz="0" w:space="0" w:color="auto"/>
          </w:divBdr>
        </w:div>
        <w:div w:id="706218845">
          <w:marLeft w:val="446"/>
          <w:marRight w:val="0"/>
          <w:marTop w:val="200"/>
          <w:marBottom w:val="0"/>
          <w:divBdr>
            <w:top w:val="none" w:sz="0" w:space="0" w:color="auto"/>
            <w:left w:val="none" w:sz="0" w:space="0" w:color="auto"/>
            <w:bottom w:val="none" w:sz="0" w:space="0" w:color="auto"/>
            <w:right w:val="none" w:sz="0" w:space="0" w:color="auto"/>
          </w:divBdr>
        </w:div>
        <w:div w:id="779027571">
          <w:marLeft w:val="446"/>
          <w:marRight w:val="0"/>
          <w:marTop w:val="200"/>
          <w:marBottom w:val="0"/>
          <w:divBdr>
            <w:top w:val="none" w:sz="0" w:space="0" w:color="auto"/>
            <w:left w:val="none" w:sz="0" w:space="0" w:color="auto"/>
            <w:bottom w:val="none" w:sz="0" w:space="0" w:color="auto"/>
            <w:right w:val="none" w:sz="0" w:space="0" w:color="auto"/>
          </w:divBdr>
        </w:div>
        <w:div w:id="1243835179">
          <w:marLeft w:val="446"/>
          <w:marRight w:val="0"/>
          <w:marTop w:val="200"/>
          <w:marBottom w:val="0"/>
          <w:divBdr>
            <w:top w:val="none" w:sz="0" w:space="0" w:color="auto"/>
            <w:left w:val="none" w:sz="0" w:space="0" w:color="auto"/>
            <w:bottom w:val="none" w:sz="0" w:space="0" w:color="auto"/>
            <w:right w:val="none" w:sz="0" w:space="0" w:color="auto"/>
          </w:divBdr>
        </w:div>
        <w:div w:id="1880895815">
          <w:marLeft w:val="446"/>
          <w:marRight w:val="0"/>
          <w:marTop w:val="200"/>
          <w:marBottom w:val="0"/>
          <w:divBdr>
            <w:top w:val="none" w:sz="0" w:space="0" w:color="auto"/>
            <w:left w:val="none" w:sz="0" w:space="0" w:color="auto"/>
            <w:bottom w:val="none" w:sz="0" w:space="0" w:color="auto"/>
            <w:right w:val="none" w:sz="0" w:space="0" w:color="auto"/>
          </w:divBdr>
        </w:div>
        <w:div w:id="1910460990">
          <w:marLeft w:val="446"/>
          <w:marRight w:val="0"/>
          <w:marTop w:val="200"/>
          <w:marBottom w:val="0"/>
          <w:divBdr>
            <w:top w:val="none" w:sz="0" w:space="0" w:color="auto"/>
            <w:left w:val="none" w:sz="0" w:space="0" w:color="auto"/>
            <w:bottom w:val="none" w:sz="0" w:space="0" w:color="auto"/>
            <w:right w:val="none" w:sz="0" w:space="0" w:color="auto"/>
          </w:divBdr>
        </w:div>
        <w:div w:id="1989163167">
          <w:marLeft w:val="446"/>
          <w:marRight w:val="0"/>
          <w:marTop w:val="200"/>
          <w:marBottom w:val="0"/>
          <w:divBdr>
            <w:top w:val="none" w:sz="0" w:space="0" w:color="auto"/>
            <w:left w:val="none" w:sz="0" w:space="0" w:color="auto"/>
            <w:bottom w:val="none" w:sz="0" w:space="0" w:color="auto"/>
            <w:right w:val="none" w:sz="0" w:space="0" w:color="auto"/>
          </w:divBdr>
        </w:div>
        <w:div w:id="2120833638">
          <w:marLeft w:val="446"/>
          <w:marRight w:val="0"/>
          <w:marTop w:val="200"/>
          <w:marBottom w:val="0"/>
          <w:divBdr>
            <w:top w:val="none" w:sz="0" w:space="0" w:color="auto"/>
            <w:left w:val="none" w:sz="0" w:space="0" w:color="auto"/>
            <w:bottom w:val="none" w:sz="0" w:space="0" w:color="auto"/>
            <w:right w:val="none" w:sz="0" w:space="0" w:color="auto"/>
          </w:divBdr>
        </w:div>
      </w:divsChild>
    </w:div>
    <w:div w:id="2104911165">
      <w:bodyDiv w:val="1"/>
      <w:marLeft w:val="0"/>
      <w:marRight w:val="0"/>
      <w:marTop w:val="0"/>
      <w:marBottom w:val="0"/>
      <w:divBdr>
        <w:top w:val="none" w:sz="0" w:space="0" w:color="auto"/>
        <w:left w:val="none" w:sz="0" w:space="0" w:color="auto"/>
        <w:bottom w:val="none" w:sz="0" w:space="0" w:color="auto"/>
        <w:right w:val="none" w:sz="0" w:space="0" w:color="auto"/>
      </w:divBdr>
    </w:div>
    <w:div w:id="2130542374">
      <w:bodyDiv w:val="1"/>
      <w:marLeft w:val="0"/>
      <w:marRight w:val="0"/>
      <w:marTop w:val="0"/>
      <w:marBottom w:val="0"/>
      <w:divBdr>
        <w:top w:val="none" w:sz="0" w:space="0" w:color="auto"/>
        <w:left w:val="none" w:sz="0" w:space="0" w:color="auto"/>
        <w:bottom w:val="none" w:sz="0" w:space="0" w:color="auto"/>
        <w:right w:val="none" w:sz="0" w:space="0" w:color="auto"/>
      </w:divBdr>
      <w:divsChild>
        <w:div w:id="26836651">
          <w:marLeft w:val="0"/>
          <w:marRight w:val="0"/>
          <w:marTop w:val="0"/>
          <w:marBottom w:val="0"/>
          <w:divBdr>
            <w:top w:val="none" w:sz="0" w:space="0" w:color="auto"/>
            <w:left w:val="none" w:sz="0" w:space="0" w:color="auto"/>
            <w:bottom w:val="none" w:sz="0" w:space="0" w:color="auto"/>
            <w:right w:val="none" w:sz="0" w:space="0" w:color="auto"/>
          </w:divBdr>
          <w:divsChild>
            <w:div w:id="1786609079">
              <w:marLeft w:val="-75"/>
              <w:marRight w:val="0"/>
              <w:marTop w:val="30"/>
              <w:marBottom w:val="30"/>
              <w:divBdr>
                <w:top w:val="none" w:sz="0" w:space="0" w:color="auto"/>
                <w:left w:val="none" w:sz="0" w:space="0" w:color="auto"/>
                <w:bottom w:val="none" w:sz="0" w:space="0" w:color="auto"/>
                <w:right w:val="none" w:sz="0" w:space="0" w:color="auto"/>
              </w:divBdr>
              <w:divsChild>
                <w:div w:id="627784530">
                  <w:marLeft w:val="0"/>
                  <w:marRight w:val="0"/>
                  <w:marTop w:val="0"/>
                  <w:marBottom w:val="0"/>
                  <w:divBdr>
                    <w:top w:val="none" w:sz="0" w:space="0" w:color="auto"/>
                    <w:left w:val="none" w:sz="0" w:space="0" w:color="auto"/>
                    <w:bottom w:val="none" w:sz="0" w:space="0" w:color="auto"/>
                    <w:right w:val="none" w:sz="0" w:space="0" w:color="auto"/>
                  </w:divBdr>
                  <w:divsChild>
                    <w:div w:id="1221790371">
                      <w:marLeft w:val="0"/>
                      <w:marRight w:val="0"/>
                      <w:marTop w:val="0"/>
                      <w:marBottom w:val="0"/>
                      <w:divBdr>
                        <w:top w:val="none" w:sz="0" w:space="0" w:color="auto"/>
                        <w:left w:val="none" w:sz="0" w:space="0" w:color="auto"/>
                        <w:bottom w:val="none" w:sz="0" w:space="0" w:color="auto"/>
                        <w:right w:val="none" w:sz="0" w:space="0" w:color="auto"/>
                      </w:divBdr>
                    </w:div>
                  </w:divsChild>
                </w:div>
                <w:div w:id="682822925">
                  <w:marLeft w:val="0"/>
                  <w:marRight w:val="0"/>
                  <w:marTop w:val="0"/>
                  <w:marBottom w:val="0"/>
                  <w:divBdr>
                    <w:top w:val="none" w:sz="0" w:space="0" w:color="auto"/>
                    <w:left w:val="none" w:sz="0" w:space="0" w:color="auto"/>
                    <w:bottom w:val="none" w:sz="0" w:space="0" w:color="auto"/>
                    <w:right w:val="none" w:sz="0" w:space="0" w:color="auto"/>
                  </w:divBdr>
                  <w:divsChild>
                    <w:div w:id="2123257893">
                      <w:marLeft w:val="0"/>
                      <w:marRight w:val="0"/>
                      <w:marTop w:val="0"/>
                      <w:marBottom w:val="0"/>
                      <w:divBdr>
                        <w:top w:val="none" w:sz="0" w:space="0" w:color="auto"/>
                        <w:left w:val="none" w:sz="0" w:space="0" w:color="auto"/>
                        <w:bottom w:val="none" w:sz="0" w:space="0" w:color="auto"/>
                        <w:right w:val="none" w:sz="0" w:space="0" w:color="auto"/>
                      </w:divBdr>
                    </w:div>
                  </w:divsChild>
                </w:div>
                <w:div w:id="725186439">
                  <w:marLeft w:val="0"/>
                  <w:marRight w:val="0"/>
                  <w:marTop w:val="0"/>
                  <w:marBottom w:val="0"/>
                  <w:divBdr>
                    <w:top w:val="none" w:sz="0" w:space="0" w:color="auto"/>
                    <w:left w:val="none" w:sz="0" w:space="0" w:color="auto"/>
                    <w:bottom w:val="none" w:sz="0" w:space="0" w:color="auto"/>
                    <w:right w:val="none" w:sz="0" w:space="0" w:color="auto"/>
                  </w:divBdr>
                  <w:divsChild>
                    <w:div w:id="177233190">
                      <w:marLeft w:val="0"/>
                      <w:marRight w:val="0"/>
                      <w:marTop w:val="0"/>
                      <w:marBottom w:val="0"/>
                      <w:divBdr>
                        <w:top w:val="none" w:sz="0" w:space="0" w:color="auto"/>
                        <w:left w:val="none" w:sz="0" w:space="0" w:color="auto"/>
                        <w:bottom w:val="none" w:sz="0" w:space="0" w:color="auto"/>
                        <w:right w:val="none" w:sz="0" w:space="0" w:color="auto"/>
                      </w:divBdr>
                    </w:div>
                  </w:divsChild>
                </w:div>
                <w:div w:id="808472829">
                  <w:marLeft w:val="0"/>
                  <w:marRight w:val="0"/>
                  <w:marTop w:val="0"/>
                  <w:marBottom w:val="0"/>
                  <w:divBdr>
                    <w:top w:val="none" w:sz="0" w:space="0" w:color="auto"/>
                    <w:left w:val="none" w:sz="0" w:space="0" w:color="auto"/>
                    <w:bottom w:val="none" w:sz="0" w:space="0" w:color="auto"/>
                    <w:right w:val="none" w:sz="0" w:space="0" w:color="auto"/>
                  </w:divBdr>
                  <w:divsChild>
                    <w:div w:id="478497024">
                      <w:marLeft w:val="0"/>
                      <w:marRight w:val="0"/>
                      <w:marTop w:val="0"/>
                      <w:marBottom w:val="0"/>
                      <w:divBdr>
                        <w:top w:val="none" w:sz="0" w:space="0" w:color="auto"/>
                        <w:left w:val="none" w:sz="0" w:space="0" w:color="auto"/>
                        <w:bottom w:val="none" w:sz="0" w:space="0" w:color="auto"/>
                        <w:right w:val="none" w:sz="0" w:space="0" w:color="auto"/>
                      </w:divBdr>
                    </w:div>
                    <w:div w:id="637953002">
                      <w:marLeft w:val="0"/>
                      <w:marRight w:val="0"/>
                      <w:marTop w:val="0"/>
                      <w:marBottom w:val="0"/>
                      <w:divBdr>
                        <w:top w:val="none" w:sz="0" w:space="0" w:color="auto"/>
                        <w:left w:val="none" w:sz="0" w:space="0" w:color="auto"/>
                        <w:bottom w:val="none" w:sz="0" w:space="0" w:color="auto"/>
                        <w:right w:val="none" w:sz="0" w:space="0" w:color="auto"/>
                      </w:divBdr>
                    </w:div>
                  </w:divsChild>
                </w:div>
                <w:div w:id="886795895">
                  <w:marLeft w:val="0"/>
                  <w:marRight w:val="0"/>
                  <w:marTop w:val="0"/>
                  <w:marBottom w:val="0"/>
                  <w:divBdr>
                    <w:top w:val="none" w:sz="0" w:space="0" w:color="auto"/>
                    <w:left w:val="none" w:sz="0" w:space="0" w:color="auto"/>
                    <w:bottom w:val="none" w:sz="0" w:space="0" w:color="auto"/>
                    <w:right w:val="none" w:sz="0" w:space="0" w:color="auto"/>
                  </w:divBdr>
                  <w:divsChild>
                    <w:div w:id="736517378">
                      <w:marLeft w:val="0"/>
                      <w:marRight w:val="0"/>
                      <w:marTop w:val="0"/>
                      <w:marBottom w:val="0"/>
                      <w:divBdr>
                        <w:top w:val="none" w:sz="0" w:space="0" w:color="auto"/>
                        <w:left w:val="none" w:sz="0" w:space="0" w:color="auto"/>
                        <w:bottom w:val="none" w:sz="0" w:space="0" w:color="auto"/>
                        <w:right w:val="none" w:sz="0" w:space="0" w:color="auto"/>
                      </w:divBdr>
                    </w:div>
                    <w:div w:id="1055667742">
                      <w:marLeft w:val="0"/>
                      <w:marRight w:val="0"/>
                      <w:marTop w:val="0"/>
                      <w:marBottom w:val="0"/>
                      <w:divBdr>
                        <w:top w:val="none" w:sz="0" w:space="0" w:color="auto"/>
                        <w:left w:val="none" w:sz="0" w:space="0" w:color="auto"/>
                        <w:bottom w:val="none" w:sz="0" w:space="0" w:color="auto"/>
                        <w:right w:val="none" w:sz="0" w:space="0" w:color="auto"/>
                      </w:divBdr>
                    </w:div>
                  </w:divsChild>
                </w:div>
                <w:div w:id="1306665397">
                  <w:marLeft w:val="0"/>
                  <w:marRight w:val="0"/>
                  <w:marTop w:val="0"/>
                  <w:marBottom w:val="0"/>
                  <w:divBdr>
                    <w:top w:val="none" w:sz="0" w:space="0" w:color="auto"/>
                    <w:left w:val="none" w:sz="0" w:space="0" w:color="auto"/>
                    <w:bottom w:val="none" w:sz="0" w:space="0" w:color="auto"/>
                    <w:right w:val="none" w:sz="0" w:space="0" w:color="auto"/>
                  </w:divBdr>
                  <w:divsChild>
                    <w:div w:id="775372946">
                      <w:marLeft w:val="0"/>
                      <w:marRight w:val="0"/>
                      <w:marTop w:val="0"/>
                      <w:marBottom w:val="0"/>
                      <w:divBdr>
                        <w:top w:val="none" w:sz="0" w:space="0" w:color="auto"/>
                        <w:left w:val="none" w:sz="0" w:space="0" w:color="auto"/>
                        <w:bottom w:val="none" w:sz="0" w:space="0" w:color="auto"/>
                        <w:right w:val="none" w:sz="0" w:space="0" w:color="auto"/>
                      </w:divBdr>
                    </w:div>
                  </w:divsChild>
                </w:div>
                <w:div w:id="1451976000">
                  <w:marLeft w:val="0"/>
                  <w:marRight w:val="0"/>
                  <w:marTop w:val="0"/>
                  <w:marBottom w:val="0"/>
                  <w:divBdr>
                    <w:top w:val="none" w:sz="0" w:space="0" w:color="auto"/>
                    <w:left w:val="none" w:sz="0" w:space="0" w:color="auto"/>
                    <w:bottom w:val="none" w:sz="0" w:space="0" w:color="auto"/>
                    <w:right w:val="none" w:sz="0" w:space="0" w:color="auto"/>
                  </w:divBdr>
                  <w:divsChild>
                    <w:div w:id="52508097">
                      <w:marLeft w:val="0"/>
                      <w:marRight w:val="0"/>
                      <w:marTop w:val="0"/>
                      <w:marBottom w:val="0"/>
                      <w:divBdr>
                        <w:top w:val="none" w:sz="0" w:space="0" w:color="auto"/>
                        <w:left w:val="none" w:sz="0" w:space="0" w:color="auto"/>
                        <w:bottom w:val="none" w:sz="0" w:space="0" w:color="auto"/>
                        <w:right w:val="none" w:sz="0" w:space="0" w:color="auto"/>
                      </w:divBdr>
                    </w:div>
                  </w:divsChild>
                </w:div>
                <w:div w:id="1738281755">
                  <w:marLeft w:val="0"/>
                  <w:marRight w:val="0"/>
                  <w:marTop w:val="0"/>
                  <w:marBottom w:val="0"/>
                  <w:divBdr>
                    <w:top w:val="none" w:sz="0" w:space="0" w:color="auto"/>
                    <w:left w:val="none" w:sz="0" w:space="0" w:color="auto"/>
                    <w:bottom w:val="none" w:sz="0" w:space="0" w:color="auto"/>
                    <w:right w:val="none" w:sz="0" w:space="0" w:color="auto"/>
                  </w:divBdr>
                  <w:divsChild>
                    <w:div w:id="1232883780">
                      <w:marLeft w:val="0"/>
                      <w:marRight w:val="0"/>
                      <w:marTop w:val="0"/>
                      <w:marBottom w:val="0"/>
                      <w:divBdr>
                        <w:top w:val="none" w:sz="0" w:space="0" w:color="auto"/>
                        <w:left w:val="none" w:sz="0" w:space="0" w:color="auto"/>
                        <w:bottom w:val="none" w:sz="0" w:space="0" w:color="auto"/>
                        <w:right w:val="none" w:sz="0" w:space="0" w:color="auto"/>
                      </w:divBdr>
                    </w:div>
                  </w:divsChild>
                </w:div>
                <w:div w:id="1858959933">
                  <w:marLeft w:val="0"/>
                  <w:marRight w:val="0"/>
                  <w:marTop w:val="0"/>
                  <w:marBottom w:val="0"/>
                  <w:divBdr>
                    <w:top w:val="none" w:sz="0" w:space="0" w:color="auto"/>
                    <w:left w:val="none" w:sz="0" w:space="0" w:color="auto"/>
                    <w:bottom w:val="none" w:sz="0" w:space="0" w:color="auto"/>
                    <w:right w:val="none" w:sz="0" w:space="0" w:color="auto"/>
                  </w:divBdr>
                  <w:divsChild>
                    <w:div w:id="1542285245">
                      <w:marLeft w:val="0"/>
                      <w:marRight w:val="0"/>
                      <w:marTop w:val="0"/>
                      <w:marBottom w:val="0"/>
                      <w:divBdr>
                        <w:top w:val="none" w:sz="0" w:space="0" w:color="auto"/>
                        <w:left w:val="none" w:sz="0" w:space="0" w:color="auto"/>
                        <w:bottom w:val="none" w:sz="0" w:space="0" w:color="auto"/>
                        <w:right w:val="none" w:sz="0" w:space="0" w:color="auto"/>
                      </w:divBdr>
                    </w:div>
                  </w:divsChild>
                </w:div>
                <w:div w:id="1923754911">
                  <w:marLeft w:val="0"/>
                  <w:marRight w:val="0"/>
                  <w:marTop w:val="0"/>
                  <w:marBottom w:val="0"/>
                  <w:divBdr>
                    <w:top w:val="none" w:sz="0" w:space="0" w:color="auto"/>
                    <w:left w:val="none" w:sz="0" w:space="0" w:color="auto"/>
                    <w:bottom w:val="none" w:sz="0" w:space="0" w:color="auto"/>
                    <w:right w:val="none" w:sz="0" w:space="0" w:color="auto"/>
                  </w:divBdr>
                  <w:divsChild>
                    <w:div w:id="1307124718">
                      <w:marLeft w:val="0"/>
                      <w:marRight w:val="0"/>
                      <w:marTop w:val="0"/>
                      <w:marBottom w:val="0"/>
                      <w:divBdr>
                        <w:top w:val="none" w:sz="0" w:space="0" w:color="auto"/>
                        <w:left w:val="none" w:sz="0" w:space="0" w:color="auto"/>
                        <w:bottom w:val="none" w:sz="0" w:space="0" w:color="auto"/>
                        <w:right w:val="none" w:sz="0" w:space="0" w:color="auto"/>
                      </w:divBdr>
                    </w:div>
                    <w:div w:id="1927107249">
                      <w:marLeft w:val="0"/>
                      <w:marRight w:val="0"/>
                      <w:marTop w:val="0"/>
                      <w:marBottom w:val="0"/>
                      <w:divBdr>
                        <w:top w:val="none" w:sz="0" w:space="0" w:color="auto"/>
                        <w:left w:val="none" w:sz="0" w:space="0" w:color="auto"/>
                        <w:bottom w:val="none" w:sz="0" w:space="0" w:color="auto"/>
                        <w:right w:val="none" w:sz="0" w:space="0" w:color="auto"/>
                      </w:divBdr>
                    </w:div>
                  </w:divsChild>
                </w:div>
                <w:div w:id="2057123148">
                  <w:marLeft w:val="0"/>
                  <w:marRight w:val="0"/>
                  <w:marTop w:val="0"/>
                  <w:marBottom w:val="0"/>
                  <w:divBdr>
                    <w:top w:val="none" w:sz="0" w:space="0" w:color="auto"/>
                    <w:left w:val="none" w:sz="0" w:space="0" w:color="auto"/>
                    <w:bottom w:val="none" w:sz="0" w:space="0" w:color="auto"/>
                    <w:right w:val="none" w:sz="0" w:space="0" w:color="auto"/>
                  </w:divBdr>
                  <w:divsChild>
                    <w:div w:id="2078937533">
                      <w:marLeft w:val="0"/>
                      <w:marRight w:val="0"/>
                      <w:marTop w:val="0"/>
                      <w:marBottom w:val="0"/>
                      <w:divBdr>
                        <w:top w:val="none" w:sz="0" w:space="0" w:color="auto"/>
                        <w:left w:val="none" w:sz="0" w:space="0" w:color="auto"/>
                        <w:bottom w:val="none" w:sz="0" w:space="0" w:color="auto"/>
                        <w:right w:val="none" w:sz="0" w:space="0" w:color="auto"/>
                      </w:divBdr>
                    </w:div>
                  </w:divsChild>
                </w:div>
                <w:div w:id="2057583268">
                  <w:marLeft w:val="0"/>
                  <w:marRight w:val="0"/>
                  <w:marTop w:val="0"/>
                  <w:marBottom w:val="0"/>
                  <w:divBdr>
                    <w:top w:val="none" w:sz="0" w:space="0" w:color="auto"/>
                    <w:left w:val="none" w:sz="0" w:space="0" w:color="auto"/>
                    <w:bottom w:val="none" w:sz="0" w:space="0" w:color="auto"/>
                    <w:right w:val="none" w:sz="0" w:space="0" w:color="auto"/>
                  </w:divBdr>
                  <w:divsChild>
                    <w:div w:id="2984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8577">
          <w:marLeft w:val="0"/>
          <w:marRight w:val="0"/>
          <w:marTop w:val="0"/>
          <w:marBottom w:val="0"/>
          <w:divBdr>
            <w:top w:val="none" w:sz="0" w:space="0" w:color="auto"/>
            <w:left w:val="none" w:sz="0" w:space="0" w:color="auto"/>
            <w:bottom w:val="none" w:sz="0" w:space="0" w:color="auto"/>
            <w:right w:val="none" w:sz="0" w:space="0" w:color="auto"/>
          </w:divBdr>
          <w:divsChild>
            <w:div w:id="604847573">
              <w:marLeft w:val="0"/>
              <w:marRight w:val="0"/>
              <w:marTop w:val="0"/>
              <w:marBottom w:val="0"/>
              <w:divBdr>
                <w:top w:val="none" w:sz="0" w:space="0" w:color="auto"/>
                <w:left w:val="none" w:sz="0" w:space="0" w:color="auto"/>
                <w:bottom w:val="none" w:sz="0" w:space="0" w:color="auto"/>
                <w:right w:val="none" w:sz="0" w:space="0" w:color="auto"/>
              </w:divBdr>
            </w:div>
            <w:div w:id="721557882">
              <w:marLeft w:val="0"/>
              <w:marRight w:val="0"/>
              <w:marTop w:val="0"/>
              <w:marBottom w:val="0"/>
              <w:divBdr>
                <w:top w:val="none" w:sz="0" w:space="0" w:color="auto"/>
                <w:left w:val="none" w:sz="0" w:space="0" w:color="auto"/>
                <w:bottom w:val="none" w:sz="0" w:space="0" w:color="auto"/>
                <w:right w:val="none" w:sz="0" w:space="0" w:color="auto"/>
              </w:divBdr>
            </w:div>
            <w:div w:id="1841383055">
              <w:marLeft w:val="0"/>
              <w:marRight w:val="0"/>
              <w:marTop w:val="0"/>
              <w:marBottom w:val="0"/>
              <w:divBdr>
                <w:top w:val="none" w:sz="0" w:space="0" w:color="auto"/>
                <w:left w:val="none" w:sz="0" w:space="0" w:color="auto"/>
                <w:bottom w:val="none" w:sz="0" w:space="0" w:color="auto"/>
                <w:right w:val="none" w:sz="0" w:space="0" w:color="auto"/>
              </w:divBdr>
            </w:div>
            <w:div w:id="2006517720">
              <w:marLeft w:val="0"/>
              <w:marRight w:val="0"/>
              <w:marTop w:val="0"/>
              <w:marBottom w:val="0"/>
              <w:divBdr>
                <w:top w:val="none" w:sz="0" w:space="0" w:color="auto"/>
                <w:left w:val="none" w:sz="0" w:space="0" w:color="auto"/>
                <w:bottom w:val="none" w:sz="0" w:space="0" w:color="auto"/>
                <w:right w:val="none" w:sz="0" w:space="0" w:color="auto"/>
              </w:divBdr>
            </w:div>
          </w:divsChild>
        </w:div>
        <w:div w:id="116605241">
          <w:marLeft w:val="0"/>
          <w:marRight w:val="0"/>
          <w:marTop w:val="0"/>
          <w:marBottom w:val="0"/>
          <w:divBdr>
            <w:top w:val="none" w:sz="0" w:space="0" w:color="auto"/>
            <w:left w:val="none" w:sz="0" w:space="0" w:color="auto"/>
            <w:bottom w:val="none" w:sz="0" w:space="0" w:color="auto"/>
            <w:right w:val="none" w:sz="0" w:space="0" w:color="auto"/>
          </w:divBdr>
          <w:divsChild>
            <w:div w:id="242689885">
              <w:marLeft w:val="0"/>
              <w:marRight w:val="0"/>
              <w:marTop w:val="0"/>
              <w:marBottom w:val="0"/>
              <w:divBdr>
                <w:top w:val="none" w:sz="0" w:space="0" w:color="auto"/>
                <w:left w:val="none" w:sz="0" w:space="0" w:color="auto"/>
                <w:bottom w:val="none" w:sz="0" w:space="0" w:color="auto"/>
                <w:right w:val="none" w:sz="0" w:space="0" w:color="auto"/>
              </w:divBdr>
            </w:div>
            <w:div w:id="409742483">
              <w:marLeft w:val="0"/>
              <w:marRight w:val="0"/>
              <w:marTop w:val="0"/>
              <w:marBottom w:val="0"/>
              <w:divBdr>
                <w:top w:val="none" w:sz="0" w:space="0" w:color="auto"/>
                <w:left w:val="none" w:sz="0" w:space="0" w:color="auto"/>
                <w:bottom w:val="none" w:sz="0" w:space="0" w:color="auto"/>
                <w:right w:val="none" w:sz="0" w:space="0" w:color="auto"/>
              </w:divBdr>
            </w:div>
            <w:div w:id="426384072">
              <w:marLeft w:val="0"/>
              <w:marRight w:val="0"/>
              <w:marTop w:val="0"/>
              <w:marBottom w:val="0"/>
              <w:divBdr>
                <w:top w:val="none" w:sz="0" w:space="0" w:color="auto"/>
                <w:left w:val="none" w:sz="0" w:space="0" w:color="auto"/>
                <w:bottom w:val="none" w:sz="0" w:space="0" w:color="auto"/>
                <w:right w:val="none" w:sz="0" w:space="0" w:color="auto"/>
              </w:divBdr>
            </w:div>
            <w:div w:id="563443826">
              <w:marLeft w:val="0"/>
              <w:marRight w:val="0"/>
              <w:marTop w:val="0"/>
              <w:marBottom w:val="0"/>
              <w:divBdr>
                <w:top w:val="none" w:sz="0" w:space="0" w:color="auto"/>
                <w:left w:val="none" w:sz="0" w:space="0" w:color="auto"/>
                <w:bottom w:val="none" w:sz="0" w:space="0" w:color="auto"/>
                <w:right w:val="none" w:sz="0" w:space="0" w:color="auto"/>
              </w:divBdr>
            </w:div>
            <w:div w:id="620500933">
              <w:marLeft w:val="0"/>
              <w:marRight w:val="0"/>
              <w:marTop w:val="0"/>
              <w:marBottom w:val="0"/>
              <w:divBdr>
                <w:top w:val="none" w:sz="0" w:space="0" w:color="auto"/>
                <w:left w:val="none" w:sz="0" w:space="0" w:color="auto"/>
                <w:bottom w:val="none" w:sz="0" w:space="0" w:color="auto"/>
                <w:right w:val="none" w:sz="0" w:space="0" w:color="auto"/>
              </w:divBdr>
            </w:div>
            <w:div w:id="629558796">
              <w:marLeft w:val="0"/>
              <w:marRight w:val="0"/>
              <w:marTop w:val="0"/>
              <w:marBottom w:val="0"/>
              <w:divBdr>
                <w:top w:val="none" w:sz="0" w:space="0" w:color="auto"/>
                <w:left w:val="none" w:sz="0" w:space="0" w:color="auto"/>
                <w:bottom w:val="none" w:sz="0" w:space="0" w:color="auto"/>
                <w:right w:val="none" w:sz="0" w:space="0" w:color="auto"/>
              </w:divBdr>
            </w:div>
            <w:div w:id="1001154567">
              <w:marLeft w:val="0"/>
              <w:marRight w:val="0"/>
              <w:marTop w:val="0"/>
              <w:marBottom w:val="0"/>
              <w:divBdr>
                <w:top w:val="none" w:sz="0" w:space="0" w:color="auto"/>
                <w:left w:val="none" w:sz="0" w:space="0" w:color="auto"/>
                <w:bottom w:val="none" w:sz="0" w:space="0" w:color="auto"/>
                <w:right w:val="none" w:sz="0" w:space="0" w:color="auto"/>
              </w:divBdr>
            </w:div>
            <w:div w:id="1137382251">
              <w:marLeft w:val="0"/>
              <w:marRight w:val="0"/>
              <w:marTop w:val="0"/>
              <w:marBottom w:val="0"/>
              <w:divBdr>
                <w:top w:val="none" w:sz="0" w:space="0" w:color="auto"/>
                <w:left w:val="none" w:sz="0" w:space="0" w:color="auto"/>
                <w:bottom w:val="none" w:sz="0" w:space="0" w:color="auto"/>
                <w:right w:val="none" w:sz="0" w:space="0" w:color="auto"/>
              </w:divBdr>
            </w:div>
            <w:div w:id="1150290786">
              <w:marLeft w:val="0"/>
              <w:marRight w:val="0"/>
              <w:marTop w:val="0"/>
              <w:marBottom w:val="0"/>
              <w:divBdr>
                <w:top w:val="none" w:sz="0" w:space="0" w:color="auto"/>
                <w:left w:val="none" w:sz="0" w:space="0" w:color="auto"/>
                <w:bottom w:val="none" w:sz="0" w:space="0" w:color="auto"/>
                <w:right w:val="none" w:sz="0" w:space="0" w:color="auto"/>
              </w:divBdr>
            </w:div>
            <w:div w:id="1241332769">
              <w:marLeft w:val="0"/>
              <w:marRight w:val="0"/>
              <w:marTop w:val="0"/>
              <w:marBottom w:val="0"/>
              <w:divBdr>
                <w:top w:val="none" w:sz="0" w:space="0" w:color="auto"/>
                <w:left w:val="none" w:sz="0" w:space="0" w:color="auto"/>
                <w:bottom w:val="none" w:sz="0" w:space="0" w:color="auto"/>
                <w:right w:val="none" w:sz="0" w:space="0" w:color="auto"/>
              </w:divBdr>
            </w:div>
            <w:div w:id="1406565637">
              <w:marLeft w:val="0"/>
              <w:marRight w:val="0"/>
              <w:marTop w:val="0"/>
              <w:marBottom w:val="0"/>
              <w:divBdr>
                <w:top w:val="none" w:sz="0" w:space="0" w:color="auto"/>
                <w:left w:val="none" w:sz="0" w:space="0" w:color="auto"/>
                <w:bottom w:val="none" w:sz="0" w:space="0" w:color="auto"/>
                <w:right w:val="none" w:sz="0" w:space="0" w:color="auto"/>
              </w:divBdr>
            </w:div>
            <w:div w:id="1475372296">
              <w:marLeft w:val="0"/>
              <w:marRight w:val="0"/>
              <w:marTop w:val="0"/>
              <w:marBottom w:val="0"/>
              <w:divBdr>
                <w:top w:val="none" w:sz="0" w:space="0" w:color="auto"/>
                <w:left w:val="none" w:sz="0" w:space="0" w:color="auto"/>
                <w:bottom w:val="none" w:sz="0" w:space="0" w:color="auto"/>
                <w:right w:val="none" w:sz="0" w:space="0" w:color="auto"/>
              </w:divBdr>
            </w:div>
            <w:div w:id="1737170052">
              <w:marLeft w:val="0"/>
              <w:marRight w:val="0"/>
              <w:marTop w:val="0"/>
              <w:marBottom w:val="0"/>
              <w:divBdr>
                <w:top w:val="none" w:sz="0" w:space="0" w:color="auto"/>
                <w:left w:val="none" w:sz="0" w:space="0" w:color="auto"/>
                <w:bottom w:val="none" w:sz="0" w:space="0" w:color="auto"/>
                <w:right w:val="none" w:sz="0" w:space="0" w:color="auto"/>
              </w:divBdr>
            </w:div>
            <w:div w:id="1827167557">
              <w:marLeft w:val="0"/>
              <w:marRight w:val="0"/>
              <w:marTop w:val="0"/>
              <w:marBottom w:val="0"/>
              <w:divBdr>
                <w:top w:val="none" w:sz="0" w:space="0" w:color="auto"/>
                <w:left w:val="none" w:sz="0" w:space="0" w:color="auto"/>
                <w:bottom w:val="none" w:sz="0" w:space="0" w:color="auto"/>
                <w:right w:val="none" w:sz="0" w:space="0" w:color="auto"/>
              </w:divBdr>
            </w:div>
            <w:div w:id="1963345074">
              <w:marLeft w:val="0"/>
              <w:marRight w:val="0"/>
              <w:marTop w:val="0"/>
              <w:marBottom w:val="0"/>
              <w:divBdr>
                <w:top w:val="none" w:sz="0" w:space="0" w:color="auto"/>
                <w:left w:val="none" w:sz="0" w:space="0" w:color="auto"/>
                <w:bottom w:val="none" w:sz="0" w:space="0" w:color="auto"/>
                <w:right w:val="none" w:sz="0" w:space="0" w:color="auto"/>
              </w:divBdr>
            </w:div>
          </w:divsChild>
        </w:div>
        <w:div w:id="472064262">
          <w:marLeft w:val="0"/>
          <w:marRight w:val="0"/>
          <w:marTop w:val="0"/>
          <w:marBottom w:val="0"/>
          <w:divBdr>
            <w:top w:val="none" w:sz="0" w:space="0" w:color="auto"/>
            <w:left w:val="none" w:sz="0" w:space="0" w:color="auto"/>
            <w:bottom w:val="none" w:sz="0" w:space="0" w:color="auto"/>
            <w:right w:val="none" w:sz="0" w:space="0" w:color="auto"/>
          </w:divBdr>
          <w:divsChild>
            <w:div w:id="943881275">
              <w:marLeft w:val="0"/>
              <w:marRight w:val="0"/>
              <w:marTop w:val="0"/>
              <w:marBottom w:val="0"/>
              <w:divBdr>
                <w:top w:val="none" w:sz="0" w:space="0" w:color="auto"/>
                <w:left w:val="none" w:sz="0" w:space="0" w:color="auto"/>
                <w:bottom w:val="none" w:sz="0" w:space="0" w:color="auto"/>
                <w:right w:val="none" w:sz="0" w:space="0" w:color="auto"/>
              </w:divBdr>
            </w:div>
            <w:div w:id="984705864">
              <w:marLeft w:val="0"/>
              <w:marRight w:val="0"/>
              <w:marTop w:val="0"/>
              <w:marBottom w:val="0"/>
              <w:divBdr>
                <w:top w:val="none" w:sz="0" w:space="0" w:color="auto"/>
                <w:left w:val="none" w:sz="0" w:space="0" w:color="auto"/>
                <w:bottom w:val="none" w:sz="0" w:space="0" w:color="auto"/>
                <w:right w:val="none" w:sz="0" w:space="0" w:color="auto"/>
              </w:divBdr>
            </w:div>
            <w:div w:id="1352880391">
              <w:marLeft w:val="0"/>
              <w:marRight w:val="0"/>
              <w:marTop w:val="0"/>
              <w:marBottom w:val="0"/>
              <w:divBdr>
                <w:top w:val="none" w:sz="0" w:space="0" w:color="auto"/>
                <w:left w:val="none" w:sz="0" w:space="0" w:color="auto"/>
                <w:bottom w:val="none" w:sz="0" w:space="0" w:color="auto"/>
                <w:right w:val="none" w:sz="0" w:space="0" w:color="auto"/>
              </w:divBdr>
            </w:div>
          </w:divsChild>
        </w:div>
        <w:div w:id="1126462904">
          <w:marLeft w:val="0"/>
          <w:marRight w:val="0"/>
          <w:marTop w:val="0"/>
          <w:marBottom w:val="0"/>
          <w:divBdr>
            <w:top w:val="none" w:sz="0" w:space="0" w:color="auto"/>
            <w:left w:val="none" w:sz="0" w:space="0" w:color="auto"/>
            <w:bottom w:val="none" w:sz="0" w:space="0" w:color="auto"/>
            <w:right w:val="none" w:sz="0" w:space="0" w:color="auto"/>
          </w:divBdr>
          <w:divsChild>
            <w:div w:id="7143652">
              <w:marLeft w:val="0"/>
              <w:marRight w:val="0"/>
              <w:marTop w:val="0"/>
              <w:marBottom w:val="0"/>
              <w:divBdr>
                <w:top w:val="none" w:sz="0" w:space="0" w:color="auto"/>
                <w:left w:val="none" w:sz="0" w:space="0" w:color="auto"/>
                <w:bottom w:val="none" w:sz="0" w:space="0" w:color="auto"/>
                <w:right w:val="none" w:sz="0" w:space="0" w:color="auto"/>
              </w:divBdr>
            </w:div>
          </w:divsChild>
        </w:div>
        <w:div w:id="1159464741">
          <w:marLeft w:val="0"/>
          <w:marRight w:val="0"/>
          <w:marTop w:val="0"/>
          <w:marBottom w:val="0"/>
          <w:divBdr>
            <w:top w:val="none" w:sz="0" w:space="0" w:color="auto"/>
            <w:left w:val="none" w:sz="0" w:space="0" w:color="auto"/>
            <w:bottom w:val="none" w:sz="0" w:space="0" w:color="auto"/>
            <w:right w:val="none" w:sz="0" w:space="0" w:color="auto"/>
          </w:divBdr>
        </w:div>
        <w:div w:id="1357661206">
          <w:marLeft w:val="0"/>
          <w:marRight w:val="0"/>
          <w:marTop w:val="0"/>
          <w:marBottom w:val="0"/>
          <w:divBdr>
            <w:top w:val="none" w:sz="0" w:space="0" w:color="auto"/>
            <w:left w:val="none" w:sz="0" w:space="0" w:color="auto"/>
            <w:bottom w:val="none" w:sz="0" w:space="0" w:color="auto"/>
            <w:right w:val="none" w:sz="0" w:space="0" w:color="auto"/>
          </w:divBdr>
          <w:divsChild>
            <w:div w:id="17779856">
              <w:marLeft w:val="0"/>
              <w:marRight w:val="0"/>
              <w:marTop w:val="0"/>
              <w:marBottom w:val="0"/>
              <w:divBdr>
                <w:top w:val="none" w:sz="0" w:space="0" w:color="auto"/>
                <w:left w:val="none" w:sz="0" w:space="0" w:color="auto"/>
                <w:bottom w:val="none" w:sz="0" w:space="0" w:color="auto"/>
                <w:right w:val="none" w:sz="0" w:space="0" w:color="auto"/>
              </w:divBdr>
            </w:div>
            <w:div w:id="18361156">
              <w:marLeft w:val="0"/>
              <w:marRight w:val="0"/>
              <w:marTop w:val="0"/>
              <w:marBottom w:val="0"/>
              <w:divBdr>
                <w:top w:val="none" w:sz="0" w:space="0" w:color="auto"/>
                <w:left w:val="none" w:sz="0" w:space="0" w:color="auto"/>
                <w:bottom w:val="none" w:sz="0" w:space="0" w:color="auto"/>
                <w:right w:val="none" w:sz="0" w:space="0" w:color="auto"/>
              </w:divBdr>
            </w:div>
            <w:div w:id="253437593">
              <w:marLeft w:val="0"/>
              <w:marRight w:val="0"/>
              <w:marTop w:val="0"/>
              <w:marBottom w:val="0"/>
              <w:divBdr>
                <w:top w:val="none" w:sz="0" w:space="0" w:color="auto"/>
                <w:left w:val="none" w:sz="0" w:space="0" w:color="auto"/>
                <w:bottom w:val="none" w:sz="0" w:space="0" w:color="auto"/>
                <w:right w:val="none" w:sz="0" w:space="0" w:color="auto"/>
              </w:divBdr>
            </w:div>
            <w:div w:id="274100808">
              <w:marLeft w:val="0"/>
              <w:marRight w:val="0"/>
              <w:marTop w:val="0"/>
              <w:marBottom w:val="0"/>
              <w:divBdr>
                <w:top w:val="none" w:sz="0" w:space="0" w:color="auto"/>
                <w:left w:val="none" w:sz="0" w:space="0" w:color="auto"/>
                <w:bottom w:val="none" w:sz="0" w:space="0" w:color="auto"/>
                <w:right w:val="none" w:sz="0" w:space="0" w:color="auto"/>
              </w:divBdr>
            </w:div>
            <w:div w:id="400953442">
              <w:marLeft w:val="0"/>
              <w:marRight w:val="0"/>
              <w:marTop w:val="0"/>
              <w:marBottom w:val="0"/>
              <w:divBdr>
                <w:top w:val="none" w:sz="0" w:space="0" w:color="auto"/>
                <w:left w:val="none" w:sz="0" w:space="0" w:color="auto"/>
                <w:bottom w:val="none" w:sz="0" w:space="0" w:color="auto"/>
                <w:right w:val="none" w:sz="0" w:space="0" w:color="auto"/>
              </w:divBdr>
            </w:div>
            <w:div w:id="516581164">
              <w:marLeft w:val="0"/>
              <w:marRight w:val="0"/>
              <w:marTop w:val="0"/>
              <w:marBottom w:val="0"/>
              <w:divBdr>
                <w:top w:val="none" w:sz="0" w:space="0" w:color="auto"/>
                <w:left w:val="none" w:sz="0" w:space="0" w:color="auto"/>
                <w:bottom w:val="none" w:sz="0" w:space="0" w:color="auto"/>
                <w:right w:val="none" w:sz="0" w:space="0" w:color="auto"/>
              </w:divBdr>
            </w:div>
            <w:div w:id="538710641">
              <w:marLeft w:val="0"/>
              <w:marRight w:val="0"/>
              <w:marTop w:val="0"/>
              <w:marBottom w:val="0"/>
              <w:divBdr>
                <w:top w:val="none" w:sz="0" w:space="0" w:color="auto"/>
                <w:left w:val="none" w:sz="0" w:space="0" w:color="auto"/>
                <w:bottom w:val="none" w:sz="0" w:space="0" w:color="auto"/>
                <w:right w:val="none" w:sz="0" w:space="0" w:color="auto"/>
              </w:divBdr>
            </w:div>
            <w:div w:id="635725685">
              <w:marLeft w:val="0"/>
              <w:marRight w:val="0"/>
              <w:marTop w:val="0"/>
              <w:marBottom w:val="0"/>
              <w:divBdr>
                <w:top w:val="none" w:sz="0" w:space="0" w:color="auto"/>
                <w:left w:val="none" w:sz="0" w:space="0" w:color="auto"/>
                <w:bottom w:val="none" w:sz="0" w:space="0" w:color="auto"/>
                <w:right w:val="none" w:sz="0" w:space="0" w:color="auto"/>
              </w:divBdr>
            </w:div>
            <w:div w:id="771436116">
              <w:marLeft w:val="0"/>
              <w:marRight w:val="0"/>
              <w:marTop w:val="0"/>
              <w:marBottom w:val="0"/>
              <w:divBdr>
                <w:top w:val="none" w:sz="0" w:space="0" w:color="auto"/>
                <w:left w:val="none" w:sz="0" w:space="0" w:color="auto"/>
                <w:bottom w:val="none" w:sz="0" w:space="0" w:color="auto"/>
                <w:right w:val="none" w:sz="0" w:space="0" w:color="auto"/>
              </w:divBdr>
            </w:div>
            <w:div w:id="933367193">
              <w:marLeft w:val="0"/>
              <w:marRight w:val="0"/>
              <w:marTop w:val="0"/>
              <w:marBottom w:val="0"/>
              <w:divBdr>
                <w:top w:val="none" w:sz="0" w:space="0" w:color="auto"/>
                <w:left w:val="none" w:sz="0" w:space="0" w:color="auto"/>
                <w:bottom w:val="none" w:sz="0" w:space="0" w:color="auto"/>
                <w:right w:val="none" w:sz="0" w:space="0" w:color="auto"/>
              </w:divBdr>
            </w:div>
            <w:div w:id="1025210310">
              <w:marLeft w:val="0"/>
              <w:marRight w:val="0"/>
              <w:marTop w:val="0"/>
              <w:marBottom w:val="0"/>
              <w:divBdr>
                <w:top w:val="none" w:sz="0" w:space="0" w:color="auto"/>
                <w:left w:val="none" w:sz="0" w:space="0" w:color="auto"/>
                <w:bottom w:val="none" w:sz="0" w:space="0" w:color="auto"/>
                <w:right w:val="none" w:sz="0" w:space="0" w:color="auto"/>
              </w:divBdr>
            </w:div>
            <w:div w:id="1053506217">
              <w:marLeft w:val="0"/>
              <w:marRight w:val="0"/>
              <w:marTop w:val="0"/>
              <w:marBottom w:val="0"/>
              <w:divBdr>
                <w:top w:val="none" w:sz="0" w:space="0" w:color="auto"/>
                <w:left w:val="none" w:sz="0" w:space="0" w:color="auto"/>
                <w:bottom w:val="none" w:sz="0" w:space="0" w:color="auto"/>
                <w:right w:val="none" w:sz="0" w:space="0" w:color="auto"/>
              </w:divBdr>
            </w:div>
            <w:div w:id="1319379557">
              <w:marLeft w:val="0"/>
              <w:marRight w:val="0"/>
              <w:marTop w:val="0"/>
              <w:marBottom w:val="0"/>
              <w:divBdr>
                <w:top w:val="none" w:sz="0" w:space="0" w:color="auto"/>
                <w:left w:val="none" w:sz="0" w:space="0" w:color="auto"/>
                <w:bottom w:val="none" w:sz="0" w:space="0" w:color="auto"/>
                <w:right w:val="none" w:sz="0" w:space="0" w:color="auto"/>
              </w:divBdr>
            </w:div>
            <w:div w:id="1324240999">
              <w:marLeft w:val="0"/>
              <w:marRight w:val="0"/>
              <w:marTop w:val="0"/>
              <w:marBottom w:val="0"/>
              <w:divBdr>
                <w:top w:val="none" w:sz="0" w:space="0" w:color="auto"/>
                <w:left w:val="none" w:sz="0" w:space="0" w:color="auto"/>
                <w:bottom w:val="none" w:sz="0" w:space="0" w:color="auto"/>
                <w:right w:val="none" w:sz="0" w:space="0" w:color="auto"/>
              </w:divBdr>
            </w:div>
            <w:div w:id="1468738546">
              <w:marLeft w:val="0"/>
              <w:marRight w:val="0"/>
              <w:marTop w:val="0"/>
              <w:marBottom w:val="0"/>
              <w:divBdr>
                <w:top w:val="none" w:sz="0" w:space="0" w:color="auto"/>
                <w:left w:val="none" w:sz="0" w:space="0" w:color="auto"/>
                <w:bottom w:val="none" w:sz="0" w:space="0" w:color="auto"/>
                <w:right w:val="none" w:sz="0" w:space="0" w:color="auto"/>
              </w:divBdr>
            </w:div>
            <w:div w:id="1512061764">
              <w:marLeft w:val="0"/>
              <w:marRight w:val="0"/>
              <w:marTop w:val="0"/>
              <w:marBottom w:val="0"/>
              <w:divBdr>
                <w:top w:val="none" w:sz="0" w:space="0" w:color="auto"/>
                <w:left w:val="none" w:sz="0" w:space="0" w:color="auto"/>
                <w:bottom w:val="none" w:sz="0" w:space="0" w:color="auto"/>
                <w:right w:val="none" w:sz="0" w:space="0" w:color="auto"/>
              </w:divBdr>
            </w:div>
            <w:div w:id="1731031667">
              <w:marLeft w:val="0"/>
              <w:marRight w:val="0"/>
              <w:marTop w:val="0"/>
              <w:marBottom w:val="0"/>
              <w:divBdr>
                <w:top w:val="none" w:sz="0" w:space="0" w:color="auto"/>
                <w:left w:val="none" w:sz="0" w:space="0" w:color="auto"/>
                <w:bottom w:val="none" w:sz="0" w:space="0" w:color="auto"/>
                <w:right w:val="none" w:sz="0" w:space="0" w:color="auto"/>
              </w:divBdr>
            </w:div>
            <w:div w:id="1752317338">
              <w:marLeft w:val="0"/>
              <w:marRight w:val="0"/>
              <w:marTop w:val="0"/>
              <w:marBottom w:val="0"/>
              <w:divBdr>
                <w:top w:val="none" w:sz="0" w:space="0" w:color="auto"/>
                <w:left w:val="none" w:sz="0" w:space="0" w:color="auto"/>
                <w:bottom w:val="none" w:sz="0" w:space="0" w:color="auto"/>
                <w:right w:val="none" w:sz="0" w:space="0" w:color="auto"/>
              </w:divBdr>
            </w:div>
            <w:div w:id="1803115682">
              <w:marLeft w:val="0"/>
              <w:marRight w:val="0"/>
              <w:marTop w:val="0"/>
              <w:marBottom w:val="0"/>
              <w:divBdr>
                <w:top w:val="none" w:sz="0" w:space="0" w:color="auto"/>
                <w:left w:val="none" w:sz="0" w:space="0" w:color="auto"/>
                <w:bottom w:val="none" w:sz="0" w:space="0" w:color="auto"/>
                <w:right w:val="none" w:sz="0" w:space="0" w:color="auto"/>
              </w:divBdr>
            </w:div>
            <w:div w:id="1877306776">
              <w:marLeft w:val="0"/>
              <w:marRight w:val="0"/>
              <w:marTop w:val="0"/>
              <w:marBottom w:val="0"/>
              <w:divBdr>
                <w:top w:val="none" w:sz="0" w:space="0" w:color="auto"/>
                <w:left w:val="none" w:sz="0" w:space="0" w:color="auto"/>
                <w:bottom w:val="none" w:sz="0" w:space="0" w:color="auto"/>
                <w:right w:val="none" w:sz="0" w:space="0" w:color="auto"/>
              </w:divBdr>
            </w:div>
          </w:divsChild>
        </w:div>
        <w:div w:id="1789274228">
          <w:marLeft w:val="0"/>
          <w:marRight w:val="0"/>
          <w:marTop w:val="0"/>
          <w:marBottom w:val="0"/>
          <w:divBdr>
            <w:top w:val="none" w:sz="0" w:space="0" w:color="auto"/>
            <w:left w:val="none" w:sz="0" w:space="0" w:color="auto"/>
            <w:bottom w:val="none" w:sz="0" w:space="0" w:color="auto"/>
            <w:right w:val="none" w:sz="0" w:space="0" w:color="auto"/>
          </w:divBdr>
        </w:div>
      </w:divsChild>
    </w:div>
    <w:div w:id="2133592755">
      <w:bodyDiv w:val="1"/>
      <w:marLeft w:val="0"/>
      <w:marRight w:val="0"/>
      <w:marTop w:val="0"/>
      <w:marBottom w:val="0"/>
      <w:divBdr>
        <w:top w:val="none" w:sz="0" w:space="0" w:color="auto"/>
        <w:left w:val="none" w:sz="0" w:space="0" w:color="auto"/>
        <w:bottom w:val="none" w:sz="0" w:space="0" w:color="auto"/>
        <w:right w:val="none" w:sz="0" w:space="0" w:color="auto"/>
      </w:divBdr>
      <w:divsChild>
        <w:div w:id="347682164">
          <w:marLeft w:val="446"/>
          <w:marRight w:val="0"/>
          <w:marTop w:val="200"/>
          <w:marBottom w:val="0"/>
          <w:divBdr>
            <w:top w:val="none" w:sz="0" w:space="0" w:color="auto"/>
            <w:left w:val="none" w:sz="0" w:space="0" w:color="auto"/>
            <w:bottom w:val="none" w:sz="0" w:space="0" w:color="auto"/>
            <w:right w:val="none" w:sz="0" w:space="0" w:color="auto"/>
          </w:divBdr>
        </w:div>
        <w:div w:id="1098017823">
          <w:marLeft w:val="446"/>
          <w:marRight w:val="0"/>
          <w:marTop w:val="200"/>
          <w:marBottom w:val="0"/>
          <w:divBdr>
            <w:top w:val="none" w:sz="0" w:space="0" w:color="auto"/>
            <w:left w:val="none" w:sz="0" w:space="0" w:color="auto"/>
            <w:bottom w:val="none" w:sz="0" w:space="0" w:color="auto"/>
            <w:right w:val="none" w:sz="0" w:space="0" w:color="auto"/>
          </w:divBdr>
        </w:div>
        <w:div w:id="1628705886">
          <w:marLeft w:val="446"/>
          <w:marRight w:val="0"/>
          <w:marTop w:val="200"/>
          <w:marBottom w:val="0"/>
          <w:divBdr>
            <w:top w:val="none" w:sz="0" w:space="0" w:color="auto"/>
            <w:left w:val="none" w:sz="0" w:space="0" w:color="auto"/>
            <w:bottom w:val="none" w:sz="0" w:space="0" w:color="auto"/>
            <w:right w:val="none" w:sz="0" w:space="0" w:color="auto"/>
          </w:divBdr>
        </w:div>
        <w:div w:id="2051876138">
          <w:marLeft w:val="446"/>
          <w:marRight w:val="0"/>
          <w:marTop w:val="200"/>
          <w:marBottom w:val="0"/>
          <w:divBdr>
            <w:top w:val="none" w:sz="0" w:space="0" w:color="auto"/>
            <w:left w:val="none" w:sz="0" w:space="0" w:color="auto"/>
            <w:bottom w:val="none" w:sz="0" w:space="0" w:color="auto"/>
            <w:right w:val="none" w:sz="0" w:space="0" w:color="auto"/>
          </w:divBdr>
        </w:div>
        <w:div w:id="2064671396">
          <w:marLeft w:val="446"/>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eader" Target="header3.xml"/><Relationship Id="rId39" Type="http://schemas.openxmlformats.org/officeDocument/2006/relationships/image" Target="media/image9.png"/><Relationship Id="rId21" Type="http://schemas.openxmlformats.org/officeDocument/2006/relationships/image" Target="media/image30.emf"/><Relationship Id="rId34" Type="http://schemas.openxmlformats.org/officeDocument/2006/relationships/image" Target="media/image6.png"/><Relationship Id="rId42" Type="http://schemas.openxmlformats.org/officeDocument/2006/relationships/hyperlink" Target="https://www.linkedin.com/in/undp-nepal-978944301/" TargetMode="External"/><Relationship Id="rId47"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webSettings" Target="webSettings.xml"/><Relationship Id="rId29" Type="http://schemas.openxmlformats.org/officeDocument/2006/relationships/hyperlink" Target="https://www.ldc-climate.org/"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1.xml"/><Relationship Id="rId32" Type="http://schemas.openxmlformats.org/officeDocument/2006/relationships/hyperlink" Target="https://www.ldc-climate.org/wp-content/uploads/2024/03/LDC-Group-Charter.pdf" TargetMode="External"/><Relationship Id="rId37" Type="http://schemas.openxmlformats.org/officeDocument/2006/relationships/hyperlink" Target="https://unfccc.int/sites/default/files/resource/cma2024_L20_adv.pdf" TargetMode="External"/><Relationship Id="rId40" Type="http://schemas.openxmlformats.org/officeDocument/2006/relationships/hyperlink" Target="https://www.linkedin.com/company/fao/"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2.xml"/><Relationship Id="rId28" Type="http://schemas.openxmlformats.org/officeDocument/2006/relationships/image" Target="media/image4.png"/><Relationship Id="rId36" Type="http://schemas.openxmlformats.org/officeDocument/2006/relationships/image" Target="media/image8.png"/><Relationship Id="rId10" Type="http://schemas.openxmlformats.org/officeDocument/2006/relationships/customXml" Target="../customXml/item10.xml"/><Relationship Id="rId19" Type="http://schemas.openxmlformats.org/officeDocument/2006/relationships/image" Target="media/image1.jpg"/><Relationship Id="rId31" Type="http://schemas.openxmlformats.org/officeDocument/2006/relationships/hyperlink" Target="https://unctad.org/topic/least-developed-countries/list?utm_source=chatgpt.com" TargetMode="External"/><Relationship Id="rId44" Type="http://schemas.openxmlformats.org/officeDocument/2006/relationships/hyperlink" Target="https://www.linkedin.com/company/icimod/"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s://policy.desa.un.org/themes/least-developed-countries-category/inclusion-in-the-ldc-category" TargetMode="External"/><Relationship Id="rId35" Type="http://schemas.openxmlformats.org/officeDocument/2006/relationships/image" Target="media/image7.png"/><Relationship Id="rId43" Type="http://schemas.openxmlformats.org/officeDocument/2006/relationships/hyperlink" Target="https://www.linkedin.com/company/missioneast/" TargetMode="Externa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5.png"/><Relationship Id="rId38" Type="http://schemas.openxmlformats.org/officeDocument/2006/relationships/header" Target="header4.xml"/><Relationship Id="rId46" Type="http://schemas.openxmlformats.org/officeDocument/2006/relationships/glossaryDocument" Target="glossary/document.xml"/><Relationship Id="rId20" Type="http://schemas.openxmlformats.org/officeDocument/2006/relationships/image" Target="media/image2.emf"/><Relationship Id="rId41" Type="http://schemas.openxmlformats.org/officeDocument/2006/relationships/hyperlink" Target="https://www.linkedin.com/company/karnali-integrated-rural-development-research-cente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highambitioncoalition.org/statements/hac2023-leaders-meeting" TargetMode="External"/><Relationship Id="rId13" Type="http://schemas.openxmlformats.org/officeDocument/2006/relationships/hyperlink" Target="https://centralasiaclimateportal.org/unfccc-cop28-kyrgyzstan-initiative-to-establish-a-negotiating-group-on-mountain-partnership-supported/" TargetMode="External"/><Relationship Id="rId18" Type="http://schemas.openxmlformats.org/officeDocument/2006/relationships/hyperlink" Target="https://www.linkedin.com/posts/apar-paudyal_internationalmountainday-climateaction-collaboration-activity-7273227806635905024-RNDK/?utm_source=share&amp;utm_medium=member_desktop&amp;rcm=ACoAABOH-VUBzwEcmQWRXmrxLNwOsCx5jeV2YBM" TargetMode="External"/><Relationship Id="rId3" Type="http://schemas.openxmlformats.org/officeDocument/2006/relationships/hyperlink" Target="https://casaclimate.org/news/our-fragile-planet-is-hanging-by-a-thread-guterres/" TargetMode="External"/><Relationship Id="rId7" Type="http://schemas.openxmlformats.org/officeDocument/2006/relationships/hyperlink" Target="https://islandsbusiness.com/news-break/punching-above-its-weight-pacific-pushes-for-ship-polluters-to-pay/" TargetMode="External"/><Relationship Id="rId12" Type="http://schemas.openxmlformats.org/officeDocument/2006/relationships/hyperlink" Target="https://risingnepaldaily.com/news/37473" TargetMode="External"/><Relationship Id="rId17" Type="http://schemas.openxmlformats.org/officeDocument/2006/relationships/hyperlink" Target="https://www.un.org/sg/en/content/sg/statement/2025-05-16/secretary-generals-video-message-the-sagarmatha-sambaad-everest-dialogue" TargetMode="External"/><Relationship Id="rId2" Type="http://schemas.openxmlformats.org/officeDocument/2006/relationships/hyperlink" Target="https://www.highambitioncoalition.org/statements/cp26-leaders-statement" TargetMode="External"/><Relationship Id="rId16" Type="http://schemas.openxmlformats.org/officeDocument/2006/relationships/hyperlink" Target="https://www.fao.org/mountain-partnership/en/" TargetMode="External"/><Relationship Id="rId1" Type="http://schemas.openxmlformats.org/officeDocument/2006/relationships/hyperlink" Target="https://www.gatesfoundation.org/about/committed-grants/2023/09/inv-063552" TargetMode="External"/><Relationship Id="rId6" Type="http://schemas.openxmlformats.org/officeDocument/2006/relationships/hyperlink" Target="https://www.fijitimes.com.fj/marshall-islands-deliver-a-moral-call-to-arms-to-high-polluting-nations-greenpeace/" TargetMode="External"/><Relationship Id="rId11" Type="http://schemas.openxmlformats.org/officeDocument/2006/relationships/hyperlink" Target="https://www.youtube.com/watch?v=xIimeJ8BzTE" TargetMode="External"/><Relationship Id="rId5" Type="http://schemas.openxmlformats.org/officeDocument/2006/relationships/hyperlink" Target="https://www.climatechangenews.com/2014/05/05/marshall-islands-primed-for-climate-fight-for-survival/" TargetMode="External"/><Relationship Id="rId15" Type="http://schemas.openxmlformats.org/officeDocument/2006/relationships/hyperlink" Target="https://nepalitimes.com/news/himalayan-meltdown" TargetMode="External"/><Relationship Id="rId10" Type="http://schemas.openxmlformats.org/officeDocument/2006/relationships/hyperlink" Target="https://www.washingtonpost.com/politics/2023/11/29/seven-people-watch-cop28-climate-talks-dubai/" TargetMode="External"/><Relationship Id="rId4" Type="http://schemas.openxmlformats.org/officeDocument/2006/relationships/hyperlink" Target="https://rmigov.com/?p=1927" TargetMode="External"/><Relationship Id="rId9" Type="http://schemas.openxmlformats.org/officeDocument/2006/relationships/hyperlink" Target="https://www.climateforesight.eu/articles/we-will-not-go-silently-to-our-watery-graves-how-to-save-a-nation-from-drowning/" TargetMode="External"/><Relationship Id="rId14" Type="http://schemas.openxmlformats.org/officeDocument/2006/relationships/hyperlink" Target="https://mountain.mofe.gov.n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342B4D47C6E4AA987EDA78CA892E5E3"/>
        <w:category>
          <w:name w:val="General"/>
          <w:gallery w:val="placeholder"/>
        </w:category>
        <w:types>
          <w:type w:val="bbPlcHdr"/>
        </w:types>
        <w:behaviors>
          <w:behavior w:val="content"/>
        </w:behaviors>
        <w:guid w:val="{52F8C46B-014F-470D-9493-3DB77DB088E7}"/>
      </w:docPartPr>
      <w:docPartBody>
        <w:p w:rsidR="00C7304B" w:rsidRDefault="00C7304B" w:rsidP="00C7304B">
          <w:pPr>
            <w:pStyle w:val="F342B4D47C6E4AA987EDA78CA892E5E3"/>
          </w:pPr>
          <w:r w:rsidRPr="00F545C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Segoe UI Black">
    <w:panose1 w:val="020B0A02040204020203"/>
    <w:charset w:val="00"/>
    <w:family w:val="swiss"/>
    <w:pitch w:val="variable"/>
    <w:sig w:usb0="E00002FF" w:usb1="4000E47F" w:usb2="00000021" w:usb3="00000000" w:csb0="0000019F" w:csb1="00000000"/>
  </w:font>
  <w:font w:name="Apto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04B"/>
    <w:rsid w:val="000A3C44"/>
    <w:rsid w:val="00114A1C"/>
    <w:rsid w:val="001B396E"/>
    <w:rsid w:val="00254193"/>
    <w:rsid w:val="002E2D8B"/>
    <w:rsid w:val="002E65BD"/>
    <w:rsid w:val="002F3525"/>
    <w:rsid w:val="00327649"/>
    <w:rsid w:val="00447BDA"/>
    <w:rsid w:val="00454BFF"/>
    <w:rsid w:val="00465532"/>
    <w:rsid w:val="004803AA"/>
    <w:rsid w:val="005906A0"/>
    <w:rsid w:val="00683C2F"/>
    <w:rsid w:val="006E283A"/>
    <w:rsid w:val="0073448D"/>
    <w:rsid w:val="00767894"/>
    <w:rsid w:val="007E3763"/>
    <w:rsid w:val="008203AA"/>
    <w:rsid w:val="00874F22"/>
    <w:rsid w:val="00927246"/>
    <w:rsid w:val="00935F5A"/>
    <w:rsid w:val="00995EBA"/>
    <w:rsid w:val="009C0B87"/>
    <w:rsid w:val="00A77DDB"/>
    <w:rsid w:val="00AC13E2"/>
    <w:rsid w:val="00B3598F"/>
    <w:rsid w:val="00BD2F6C"/>
    <w:rsid w:val="00C403D1"/>
    <w:rsid w:val="00C579C1"/>
    <w:rsid w:val="00C7304B"/>
    <w:rsid w:val="00C82FC4"/>
    <w:rsid w:val="00CB5BC4"/>
    <w:rsid w:val="00CC1D13"/>
    <w:rsid w:val="00D1454D"/>
    <w:rsid w:val="00D47B67"/>
    <w:rsid w:val="00D747A2"/>
    <w:rsid w:val="00D967BB"/>
    <w:rsid w:val="00DE7B12"/>
    <w:rsid w:val="00E302A3"/>
    <w:rsid w:val="00EB5329"/>
    <w:rsid w:val="00EC6536"/>
    <w:rsid w:val="00EF2595"/>
    <w:rsid w:val="00F50EE4"/>
    <w:rsid w:val="00FA59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304B"/>
    <w:rPr>
      <w:color w:val="808080"/>
    </w:rPr>
  </w:style>
  <w:style w:type="paragraph" w:customStyle="1" w:styleId="F342B4D47C6E4AA987EDA78CA892E5E3">
    <w:name w:val="F342B4D47C6E4AA987EDA78CA892E5E3"/>
    <w:rsid w:val="00C730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ife">
  <a:themeElements>
    <a:clrScheme name="LIFE">
      <a:dk1>
        <a:srgbClr val="303030"/>
      </a:dk1>
      <a:lt1>
        <a:srgbClr val="FFFFFF"/>
      </a:lt1>
      <a:dk2>
        <a:srgbClr val="1D4542"/>
      </a:dk2>
      <a:lt2>
        <a:srgbClr val="EBF1F0"/>
      </a:lt2>
      <a:accent1>
        <a:srgbClr val="C4D5D3"/>
      </a:accent1>
      <a:accent2>
        <a:srgbClr val="86A9A6"/>
      </a:accent2>
      <a:accent3>
        <a:srgbClr val="5E8D89"/>
      </a:accent3>
      <a:accent4>
        <a:srgbClr val="36706B"/>
      </a:accent4>
      <a:accent5>
        <a:srgbClr val="2B5A56"/>
      </a:accent5>
      <a:accent6>
        <a:srgbClr val="5EC1A0"/>
      </a:accent6>
      <a:hlink>
        <a:srgbClr val="1B10F8"/>
      </a:hlink>
      <a:folHlink>
        <a:srgbClr val="800080"/>
      </a:folHlink>
    </a:clrScheme>
    <a:fontScheme name="NIRAS Theme Fonts">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Life_Ny" id="{6C10779B-CB58-4A49-868D-2C888AEFB809}" vid="{ED8E496E-3FD0-45EF-938A-3C5E37F826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nstants xmlns="http://niras/templates/constants">
  <ControlledBy/>
  <ApprovedBy/>
</constants>
</file>

<file path=customXml/item10.xml><?xml version="1.0" encoding="utf-8"?>
<ct:contentTypeSchema xmlns:ct="http://schemas.microsoft.com/office/2006/metadata/contentType" xmlns:ma="http://schemas.microsoft.com/office/2006/metadata/properties/metaAttributes" ct:_="" ma:_="" ma:contentTypeName="Document" ma:contentTypeID="0x010100C86BC38FBA6AE64EBB94A713A201E924" ma:contentTypeVersion="20" ma:contentTypeDescription="Create a new document." ma:contentTypeScope="" ma:versionID="2817b948c73515af29ee4a10379e8f93">
  <xsd:schema xmlns:xsd="http://www.w3.org/2001/XMLSchema" xmlns:xs="http://www.w3.org/2001/XMLSchema" xmlns:p="http://schemas.microsoft.com/office/2006/metadata/properties" xmlns:ns1="http://schemas.microsoft.com/sharepoint/v3" xmlns:ns2="92ad9e33-5271-4ce6-bdd9-333434fbc601" xmlns:ns3="0063f72e-ace3-48fb-9c1f-5b513408b31f" xmlns:ns4="b413c3fd-5a3b-4239-b985-69032e371c04" xmlns:ns5="a8f60570-4bd3-4f2b-950b-a996de8ab151" xmlns:ns6="aaacb922-5235-4a66-b188-303b9b46fbd7" xmlns:ns7="c428dd7c-603b-4269-bcac-7b8676926974" targetNamespace="http://schemas.microsoft.com/office/2006/metadata/properties" ma:root="true" ma:fieldsID="809daeac288255535ae8f0686bc760d9" ns1:_="" ns2:_="" ns3:_="" ns4:_="" ns5:_="" ns6:_="" ns7:_="">
    <xsd:import namespace="http://schemas.microsoft.com/sharepoint/v3"/>
    <xsd:import namespace="92ad9e33-5271-4ce6-bdd9-333434fbc601"/>
    <xsd:import namespace="0063f72e-ace3-48fb-9c1f-5b513408b31f"/>
    <xsd:import namespace="b413c3fd-5a3b-4239-b985-69032e371c04"/>
    <xsd:import namespace="a8f60570-4bd3-4f2b-950b-a996de8ab151"/>
    <xsd:import namespace="aaacb922-5235-4a66-b188-303b9b46fbd7"/>
    <xsd:import namespace="c428dd7c-603b-4269-bcac-7b8676926974"/>
    <xsd:element name="properties">
      <xsd:complexType>
        <xsd:sequence>
          <xsd:element name="documentManagement">
            <xsd:complexType>
              <xsd:all>
                <xsd:element ref="ns2:_dlc_DocId" minOccurs="0"/>
                <xsd:element ref="ns2:_dlc_DocIdUrl" minOccurs="0"/>
                <xsd:element ref="ns2:_dlc_DocIdPersistId" minOccurs="0"/>
                <xsd:element ref="ns3:Security_x0020_Classification" minOccurs="0"/>
                <xsd:element ref="ns3:Descriptor" minOccurs="0"/>
                <xsd:element ref="ns2:m975189f4ba442ecbf67d4147307b177" minOccurs="0"/>
                <xsd:element ref="ns2:TaxCatchAll" minOccurs="0"/>
                <xsd:element ref="ns2:TaxCatchAllLabel" minOccurs="0"/>
                <xsd:element ref="ns4:Government_x0020_Body" minOccurs="0"/>
                <xsd:element ref="ns4:Date_x0020_Opened" minOccurs="0"/>
                <xsd:element ref="ns4:Date_x0020_Closed" minOccurs="0"/>
                <xsd:element ref="ns5:Retention_x0020_Label" minOccurs="0"/>
                <xsd:element ref="ns6:LegacyData" minOccurs="0"/>
                <xsd:element ref="ns7:MediaServiceMetadata" minOccurs="0"/>
                <xsd:element ref="ns7:MediaServiceFastMetadata" minOccurs="0"/>
                <xsd:element ref="ns7:MediaServiceAutoKeyPoints" minOccurs="0"/>
                <xsd:element ref="ns7:MediaServiceKeyPoints" minOccurs="0"/>
                <xsd:element ref="ns7:MediaServiceAutoTags" minOccurs="0"/>
                <xsd:element ref="ns7:MediaServiceOCR" minOccurs="0"/>
                <xsd:element ref="ns7:MediaServiceGenerationTime" minOccurs="0"/>
                <xsd:element ref="ns7:MediaServiceEventHashCode" minOccurs="0"/>
                <xsd:element ref="ns7:MediaServiceDateTaken" minOccurs="0"/>
                <xsd:element ref="ns7:MediaServiceLocation" minOccurs="0"/>
                <xsd:element ref="ns2:SharedWithUsers" minOccurs="0"/>
                <xsd:element ref="ns2:SharedWithDetails" minOccurs="0"/>
                <xsd:element ref="ns7:MediaLengthInSeconds" minOccurs="0"/>
                <xsd:element ref="ns7:MediaServiceObjectDetectorVersions" minOccurs="0"/>
                <xsd:element ref="ns7:overview" minOccurs="0"/>
                <xsd:element ref="ns7:lcf76f155ced4ddcb4097134ff3c332f" minOccurs="0"/>
                <xsd:element ref="ns7: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0" nillable="true" ma:displayName="Unified Compliance Policy Properties" ma:hidden="true" ma:internalName="_ip_UnifiedCompliancePolicyProperties">
      <xsd:simpleType>
        <xsd:restriction base="dms:Note"/>
      </xsd:simpleType>
    </xsd:element>
    <xsd:element name="_ip_UnifiedCompliancePolicyUIAction" ma:index="4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ad9e33-5271-4ce6-bdd9-333434fbc60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m975189f4ba442ecbf67d4147307b177" ma:index="13" nillable="true" ma:taxonomy="true" ma:internalName="m975189f4ba442ecbf67d4147307b177" ma:taxonomyFieldName="Business_x0020_Unit" ma:displayName="Business Unit" ma:default="1;#International Climate Finance|25a07eec-082c-4868-be05-2bef48a6767e" ma:fieldId="{6975189f-4ba4-42ec-bf67-d4147307b177}" ma:sspId="9b0aeba9-2bce-41c2-8545-5d12d676a674" ma:termSetId="6f71e40e-3a2e-4baf-91d9-2069eb354530" ma:anchorId="00000000-0000-0000-0000-000000000000" ma:open="false" ma:isKeyword="false">
      <xsd:complexType>
        <xsd:sequence>
          <xsd:element ref="pc:Terms" minOccurs="0" maxOccurs="1"/>
        </xsd:sequence>
      </xsd:complexType>
    </xsd:element>
    <xsd:element name="TaxCatchAll" ma:index="14" nillable="true" ma:displayName="Taxonomy Catch All Column" ma:hidden="true" ma:list="{d136d9e3-02d7-4447-9a9a-9d02553843e1}" ma:internalName="TaxCatchAll" ma:showField="CatchAllData" ma:web="92ad9e33-5271-4ce6-bdd9-333434fbc601">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hidden="true" ma:list="{d136d9e3-02d7-4447-9a9a-9d02553843e1}" ma:internalName="TaxCatchAllLabel" ma:readOnly="true" ma:showField="CatchAllDataLabel" ma:web="92ad9e33-5271-4ce6-bdd9-333434fbc601">
      <xsd:complexType>
        <xsd:complexContent>
          <xsd:extension base="dms:MultiChoiceLookup">
            <xsd:sequence>
              <xsd:element name="Value" type="dms:Lookup" maxOccurs="unbounded" minOccurs="0" nillable="true"/>
            </xsd:sequence>
          </xsd:extension>
        </xsd:complexContent>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63f72e-ace3-48fb-9c1f-5b513408b31f" elementFormDefault="qualified">
    <xsd:import namespace="http://schemas.microsoft.com/office/2006/documentManagement/types"/>
    <xsd:import namespace="http://schemas.microsoft.com/office/infopath/2007/PartnerControls"/>
    <xsd:element name="Security_x0020_Classification" ma:index="11" nillable="true" ma:displayName="Security Classification" ma:default="OFFICIAL" ma:format="Dropdown" ma:indexed="true" ma:internalName="Security_x0020_Classification">
      <xsd:simpleType>
        <xsd:restriction base="dms:Choice">
          <xsd:enumeration value="OFFICIAL"/>
          <xsd:enumeration value="OFFICIAL - SENSITIVE"/>
        </xsd:restriction>
      </xsd:simpleType>
    </xsd:element>
    <xsd:element name="Descriptor" ma:index="12" nillable="true" ma:displayName="Descriptor" ma:default="" ma:format="Dropdown" ma:indexed="true" ma:internalName="Descriptor">
      <xsd:simpleType>
        <xsd:restriction base="dms:Choice">
          <xsd:enumeration value="COMMERCIAL"/>
          <xsd:enumeration value="PERSONAL"/>
          <xsd:enumeration value="LOCSEN"/>
        </xsd:restriction>
      </xsd:simpleType>
    </xsd:element>
  </xsd:schema>
  <xsd:schema xmlns:xsd="http://www.w3.org/2001/XMLSchema" xmlns:xs="http://www.w3.org/2001/XMLSchema" xmlns:dms="http://schemas.microsoft.com/office/2006/documentManagement/types" xmlns:pc="http://schemas.microsoft.com/office/infopath/2007/PartnerControls" targetNamespace="b413c3fd-5a3b-4239-b985-69032e371c04" elementFormDefault="qualified">
    <xsd:import namespace="http://schemas.microsoft.com/office/2006/documentManagement/types"/>
    <xsd:import namespace="http://schemas.microsoft.com/office/infopath/2007/PartnerControls"/>
    <xsd:element name="Government_x0020_Body" ma:index="17" nillable="true" ma:displayName="Government Body" ma:default="BEIS" ma:internalName="Government_x0020_Body">
      <xsd:simpleType>
        <xsd:restriction base="dms:Text">
          <xsd:maxLength value="255"/>
        </xsd:restriction>
      </xsd:simpleType>
    </xsd:element>
    <xsd:element name="Date_x0020_Opened" ma:index="18" nillable="true" ma:displayName="Date Opened" ma:default="[Today]" ma:format="DateOnly" ma:internalName="Date_x0020_Opened">
      <xsd:simpleType>
        <xsd:restriction base="dms:DateTime"/>
      </xsd:simpleType>
    </xsd:element>
    <xsd:element name="Date_x0020_Closed" ma:index="19" nillable="true" ma:displayName="Date Closed" ma:format="DateOnly" ma:internalName="Date_x0020_Clos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8f60570-4bd3-4f2b-950b-a996de8ab151" elementFormDefault="qualified">
    <xsd:import namespace="http://schemas.microsoft.com/office/2006/documentManagement/types"/>
    <xsd:import namespace="http://schemas.microsoft.com/office/infopath/2007/PartnerControls"/>
    <xsd:element name="Retention_x0020_Label" ma:index="20" nillable="true" ma:displayName="Retention Label" ma:internalName="Retention_x0020_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acb922-5235-4a66-b188-303b9b46fbd7" elementFormDefault="qualified">
    <xsd:import namespace="http://schemas.microsoft.com/office/2006/documentManagement/types"/>
    <xsd:import namespace="http://schemas.microsoft.com/office/infopath/2007/PartnerControls"/>
    <xsd:element name="LegacyData" ma:index="21" nillable="true" ma:displayName="Legacy Data" ma:internalName="Legacy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28dd7c-603b-4269-bcac-7b8676926974"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ServiceAutoTags" ma:index="26" nillable="true" ma:displayName="Tags" ma:internalName="MediaServiceAutoTag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DateTaken" ma:index="30" nillable="true" ma:displayName="MediaServiceDateTaken" ma:hidden="true" ma:internalName="MediaServiceDateTaken" ma:readOnly="true">
      <xsd:simpleType>
        <xsd:restriction base="dms:Text"/>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overview" ma:index="36" nillable="true" ma:displayName="overview" ma:format="Dropdown" ma:internalName="overview">
      <xsd:simpleType>
        <xsd:restriction base="dms:Note">
          <xsd:maxLength value="255"/>
        </xsd:restrictio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b0aeba9-2bce-41c2-8545-5d12d676a674" ma:termSetId="09814cd3-568e-fe90-9814-8d621ff8fb84" ma:anchorId="fba54fb3-c3e1-fe81-a776-ca4b69148c4d" ma:open="true" ma:isKeyword="false">
      <xsd:complexType>
        <xsd:sequence>
          <xsd:element ref="pc:Terms" minOccurs="0" maxOccurs="1"/>
        </xsd:sequence>
      </xsd:complex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xml><?xml version="1.0" encoding="utf-8"?>
<?mso-contentType ?>
<FormTemplates xmlns="http://schemas.microsoft.com/sharepoint/v3/contenttype/forms">
  <Display>DocumentLibraryForm</Display>
  <Edit>DocumentLibraryForm</Edit>
  <New>DocumentLibraryForm</New>
</FormTemplates>
</file>

<file path=customXml/item12.xml>��< ? x m l   v e r s i o n = " 1 . 0 "   e n c o d i n g = " u t f - 1 6 " ? > < a d d r e s s   x m l n s = " h t t p : / / n i r a s / t e m p l a t e s / a d d r e s s " >  
     < T i t l e > N I R A S   G R O U P   ( U K )   L t d . < / T i t l e >  
     < C o m p a n y > N I R A S   G R O U P   ( U K )   L t d . < / C o m p a n y >  
     < O f f i c e > E d i n b u r g h < / O f f i c e >  
     < N I R A S T e m p l a t e L a n g u a g e > e n < / N I R A S T e m p l a t e L a n g u a g e >  
     < F i r m > N I R A S   G R O U P   ( U K )   L t d . < / F i r m >  
     < A d d r e s s 1 > P e n t l a n d s   S c i e n c e   P a r k ,   B u s h   L o a n ,  
 P e n i c u i k < / A d d r e s s 1 >  
     < P o s t a l D i s t r i c t > N r .   E d i n b u r g h   E H 2 6   0 P L < / P o s t a l D i s t r i c t >  
     < C o u n t r y > � < / C o u n t r y >  
     < T e l e p h o n e > + 4 4   1 3 1   4 4 0   5 5 0 0 < / T e l e p h o n e >  
     < F a x > + 4 4   1 3 1   4 4 0   5 5 0 1 < / F a x >  
     < E m a i l > m a i l @ l t s i . c o . u k < / E m a i l >  
     < R e g > R e g .   n o .   1 2 5 0 4 4 3 < / R e g >  
     < F R I > V A T   R e g .   2 6 7   7 6 3 7   1 2 < / F R I >  
     < W e b A d d r e s s > w w w . n i r a s . c o m / s e c t o r s / d e v e l o p m e n t - c o n s u l t i n g < / W e b A d d r e s s >  
 < / a d d r e s 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user xmlns="http://niras/templates/user">
  <email/>
  <phone/>
  <username/>
  <ini/>
</user>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1 6 " ? > < l o g o   x m l n s = " h t t p : / / n i r a s / t e m p l a t e s / l o g o " >  
     < i m a g e > A Q A A A H Q A A A B f A A A A 4 f v / / 8 Q A A A A B / P / / m Q s A A D d / / / / t F w A A H 4 P / / y B F T U Y A A A E A 0 A U A A C s A A A A D A A A A D Q A A A F g A A A A A A A A A A A Q A A A A D A A B A A Q A A 8 A A A A E E A Z A B v A G I A Z Q A g A F M A e Q B z A H Q A Z Q B t A H M A A A A R A A A A D A A A A A g A A A A S A A A A D A A A A A E A A A A K A A A A E A A A A A A A A A A A A A A A D A A A A B A A A A A A A A A A A A A A A A k A A A A Q A A A A j Q M A A B 0 B A A A L A A A A E A A A A C 8 B A A B f A A A A E w A A A A w A A A A C A A A A J w A A A B g A A A A B A A A A A A A A A L c N G A A A A A A A J Q A A A A w A A A A B A A A A X w A A A D Q A A A A C A A A A L A A A A A A A A A A s A A A A A A A A A A U A A A A A A A A A A A A A A A A A A A A A A A A A A A A A A C U A A A A M A A A A A g A A A F s A A A B Q A A A A X g A A A O / 7 / / 9 0 A A A A A f z / / w E A A A A L A A A A C w A A A E g B 6 v M u A d D z H A H Q 8 x w B A f Q r A Q H 0 L A H j 8 0 o B A f R Z A Q H 0 W Q H Q 8 0 k B 0 P N I A e r z E w A A A A w A A A A C A A A A W w A A A D g A A A B 3 A A A A 7 / v / / 3 4 A A A A B / P / / A Q A A A A U A A A A F A A A A Z w E B 9 H g B A f R 4 A d D z Z w H Q 8 2 c B A f Q T A A A A D A A A A A I A A A A 7 A A A A C A A A A B s A A A A Q A A A A v g E A A N 7 z / / 9 Y A A A A u A A A A I E A A A D v + / / / l g A A A A H 8 / / 8 n A A A A v g H S 8 7 A B z / O l A c / z n A H P 8 4 Y B 0 P O G A d D z h g E B 9 I Y B A f S G A Q H 0 l Q E B 9 J U B A f S V A Q H 0 m A H Z 8 5 g B 2 f O Y A d n z m A H Z 8 5 4 B 2 f O i A d n z q A H Z 8 6 w B 2 / O t A d / z r Q H j 8 6 s B 6 P O d A e j z n Q H w 8 5 0 B 8 P O d A f D z r Q E B 9 K 0 B A f S t A Q H 0 v g E B 9 L 4 B A f S + A Q H 0 s g H v 8 7 I B 7 / O y A e / z s g H v 8 7 8 B 7 P O + A d 7 z P A A A A A g A A A A + A A A A G A A A A J + G A Q C f h g E A Y X n + / 2 F 5 / v 8 T A A A A D A A A A A I A A A A 7 A A A A C A A A A B s A A A A Q A A A A + A E A A N D z / / 9 Y A A A A 9 A A A A J c A A A D t + / / / s Q A A A A H 8 / / 8 2 A A A A 3 w H Q 8 9 8 B 0 P P f A d D z 3 w H Q 8 9 0 B 0 / P V A e P z y g H a 8 8 c B z / P G A c n z x g H J 8 8 Y B y f P G A c n z x g H f 8 8 Y B 3 / P G A d / z x g H f 8 8 g B 6 P P P A e / z y A H + 8 8 c B A f T H A Q H 0 1 w E B 9 N c B A f T X A Q H 0 3 A H 3 8 9 w B 9 / P c A f f z 3 A H 3 8 9 w B 9 / P c A f f z 5 A H 6 8 + w B + v P s A f r z 7 A H s 8 + w B 7 P P s A e z z 7 A H s 8 + g B 7 f P j A e v z 6 w H c 8 + s B 3 P P r A d z z A A I B 9 A A C A f Q A A g H 0 E A I B 9 B A C A f Q Q A g H 0 E A I B 9 A 4 C / P M E A u f z + g H T 8 / g B 0 P P 4 A d D z P A A A A A g A A A A + A A A A G A A A A J + G A Q C f h g E A Y X n + / 2 F 5 / v 8 T A A A A D A A A A A I A A A A 7 A A A A C A A A A B s A A A A Q A A A A L w I A A O H z / / 9 Y A A A A x A A A A L E A A A D v + / / / x A A A A A L 8 / / 8 q A A A A K g L h 8 y c C 3 / M n A t 3 z J w L a 8 y s C 2 f M 0 A t n z P A L Z 8 0 c C 2 / N H A t v z R w L P 8 0 c C z / N H A s / z R w L P 8 z s C z v M u A s 7 z K g L O 8 x Q C z v M V A t / z F Q L v 8 y k C 7 / M y A u / z N g L v 8 z k C 8 P M 5 A v P z O g L 2 8 z M C 9 / M q A v f z I A L 3 8 x c C 9 f M X A v X z F w I B 9 B c C A f Q X A g H 0 F w I B 9 C Q C A / Q u A g P 0 M w I D 9 E s C B P R L A v L z S w L g 8 z c C 4 f M v A u H z P A A A A A g A A A A + A A A A G A A A A J + G A Q C f h g E A Y X n + / 2 F 5 / v 8 T A A A A D A A A A A I A A A A 7 A A A A C A A A A B s A A A A Q A A A A 0 Q E A A M v z / / 9 Y A A A A T A A A A J o A A A D h + / / / p Q A A A O / 7 / / 8 M A A A A 0 w H A 8 9 4 B t P P s A b T z 7 A G k 8 + w B p P P s A a T z 1 w G n 8 8 8 B u f P Q A c P z 0 A H G 8 9 A B y f P R A c v z P Q A A A A g A A A A 8 A A A A C A A A A D 4 A A A A Y A A A A n 4 Y B A J + G A Q B h e f 7 / Y X n + / y g A A A A M A A A A A Q A A A C g A A A A M A A A A A g A A A A 4 A A A A U A A A A A A A A A B A A A A A U A A A A < / i m a g e >  
 < / l o g o > 
</file>

<file path=customXml/item6.xml><?xml version="1.0" encoding="utf-8"?>
<p:properties xmlns:p="http://schemas.microsoft.com/office/2006/metadata/properties" xmlns:xsi="http://www.w3.org/2001/XMLSchema-instance" xmlns:pc="http://schemas.microsoft.com/office/infopath/2007/PartnerControls">
  <documentManagement>
    <LegacyData xmlns="aaacb922-5235-4a66-b188-303b9b46fbd7" xsi:nil="true"/>
    <_ip_UnifiedCompliancePolicyUIAction xmlns="http://schemas.microsoft.com/sharepoint/v3" xsi:nil="true"/>
    <_ip_UnifiedCompliancePolicyProperties xmlns="http://schemas.microsoft.com/sharepoint/v3" xsi:nil="true"/>
    <_dlc_DocId xmlns="92ad9e33-5271-4ce6-bdd9-333434fbc601">FQW7PQWC2EQU-2126234253-39501</_dlc_DocId>
    <lcf76f155ced4ddcb4097134ff3c332f xmlns="c428dd7c-603b-4269-bcac-7b8676926974">
      <Terms xmlns="http://schemas.microsoft.com/office/infopath/2007/PartnerControls"/>
    </lcf76f155ced4ddcb4097134ff3c332f>
    <TaxCatchAll xmlns="92ad9e33-5271-4ce6-bdd9-333434fbc601">
      <Value>1</Value>
    </TaxCatchAll>
    <_dlc_DocIdUrl xmlns="92ad9e33-5271-4ce6-bdd9-333434fbc601">
      <Url>https://beisgov.sharepoint.com/sites/ICF/_layouts/15/DocIdRedir.aspx?ID=FQW7PQWC2EQU-2126234253-39501</Url>
      <Description>FQW7PQWC2EQU-2126234253-39501</Description>
    </_dlc_DocIdUrl>
    <Government_x0020_Body xmlns="b413c3fd-5a3b-4239-b985-69032e371c04">BEIS</Government_x0020_Body>
    <Date_x0020_Opened xmlns="b413c3fd-5a3b-4239-b985-69032e371c04">2026-07-03T09:33:38+00:00</Date_x0020_Opened>
    <Descriptor xmlns="0063f72e-ace3-48fb-9c1f-5b513408b31f" xsi:nil="true"/>
    <m975189f4ba442ecbf67d4147307b177 xmlns="92ad9e33-5271-4ce6-bdd9-333434fbc601">
      <Terms xmlns="http://schemas.microsoft.com/office/infopath/2007/PartnerControls">
        <TermInfo xmlns="http://schemas.microsoft.com/office/infopath/2007/PartnerControls">
          <TermName xmlns="http://schemas.microsoft.com/office/infopath/2007/PartnerControls">International Climate Finance</TermName>
          <TermId xmlns="http://schemas.microsoft.com/office/infopath/2007/PartnerControls">25a07eec-082c-4868-be05-2bef48a6767e</TermId>
        </TermInfo>
      </Terms>
    </m975189f4ba442ecbf67d4147307b177>
    <overview xmlns="c428dd7c-603b-4269-bcac-7b8676926974" xsi:nil="true"/>
    <Security_x0020_Classification xmlns="0063f72e-ace3-48fb-9c1f-5b513408b31f">OFFICIAL</Security_x0020_Classification>
    <Retention_x0020_Label xmlns="a8f60570-4bd3-4f2b-950b-a996de8ab151" xsi:nil="true"/>
    <Date_x0020_Closed xmlns="b413c3fd-5a3b-4239-b985-69032e371c04" xsi:nil="true"/>
  </documentManagement>
</p:properties>
</file>

<file path=customXml/item7.xml>��< ? x m l   v e r s i o n = " 1 . 0 "   e n c o d i n g = " u t f - 1 6 " ? > < l a b e l s   x m l n s = " h t t p : / / n i r a s / t e m p l a t e s / l a b e l s " >  
     < D a t e > D a t e < / D a t e >  
     < F a x > F a x < / F a x >  
     < C o m p a n y > C o m p a n y < / C o m p a n y >  
     < D i s t r i b u t i o n > D i s t r i b u t i o n < / D i s t r i b u t i o n >  
     < A p p r o v e d > A p p r o v e d < / A p p r o v e d >  
     < E n c l o s e d P l e a s e F i n d > E n c l o s e d   p l e a s e   f i n d < / E n c l o s e d P l e a s e F i n d >  
     < A s A g r e e d > A s   a g r e e d < / A s A g r e e d >  
     < Y o u r s F a i t h f u l l y > Y o u r s   f a i t h f u l l y < / Y o u r s F a i t h f u l l y >  
     < R e c i p i e n t > R e c i p i e n t : < / R e c i p i e n t >  
     < P a r t i c i p a n t s > P a r t i c i p a n t s < / P a r t i c i p a n t s >  
     < D a t e P l a c e O f M e e t i n g > D a t e / p l a c e   o f   m e e t i n g < / D a t e P l a c e O f M e e t i n g >  
     < T i m e > T i m e < / T i m e >  
     < N e x t M e e t i n g > N e x t   m e e t i n g < / N e x t M e e t i n g >  
     < R e v i s i o n > R e v i s i o n < / R e v i s i o n >  
     < F o r Y o u r A p p r o v a l > F o r   y o u r   a p p r o v a l < / F o r Y o u r A p p r o v a l >  
     < F o r Y o u r I n f o r m a t i o n > F o r   y o u r   i n f o r m a t i o n < / F o r Y o u r I n f o r m a t i o n >  
     < Y o u r C o m m e n t s P l e a s e > Y o u r   c o m m e n t s   p l e a s e < / Y o u r C o m m e n t s P l e a s e >  
     < D r a f t > D r a f t < / D r a f t >  
     < I f E r r o r I n T r a n s m i s s i o n P l e a s e C a l l > I f   e r r o r   i n   t r a n s m i s s i o n   p l e a s e   c a l l < / I f E r r o r I n T r a n s m i s s i o n P l e a s e C a l l >  
     < P l e a s e R e t u r n > P l e a s e   r e t u r n < / P l e a s e R e t u r n >  
     < N u m b e r O f P a g e s > N u m b e r   o f   p a g e s < / N u m b e r O f P a g e s >  
     < D e l i v e r y N o t e > D e l i v e r y   n o t e < / D e l i v e r y N o t e >  
     < M i n u t e s O f M e e t i n g > M i n u t e s   o f   M e e t i n g < / M i n u t e s O f M e e t i n g >  
     < N o t e > N o t e < / N o t e >  
     < P r o j e c t N o > P r o j e c t   I D < / P r o j e c t N o >  
     < D o c u m e n t N o > D o c u m e n t   I D < / D o c u m e n t N o >  
     < V e r s i o n > V e r s i o n < / V e r s i o n >  
     < T > T < / T >  
     < F > F < / F >  
     < E > E < / E >  
     < D > D < / D >  
     < W > W < / W >  
     < J a n u a r y > J a n u a r y < / J a n u a r y >  
     < F e b r u a r y > F e b r u a r y < / F e b r u a r y >  
     < M a r c h > M a r c h < / M a r c h >  
     < A p r i l > A p r i l < / A p r i l >  
     < M a y > M a y < / M a y >  
     < J u n e > J u n e < / J u n e >  
     < J u l y > J u l y < / J u l y >  
     < A u g u s t > A u g u s t < / A u g u s t >  
     < S e p t e m b e r > S e p t e m b e r < / S e p t e m b e r >  
     < O c t o b e r > O c t o b e r < / O c t o b e r >  
     < N o v e m b e r > N o v e m b e r < / N o v e m b e r >  
     < D e c e m b e r > D e c e m b e r < / D e c e m b e r >  
     < M i n u t e T a k e r > M i n u t e   t a k e r < / M i n u t e T a k e r >  
     < A b s e n t > A b s e n t < / A b s e n t >  
     < C o n t a c t > C o n t a c t < / C o n t a c t >  
     < P r o j e c t > P r o j e c t < / P r o j e c t >  
     < C o n t e n t s > C o n t e n t s < / C o n t e n t s >  
     < A p p e n d i x > A p p e n d i x < / A p p e n d i x >  
     < P r e p a r e d B y > P r e p a r e d   b y < / P r e p a r e d B y >  
     < V e r i f i e d B y > V e r i f i e d   b y < / V e r i f i e d B y >  
     < A p p r o v e d B y > A p p r o v e d   b y < / A p p r o v e d B y >  
     < P a g e > P a g e < / P a g e >  
     < A t t n > A t t n . < / A t t n >  
     < V e r > V e r . < / V e r >  
     < M > M < / M >  
     < C l i e n t > C l i e n t < / C l i e n t >  
     < M e e t i n g S u b j e c t > M e e t i n g   s u b j e c t < / M e e t i n g S u b j e c t >  
     < M e m o > M e m o < / M e m o >  
     < T o > T o < / T o >  
     < C o p y > C o p y < / C o p y >  
     < F r o m > F r o m < / F r o m >  
     < F i g u r e > F i g u r e < / F i g u r e >  
     < T e l e p h o n e > T e l e p h o n e < / T e l e p h o n e >  
     < T e n d e r > T e n d e r < / T e n d e r >  
     < B i d F o r > B i d   f o r < / B i d F o r >  
     < E O I > E O I < / E O I >  
     < A g e n d a > A g e n d a < / A g e n d a >  
     < T a b l e > T a b l e < / T a b l e >  
     < M o d i f i e d > M o d i f i e d < / M o d i f i e d >  
     < P l a c e O f M e e t i n g > P l a c e   o f   m e e t i n g < / P l a c e O f M e e t i n g >  
     < D a t e O f M e e t i n g > D a t e   o f   m e e t i n g < / D a t e O f M e e t i n g >  
     < C a n c e l l a t i o n s > C a n c e l l a t i o n s < / C a n c e l l a t i o n s >  
     < R e v N o > R e v . n o . < / R e v N o >  
     < D e s c r i p t i o n > D e s c r i p t i o n < / D e s c r i p t i o n >  
     < R e s p o n s i b i l i t y > R e s p o n s i b l e < / R e s p o n s i b i l i t y >  
     < D e a d l i n e > D e a d l i n e < / D e a d l i n e >  
     < R e c o r d B a c k g r o u n d A c t i o n > A c t i o n   & a m p ;   s t a t u s < / R e c o r d B a c k g r o u n d A c t i o n >  
     < A c t i o n L i s t > A c t i o n   l i s t < / A c t i o n L i s t >  
 < / l a b e l s > 
</file>

<file path=customXml/item8.xml><?xml version="1.0" encoding="utf-8"?>
<settings xmlns="http://niras/templates/settings">
  <date>19 September 2023</date>
</settings>
</file>

<file path=customXml/item9.xml><?xml version="1.0" encoding="utf-8"?>
<project xmlns="http://niras/templates/project">
  <projectName/>
  <clientName/>
  <projectId/>
</project>
</file>

<file path=customXml/itemProps1.xml><?xml version="1.0" encoding="utf-8"?>
<ds:datastoreItem xmlns:ds="http://schemas.openxmlformats.org/officeDocument/2006/customXml" ds:itemID="{4E5DF10B-6199-477F-BD17-083F38876CBF}">
  <ds:schemaRefs>
    <ds:schemaRef ds:uri="http://niras/templates/constants"/>
  </ds:schemaRefs>
</ds:datastoreItem>
</file>

<file path=customXml/itemProps10.xml><?xml version="1.0" encoding="utf-8"?>
<ds:datastoreItem xmlns:ds="http://schemas.openxmlformats.org/officeDocument/2006/customXml" ds:itemID="{BDE750F4-55A7-4374-8CE3-7036283EB773}"/>
</file>

<file path=customXml/itemProps11.xml><?xml version="1.0" encoding="utf-8"?>
<ds:datastoreItem xmlns:ds="http://schemas.openxmlformats.org/officeDocument/2006/customXml" ds:itemID="{0680F8B1-F32D-4184-B726-BA5F6BB0EC01}">
  <ds:schemaRefs>
    <ds:schemaRef ds:uri="http://schemas.microsoft.com/sharepoint/v3/contenttype/forms"/>
  </ds:schemaRefs>
</ds:datastoreItem>
</file>

<file path=customXml/itemProps12.xml><?xml version="1.0" encoding="utf-8"?>
<ds:datastoreItem xmlns:ds="http://schemas.openxmlformats.org/officeDocument/2006/customXml" ds:itemID="{9B2875FF-4A94-472C-93DD-5FCA0855990E}">
  <ds:schemaRefs>
    <ds:schemaRef ds:uri="http://niras/templates/address"/>
  </ds:schemaRefs>
</ds:datastoreItem>
</file>

<file path=customXml/itemProps2.xml><?xml version="1.0" encoding="utf-8"?>
<ds:datastoreItem xmlns:ds="http://schemas.openxmlformats.org/officeDocument/2006/customXml" ds:itemID="{0D558636-8D62-47AC-961F-8E83DD257B70}">
  <ds:schemaRefs>
    <ds:schemaRef ds:uri="http://schemas.openxmlformats.org/officeDocument/2006/bibliography"/>
  </ds:schemaRefs>
</ds:datastoreItem>
</file>

<file path=customXml/itemProps3.xml><?xml version="1.0" encoding="utf-8"?>
<ds:datastoreItem xmlns:ds="http://schemas.openxmlformats.org/officeDocument/2006/customXml" ds:itemID="{56903347-75DD-4D17-B276-8199B1CBB443}">
  <ds:schemaRefs>
    <ds:schemaRef ds:uri="http://niras/templates/user"/>
  </ds:schemaRefs>
</ds:datastoreItem>
</file>

<file path=customXml/itemProps4.xml><?xml version="1.0" encoding="utf-8"?>
<ds:datastoreItem xmlns:ds="http://schemas.openxmlformats.org/officeDocument/2006/customXml" ds:itemID="{6F177F50-B751-4FB1-ACC3-BC50E11F31B0}">
  <ds:schemaRefs>
    <ds:schemaRef ds:uri="http://schemas.microsoft.com/sharepoint/events"/>
  </ds:schemaRefs>
</ds:datastoreItem>
</file>

<file path=customXml/itemProps5.xml><?xml version="1.0" encoding="utf-8"?>
<ds:datastoreItem xmlns:ds="http://schemas.openxmlformats.org/officeDocument/2006/customXml" ds:itemID="{5831B250-2D74-4D7D-BDA8-ACC64AE5CFD2}">
  <ds:schemaRefs>
    <ds:schemaRef ds:uri="http://niras/templates/logo"/>
  </ds:schemaRefs>
</ds:datastoreItem>
</file>

<file path=customXml/itemProps6.xml><?xml version="1.0" encoding="utf-8"?>
<ds:datastoreItem xmlns:ds="http://schemas.openxmlformats.org/officeDocument/2006/customXml" ds:itemID="{B777E358-39F8-4857-AF2E-ECB4206D7673}">
  <ds:schemaRefs>
    <ds:schemaRef ds:uri="http://schemas.microsoft.com/office/2006/metadata/properties"/>
    <ds:schemaRef ds:uri="http://schemas.microsoft.com/office/infopath/2007/PartnerControls"/>
    <ds:schemaRef ds:uri="aaacb922-5235-4a66-b188-303b9b46fbd7"/>
    <ds:schemaRef ds:uri="b9d65af1-18fa-4dc7-9941-b26f165da588"/>
    <ds:schemaRef ds:uri="0f9fa326-da26-4ea8-b6a9-645e8136fe1d"/>
    <ds:schemaRef ds:uri="http://schemas.microsoft.com/sharepoint/v3"/>
    <ds:schemaRef ds:uri="374ed4d6-b127-4161-a8d5-91d2d6d266bd"/>
  </ds:schemaRefs>
</ds:datastoreItem>
</file>

<file path=customXml/itemProps7.xml><?xml version="1.0" encoding="utf-8"?>
<ds:datastoreItem xmlns:ds="http://schemas.openxmlformats.org/officeDocument/2006/customXml" ds:itemID="{A7E9DC5A-3E65-439A-8E20-A9CAA6A46846}">
  <ds:schemaRefs>
    <ds:schemaRef ds:uri="http://niras/templates/labels"/>
  </ds:schemaRefs>
</ds:datastoreItem>
</file>

<file path=customXml/itemProps8.xml><?xml version="1.0" encoding="utf-8"?>
<ds:datastoreItem xmlns:ds="http://schemas.openxmlformats.org/officeDocument/2006/customXml" ds:itemID="{9BA5C65E-7773-41E4-B4C7-CE3CC64B18A6}">
  <ds:schemaRefs>
    <ds:schemaRef ds:uri="http://niras/templates/settings"/>
  </ds:schemaRefs>
</ds:datastoreItem>
</file>

<file path=customXml/itemProps9.xml><?xml version="1.0" encoding="utf-8"?>
<ds:datastoreItem xmlns:ds="http://schemas.openxmlformats.org/officeDocument/2006/customXml" ds:itemID="{C9BC6985-D57A-4135-A603-54903DCC49CB}">
  <ds:schemaRefs>
    <ds:schemaRef ds:uri="http://niras/templates/project"/>
  </ds:schemaRefs>
</ds:datastoreItem>
</file>

<file path=docMetadata/LabelInfo.xml><?xml version="1.0" encoding="utf-8"?>
<clbl:labelList xmlns:clbl="http://schemas.microsoft.com/office/2020/mipLabelMetadata">
  <clbl:label id="{ba62f585-b40f-4ab9-bafe-39150f03d124}" enabled="1" method="Standard" siteId="{cbac7005-02c1-43eb-b497-e6492d1b2dd8}"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21972</Words>
  <Characters>125246</Characters>
  <Application>Microsoft Office Word</Application>
  <DocSecurity>4</DocSecurity>
  <Lines>1043</Lines>
  <Paragraphs>293</Paragraphs>
  <ScaleCrop>false</ScaleCrop>
  <Company/>
  <LinksUpToDate>false</LinksUpToDate>
  <CharactersWithSpaces>146925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2026-01-15T17:12:00Z</dcterms:created>
  <dcterms:modified xsi:type="dcterms:W3CDTF">2026-07-02T08:47:00Z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IM_Activity">
    <vt:lpwstr>2;#International climate|5a595758-250c-1237-4802-ae3329732708</vt:lpwstr>
  </property>
  <property fmtid="{D5CDD505-2E9C-101B-9397-08002B2CF9AE}" pid="3" name="MSIP_Label_ba62f585-b40f-4ab9-bafe-39150f03d124_SiteId">
    <vt:lpwstr>cbac7005-02c1-43eb-b497-e6492d1b2dd8</vt:lpwstr>
  </property>
  <property fmtid="{D5CDD505-2E9C-101B-9397-08002B2CF9AE}" pid="4" name="_dlc_DocId_src">
    <vt:lpwstr>{Module.FooterText}</vt:lpwstr>
  </property>
  <property fmtid="{D5CDD505-2E9C-101B-9397-08002B2CF9AE}" pid="5" name="Business Unit">
    <vt:lpwstr>1;#International Climate Finance|25a07eec-082c-4868-be05-2bef48a6767e</vt:lpwstr>
  </property>
  <property fmtid="{D5CDD505-2E9C-101B-9397-08002B2CF9AE}" pid="6" name="templatetype">
    <vt:lpwstr>Tender</vt:lpwstr>
  </property>
  <property fmtid="{D5CDD505-2E9C-101B-9397-08002B2CF9AE}" pid="7" name="MSIP_Label_ba62f585-b40f-4ab9-bafe-39150f03d124_Method">
    <vt:lpwstr>Standard</vt:lpwstr>
  </property>
  <property fmtid="{D5CDD505-2E9C-101B-9397-08002B2CF9AE}" pid="8" name="ClassificationContentMarkingHeaderText">
    <vt:lpwstr>OFFICIAL</vt:lpwstr>
  </property>
  <property fmtid="{D5CDD505-2E9C-101B-9397-08002B2CF9AE}" pid="9" name="NIRASScale">
    <vt:lpwstr/>
  </property>
  <property fmtid="{D5CDD505-2E9C-101B-9397-08002B2CF9AE}" pid="10" name="MediaServiceImageTags">
    <vt:lpwstr/>
  </property>
  <property fmtid="{D5CDD505-2E9C-101B-9397-08002B2CF9AE}" pid="11" name="MSIP_Label_ba62f585-b40f-4ab9-bafe-39150f03d124_ContentBits">
    <vt:lpwstr>3</vt:lpwstr>
  </property>
  <property fmtid="{D5CDD505-2E9C-101B-9397-08002B2CF9AE}" pid="12" name="ContentTypeId">
    <vt:lpwstr>0x010100C86BC38FBA6AE64EBB94A713A201E924</vt:lpwstr>
  </property>
  <property fmtid="{D5CDD505-2E9C-101B-9397-08002B2CF9AE}" pid="13" name="MSIP_Label_ba62f585-b40f-4ab9-bafe-39150f03d124_Name">
    <vt:lpwstr>OFFICIAL</vt:lpwstr>
  </property>
  <property fmtid="{D5CDD505-2E9C-101B-9397-08002B2CF9AE}" pid="14" name="NIRASPriceListSupplier">
    <vt:lpwstr/>
  </property>
  <property fmtid="{D5CDD505-2E9C-101B-9397-08002B2CF9AE}" pid="15" name="RevisionLog">
    <vt:lpwstr>true</vt:lpwstr>
  </property>
  <property fmtid="{D5CDD505-2E9C-101B-9397-08002B2CF9AE}" pid="16" name="ImageCover">
    <vt:lpwstr>True</vt:lpwstr>
  </property>
  <property fmtid="{D5CDD505-2E9C-101B-9397-08002B2CF9AE}" pid="17" name="HeadingStyleSets">
    <vt:lpwstr>true</vt:lpwstr>
  </property>
  <property fmtid="{D5CDD505-2E9C-101B-9397-08002B2CF9AE}" pid="18" name="ClassificationContentMarkingHeaderFontProps">
    <vt:lpwstr>#000000,10,Calibri</vt:lpwstr>
  </property>
  <property fmtid="{D5CDD505-2E9C-101B-9397-08002B2CF9AE}" pid="19" name="MSIP_Label_ba62f585-b40f-4ab9-bafe-39150f03d124_Tag">
    <vt:lpwstr>10, 3, 0, 1</vt:lpwstr>
  </property>
  <property fmtid="{D5CDD505-2E9C-101B-9397-08002B2CF9AE}" pid="20" name="PartnerLogo">
    <vt:lpwstr>True</vt:lpwstr>
  </property>
  <property fmtid="{D5CDD505-2E9C-101B-9397-08002B2CF9AE}" pid="21" name="NIRASAI">
    <vt:lpwstr/>
  </property>
  <property fmtid="{D5CDD505-2E9C-101B-9397-08002B2CF9AE}" pid="22" name="ApplyLanguageRun">
    <vt:lpwstr>true</vt:lpwstr>
  </property>
  <property fmtid="{D5CDD505-2E9C-101B-9397-08002B2CF9AE}" pid="23" name="docLang">
    <vt:lpwstr>en</vt:lpwstr>
  </property>
  <property fmtid="{D5CDD505-2E9C-101B-9397-08002B2CF9AE}" pid="24" name="KIM_GovernmentBody">
    <vt:lpwstr>3;#BEIS|b386cac2-c28c-4db4-8fca-43733d0e74ef</vt:lpwstr>
  </property>
  <property fmtid="{D5CDD505-2E9C-101B-9397-08002B2CF9AE}" pid="25" name="NIRASDocumentKind">
    <vt:lpwstr>10;#Report|d16b5c7b-ec9d-476b-ba75-1bbbd340a9f6</vt:lpwstr>
  </property>
  <property fmtid="{D5CDD505-2E9C-101B-9397-08002B2CF9AE}" pid="26" name="Appendix">
    <vt:lpwstr>true</vt:lpwstr>
  </property>
  <property fmtid="{D5CDD505-2E9C-101B-9397-08002B2CF9AE}" pid="27" name="ClassificationContentMarkingFooterShapeIds">
    <vt:lpwstr>7aaf632f,26b4d400,52ad220f,7cbfe7e1</vt:lpwstr>
  </property>
  <property fmtid="{D5CDD505-2E9C-101B-9397-08002B2CF9AE}" pid="28" name="MSIP_Label_ba62f585-b40f-4ab9-bafe-39150f03d124_ActionId">
    <vt:lpwstr>3c71653d-1379-41da-8857-5dd19894b61b</vt:lpwstr>
  </property>
  <property fmtid="{D5CDD505-2E9C-101B-9397-08002B2CF9AE}" pid="29" name="ClassificationContentMarkingHeaderShapeIds">
    <vt:lpwstr>508d0e9f,1c0ab56b,77339fbf,1822b57c</vt:lpwstr>
  </property>
  <property fmtid="{D5CDD505-2E9C-101B-9397-08002B2CF9AE}" pid="30" name="ClassificationContentMarkingFooterFontProps">
    <vt:lpwstr>#000000,10,Calibri</vt:lpwstr>
  </property>
  <property fmtid="{D5CDD505-2E9C-101B-9397-08002B2CF9AE}" pid="31" name="KIM_Function">
    <vt:lpwstr>1;#Climate and energy|98b2efea-a649-07e6-a104-07f256801c42</vt:lpwstr>
  </property>
  <property fmtid="{D5CDD505-2E9C-101B-9397-08002B2CF9AE}" pid="32" name="NIRASQAGroup">
    <vt:lpwstr/>
  </property>
  <property fmtid="{D5CDD505-2E9C-101B-9397-08002B2CF9AE}" pid="33" name="NIRASQAStatus">
    <vt:lpwstr/>
  </property>
  <property fmtid="{D5CDD505-2E9C-101B-9397-08002B2CF9AE}" pid="34" name="NIRASPriceListTechnology">
    <vt:lpwstr/>
  </property>
  <property fmtid="{D5CDD505-2E9C-101B-9397-08002B2CF9AE}" pid="35" name="MSIP_Label_ba62f585-b40f-4ab9-bafe-39150f03d124_Enabled">
    <vt:lpwstr>true</vt:lpwstr>
  </property>
  <property fmtid="{D5CDD505-2E9C-101B-9397-08002B2CF9AE}" pid="36" name="TOC">
    <vt:lpwstr>true</vt:lpwstr>
  </property>
  <property fmtid="{D5CDD505-2E9C-101B-9397-08002B2CF9AE}" pid="37" name="_dlc_DocIdItemGuid">
    <vt:lpwstr>6aa50073-7001-44ee-b5a9-0c45be71f4e5</vt:lpwstr>
  </property>
  <property fmtid="{D5CDD505-2E9C-101B-9397-08002B2CF9AE}" pid="38" name="Index">
    <vt:lpwstr>true</vt:lpwstr>
  </property>
  <property fmtid="{D5CDD505-2E9C-101B-9397-08002B2CF9AE}" pid="39" name="MSIP_Label_ba62f585-b40f-4ab9-bafe-39150f03d124_SetDate">
    <vt:lpwstr>2025-07-16T12:59:35Z</vt:lpwstr>
  </property>
  <property fmtid="{D5CDD505-2E9C-101B-9397-08002B2CF9AE}" pid="40" name="InsertLandscape">
    <vt:lpwstr>true</vt:lpwstr>
  </property>
  <property fmtid="{D5CDD505-2E9C-101B-9397-08002B2CF9AE}" pid="41" name="ClassificationContentMarkingFooterText">
    <vt:lpwstr>OFFICIAL</vt:lpwstr>
  </property>
  <property fmtid="{D5CDD505-2E9C-101B-9397-08002B2CF9AE}" pid="42" name="Business_x0020_Unit">
    <vt:lpwstr>1;#International Climate Finance|25a07eec-082c-4868-be05-2bef48a6767e</vt:lpwstr>
  </property>
</Properties>
</file>